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77" w:rsidRPr="001E546E" w:rsidRDefault="00021F77" w:rsidP="00021F77">
      <w:pPr>
        <w:pStyle w:val="ANMapapertitle"/>
        <w:spacing w:line="240" w:lineRule="auto"/>
      </w:pPr>
      <w:r w:rsidRPr="001E546E">
        <w:t>Response profiles of dairy cows to a single 24h milking interval in relation with milk proteolysis, udder compliance and immune traits</w:t>
      </w:r>
    </w:p>
    <w:p w:rsidR="00021F77" w:rsidRPr="001E546E" w:rsidRDefault="00021F77" w:rsidP="00021F77">
      <w:pPr>
        <w:pStyle w:val="ANMapapertitle"/>
        <w:spacing w:line="240" w:lineRule="auto"/>
        <w:rPr>
          <w:b w:val="0"/>
        </w:rPr>
      </w:pPr>
      <w:r w:rsidRPr="001E546E">
        <w:rPr>
          <w:b w:val="0"/>
        </w:rPr>
        <w:t xml:space="preserve">C. Charton, H. Larroque, S. Pochet, P. Germon, G. </w:t>
      </w:r>
      <w:proofErr w:type="spellStart"/>
      <w:r w:rsidRPr="001E546E">
        <w:rPr>
          <w:b w:val="0"/>
        </w:rPr>
        <w:t>Lequeux</w:t>
      </w:r>
      <w:proofErr w:type="spellEnd"/>
      <w:r w:rsidRPr="001E546E">
        <w:rPr>
          <w:b w:val="0"/>
        </w:rPr>
        <w:t xml:space="preserve"> and J. </w:t>
      </w:r>
      <w:proofErr w:type="spellStart"/>
      <w:r w:rsidRPr="001E546E">
        <w:rPr>
          <w:b w:val="0"/>
        </w:rPr>
        <w:t>Guinard-Flament</w:t>
      </w:r>
      <w:proofErr w:type="spellEnd"/>
    </w:p>
    <w:p w:rsidR="00021F77" w:rsidRPr="001E546E" w:rsidRDefault="00021F77" w:rsidP="00021F77">
      <w:pPr>
        <w:rPr>
          <w:rFonts w:cs="Arial"/>
          <w:b/>
          <w:iCs/>
          <w:color w:val="000000"/>
          <w:sz w:val="28"/>
          <w:szCs w:val="28"/>
          <w:lang w:val="en-GB"/>
        </w:rPr>
      </w:pPr>
    </w:p>
    <w:p w:rsidR="00021F77" w:rsidRPr="001E546E" w:rsidRDefault="00B50FEF" w:rsidP="00021F77">
      <w:pPr>
        <w:pStyle w:val="ANMmaintext"/>
        <w:rPr>
          <w:b/>
          <w:i/>
        </w:rPr>
      </w:pPr>
      <w:r>
        <w:rPr>
          <w:b/>
          <w:i/>
        </w:rPr>
        <w:t>Effects of a 24h</w:t>
      </w:r>
      <w:r w:rsidRPr="00B50FEF">
        <w:t xml:space="preserve"> </w:t>
      </w:r>
      <w:r w:rsidRPr="00B50FEF">
        <w:rPr>
          <w:b/>
          <w:i/>
        </w:rPr>
        <w:t xml:space="preserve">milking </w:t>
      </w:r>
      <w:bookmarkStart w:id="0" w:name="_GoBack"/>
      <w:bookmarkEnd w:id="0"/>
      <w:r w:rsidRPr="00B50FEF">
        <w:rPr>
          <w:b/>
          <w:i/>
        </w:rPr>
        <w:t>interval</w:t>
      </w:r>
      <w:r w:rsidR="00021F77" w:rsidRPr="001E546E">
        <w:rPr>
          <w:b/>
          <w:i/>
        </w:rPr>
        <w:t xml:space="preserve"> on traits.</w:t>
      </w:r>
    </w:p>
    <w:p w:rsidR="00021F77" w:rsidRPr="001E546E" w:rsidRDefault="00021F77" w:rsidP="00021F77">
      <w:pPr>
        <w:pStyle w:val="ANMmaintext"/>
        <w:spacing w:line="360" w:lineRule="auto"/>
        <w:jc w:val="both"/>
      </w:pPr>
      <w:r w:rsidRPr="001E546E">
        <w:rPr>
          <w:caps/>
          <w:lang w:val="en-US"/>
        </w:rPr>
        <w:t>S</w:t>
      </w:r>
      <w:proofErr w:type="spellStart"/>
      <w:r w:rsidRPr="001E546E">
        <w:t>tatistical</w:t>
      </w:r>
      <w:proofErr w:type="spellEnd"/>
      <w:r w:rsidRPr="001E546E">
        <w:t xml:space="preserve"> analyses were performed using R software (</w:t>
      </w:r>
      <w:proofErr w:type="spellStart"/>
      <w:r w:rsidRPr="001E546E">
        <w:t>RCore</w:t>
      </w:r>
      <w:proofErr w:type="spellEnd"/>
      <w:r w:rsidRPr="001E546E">
        <w:t xml:space="preserve"> Team, The R Foundation for Statistical Computing, 2014, R: A Language and Environment for Statistical Computing, Version 3.0.2, Vienna, Austria, http:/www.R-project.org). The data were </w:t>
      </w:r>
      <w:proofErr w:type="spellStart"/>
      <w:r w:rsidRPr="001E546E">
        <w:t>analyzed</w:t>
      </w:r>
      <w:proofErr w:type="spellEnd"/>
      <w:r w:rsidRPr="001E546E">
        <w:t xml:space="preserve"> according to the following linear mixed model (1):</w:t>
      </w:r>
    </w:p>
    <w:p w:rsidR="00021F77" w:rsidRPr="001E546E" w:rsidRDefault="00021F77" w:rsidP="00021F77">
      <w:pPr>
        <w:pStyle w:val="ANMmaintext"/>
        <w:spacing w:line="360" w:lineRule="auto"/>
        <w:jc w:val="both"/>
      </w:pPr>
      <w:r w:rsidRPr="001E546E">
        <w:rPr>
          <w:position w:val="-14"/>
        </w:rPr>
        <w:object w:dxaOrig="8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2pt;height:18.7pt" o:ole="">
            <v:imagedata r:id="rId4" o:title=""/>
          </v:shape>
          <o:OLEObject Type="Embed" ProgID="Equation.DSMT4" ShapeID="_x0000_i1025" DrawAspect="Content" ObjectID="_1598102258" r:id="rId5"/>
        </w:object>
      </w:r>
    </w:p>
    <w:p w:rsidR="00021F77" w:rsidRPr="001E546E" w:rsidRDefault="00021F77" w:rsidP="005964BC">
      <w:pPr>
        <w:pStyle w:val="ANMmaintext"/>
        <w:spacing w:line="360" w:lineRule="auto"/>
        <w:jc w:val="both"/>
        <w:rPr>
          <w:lang w:val="en-US"/>
        </w:rPr>
      </w:pPr>
      <w:proofErr w:type="gramStart"/>
      <w:r w:rsidRPr="001E546E">
        <w:t xml:space="preserve">where </w:t>
      </w:r>
      <w:r w:rsidRPr="001E546E">
        <w:rPr>
          <w:position w:val="-14"/>
        </w:rPr>
        <w:object w:dxaOrig="380" w:dyaOrig="380">
          <v:shape id="_x0000_i1026" type="#_x0000_t75" style="width:18.7pt;height:18.7pt" o:ole="">
            <v:imagedata r:id="rId6" o:title=""/>
          </v:shape>
          <o:OLEObject Type="Embed" ProgID="Equation.DSMT4" ShapeID="_x0000_i1026" DrawAspect="Content" ObjectID="_1598102259" r:id="rId7"/>
        </w:object>
      </w:r>
      <w:r w:rsidRPr="001E546E">
        <w:t xml:space="preserve"> is dependent variable and µ is the mean, the fixed effects tested are period </w:t>
      </w:r>
      <w:proofErr w:type="spellStart"/>
      <w:r w:rsidRPr="001E546E">
        <w:rPr>
          <w:i/>
        </w:rPr>
        <w:t>i</w:t>
      </w:r>
      <w:proofErr w:type="spellEnd"/>
      <w:r w:rsidRPr="001E546E">
        <w:t xml:space="preserve"> (</w:t>
      </w:r>
      <w:proofErr w:type="spellStart"/>
      <w:r w:rsidRPr="001E546E">
        <w:t>cTDM</w:t>
      </w:r>
      <w:proofErr w:type="spellEnd"/>
      <w:r w:rsidRPr="001E546E">
        <w:t xml:space="preserve">, 24h-MI), stage of lactation </w:t>
      </w:r>
      <w:r w:rsidRPr="001E546E">
        <w:rPr>
          <w:i/>
        </w:rPr>
        <w:t xml:space="preserve">j </w:t>
      </w:r>
      <w:r w:rsidRPr="001E546E">
        <w:t xml:space="preserve">(4 classes: 24-50, 51-100, 101-180, 181-311 DIM), parity </w:t>
      </w:r>
      <w:r w:rsidRPr="001E546E">
        <w:rPr>
          <w:i/>
        </w:rPr>
        <w:t>k</w:t>
      </w:r>
      <w:r w:rsidRPr="001E546E">
        <w:t xml:space="preserve"> (3 classes: primiparous, 2</w:t>
      </w:r>
      <w:r w:rsidRPr="001E546E">
        <w:rPr>
          <w:vertAlign w:val="superscript"/>
        </w:rPr>
        <w:t>nd</w:t>
      </w:r>
      <w:r w:rsidRPr="001E546E">
        <w:t xml:space="preserve"> lactation and 3</w:t>
      </w:r>
      <w:r w:rsidRPr="001E546E">
        <w:rPr>
          <w:vertAlign w:val="superscript"/>
        </w:rPr>
        <w:t>rd</w:t>
      </w:r>
      <w:r w:rsidRPr="001E546E">
        <w:t xml:space="preserve">-plus lactation), and the 2-way interaction stage of lactation </w:t>
      </w:r>
      <w:r w:rsidRPr="001E546E">
        <w:rPr>
          <w:position w:val="-4"/>
        </w:rPr>
        <w:object w:dxaOrig="200" w:dyaOrig="200">
          <v:shape id="_x0000_i1027" type="#_x0000_t75" style="width:10.3pt;height:10.3pt" o:ole="">
            <v:imagedata r:id="rId8" o:title=""/>
          </v:shape>
          <o:OLEObject Type="Embed" ProgID="Equation.DSMT4" ShapeID="_x0000_i1027" DrawAspect="Content" ObjectID="_1598102260" r:id="rId9"/>
        </w:object>
      </w:r>
      <w:r w:rsidRPr="001E546E">
        <w:t xml:space="preserve"> parity, random effect of the cow (assumed to be normally distributed) is </w:t>
      </w:r>
      <w:r w:rsidRPr="001E546E">
        <w:rPr>
          <w:i/>
        </w:rPr>
        <w:t>l</w:t>
      </w:r>
      <w:r w:rsidRPr="001E546E">
        <w:t xml:space="preserve"> and </w:t>
      </w:r>
      <w:r w:rsidRPr="001E546E">
        <w:rPr>
          <w:position w:val="-14"/>
        </w:rPr>
        <w:object w:dxaOrig="380" w:dyaOrig="380">
          <v:shape id="_x0000_i1028" type="#_x0000_t75" style="width:19.65pt;height:18.7pt" o:ole="">
            <v:imagedata r:id="rId10" o:title=""/>
          </v:shape>
          <o:OLEObject Type="Embed" ProgID="Equation.DSMT4" ShapeID="_x0000_i1028" DrawAspect="Content" ObjectID="_1598102261" r:id="rId11"/>
        </w:object>
      </w:r>
      <w:r w:rsidRPr="001E546E">
        <w:t xml:space="preserve">is the residual error associated with each </w:t>
      </w:r>
      <w:proofErr w:type="spellStart"/>
      <w:r w:rsidRPr="001E546E">
        <w:rPr>
          <w:i/>
        </w:rPr>
        <w:t>ijkl</w:t>
      </w:r>
      <w:proofErr w:type="spellEnd"/>
      <w:r w:rsidRPr="001E546E">
        <w:t xml:space="preserve"> observation.</w:t>
      </w:r>
      <w:proofErr w:type="gramEnd"/>
      <w:r w:rsidRPr="001E546E">
        <w:t xml:space="preserve"> The fixed effects other than period were coded as described in </w:t>
      </w:r>
      <w:r w:rsidRPr="001E546E">
        <w:fldChar w:fldCharType="begin" w:fldLock="1"/>
      </w:r>
      <w:r w:rsidRPr="001E546E">
        <w:instrText>ADDIN CSL_CITATION { "citationItems" : [ { "id" : "ITEM-1", "itemData" : { "DOI" : "10.3168/jds.2015-9782", "ISSN" : "00220302", "PMID" : "26805971", "abstract" : "Some dairy farmers opt to omit one milking, either incidentally or weekly, without changing other milking times. This practice entails an extended milking interval of 24 h (24h-MI), which is associated with a decrease in milk yield. This decrease varies among cows and could be partly due to factors such as stage of lactation and milk yield level. The aim of this study was to describe the average and individual responses in terms of loss and carryover effects of a 24h-MI on milk yield. The influence of factors such as parity, stage of lactation, and milk yield potential were investigated, together with response repeatability. Our trial used 292 Holstein-Friesian cows, and consisted of 3 successive periods: 1 wk of twice-daily milking (TDM) as a control, one 24h-MI, and then 13 d of TDM. The number of observations per cow ranged from 1 to 9, with no more than three 24h-MI per lactation. The 24h-MI reduced milk yield by 23% (7.8 kg on average) and milk lactose content by 2.6 g/kg on the 24h-MI day. Milk fat and protein content, and somatic cell score increased by 3.0 g/kg, 0.5 g/kg, and 0.4 units, respectively. No significant carryover effect was found of a 24h-MI on milk yield or milk composition 2 wk after resumption of TDM. Milk yield loss and recovery varied widely (coefficient of variation 62%), and the relationship between milk loss and milk recovery showed substantial variation (residual standard deviation 2.1 kg/d). Cows with a greater milk potential level lost more milk yield but recovered more milk, with no influence on recovery:loss ratio. Cows in early lactation recovered the lost milk yield faster. Repeatability of the responses to a 24h-MI was 44% for milk yield loss (kg/d), 57% for relative milk yield loss (%), 33% for milk yield recovery (kg/d), and 0% for milk recovery:loss ratio (%), suggesting a genetically determined ability to limit loss when one milking is omitted. To conclude, a 24h-MI caused higher milk yield losses than reported in previous studies. Stage of lactation, estimated potential milk yield level, and parity explained the cows' response to the 24h-MI, but did not account for all the individual variability.", "author" : [ { "dropping-particle" : "", "family" : "Charton", "given" : "C", "non-dropping-particle" : "", "parse-names" : false, "suffix" : "" }, { "dropping-particle" :</w:instrText>
      </w:r>
      <w:r w:rsidRPr="001E546E">
        <w:rPr>
          <w:lang w:val="en-US"/>
        </w:rPr>
        <w:instrText xml:space="preserve"> "", "family" : "Larroque", "given" : "H", "non-dropping-particle" : "", "parse-names" : false, "suffix" : "" }, { "dropping-particle" : "", "family" : "Robert-Grani\u00e9", "given" : "C", "non-dropping-particle" : "", "parse-names" : false, "suffix" : "" }, { "dropping-particle" : "", "family" : "Pomi\u00e8s", "given" : "D", "non-dropping-particle" : "", "parse-names" : false, "suffix" : "" }, { "dropping-particle" : "", "family" : "Leclerc", "given" : "H", "non-dropping-particle" : "", "parse-names" : false, "suffix" : "" }, { "dropping-particle" : "", "family" : "Friggens", "given" : "N.C.", "non-dropping-particle" : "", "parse-names" : false, "suffix" : "" }, { "dropping-particle" : "", "family" : "Guinard-Flament", "given" : "J", "non-dropping-particle" : "", "parse-names" : false, "suffix" : "" } ], "container-title" : "Journal of Dairy Science", "id" : "ITEM-1", "issued" : { "date-parts" : [ [ "2016", "1", "21" ] ] }, "title" : "Individual responses of dairy cows to a 24-hour milking interval", "type" : "article-journal" }, "uris" : [ "http://www.mendeley.com/documents/?uuid=02996b07-6d61-4429-bab9-f5e04b363538" ] } ], "mendeley" : { "formattedCitation" : "(Charton et al., 2016)", "manualFormatting" : "Charton et al. (2016)", "plainTextFormattedCitation" : "(Charton et al., 2016)", "previouslyFormattedCitation" : "(Charton et al., 2016)" }, "properties" : { "noteIndex" : 0 }, "schema" : "https://github.com/citation-style-language/schema/raw/master/csl-citation.json" }</w:instrText>
      </w:r>
      <w:r w:rsidRPr="001E546E">
        <w:fldChar w:fldCharType="separate"/>
      </w:r>
      <w:r w:rsidRPr="001E546E">
        <w:rPr>
          <w:noProof/>
          <w:lang w:val="en-US"/>
        </w:rPr>
        <w:t>Charton et al. (2016)</w:t>
      </w:r>
      <w:r w:rsidRPr="001E546E">
        <w:fldChar w:fldCharType="end"/>
      </w:r>
      <w:r w:rsidRPr="001E546E">
        <w:rPr>
          <w:lang w:val="en-US"/>
        </w:rPr>
        <w:t xml:space="preserve">. </w:t>
      </w:r>
      <w:r w:rsidRPr="001E546E">
        <w:t xml:space="preserve">Results for fixed effects in models were expressed as least-squares means and computed using the </w:t>
      </w:r>
      <w:proofErr w:type="spellStart"/>
      <w:r w:rsidRPr="001E546E">
        <w:t>lsmeans</w:t>
      </w:r>
      <w:proofErr w:type="spellEnd"/>
      <w:r w:rsidRPr="001E546E">
        <w:t xml:space="preserve"> package </w:t>
      </w:r>
      <w:r w:rsidRPr="001E546E">
        <w:fldChar w:fldCharType="begin" w:fldLock="1"/>
      </w:r>
      <w:r w:rsidRPr="001E546E">
        <w:instrText>ADDIN CSL_CITATION { "citationItems" : [ { "id" : "ITEM-1", "itemData" : { "author" : [ { "dropping-particle" : "", "family" : "Lenth", "given" : "RV", "non-dropping-particle" : "", "parse-names" : false, "suffix" : "" } ], "id" : "ITEM-1", "issued" : { "date-parts" : [ [ "2014" ] ] }, "number" : "R package version 2.12", "title" : "lsmeans: Least-Squares Means. R package version 2.12. http://CRAN.R-project.org/package=lsmeans", "type" : "article" }, "uris" : [ "http://www.mendeley.com/documents/?uuid=29e96d26-f094-4f5f-a4c8-2b7503c58559" ] } ], "mendeley" : { "formattedCitation" : "(Lenth, 2014)", "plainTextFormattedCitation" : "(Lenth, 2014)", "previouslyFormattedCitation" : "(Lenth, 2014)" }, "properties" : { "noteIndex" : 0 }, "schema" : "https://github.com/citation-style-language/schema/raw/master/csl-citation.json" }</w:instrText>
      </w:r>
      <w:r w:rsidRPr="001E546E">
        <w:fldChar w:fldCharType="separate"/>
      </w:r>
      <w:r w:rsidRPr="001E546E">
        <w:rPr>
          <w:noProof/>
        </w:rPr>
        <w:t>(</w:t>
      </w:r>
      <w:r w:rsidR="005964BC" w:rsidRPr="001E546E">
        <w:t xml:space="preserve"> </w:t>
      </w:r>
      <w:proofErr w:type="spellStart"/>
      <w:r w:rsidR="005964BC" w:rsidRPr="001E546E">
        <w:t>Lenth</w:t>
      </w:r>
      <w:proofErr w:type="spellEnd"/>
      <w:r w:rsidR="005964BC" w:rsidRPr="001E546E">
        <w:t xml:space="preserve"> R 2014. lsmeans: Least-Squares Means. </w:t>
      </w:r>
      <w:r w:rsidR="005964BC" w:rsidRPr="001E546E">
        <w:rPr>
          <w:lang w:val="en-US"/>
        </w:rPr>
        <w:t xml:space="preserve">R package version 2.12. Retrieved on 14 April 2015 from </w:t>
      </w:r>
      <w:hyperlink r:id="rId12" w:history="1">
        <w:r w:rsidR="005964BC" w:rsidRPr="001E546E">
          <w:rPr>
            <w:rStyle w:val="Lienhypertexte"/>
            <w:lang w:val="en-US"/>
          </w:rPr>
          <w:t>http://CRAN.R-project.org/package=lsmeans</w:t>
        </w:r>
      </w:hyperlink>
      <w:r w:rsidR="005964BC" w:rsidRPr="001E546E">
        <w:rPr>
          <w:lang w:val="en-US"/>
        </w:rPr>
        <w:t>.</w:t>
      </w:r>
      <w:r w:rsidRPr="001E546E">
        <w:rPr>
          <w:noProof/>
        </w:rPr>
        <w:t>)</w:t>
      </w:r>
      <w:r w:rsidRPr="001E546E">
        <w:fldChar w:fldCharType="end"/>
      </w:r>
      <w:r w:rsidRPr="001E546E">
        <w:t xml:space="preserve">. Differences were considered significant at </w:t>
      </w:r>
      <w:r w:rsidRPr="001E546E">
        <w:rPr>
          <w:i/>
        </w:rPr>
        <w:t>P</w:t>
      </w:r>
      <w:r w:rsidRPr="001E546E">
        <w:t xml:space="preserve"> &lt; 0.05.</w:t>
      </w:r>
    </w:p>
    <w:p w:rsidR="00021F77" w:rsidRPr="001E546E" w:rsidRDefault="00021F77" w:rsidP="00021F77">
      <w:pPr>
        <w:pageBreakBefore/>
        <w:rPr>
          <w:lang w:val="en-US"/>
        </w:rPr>
      </w:pPr>
    </w:p>
    <w:p w:rsidR="00021F77" w:rsidRPr="001E546E" w:rsidRDefault="00021F77" w:rsidP="00021F77">
      <w:pPr>
        <w:pStyle w:val="ANMTabtitle"/>
        <w:spacing w:line="240" w:lineRule="auto"/>
      </w:pPr>
      <w:r w:rsidRPr="001E546E">
        <w:rPr>
          <w:rStyle w:val="ANMheading1Car"/>
        </w:rPr>
        <w:t>Table S1</w:t>
      </w:r>
      <w:r w:rsidRPr="001E546E">
        <w:t xml:space="preserve"> Effects on traits of 24 h milking interval (24h-MI) compared to control-period twice-daily milking (</w:t>
      </w:r>
      <w:proofErr w:type="spellStart"/>
      <w:r w:rsidRPr="001E546E">
        <w:t>cTDM</w:t>
      </w:r>
      <w:proofErr w:type="spellEnd"/>
      <w:r w:rsidRPr="001E546E">
        <w:t>) in dairy cows. Least-square means ± standard error of the mean (SEM) and number of observations per traits (n)</w:t>
      </w:r>
    </w:p>
    <w:tbl>
      <w:tblPr>
        <w:tblpPr w:leftFromText="141" w:rightFromText="141" w:vertAnchor="text" w:tblpX="-1028" w:tblpY="1"/>
        <w:tblOverlap w:val="never"/>
        <w:tblW w:w="10577" w:type="dxa"/>
        <w:tblBorders>
          <w:top w:val="single" w:sz="8" w:space="0" w:color="000000"/>
          <w:bottom w:val="single" w:sz="8" w:space="0" w:color="000000"/>
        </w:tblBorders>
        <w:tblLayout w:type="fixed"/>
        <w:tblLook w:val="00A0" w:firstRow="1" w:lastRow="0" w:firstColumn="1" w:lastColumn="0" w:noHBand="0" w:noVBand="0"/>
      </w:tblPr>
      <w:tblGrid>
        <w:gridCol w:w="4678"/>
        <w:gridCol w:w="851"/>
        <w:gridCol w:w="992"/>
        <w:gridCol w:w="1014"/>
        <w:gridCol w:w="1014"/>
        <w:gridCol w:w="1014"/>
        <w:gridCol w:w="1014"/>
      </w:tblGrid>
      <w:tr w:rsidR="00021F77" w:rsidRPr="001E546E" w:rsidTr="009F59FC">
        <w:tc>
          <w:tcPr>
            <w:tcW w:w="4678" w:type="dxa"/>
            <w:tcBorders>
              <w:top w:val="double" w:sz="4" w:space="0" w:color="auto"/>
              <w:left w:val="nil"/>
              <w:bottom w:val="single" w:sz="8" w:space="0" w:color="000000"/>
              <w:right w:val="nil"/>
            </w:tcBorders>
          </w:tcPr>
          <w:p w:rsidR="00021F77" w:rsidRPr="001E546E" w:rsidRDefault="00021F77" w:rsidP="009F59FC">
            <w:pPr>
              <w:rPr>
                <w:bCs/>
                <w:color w:val="000000"/>
                <w:sz w:val="22"/>
                <w:szCs w:val="22"/>
                <w:lang w:val="en-GB"/>
              </w:rPr>
            </w:pPr>
          </w:p>
        </w:tc>
        <w:tc>
          <w:tcPr>
            <w:tcW w:w="851" w:type="dxa"/>
            <w:tcBorders>
              <w:top w:val="double" w:sz="4" w:space="0" w:color="auto"/>
              <w:left w:val="nil"/>
              <w:bottom w:val="single" w:sz="8" w:space="0" w:color="000000"/>
              <w:right w:val="nil"/>
            </w:tcBorders>
          </w:tcPr>
          <w:p w:rsidR="00021F77" w:rsidRPr="001E546E" w:rsidRDefault="00021F77" w:rsidP="009F59FC">
            <w:pPr>
              <w:ind w:right="-87"/>
              <w:jc w:val="center"/>
              <w:rPr>
                <w:bCs/>
                <w:color w:val="000000"/>
                <w:sz w:val="22"/>
                <w:szCs w:val="22"/>
                <w:lang w:val="en-GB"/>
              </w:rPr>
            </w:pPr>
            <w:proofErr w:type="spellStart"/>
            <w:r w:rsidRPr="001E546E">
              <w:rPr>
                <w:bCs/>
                <w:color w:val="000000"/>
                <w:sz w:val="22"/>
                <w:szCs w:val="22"/>
                <w:lang w:val="en-GB"/>
              </w:rPr>
              <w:t>cTDM</w:t>
            </w:r>
            <w:proofErr w:type="spellEnd"/>
          </w:p>
        </w:tc>
        <w:tc>
          <w:tcPr>
            <w:tcW w:w="992" w:type="dxa"/>
            <w:tcBorders>
              <w:top w:val="double" w:sz="4" w:space="0" w:color="auto"/>
              <w:left w:val="nil"/>
              <w:bottom w:val="single" w:sz="8" w:space="0" w:color="000000"/>
              <w:right w:val="nil"/>
            </w:tcBorders>
          </w:tcPr>
          <w:p w:rsidR="00021F77" w:rsidRPr="001E546E" w:rsidRDefault="00021F77" w:rsidP="009F59FC">
            <w:pPr>
              <w:ind w:right="-66"/>
              <w:jc w:val="center"/>
              <w:rPr>
                <w:bCs/>
                <w:color w:val="000000"/>
                <w:sz w:val="22"/>
                <w:szCs w:val="22"/>
                <w:lang w:val="en-GB"/>
              </w:rPr>
            </w:pPr>
            <w:r w:rsidRPr="001E546E">
              <w:rPr>
                <w:bCs/>
                <w:color w:val="000000"/>
                <w:sz w:val="22"/>
                <w:szCs w:val="22"/>
                <w:lang w:val="en-GB"/>
              </w:rPr>
              <w:t>24h-MI</w:t>
            </w:r>
          </w:p>
        </w:tc>
        <w:tc>
          <w:tcPr>
            <w:tcW w:w="1014" w:type="dxa"/>
            <w:tcBorders>
              <w:top w:val="double" w:sz="4" w:space="0" w:color="auto"/>
              <w:left w:val="nil"/>
              <w:bottom w:val="single" w:sz="8" w:space="0" w:color="000000"/>
              <w:right w:val="nil"/>
            </w:tcBorders>
          </w:tcPr>
          <w:p w:rsidR="00021F77" w:rsidRPr="001E546E" w:rsidRDefault="00021F77" w:rsidP="009F59FC">
            <w:pPr>
              <w:jc w:val="center"/>
              <w:rPr>
                <w:bCs/>
                <w:color w:val="000000"/>
                <w:sz w:val="22"/>
                <w:szCs w:val="22"/>
                <w:lang w:val="en-GB"/>
              </w:rPr>
            </w:pPr>
            <w:r w:rsidRPr="001E546E">
              <w:rPr>
                <w:bCs/>
                <w:color w:val="000000"/>
                <w:sz w:val="22"/>
                <w:szCs w:val="22"/>
                <w:lang w:val="en-GB"/>
              </w:rPr>
              <w:t>SEM</w:t>
            </w:r>
          </w:p>
        </w:tc>
        <w:tc>
          <w:tcPr>
            <w:tcW w:w="1014" w:type="dxa"/>
            <w:tcBorders>
              <w:top w:val="double" w:sz="4" w:space="0" w:color="auto"/>
              <w:left w:val="nil"/>
              <w:bottom w:val="single" w:sz="8" w:space="0" w:color="000000"/>
              <w:right w:val="nil"/>
            </w:tcBorders>
          </w:tcPr>
          <w:p w:rsidR="00021F77" w:rsidRPr="001E546E" w:rsidRDefault="00021F77" w:rsidP="009F59FC">
            <w:pPr>
              <w:jc w:val="center"/>
              <w:rPr>
                <w:bCs/>
                <w:color w:val="000000"/>
                <w:sz w:val="22"/>
                <w:szCs w:val="22"/>
                <w:lang w:val="en-GB"/>
              </w:rPr>
            </w:pPr>
            <w:proofErr w:type="spellStart"/>
            <w:r w:rsidRPr="001E546E">
              <w:rPr>
                <w:bCs/>
                <w:color w:val="000000"/>
                <w:sz w:val="22"/>
                <w:szCs w:val="22"/>
                <w:lang w:val="en-GB"/>
              </w:rPr>
              <w:t>Signif</w:t>
            </w:r>
            <w:proofErr w:type="spellEnd"/>
            <w:r w:rsidRPr="001E546E">
              <w:rPr>
                <w:bCs/>
                <w:color w:val="000000"/>
                <w:sz w:val="22"/>
                <w:szCs w:val="22"/>
                <w:lang w:val="en-GB"/>
              </w:rPr>
              <w:t>.</w:t>
            </w:r>
          </w:p>
        </w:tc>
        <w:tc>
          <w:tcPr>
            <w:tcW w:w="1014" w:type="dxa"/>
            <w:tcBorders>
              <w:top w:val="double" w:sz="4" w:space="0" w:color="auto"/>
              <w:left w:val="nil"/>
              <w:bottom w:val="single" w:sz="8" w:space="0" w:color="000000"/>
              <w:right w:val="nil"/>
            </w:tcBorders>
          </w:tcPr>
          <w:p w:rsidR="00021F77" w:rsidRPr="001E546E" w:rsidRDefault="00021F77" w:rsidP="009F59FC">
            <w:pPr>
              <w:jc w:val="center"/>
              <w:rPr>
                <w:bCs/>
                <w:color w:val="000000"/>
                <w:sz w:val="22"/>
                <w:szCs w:val="22"/>
                <w:lang w:val="en-GB"/>
              </w:rPr>
            </w:pPr>
            <w:r w:rsidRPr="001E546E">
              <w:rPr>
                <w:bCs/>
                <w:color w:val="000000"/>
                <w:sz w:val="22"/>
                <w:szCs w:val="22"/>
                <w:lang w:val="en-GB"/>
              </w:rPr>
              <w:t>n</w:t>
            </w:r>
          </w:p>
        </w:tc>
        <w:tc>
          <w:tcPr>
            <w:tcW w:w="1014" w:type="dxa"/>
            <w:tcBorders>
              <w:top w:val="double" w:sz="4" w:space="0" w:color="auto"/>
              <w:left w:val="nil"/>
              <w:bottom w:val="single" w:sz="8" w:space="0" w:color="000000"/>
              <w:right w:val="nil"/>
            </w:tcBorders>
          </w:tcPr>
          <w:p w:rsidR="00021F77" w:rsidRPr="001E546E" w:rsidRDefault="00021F77" w:rsidP="009F59FC">
            <w:pPr>
              <w:jc w:val="center"/>
              <w:rPr>
                <w:bCs/>
                <w:color w:val="000000"/>
                <w:sz w:val="22"/>
                <w:szCs w:val="22"/>
                <w:vertAlign w:val="superscript"/>
                <w:lang w:val="en-GB"/>
              </w:rPr>
            </w:pPr>
            <w:r w:rsidRPr="001E546E">
              <w:rPr>
                <w:bCs/>
                <w:color w:val="000000"/>
                <w:sz w:val="22"/>
                <w:szCs w:val="22"/>
                <w:lang w:val="en-GB"/>
              </w:rPr>
              <w:t>RMSE</w:t>
            </w:r>
            <w:r w:rsidRPr="001E546E">
              <w:rPr>
                <w:bCs/>
                <w:color w:val="000000"/>
                <w:sz w:val="22"/>
                <w:szCs w:val="22"/>
                <w:vertAlign w:val="superscript"/>
                <w:lang w:val="en-GB"/>
              </w:rPr>
              <w:t>4</w:t>
            </w:r>
          </w:p>
        </w:tc>
      </w:tr>
      <w:tr w:rsidR="00021F77" w:rsidRPr="001E546E" w:rsidTr="009F59FC">
        <w:tc>
          <w:tcPr>
            <w:tcW w:w="4678" w:type="dxa"/>
            <w:tcBorders>
              <w:top w:val="nil"/>
              <w:left w:val="nil"/>
              <w:bottom w:val="nil"/>
              <w:right w:val="nil"/>
            </w:tcBorders>
          </w:tcPr>
          <w:p w:rsidR="00021F77" w:rsidRPr="001E546E" w:rsidRDefault="00021F77" w:rsidP="009F59FC">
            <w:pPr>
              <w:rPr>
                <w:bCs/>
                <w:color w:val="000000"/>
                <w:sz w:val="22"/>
                <w:szCs w:val="22"/>
                <w:lang w:val="en-GB"/>
              </w:rPr>
            </w:pPr>
            <w:r w:rsidRPr="001E546E">
              <w:rPr>
                <w:bCs/>
                <w:color w:val="000000"/>
                <w:sz w:val="22"/>
                <w:szCs w:val="22"/>
                <w:lang w:val="en-GB"/>
              </w:rPr>
              <w:t>Milk proteolysis</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Milk plasmin activity, OD</w:t>
            </w:r>
            <w:r w:rsidRPr="001E546E">
              <w:rPr>
                <w:sz w:val="22"/>
                <w:szCs w:val="22"/>
                <w:vertAlign w:val="superscript"/>
                <w:lang w:val="en-GB"/>
              </w:rPr>
              <w:t>1</w:t>
            </w:r>
            <w:r w:rsidRPr="001E546E">
              <w:rPr>
                <w:bCs/>
                <w:color w:val="000000"/>
                <w:sz w:val="22"/>
                <w:szCs w:val="22"/>
                <w:lang w:val="en-GB"/>
              </w:rPr>
              <w:t xml:space="preserve"> </w:t>
            </w:r>
            <w:r w:rsidRPr="001E546E">
              <w:rPr>
                <w:sz w:val="22"/>
                <w:szCs w:val="22"/>
                <w:lang w:val="en-GB"/>
              </w:rPr>
              <w:sym w:font="Symbol" w:char="F0B4"/>
            </w:r>
            <w:r w:rsidRPr="001E546E">
              <w:rPr>
                <w:bCs/>
                <w:color w:val="000000"/>
                <w:sz w:val="22"/>
                <w:szCs w:val="22"/>
                <w:lang w:val="en-GB"/>
              </w:rPr>
              <w:t xml:space="preserve"> 10</w:t>
            </w:r>
            <w:r w:rsidRPr="001E546E">
              <w:rPr>
                <w:bCs/>
                <w:color w:val="000000"/>
                <w:sz w:val="22"/>
                <w:szCs w:val="22"/>
                <w:vertAlign w:val="superscript"/>
                <w:lang w:val="en-GB"/>
              </w:rPr>
              <w:t>4</w:t>
            </w:r>
            <w:r w:rsidRPr="001E546E">
              <w:rPr>
                <w:bCs/>
                <w:color w:val="000000"/>
                <w:sz w:val="22"/>
                <w:szCs w:val="22"/>
                <w:lang w:val="en-GB"/>
              </w:rPr>
              <w:t>/min</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10.7</w:t>
            </w:r>
          </w:p>
        </w:tc>
        <w:tc>
          <w:tcPr>
            <w:tcW w:w="992" w:type="dxa"/>
            <w:tcBorders>
              <w:top w:val="nil"/>
              <w:left w:val="nil"/>
              <w:bottom w:val="nil"/>
              <w:right w:val="nil"/>
            </w:tcBorders>
          </w:tcPr>
          <w:p w:rsidR="00021F77" w:rsidRPr="001E546E" w:rsidRDefault="00021F77" w:rsidP="009F59FC">
            <w:pPr>
              <w:jc w:val="center"/>
              <w:rPr>
                <w:color w:val="000000"/>
                <w:sz w:val="22"/>
                <w:szCs w:val="22"/>
                <w:vertAlign w:val="superscript"/>
                <w:lang w:val="en-GB"/>
              </w:rPr>
            </w:pPr>
            <w:r w:rsidRPr="001E546E">
              <w:rPr>
                <w:color w:val="000000"/>
                <w:sz w:val="22"/>
                <w:szCs w:val="22"/>
                <w:lang w:val="en-GB"/>
              </w:rPr>
              <w:t>12.9</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0.90</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2.49</w:t>
            </w:r>
          </w:p>
        </w:tc>
      </w:tr>
      <w:tr w:rsidR="00021F77" w:rsidRPr="001E546E" w:rsidTr="009F59FC">
        <w:tc>
          <w:tcPr>
            <w:tcW w:w="4678" w:type="dxa"/>
            <w:tcBorders>
              <w:top w:val="nil"/>
              <w:bottom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 xml:space="preserve">Milk plasminogen, OD </w:t>
            </w:r>
            <w:r w:rsidRPr="001E546E">
              <w:rPr>
                <w:sz w:val="22"/>
                <w:szCs w:val="22"/>
                <w:lang w:val="en-GB"/>
              </w:rPr>
              <w:sym w:font="Symbol" w:char="F0B4"/>
            </w:r>
            <w:r w:rsidRPr="001E546E">
              <w:rPr>
                <w:bCs/>
                <w:color w:val="000000"/>
                <w:sz w:val="22"/>
                <w:szCs w:val="22"/>
                <w:lang w:val="en-GB"/>
              </w:rPr>
              <w:t xml:space="preserve"> 10</w:t>
            </w:r>
            <w:r w:rsidRPr="001E546E">
              <w:rPr>
                <w:bCs/>
                <w:color w:val="000000"/>
                <w:sz w:val="22"/>
                <w:szCs w:val="22"/>
                <w:vertAlign w:val="superscript"/>
                <w:lang w:val="en-GB"/>
              </w:rPr>
              <w:t>4</w:t>
            </w:r>
            <w:r w:rsidRPr="001E546E">
              <w:rPr>
                <w:bCs/>
                <w:color w:val="000000"/>
                <w:sz w:val="22"/>
                <w:szCs w:val="22"/>
                <w:lang w:val="en-GB"/>
              </w:rPr>
              <w:t>/min</w:t>
            </w:r>
          </w:p>
        </w:tc>
        <w:tc>
          <w:tcPr>
            <w:tcW w:w="851" w:type="dxa"/>
            <w:tcBorders>
              <w:top w:val="nil"/>
              <w:bottom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156.3</w:t>
            </w:r>
          </w:p>
        </w:tc>
        <w:tc>
          <w:tcPr>
            <w:tcW w:w="992" w:type="dxa"/>
            <w:tcBorders>
              <w:top w:val="nil"/>
              <w:bottom w:val="nil"/>
            </w:tcBorders>
          </w:tcPr>
          <w:p w:rsidR="00021F77" w:rsidRPr="001E546E" w:rsidRDefault="00021F77" w:rsidP="009F59FC">
            <w:pPr>
              <w:jc w:val="center"/>
              <w:rPr>
                <w:color w:val="000000"/>
                <w:sz w:val="22"/>
                <w:szCs w:val="22"/>
                <w:vertAlign w:val="superscript"/>
                <w:lang w:val="en-GB"/>
              </w:rPr>
            </w:pPr>
            <w:r w:rsidRPr="001E546E">
              <w:rPr>
                <w:color w:val="000000"/>
                <w:sz w:val="22"/>
                <w:szCs w:val="22"/>
                <w:lang w:val="en-GB"/>
              </w:rPr>
              <w:t>169.2</w:t>
            </w:r>
          </w:p>
        </w:tc>
        <w:tc>
          <w:tcPr>
            <w:tcW w:w="1014" w:type="dxa"/>
            <w:tcBorders>
              <w:top w:val="nil"/>
              <w:bottom w:val="nil"/>
            </w:tcBorders>
          </w:tcPr>
          <w:p w:rsidR="00021F77" w:rsidRPr="001E546E" w:rsidRDefault="00021F77" w:rsidP="009F59FC">
            <w:pPr>
              <w:jc w:val="center"/>
              <w:rPr>
                <w:color w:val="000000"/>
                <w:sz w:val="22"/>
                <w:szCs w:val="22"/>
                <w:lang w:val="en-GB"/>
              </w:rPr>
            </w:pPr>
            <w:r w:rsidRPr="001E546E">
              <w:rPr>
                <w:color w:val="000000"/>
                <w:sz w:val="22"/>
                <w:szCs w:val="22"/>
                <w:lang w:val="en-GB"/>
              </w:rPr>
              <w:t>3.80</w:t>
            </w:r>
          </w:p>
        </w:tc>
        <w:tc>
          <w:tcPr>
            <w:tcW w:w="1014" w:type="dxa"/>
            <w:tcBorders>
              <w:top w:val="nil"/>
              <w:bottom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bottom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bottom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12.13</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 xml:space="preserve">Milk </w:t>
            </w:r>
            <w:proofErr w:type="spellStart"/>
            <w:r w:rsidRPr="001E546E">
              <w:rPr>
                <w:bCs/>
                <w:color w:val="000000"/>
                <w:sz w:val="22"/>
                <w:szCs w:val="22"/>
                <w:lang w:val="en-GB"/>
              </w:rPr>
              <w:t>plasminogen:plasmin</w:t>
            </w:r>
            <w:proofErr w:type="spellEnd"/>
            <w:r w:rsidRPr="001E546E">
              <w:rPr>
                <w:bCs/>
                <w:color w:val="000000"/>
                <w:sz w:val="22"/>
                <w:szCs w:val="22"/>
                <w:lang w:val="en-GB"/>
              </w:rPr>
              <w:t xml:space="preserve"> ratio, %</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19.7</w:t>
            </w:r>
          </w:p>
        </w:tc>
        <w:tc>
          <w:tcPr>
            <w:tcW w:w="992" w:type="dxa"/>
            <w:tcBorders>
              <w:top w:val="nil"/>
              <w:left w:val="nil"/>
              <w:bottom w:val="nil"/>
              <w:right w:val="nil"/>
            </w:tcBorders>
          </w:tcPr>
          <w:p w:rsidR="00021F77" w:rsidRPr="001E546E" w:rsidRDefault="00021F77" w:rsidP="009F59FC">
            <w:pPr>
              <w:jc w:val="center"/>
              <w:rPr>
                <w:color w:val="000000"/>
                <w:sz w:val="22"/>
                <w:szCs w:val="22"/>
                <w:vertAlign w:val="superscript"/>
                <w:lang w:val="en-GB"/>
              </w:rPr>
            </w:pPr>
            <w:r w:rsidRPr="001E546E">
              <w:rPr>
                <w:color w:val="000000"/>
                <w:sz w:val="22"/>
                <w:szCs w:val="22"/>
                <w:lang w:val="en-GB"/>
              </w:rPr>
              <w:t>19.4</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1.75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NS</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3.49</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rPr>
            </w:pPr>
            <w:r w:rsidRPr="001E546E">
              <w:rPr>
                <w:bCs/>
                <w:color w:val="000000"/>
                <w:sz w:val="22"/>
                <w:szCs w:val="22"/>
              </w:rPr>
              <w:t>“Peptide” mapping zone Z1, mAU</w:t>
            </w:r>
            <w:r w:rsidRPr="001E546E">
              <w:rPr>
                <w:bCs/>
                <w:color w:val="000000"/>
                <w:sz w:val="22"/>
                <w:szCs w:val="22"/>
                <w:vertAlign w:val="superscript"/>
              </w:rPr>
              <w:t>2</w:t>
            </w:r>
            <w:r w:rsidRPr="001E546E">
              <w:rPr>
                <w:bCs/>
                <w:color w:val="000000"/>
                <w:sz w:val="22"/>
                <w:szCs w:val="22"/>
              </w:rPr>
              <w:t>/min</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152.5</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134.4</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4.89</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17.03</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rPr>
            </w:pPr>
            <w:r w:rsidRPr="001E546E">
              <w:rPr>
                <w:bCs/>
                <w:color w:val="000000"/>
                <w:sz w:val="22"/>
                <w:szCs w:val="22"/>
              </w:rPr>
              <w:t>“Peptide” mapping zone Z2, mAU/min</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468.8</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644.7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25.64</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74.76</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rPr>
            </w:pPr>
            <w:r w:rsidRPr="001E546E">
              <w:rPr>
                <w:bCs/>
                <w:color w:val="000000"/>
                <w:sz w:val="22"/>
                <w:szCs w:val="22"/>
              </w:rPr>
              <w:t>“Peptide” mapping zone Z3, mAU/min</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274.2</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481.0</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29.22</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95.89</w:t>
            </w:r>
          </w:p>
        </w:tc>
      </w:tr>
      <w:tr w:rsidR="00021F77" w:rsidRPr="001E546E" w:rsidTr="009F59FC">
        <w:tc>
          <w:tcPr>
            <w:tcW w:w="4678" w:type="dxa"/>
            <w:tcBorders>
              <w:top w:val="nil"/>
              <w:left w:val="nil"/>
              <w:bottom w:val="nil"/>
              <w:right w:val="nil"/>
            </w:tcBorders>
          </w:tcPr>
          <w:p w:rsidR="00021F77" w:rsidRPr="001E546E" w:rsidRDefault="00021F77" w:rsidP="009F59FC">
            <w:pPr>
              <w:rPr>
                <w:bCs/>
                <w:color w:val="000000"/>
                <w:sz w:val="22"/>
                <w:szCs w:val="22"/>
                <w:lang w:val="en-GB"/>
              </w:rPr>
            </w:pPr>
            <w:r w:rsidRPr="001E546E">
              <w:rPr>
                <w:bCs/>
                <w:color w:val="000000"/>
                <w:sz w:val="22"/>
                <w:szCs w:val="22"/>
                <w:lang w:val="en-GB"/>
              </w:rPr>
              <w:t>Dry matter intake</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Total dry matter intake (kg)</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22.2</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21.6</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0.23</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202</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1.50</w:t>
            </w:r>
          </w:p>
        </w:tc>
      </w:tr>
      <w:tr w:rsidR="00021F77" w:rsidRPr="001E546E" w:rsidTr="009F59FC">
        <w:tc>
          <w:tcPr>
            <w:tcW w:w="4678" w:type="dxa"/>
            <w:tcBorders>
              <w:top w:val="nil"/>
              <w:left w:val="nil"/>
              <w:bottom w:val="nil"/>
              <w:right w:val="nil"/>
            </w:tcBorders>
          </w:tcPr>
          <w:p w:rsidR="00021F77" w:rsidRPr="001E546E" w:rsidRDefault="00021F77" w:rsidP="009F59FC">
            <w:pPr>
              <w:rPr>
                <w:bCs/>
                <w:color w:val="000000"/>
                <w:sz w:val="22"/>
                <w:szCs w:val="22"/>
                <w:lang w:val="en-GB"/>
              </w:rPr>
            </w:pPr>
            <w:r w:rsidRPr="001E546E">
              <w:rPr>
                <w:bCs/>
                <w:color w:val="000000"/>
                <w:sz w:val="22"/>
                <w:szCs w:val="22"/>
                <w:lang w:val="en-GB"/>
              </w:rPr>
              <w:t>Udder distention</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Left udder side teats distance, cm</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13.9</w:t>
            </w:r>
          </w:p>
        </w:tc>
        <w:tc>
          <w:tcPr>
            <w:tcW w:w="992" w:type="dxa"/>
            <w:tcBorders>
              <w:top w:val="nil"/>
              <w:left w:val="nil"/>
              <w:bottom w:val="nil"/>
              <w:right w:val="nil"/>
            </w:tcBorders>
          </w:tcPr>
          <w:p w:rsidR="00021F77" w:rsidRPr="001E546E" w:rsidRDefault="00021F77" w:rsidP="009F59FC">
            <w:pPr>
              <w:jc w:val="center"/>
              <w:rPr>
                <w:color w:val="000000"/>
                <w:sz w:val="22"/>
                <w:szCs w:val="22"/>
                <w:vertAlign w:val="superscript"/>
                <w:lang w:val="en-GB"/>
              </w:rPr>
            </w:pPr>
            <w:r w:rsidRPr="001E546E">
              <w:rPr>
                <w:color w:val="000000"/>
                <w:sz w:val="22"/>
                <w:szCs w:val="22"/>
                <w:lang w:val="en-GB"/>
              </w:rPr>
              <w:t>15.9</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0.35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0.84</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Front udder side teats distance, cm</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15.4</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19.2</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0.58</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1.10</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Right udder side teats distance, cm</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13.7</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15.5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0.34</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0.92</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Rear udder side teats distance, cm</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5.4</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0.42</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1.06</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Sum of udder teat distances, cm</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48.4</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60.0</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1.27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2.74</w:t>
            </w:r>
          </w:p>
        </w:tc>
      </w:tr>
      <w:tr w:rsidR="00021F77" w:rsidRPr="001E546E" w:rsidTr="009F59FC">
        <w:tc>
          <w:tcPr>
            <w:tcW w:w="4678" w:type="dxa"/>
            <w:tcBorders>
              <w:top w:val="nil"/>
              <w:left w:val="nil"/>
              <w:bottom w:val="nil"/>
              <w:right w:val="nil"/>
            </w:tcBorders>
          </w:tcPr>
          <w:p w:rsidR="00021F77" w:rsidRPr="001E546E" w:rsidRDefault="00021F77" w:rsidP="009F59FC">
            <w:pPr>
              <w:rPr>
                <w:bCs/>
                <w:color w:val="000000"/>
                <w:sz w:val="22"/>
                <w:szCs w:val="22"/>
                <w:lang w:val="en-GB"/>
              </w:rPr>
            </w:pPr>
            <w:r w:rsidRPr="001E546E">
              <w:rPr>
                <w:bCs/>
                <w:color w:val="000000"/>
                <w:sz w:val="22"/>
                <w:szCs w:val="22"/>
                <w:lang w:val="en-GB"/>
              </w:rPr>
              <w:t>Milking parameters</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Milking duration</w:t>
            </w:r>
            <w:r w:rsidRPr="001E546E">
              <w:rPr>
                <w:sz w:val="22"/>
                <w:szCs w:val="22"/>
                <w:vertAlign w:val="superscript"/>
                <w:lang w:val="en-GB"/>
              </w:rPr>
              <w:t>3</w:t>
            </w:r>
            <w:r w:rsidRPr="001E546E">
              <w:rPr>
                <w:bCs/>
                <w:color w:val="000000"/>
                <w:sz w:val="22"/>
                <w:szCs w:val="22"/>
                <w:lang w:val="en-GB"/>
              </w:rPr>
              <w:t>, min</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6.3</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10.4</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0.19</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435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1.47</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Average milk flow rate</w:t>
            </w:r>
            <w:r w:rsidRPr="001E546E">
              <w:rPr>
                <w:sz w:val="22"/>
                <w:szCs w:val="22"/>
                <w:vertAlign w:val="superscript"/>
                <w:lang w:val="en-GB"/>
              </w:rPr>
              <w:t>3</w:t>
            </w:r>
            <w:r w:rsidRPr="001E546E">
              <w:rPr>
                <w:bCs/>
                <w:color w:val="000000"/>
                <w:sz w:val="22"/>
                <w:szCs w:val="22"/>
                <w:lang w:val="en-GB"/>
              </w:rPr>
              <w:t>, kg/min</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2.0</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0.04</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435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0.27</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Peak milking milk flow rate</w:t>
            </w:r>
            <w:r w:rsidRPr="001E546E">
              <w:rPr>
                <w:sz w:val="22"/>
                <w:szCs w:val="22"/>
                <w:vertAlign w:val="superscript"/>
                <w:lang w:val="en-GB"/>
              </w:rPr>
              <w:t>3</w:t>
            </w:r>
            <w:r w:rsidRPr="001E546E">
              <w:rPr>
                <w:bCs/>
                <w:color w:val="000000"/>
                <w:sz w:val="22"/>
                <w:szCs w:val="22"/>
                <w:lang w:val="en-GB"/>
              </w:rPr>
              <w:t>, kg/min</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3.4</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3.6</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0.06</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435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0.28</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Amount of milk collected at 1 min</w:t>
            </w:r>
            <w:r w:rsidRPr="001E546E">
              <w:rPr>
                <w:sz w:val="22"/>
                <w:szCs w:val="22"/>
                <w:vertAlign w:val="superscript"/>
                <w:lang w:val="en-GB"/>
              </w:rPr>
              <w:t>3</w:t>
            </w:r>
            <w:r w:rsidRPr="001E546E">
              <w:rPr>
                <w:bCs/>
                <w:color w:val="000000"/>
                <w:sz w:val="22"/>
                <w:szCs w:val="22"/>
                <w:lang w:val="en-GB"/>
              </w:rPr>
              <w:t>, kg</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1.1</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1.9</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0.04</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435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0.35</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Amount of milk collected at 2 min</w:t>
            </w:r>
            <w:r w:rsidRPr="001E546E">
              <w:rPr>
                <w:sz w:val="22"/>
                <w:szCs w:val="22"/>
                <w:vertAlign w:val="superscript"/>
                <w:lang w:val="en-GB"/>
              </w:rPr>
              <w:t>3</w:t>
            </w:r>
            <w:r w:rsidRPr="001E546E">
              <w:rPr>
                <w:bCs/>
                <w:color w:val="000000"/>
                <w:sz w:val="22"/>
                <w:szCs w:val="22"/>
                <w:lang w:val="en-GB"/>
              </w:rPr>
              <w:t>, kg</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3.6</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5.0</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0.10</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435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0.68</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Proportion of milk collected at 1 min</w:t>
            </w:r>
            <w:r w:rsidRPr="001E546E">
              <w:rPr>
                <w:sz w:val="22"/>
                <w:szCs w:val="22"/>
                <w:vertAlign w:val="superscript"/>
                <w:lang w:val="en-GB"/>
              </w:rPr>
              <w:t>3</w:t>
            </w:r>
            <w:r w:rsidRPr="001E546E">
              <w:rPr>
                <w:bCs/>
                <w:color w:val="000000"/>
                <w:sz w:val="22"/>
                <w:szCs w:val="22"/>
                <w:lang w:val="en-GB"/>
              </w:rPr>
              <w:t>, %</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8</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0.3</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435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2.2</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Proportion of milk collected at 2 min</w:t>
            </w:r>
            <w:r w:rsidRPr="001E546E">
              <w:rPr>
                <w:sz w:val="22"/>
                <w:szCs w:val="22"/>
                <w:vertAlign w:val="superscript"/>
                <w:lang w:val="en-GB"/>
              </w:rPr>
              <w:t>3</w:t>
            </w:r>
            <w:r w:rsidRPr="001E546E">
              <w:rPr>
                <w:bCs/>
                <w:color w:val="000000"/>
                <w:sz w:val="22"/>
                <w:szCs w:val="22"/>
                <w:lang w:val="en-GB"/>
              </w:rPr>
              <w:t>, %</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30</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21</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435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5.0</w:t>
            </w:r>
          </w:p>
        </w:tc>
      </w:tr>
      <w:tr w:rsidR="00021F77" w:rsidRPr="001E546E" w:rsidTr="009F59FC">
        <w:tc>
          <w:tcPr>
            <w:tcW w:w="4678" w:type="dxa"/>
            <w:tcBorders>
              <w:top w:val="nil"/>
              <w:left w:val="nil"/>
              <w:bottom w:val="nil"/>
              <w:right w:val="nil"/>
            </w:tcBorders>
          </w:tcPr>
          <w:p w:rsidR="00021F77" w:rsidRPr="001E546E" w:rsidRDefault="00021F77" w:rsidP="009F59FC">
            <w:pPr>
              <w:rPr>
                <w:bCs/>
                <w:color w:val="000000"/>
                <w:sz w:val="22"/>
                <w:szCs w:val="22"/>
                <w:lang w:val="en-GB"/>
              </w:rPr>
            </w:pPr>
            <w:r w:rsidRPr="001E546E">
              <w:rPr>
                <w:bCs/>
                <w:color w:val="000000"/>
                <w:sz w:val="22"/>
                <w:szCs w:val="22"/>
                <w:lang w:val="en-GB"/>
              </w:rPr>
              <w:t>Mammary epithelium permeability</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Blood plasma lactose (mg/L)</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28.82</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172.40</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6.005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721</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124.28</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Log-transformed blood lactose (log, units)</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4.36</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6.76</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0.043</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721</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0.91</w:t>
            </w:r>
          </w:p>
        </w:tc>
      </w:tr>
      <w:tr w:rsidR="00021F77" w:rsidRPr="001E546E" w:rsidTr="009F59FC">
        <w:tc>
          <w:tcPr>
            <w:tcW w:w="4678" w:type="dxa"/>
            <w:tcBorders>
              <w:top w:val="nil"/>
              <w:left w:val="nil"/>
              <w:bottom w:val="nil"/>
              <w:right w:val="nil"/>
            </w:tcBorders>
          </w:tcPr>
          <w:p w:rsidR="00021F77" w:rsidRPr="001E546E" w:rsidRDefault="00021F77" w:rsidP="009F59FC">
            <w:pPr>
              <w:rPr>
                <w:bCs/>
                <w:color w:val="000000"/>
                <w:sz w:val="22"/>
                <w:szCs w:val="22"/>
                <w:lang w:val="en-GB"/>
              </w:rPr>
            </w:pPr>
            <w:r w:rsidRPr="001E546E">
              <w:rPr>
                <w:bCs/>
                <w:color w:val="000000"/>
                <w:sz w:val="22"/>
                <w:szCs w:val="22"/>
                <w:lang w:val="en-GB"/>
              </w:rPr>
              <w:t>Systemic inflammation</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 xml:space="preserve">Blood plasma </w:t>
            </w:r>
            <w:proofErr w:type="spellStart"/>
            <w:r w:rsidRPr="001E546E">
              <w:rPr>
                <w:bCs/>
                <w:color w:val="000000"/>
                <w:sz w:val="22"/>
                <w:szCs w:val="22"/>
                <w:lang w:val="en-GB"/>
              </w:rPr>
              <w:t>haptoglobin</w:t>
            </w:r>
            <w:proofErr w:type="spellEnd"/>
            <w:r w:rsidRPr="001E546E">
              <w:rPr>
                <w:bCs/>
                <w:color w:val="000000"/>
                <w:sz w:val="22"/>
                <w:szCs w:val="22"/>
                <w:lang w:val="en-GB"/>
              </w:rPr>
              <w:t>, mg/mL</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0.42</w:t>
            </w:r>
          </w:p>
        </w:tc>
        <w:tc>
          <w:tcPr>
            <w:tcW w:w="992" w:type="dxa"/>
            <w:tcBorders>
              <w:top w:val="nil"/>
              <w:left w:val="nil"/>
              <w:bottom w:val="nil"/>
              <w:right w:val="nil"/>
            </w:tcBorders>
          </w:tcPr>
          <w:p w:rsidR="00021F77" w:rsidRPr="001E546E" w:rsidRDefault="00021F77" w:rsidP="009F59FC">
            <w:pPr>
              <w:jc w:val="center"/>
              <w:rPr>
                <w:color w:val="000000"/>
                <w:sz w:val="22"/>
                <w:szCs w:val="22"/>
                <w:vertAlign w:val="superscript"/>
                <w:lang w:val="en-GB"/>
              </w:rPr>
            </w:pPr>
            <w:r w:rsidRPr="001E546E">
              <w:rPr>
                <w:color w:val="000000"/>
                <w:sz w:val="22"/>
                <w:szCs w:val="22"/>
                <w:lang w:val="en-GB"/>
              </w:rPr>
              <w:t>0.34</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0.041</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0.211</w:t>
            </w:r>
          </w:p>
        </w:tc>
      </w:tr>
      <w:tr w:rsidR="00021F77" w:rsidRPr="001E546E" w:rsidTr="009F59FC">
        <w:tc>
          <w:tcPr>
            <w:tcW w:w="4678" w:type="dxa"/>
            <w:tcBorders>
              <w:top w:val="nil"/>
              <w:left w:val="nil"/>
              <w:bottom w:val="nil"/>
              <w:right w:val="nil"/>
            </w:tcBorders>
          </w:tcPr>
          <w:p w:rsidR="00021F77" w:rsidRPr="001E546E" w:rsidRDefault="00021F77" w:rsidP="009F59FC">
            <w:pPr>
              <w:rPr>
                <w:bCs/>
                <w:color w:val="000000"/>
                <w:sz w:val="22"/>
                <w:szCs w:val="22"/>
                <w:lang w:val="en-GB"/>
              </w:rPr>
            </w:pPr>
            <w:r w:rsidRPr="001E546E">
              <w:rPr>
                <w:bCs/>
                <w:color w:val="000000"/>
                <w:sz w:val="22"/>
                <w:szCs w:val="22"/>
                <w:lang w:val="en-GB"/>
              </w:rPr>
              <w:t>Complete Blood Count (CBC)</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vertAlign w:val="superscript"/>
                <w:lang w:val="en-GB"/>
              </w:rPr>
            </w:pPr>
            <w:r w:rsidRPr="001E546E">
              <w:rPr>
                <w:bCs/>
                <w:color w:val="000000"/>
                <w:sz w:val="22"/>
                <w:szCs w:val="22"/>
                <w:lang w:val="en-GB"/>
              </w:rPr>
              <w:t xml:space="preserve">Red blood cells (RBCs), </w:t>
            </w:r>
            <w:r w:rsidRPr="001E546E">
              <w:rPr>
                <w:sz w:val="22"/>
                <w:szCs w:val="22"/>
                <w:lang w:val="en-GB"/>
              </w:rPr>
              <w:sym w:font="Symbol" w:char="F0B4"/>
            </w:r>
            <w:r w:rsidRPr="001E546E">
              <w:rPr>
                <w:bCs/>
                <w:color w:val="000000"/>
                <w:sz w:val="22"/>
                <w:szCs w:val="22"/>
                <w:lang w:val="en-GB"/>
              </w:rPr>
              <w:t xml:space="preserve"> 10</w:t>
            </w:r>
            <w:r w:rsidRPr="001E546E">
              <w:rPr>
                <w:bCs/>
                <w:color w:val="000000"/>
                <w:sz w:val="22"/>
                <w:szCs w:val="22"/>
                <w:vertAlign w:val="superscript"/>
                <w:lang w:val="en-GB"/>
              </w:rPr>
              <w:t>6</w:t>
            </w:r>
            <w:r w:rsidRPr="001E546E">
              <w:rPr>
                <w:bCs/>
                <w:color w:val="000000"/>
                <w:sz w:val="22"/>
                <w:szCs w:val="22"/>
                <w:lang w:val="en-GB"/>
              </w:rPr>
              <w:t>/mm</w:t>
            </w:r>
            <w:r w:rsidRPr="001E546E">
              <w:rPr>
                <w:bCs/>
                <w:color w:val="000000"/>
                <w:sz w:val="22"/>
                <w:szCs w:val="22"/>
                <w:vertAlign w:val="superscript"/>
                <w:lang w:val="en-GB"/>
              </w:rPr>
              <w:t>3</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6.15</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6.20</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0.107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NS</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0.213</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proofErr w:type="spellStart"/>
            <w:r w:rsidRPr="001E546E">
              <w:rPr>
                <w:bCs/>
                <w:color w:val="000000"/>
                <w:sz w:val="22"/>
                <w:szCs w:val="22"/>
                <w:lang w:val="en-GB"/>
              </w:rPr>
              <w:t>Hematocrit</w:t>
            </w:r>
            <w:proofErr w:type="spellEnd"/>
            <w:r w:rsidRPr="001E546E">
              <w:rPr>
                <w:bCs/>
                <w:color w:val="000000"/>
                <w:sz w:val="22"/>
                <w:szCs w:val="22"/>
                <w:lang w:val="en-GB"/>
              </w:rPr>
              <w:t>, %</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29.52</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29.61</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0.477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NS</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1.159</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Haemoglobin (Hg), g/</w:t>
            </w:r>
            <w:proofErr w:type="spellStart"/>
            <w:r w:rsidRPr="001E546E">
              <w:rPr>
                <w:bCs/>
                <w:color w:val="000000"/>
                <w:sz w:val="22"/>
                <w:szCs w:val="22"/>
                <w:lang w:val="en-GB"/>
              </w:rPr>
              <w:t>dL</w:t>
            </w:r>
            <w:proofErr w:type="spellEnd"/>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10.53</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10.30</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0.146</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0.333</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Mean corpuscular Hg conc. (MCHC), g/mL</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35.81</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34.83</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0.158</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0.797</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vertAlign w:val="superscript"/>
                <w:lang w:val="en-GB"/>
              </w:rPr>
            </w:pPr>
            <w:r w:rsidRPr="001E546E">
              <w:rPr>
                <w:bCs/>
                <w:color w:val="000000"/>
                <w:sz w:val="22"/>
                <w:szCs w:val="22"/>
                <w:lang w:val="en-GB"/>
              </w:rPr>
              <w:t>Mean corpuscular volume (MCV), µm</w:t>
            </w:r>
            <w:r w:rsidRPr="001E546E">
              <w:rPr>
                <w:bCs/>
                <w:color w:val="000000"/>
                <w:sz w:val="22"/>
                <w:szCs w:val="22"/>
                <w:vertAlign w:val="superscript"/>
                <w:lang w:val="en-GB"/>
              </w:rPr>
              <w:t>3</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48</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48</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0.6</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NS</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0.6</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 xml:space="preserve">Blood platelets, </w:t>
            </w:r>
            <w:r w:rsidRPr="001E546E">
              <w:rPr>
                <w:sz w:val="22"/>
                <w:szCs w:val="22"/>
                <w:lang w:val="en-GB"/>
              </w:rPr>
              <w:sym w:font="Symbol" w:char="F0B4"/>
            </w:r>
            <w:r w:rsidRPr="001E546E">
              <w:rPr>
                <w:bCs/>
                <w:color w:val="000000"/>
                <w:sz w:val="22"/>
                <w:szCs w:val="22"/>
                <w:lang w:val="en-GB"/>
              </w:rPr>
              <w:t xml:space="preserve"> 10</w:t>
            </w:r>
            <w:r w:rsidRPr="001E546E">
              <w:rPr>
                <w:bCs/>
                <w:color w:val="000000"/>
                <w:sz w:val="22"/>
                <w:szCs w:val="22"/>
                <w:vertAlign w:val="superscript"/>
                <w:lang w:val="en-GB"/>
              </w:rPr>
              <w:t>3</w:t>
            </w:r>
            <w:r w:rsidRPr="001E546E">
              <w:rPr>
                <w:bCs/>
                <w:color w:val="000000"/>
                <w:sz w:val="22"/>
                <w:szCs w:val="22"/>
                <w:lang w:val="en-GB"/>
              </w:rPr>
              <w:t>/mm</w:t>
            </w:r>
            <w:r w:rsidRPr="001E546E">
              <w:rPr>
                <w:bCs/>
                <w:color w:val="000000"/>
                <w:sz w:val="22"/>
                <w:szCs w:val="22"/>
                <w:vertAlign w:val="superscript"/>
                <w:lang w:val="en-GB"/>
              </w:rPr>
              <w:t>3</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286</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341</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24.1</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61.9</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 xml:space="preserve">White blood cells (WBCs), </w:t>
            </w:r>
            <w:r w:rsidRPr="001E546E">
              <w:rPr>
                <w:sz w:val="22"/>
                <w:szCs w:val="22"/>
                <w:lang w:val="en-GB"/>
              </w:rPr>
              <w:sym w:font="Symbol" w:char="F0B4"/>
            </w:r>
            <w:r w:rsidRPr="001E546E">
              <w:rPr>
                <w:bCs/>
                <w:color w:val="000000"/>
                <w:sz w:val="22"/>
                <w:szCs w:val="22"/>
                <w:lang w:val="en-GB"/>
              </w:rPr>
              <w:t xml:space="preserve"> 10</w:t>
            </w:r>
            <w:r w:rsidRPr="001E546E">
              <w:rPr>
                <w:bCs/>
                <w:color w:val="000000"/>
                <w:sz w:val="22"/>
                <w:szCs w:val="22"/>
                <w:vertAlign w:val="superscript"/>
                <w:lang w:val="en-GB"/>
              </w:rPr>
              <w:t>3</w:t>
            </w:r>
            <w:r w:rsidRPr="001E546E">
              <w:rPr>
                <w:bCs/>
                <w:color w:val="000000"/>
                <w:sz w:val="22"/>
                <w:szCs w:val="22"/>
                <w:lang w:val="en-GB"/>
              </w:rPr>
              <w:t>/mm</w:t>
            </w:r>
            <w:r w:rsidRPr="001E546E">
              <w:rPr>
                <w:bCs/>
                <w:color w:val="000000"/>
                <w:sz w:val="22"/>
                <w:szCs w:val="22"/>
                <w:vertAlign w:val="superscript"/>
                <w:lang w:val="en-GB"/>
              </w:rPr>
              <w:t>3</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9.67</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0.556</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NS</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1.624</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proofErr w:type="spellStart"/>
            <w:r w:rsidRPr="001E546E">
              <w:rPr>
                <w:bCs/>
                <w:color w:val="000000"/>
                <w:sz w:val="22"/>
                <w:szCs w:val="22"/>
                <w:lang w:val="en-GB"/>
              </w:rPr>
              <w:t>Polymorphonuclear</w:t>
            </w:r>
            <w:proofErr w:type="spellEnd"/>
            <w:r w:rsidRPr="001E546E">
              <w:rPr>
                <w:bCs/>
                <w:color w:val="000000"/>
                <w:sz w:val="22"/>
                <w:szCs w:val="22"/>
                <w:lang w:val="en-GB"/>
              </w:rPr>
              <w:t xml:space="preserve"> neutrophils, %</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46</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NS</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9.2</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proofErr w:type="spellStart"/>
            <w:r w:rsidRPr="001E546E">
              <w:rPr>
                <w:bCs/>
                <w:color w:val="000000"/>
                <w:sz w:val="22"/>
                <w:szCs w:val="22"/>
                <w:lang w:val="en-GB"/>
              </w:rPr>
              <w:t>Polymorphonuclear</w:t>
            </w:r>
            <w:proofErr w:type="spellEnd"/>
            <w:r w:rsidRPr="001E546E">
              <w:rPr>
                <w:bCs/>
                <w:color w:val="000000"/>
                <w:sz w:val="22"/>
                <w:szCs w:val="22"/>
                <w:lang w:val="en-GB"/>
              </w:rPr>
              <w:t xml:space="preserve"> eosinophils, %</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NS</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2.3</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proofErr w:type="spellStart"/>
            <w:r w:rsidRPr="001E546E">
              <w:rPr>
                <w:bCs/>
                <w:color w:val="000000"/>
                <w:sz w:val="22"/>
                <w:szCs w:val="22"/>
                <w:lang w:val="en-GB"/>
              </w:rPr>
              <w:t>Polymorphonuclear</w:t>
            </w:r>
            <w:proofErr w:type="spellEnd"/>
            <w:r w:rsidRPr="001E546E">
              <w:rPr>
                <w:bCs/>
                <w:color w:val="000000"/>
                <w:sz w:val="22"/>
                <w:szCs w:val="22"/>
                <w:lang w:val="en-GB"/>
              </w:rPr>
              <w:t xml:space="preserve"> basophils, %</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0.3</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0.4</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0.14</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NS</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0.71</w:t>
            </w:r>
          </w:p>
        </w:tc>
      </w:tr>
      <w:tr w:rsidR="00021F77" w:rsidRPr="001E546E" w:rsidTr="009F59FC">
        <w:tc>
          <w:tcPr>
            <w:tcW w:w="4678" w:type="dxa"/>
            <w:tcBorders>
              <w:top w:val="nil"/>
              <w:left w:val="nil"/>
              <w:bottom w:val="nil"/>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Lymphocytes, %</w:t>
            </w:r>
          </w:p>
        </w:tc>
        <w:tc>
          <w:tcPr>
            <w:tcW w:w="851"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44</w:t>
            </w:r>
          </w:p>
        </w:tc>
        <w:tc>
          <w:tcPr>
            <w:tcW w:w="992"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47</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2.3</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NS</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nil"/>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9.2</w:t>
            </w:r>
          </w:p>
        </w:tc>
      </w:tr>
      <w:tr w:rsidR="00021F77" w:rsidRPr="001E546E" w:rsidTr="009F59FC">
        <w:tc>
          <w:tcPr>
            <w:tcW w:w="4678" w:type="dxa"/>
            <w:tcBorders>
              <w:top w:val="nil"/>
              <w:left w:val="nil"/>
              <w:bottom w:val="double" w:sz="4" w:space="0" w:color="auto"/>
              <w:right w:val="nil"/>
            </w:tcBorders>
          </w:tcPr>
          <w:p w:rsidR="00021F77" w:rsidRPr="001E546E" w:rsidRDefault="00021F77" w:rsidP="009F59FC">
            <w:pPr>
              <w:ind w:left="284"/>
              <w:rPr>
                <w:bCs/>
                <w:color w:val="000000"/>
                <w:sz w:val="22"/>
                <w:szCs w:val="22"/>
                <w:lang w:val="en-GB"/>
              </w:rPr>
            </w:pPr>
            <w:r w:rsidRPr="001E546E">
              <w:rPr>
                <w:bCs/>
                <w:color w:val="000000"/>
                <w:sz w:val="22"/>
                <w:szCs w:val="22"/>
                <w:lang w:val="en-GB"/>
              </w:rPr>
              <w:t>Monocytes, %</w:t>
            </w:r>
          </w:p>
        </w:tc>
        <w:tc>
          <w:tcPr>
            <w:tcW w:w="851" w:type="dxa"/>
            <w:tcBorders>
              <w:top w:val="nil"/>
              <w:left w:val="nil"/>
              <w:bottom w:val="double" w:sz="4" w:space="0" w:color="auto"/>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w:t>
            </w:r>
          </w:p>
        </w:tc>
        <w:tc>
          <w:tcPr>
            <w:tcW w:w="992" w:type="dxa"/>
            <w:tcBorders>
              <w:top w:val="nil"/>
              <w:left w:val="nil"/>
              <w:bottom w:val="double" w:sz="4" w:space="0" w:color="auto"/>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3</w:t>
            </w:r>
          </w:p>
        </w:tc>
        <w:tc>
          <w:tcPr>
            <w:tcW w:w="1014" w:type="dxa"/>
            <w:tcBorders>
              <w:top w:val="nil"/>
              <w:left w:val="nil"/>
              <w:bottom w:val="double" w:sz="4" w:space="0" w:color="auto"/>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0.5</w:t>
            </w:r>
          </w:p>
        </w:tc>
        <w:tc>
          <w:tcPr>
            <w:tcW w:w="1014" w:type="dxa"/>
            <w:tcBorders>
              <w:top w:val="nil"/>
              <w:left w:val="nil"/>
              <w:bottom w:val="double" w:sz="4" w:space="0" w:color="auto"/>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w:t>
            </w:r>
          </w:p>
        </w:tc>
        <w:tc>
          <w:tcPr>
            <w:tcW w:w="1014" w:type="dxa"/>
            <w:tcBorders>
              <w:top w:val="nil"/>
              <w:left w:val="nil"/>
              <w:bottom w:val="double" w:sz="4" w:space="0" w:color="auto"/>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65</w:t>
            </w:r>
          </w:p>
        </w:tc>
        <w:tc>
          <w:tcPr>
            <w:tcW w:w="1014" w:type="dxa"/>
            <w:tcBorders>
              <w:top w:val="nil"/>
              <w:left w:val="nil"/>
              <w:bottom w:val="double" w:sz="4" w:space="0" w:color="auto"/>
              <w:right w:val="nil"/>
            </w:tcBorders>
          </w:tcPr>
          <w:p w:rsidR="00021F77" w:rsidRPr="001E546E" w:rsidRDefault="00021F77" w:rsidP="009F59FC">
            <w:pPr>
              <w:jc w:val="center"/>
              <w:rPr>
                <w:color w:val="000000"/>
                <w:sz w:val="22"/>
                <w:szCs w:val="22"/>
                <w:lang w:val="en-GB"/>
              </w:rPr>
            </w:pPr>
            <w:r w:rsidRPr="001E546E">
              <w:rPr>
                <w:color w:val="000000"/>
                <w:sz w:val="22"/>
                <w:szCs w:val="22"/>
                <w:lang w:val="en-GB"/>
              </w:rPr>
              <w:t>2.6</w:t>
            </w:r>
          </w:p>
        </w:tc>
      </w:tr>
    </w:tbl>
    <w:p w:rsidR="00021F77" w:rsidRPr="001E546E" w:rsidRDefault="00021F77" w:rsidP="00021F77">
      <w:pPr>
        <w:rPr>
          <w:sz w:val="20"/>
          <w:lang w:val="en-GB"/>
        </w:rPr>
      </w:pPr>
      <w:r w:rsidRPr="001E546E">
        <w:rPr>
          <w:sz w:val="20"/>
          <w:vertAlign w:val="superscript"/>
          <w:lang w:val="en-GB"/>
        </w:rPr>
        <w:t xml:space="preserve">1 </w:t>
      </w:r>
      <w:r w:rsidRPr="001E546E">
        <w:rPr>
          <w:sz w:val="20"/>
          <w:lang w:val="en-GB"/>
        </w:rPr>
        <w:t>OD=optical density.</w:t>
      </w:r>
    </w:p>
    <w:p w:rsidR="00021F77" w:rsidRPr="001E546E" w:rsidRDefault="00021F77" w:rsidP="00021F77">
      <w:pPr>
        <w:rPr>
          <w:sz w:val="20"/>
          <w:lang w:val="en-GB"/>
        </w:rPr>
      </w:pPr>
      <w:r w:rsidRPr="001E546E">
        <w:rPr>
          <w:sz w:val="20"/>
          <w:vertAlign w:val="superscript"/>
          <w:lang w:val="en-GB"/>
        </w:rPr>
        <w:t xml:space="preserve">2 </w:t>
      </w:r>
      <w:proofErr w:type="spellStart"/>
      <w:r w:rsidRPr="001E546E">
        <w:rPr>
          <w:sz w:val="20"/>
          <w:lang w:val="en-GB"/>
        </w:rPr>
        <w:t>mAU</w:t>
      </w:r>
      <w:proofErr w:type="spellEnd"/>
      <w:r w:rsidRPr="001E546E">
        <w:rPr>
          <w:sz w:val="20"/>
          <w:lang w:val="en-GB"/>
        </w:rPr>
        <w:t xml:space="preserve"> = </w:t>
      </w:r>
      <w:proofErr w:type="spellStart"/>
      <w:r w:rsidRPr="001E546E">
        <w:rPr>
          <w:sz w:val="20"/>
          <w:lang w:val="en-GB"/>
        </w:rPr>
        <w:t>milli</w:t>
      </w:r>
      <w:proofErr w:type="spellEnd"/>
      <w:r w:rsidRPr="001E546E">
        <w:rPr>
          <w:sz w:val="20"/>
          <w:lang w:val="en-GB"/>
        </w:rPr>
        <w:t xml:space="preserve"> absorption units defined as 1 AU/1000.</w:t>
      </w:r>
    </w:p>
    <w:p w:rsidR="00021F77" w:rsidRPr="001E546E" w:rsidRDefault="00021F77" w:rsidP="00021F77">
      <w:pPr>
        <w:rPr>
          <w:sz w:val="20"/>
          <w:lang w:val="en-GB"/>
        </w:rPr>
      </w:pPr>
      <w:r w:rsidRPr="001E546E">
        <w:rPr>
          <w:sz w:val="20"/>
          <w:vertAlign w:val="superscript"/>
          <w:lang w:val="en-GB"/>
        </w:rPr>
        <w:t xml:space="preserve">3 </w:t>
      </w:r>
      <w:r w:rsidRPr="001E546E">
        <w:rPr>
          <w:sz w:val="20"/>
          <w:lang w:val="en-GB"/>
        </w:rPr>
        <w:t>measure made during the afternoon milking.</w:t>
      </w:r>
    </w:p>
    <w:p w:rsidR="00021F77" w:rsidRPr="001E546E" w:rsidRDefault="00021F77" w:rsidP="00021F77">
      <w:pPr>
        <w:rPr>
          <w:sz w:val="20"/>
          <w:szCs w:val="20"/>
          <w:lang w:val="en-GB"/>
        </w:rPr>
      </w:pPr>
      <w:r w:rsidRPr="001E546E">
        <w:rPr>
          <w:sz w:val="20"/>
          <w:szCs w:val="20"/>
          <w:lang w:val="en-GB"/>
        </w:rPr>
        <w:t xml:space="preserve">***, **, *, NS: significantly different from 0 at </w:t>
      </w:r>
      <w:r w:rsidRPr="001E546E">
        <w:rPr>
          <w:i/>
          <w:sz w:val="20"/>
          <w:szCs w:val="20"/>
          <w:lang w:val="en-GB"/>
        </w:rPr>
        <w:t>P</w:t>
      </w:r>
      <w:r w:rsidRPr="001E546E">
        <w:rPr>
          <w:sz w:val="20"/>
          <w:szCs w:val="20"/>
          <w:lang w:val="en-GB"/>
        </w:rPr>
        <w:t xml:space="preserve"> &lt; 0.001, </w:t>
      </w:r>
      <w:r w:rsidRPr="001E546E">
        <w:rPr>
          <w:i/>
          <w:sz w:val="20"/>
          <w:szCs w:val="20"/>
          <w:lang w:val="en-GB"/>
        </w:rPr>
        <w:t>P</w:t>
      </w:r>
      <w:r w:rsidRPr="001E546E">
        <w:rPr>
          <w:sz w:val="20"/>
          <w:szCs w:val="20"/>
          <w:lang w:val="en-GB"/>
        </w:rPr>
        <w:t xml:space="preserve"> &lt; 0.01, </w:t>
      </w:r>
      <w:r w:rsidRPr="001E546E">
        <w:rPr>
          <w:i/>
          <w:sz w:val="20"/>
          <w:szCs w:val="20"/>
          <w:lang w:val="en-GB"/>
        </w:rPr>
        <w:t>P</w:t>
      </w:r>
      <w:r w:rsidRPr="001E546E">
        <w:rPr>
          <w:sz w:val="20"/>
          <w:szCs w:val="20"/>
          <w:lang w:val="en-GB"/>
        </w:rPr>
        <w:t xml:space="preserve"> &lt; 0.05 and non-significant at </w:t>
      </w:r>
      <w:r w:rsidRPr="001E546E">
        <w:rPr>
          <w:i/>
          <w:sz w:val="20"/>
          <w:szCs w:val="20"/>
          <w:lang w:val="en-GB"/>
        </w:rPr>
        <w:t>P</w:t>
      </w:r>
      <w:r w:rsidRPr="001E546E">
        <w:rPr>
          <w:sz w:val="20"/>
          <w:szCs w:val="20"/>
          <w:lang w:val="en-GB"/>
        </w:rPr>
        <w:t> &lt; 0.05, respectively.</w:t>
      </w:r>
    </w:p>
    <w:p w:rsidR="00021F77" w:rsidRPr="005B2027" w:rsidRDefault="00021F77" w:rsidP="00021F77">
      <w:pPr>
        <w:rPr>
          <w:sz w:val="20"/>
          <w:lang w:val="en-GB"/>
        </w:rPr>
      </w:pPr>
      <w:r w:rsidRPr="001E546E">
        <w:rPr>
          <w:sz w:val="20"/>
          <w:vertAlign w:val="superscript"/>
          <w:lang w:val="en-GB"/>
        </w:rPr>
        <w:t>4</w:t>
      </w:r>
      <w:r w:rsidRPr="001E546E">
        <w:rPr>
          <w:sz w:val="20"/>
          <w:lang w:val="en-GB"/>
        </w:rPr>
        <w:t>Root mean square error.</w:t>
      </w:r>
    </w:p>
    <w:p w:rsidR="00021F77" w:rsidRPr="005A59BC" w:rsidRDefault="00021F77" w:rsidP="00021F77">
      <w:pPr>
        <w:rPr>
          <w:lang w:val="en-GB"/>
        </w:rPr>
      </w:pPr>
    </w:p>
    <w:p w:rsidR="00D3459B" w:rsidRDefault="00B50FEF"/>
    <w:sectPr w:rsidR="00D34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MzYyNDW2NDU2MjZV0lEKTi0uzszPAykwqgUAG0J8HCwAAAA="/>
  </w:docVars>
  <w:rsids>
    <w:rsidRoot w:val="00021F77"/>
    <w:rsid w:val="00021F77"/>
    <w:rsid w:val="001E546E"/>
    <w:rsid w:val="005964BC"/>
    <w:rsid w:val="00B50FEF"/>
    <w:rsid w:val="00C70D0A"/>
    <w:rsid w:val="00F65EF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6420"/>
  <w15:chartTrackingRefBased/>
  <w15:docId w15:val="{81749EBD-373E-48D3-A23C-FB00B8DE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1F77"/>
    <w:pPr>
      <w:overflowPunct w:val="0"/>
      <w:autoSpaceDE w:val="0"/>
      <w:autoSpaceDN w:val="0"/>
      <w:adjustRightInd w:val="0"/>
      <w:spacing w:after="0" w:line="240" w:lineRule="auto"/>
      <w:textAlignment w:val="baseline"/>
    </w:pPr>
    <w:rPr>
      <w:rFonts w:ascii="Arial" w:eastAsia="Times New Roman" w:hAnsi="Arial" w:cs="Times New Roman"/>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Normal"/>
    <w:link w:val="ANMapapertitleCar"/>
    <w:uiPriority w:val="99"/>
    <w:qFormat/>
    <w:rsid w:val="00021F77"/>
    <w:pPr>
      <w:spacing w:after="0" w:line="480" w:lineRule="auto"/>
    </w:pPr>
    <w:rPr>
      <w:rFonts w:ascii="Arial" w:eastAsia="Times New Roman" w:hAnsi="Arial" w:cs="Times New Roman"/>
      <w:b/>
      <w:sz w:val="24"/>
      <w:szCs w:val="24"/>
      <w:lang w:val="en-GB" w:eastAsia="fr-FR"/>
    </w:rPr>
  </w:style>
  <w:style w:type="paragraph" w:customStyle="1" w:styleId="ANMmaintext">
    <w:name w:val="ANM main text"/>
    <w:link w:val="ANMmaintextCarCar"/>
    <w:uiPriority w:val="99"/>
    <w:qFormat/>
    <w:rsid w:val="00021F77"/>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021F77"/>
    <w:rPr>
      <w:rFonts w:ascii="Arial" w:eastAsia="Times New Roman" w:hAnsi="Arial" w:cs="Times New Roman"/>
      <w:sz w:val="24"/>
      <w:szCs w:val="24"/>
      <w:lang w:val="en-GB" w:eastAsia="fr-FR"/>
    </w:rPr>
  </w:style>
  <w:style w:type="paragraph" w:customStyle="1" w:styleId="ANMheading1">
    <w:name w:val="ANM heading 1"/>
    <w:next w:val="ANMmaintext"/>
    <w:link w:val="ANMheading1Car"/>
    <w:uiPriority w:val="99"/>
    <w:qFormat/>
    <w:rsid w:val="00021F77"/>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021F77"/>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021F77"/>
    <w:rPr>
      <w:rFonts w:ascii="Arial" w:eastAsia="Times New Roman" w:hAnsi="Arial" w:cs="Times New Roman"/>
      <w:b/>
      <w:sz w:val="24"/>
      <w:szCs w:val="24"/>
      <w:lang w:val="en-GB" w:eastAsia="fr-FR"/>
    </w:rPr>
  </w:style>
  <w:style w:type="paragraph" w:customStyle="1" w:styleId="ANMTabtitle">
    <w:name w:val="ANM Tab title"/>
    <w:next w:val="ANMmaintext"/>
    <w:qFormat/>
    <w:rsid w:val="00021F77"/>
    <w:pPr>
      <w:spacing w:after="0" w:line="480" w:lineRule="auto"/>
    </w:pPr>
    <w:rPr>
      <w:rFonts w:ascii="Arial" w:eastAsia="Times New Roman" w:hAnsi="Arial" w:cs="Times New Roman"/>
      <w:i/>
      <w:sz w:val="24"/>
      <w:szCs w:val="24"/>
      <w:lang w:val="en-GB" w:eastAsia="fr-FR"/>
    </w:rPr>
  </w:style>
  <w:style w:type="paragraph" w:customStyle="1" w:styleId="ANMReferences">
    <w:name w:val="ANM References"/>
    <w:basedOn w:val="ANMmaintext"/>
    <w:qFormat/>
    <w:rsid w:val="005964BC"/>
    <w:pPr>
      <w:ind w:left="567" w:hanging="567"/>
    </w:pPr>
    <w:rPr>
      <w:sz w:val="22"/>
    </w:rPr>
  </w:style>
  <w:style w:type="character" w:styleId="Lienhypertexte">
    <w:name w:val="Hyperlink"/>
    <w:uiPriority w:val="99"/>
    <w:unhideWhenUsed/>
    <w:rsid w:val="00596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hyperlink" Target="http://CRAN.R-project.org/package=lsme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1369</Words>
  <Characters>7804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INRA</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Charton</dc:creator>
  <cp:keywords/>
  <dc:description/>
  <cp:lastModifiedBy>ANM</cp:lastModifiedBy>
  <cp:revision>4</cp:revision>
  <dcterms:created xsi:type="dcterms:W3CDTF">2018-08-09T06:35:00Z</dcterms:created>
  <dcterms:modified xsi:type="dcterms:W3CDTF">2018-09-10T14:31:00Z</dcterms:modified>
</cp:coreProperties>
</file>