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937F9" w14:textId="77777777" w:rsidR="00845C88" w:rsidRPr="00845C88" w:rsidRDefault="00845C88" w:rsidP="00845C88">
      <w:pPr>
        <w:spacing w:after="0" w:line="360" w:lineRule="auto"/>
        <w:jc w:val="center"/>
        <w:rPr>
          <w:rFonts w:ascii="Arial" w:hAnsi="Arial" w:cs="Arial"/>
          <w:sz w:val="22"/>
          <w:lang w:val="en-US"/>
        </w:rPr>
      </w:pPr>
    </w:p>
    <w:p w14:paraId="03A5D0BE" w14:textId="546B5013" w:rsidR="00404D5F" w:rsidRPr="00642E58" w:rsidRDefault="00404D5F" w:rsidP="00D9145A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642E58">
        <w:rPr>
          <w:rFonts w:ascii="Arial" w:hAnsi="Arial" w:cs="Arial"/>
          <w:b/>
        </w:rPr>
        <w:t xml:space="preserve">Early development and reproductive lifespan of rabbit females: </w:t>
      </w:r>
      <w:r w:rsidR="00D9145A" w:rsidRPr="00642E58">
        <w:rPr>
          <w:rFonts w:ascii="Arial" w:hAnsi="Arial" w:cs="Arial"/>
          <w:b/>
        </w:rPr>
        <w:br/>
      </w:r>
      <w:r w:rsidRPr="00642E58">
        <w:rPr>
          <w:rFonts w:ascii="Arial" w:hAnsi="Arial" w:cs="Arial"/>
          <w:b/>
        </w:rPr>
        <w:t>implications of growth rate, rearing diet and body condition at first mating.</w:t>
      </w:r>
    </w:p>
    <w:p w14:paraId="33EBBD46" w14:textId="77777777" w:rsidR="00D9145A" w:rsidRPr="00642E58" w:rsidRDefault="00D9145A" w:rsidP="00D9145A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14:paraId="27AA3D92" w14:textId="7F1794D1" w:rsidR="00F57AAE" w:rsidRPr="00642E58" w:rsidRDefault="00F57AAE" w:rsidP="00D9145A">
      <w:pPr>
        <w:spacing w:after="120" w:line="360" w:lineRule="auto"/>
        <w:jc w:val="center"/>
        <w:outlineLvl w:val="0"/>
        <w:rPr>
          <w:rFonts w:ascii="Arial" w:hAnsi="Arial" w:cs="Arial"/>
          <w:sz w:val="22"/>
          <w:vertAlign w:val="superscript"/>
          <w:lang w:val="en-US"/>
        </w:rPr>
      </w:pPr>
      <w:r w:rsidRPr="00642E58">
        <w:rPr>
          <w:rFonts w:ascii="Arial" w:hAnsi="Arial" w:cs="Arial"/>
          <w:sz w:val="22"/>
          <w:lang w:val="en-US"/>
        </w:rPr>
        <w:t>E. Martínez-Paredes</w:t>
      </w:r>
      <w:r w:rsidRPr="00642E58">
        <w:rPr>
          <w:rFonts w:ascii="Arial" w:hAnsi="Arial" w:cs="Arial"/>
          <w:sz w:val="22"/>
          <w:vertAlign w:val="superscript"/>
          <w:lang w:val="en-US"/>
        </w:rPr>
        <w:t>1</w:t>
      </w:r>
      <w:r w:rsidRPr="00642E58">
        <w:rPr>
          <w:rFonts w:ascii="Arial" w:hAnsi="Arial" w:cs="Arial"/>
          <w:sz w:val="22"/>
          <w:lang w:val="en-US"/>
        </w:rPr>
        <w:t>, L. Ródenas</w:t>
      </w:r>
      <w:r w:rsidRPr="00642E58">
        <w:rPr>
          <w:rFonts w:ascii="Arial" w:hAnsi="Arial" w:cs="Arial"/>
          <w:sz w:val="22"/>
          <w:vertAlign w:val="superscript"/>
          <w:lang w:val="en-US"/>
        </w:rPr>
        <w:t>1</w:t>
      </w:r>
      <w:r w:rsidRPr="00642E58">
        <w:rPr>
          <w:rFonts w:ascii="Arial" w:hAnsi="Arial" w:cs="Arial"/>
          <w:sz w:val="22"/>
          <w:lang w:val="en-US"/>
        </w:rPr>
        <w:t>, J.J. Pascual</w:t>
      </w:r>
      <w:r w:rsidRPr="00642E58">
        <w:rPr>
          <w:rFonts w:ascii="Arial" w:hAnsi="Arial" w:cs="Arial"/>
          <w:sz w:val="22"/>
          <w:vertAlign w:val="superscript"/>
          <w:lang w:val="en-US"/>
        </w:rPr>
        <w:t>1</w:t>
      </w:r>
      <w:r w:rsidRPr="00642E58">
        <w:rPr>
          <w:rFonts w:ascii="Arial" w:hAnsi="Arial" w:cs="Arial"/>
          <w:sz w:val="22"/>
          <w:lang w:val="en-US"/>
        </w:rPr>
        <w:t xml:space="preserve"> and D. Savietto</w:t>
      </w:r>
      <w:r w:rsidRPr="00642E58">
        <w:rPr>
          <w:rFonts w:ascii="Arial" w:hAnsi="Arial" w:cs="Arial"/>
          <w:sz w:val="22"/>
          <w:vertAlign w:val="superscript"/>
          <w:lang w:val="en-US"/>
        </w:rPr>
        <w:t>2</w:t>
      </w:r>
      <w:r w:rsidR="001A38E0" w:rsidRPr="00642E58">
        <w:rPr>
          <w:rFonts w:ascii="Arial" w:hAnsi="Arial" w:cs="Arial"/>
          <w:sz w:val="22"/>
          <w:vertAlign w:val="superscript"/>
          <w:lang w:val="en-US"/>
        </w:rPr>
        <w:t>*</w:t>
      </w:r>
    </w:p>
    <w:p w14:paraId="10A2D839" w14:textId="77777777" w:rsidR="00205C75" w:rsidRPr="00642E58" w:rsidRDefault="00205C75" w:rsidP="00D9145A">
      <w:pPr>
        <w:spacing w:after="0" w:line="360" w:lineRule="auto"/>
        <w:jc w:val="center"/>
        <w:rPr>
          <w:rFonts w:ascii="Arial" w:hAnsi="Arial" w:cs="Arial"/>
          <w:i/>
          <w:sz w:val="18"/>
          <w:lang w:val="fr-FR"/>
        </w:rPr>
      </w:pPr>
      <w:r w:rsidRPr="00642E58">
        <w:rPr>
          <w:rFonts w:ascii="Arial" w:hAnsi="Arial" w:cs="Arial"/>
          <w:i/>
          <w:sz w:val="18"/>
          <w:vertAlign w:val="superscript"/>
          <w:lang w:val="fr-FR"/>
        </w:rPr>
        <w:t>1</w:t>
      </w:r>
      <w:r w:rsidRPr="00642E58">
        <w:rPr>
          <w:rFonts w:ascii="Arial" w:hAnsi="Arial" w:cs="Arial"/>
          <w:i/>
          <w:sz w:val="18"/>
          <w:lang w:val="fr-FR"/>
        </w:rPr>
        <w:t>Instituto de Ciencia y Tecnología Animal, Universitat Politècnica de València, Camino de Vera s/n, 46022, Valencia, Spain.</w:t>
      </w:r>
    </w:p>
    <w:p w14:paraId="524DB4FC" w14:textId="4803AC87" w:rsidR="00205C75" w:rsidRPr="00642E58" w:rsidRDefault="00205C75" w:rsidP="00D9145A">
      <w:pPr>
        <w:spacing w:after="0" w:line="360" w:lineRule="auto"/>
        <w:jc w:val="center"/>
        <w:rPr>
          <w:rFonts w:ascii="Arial" w:hAnsi="Arial" w:cs="Arial"/>
          <w:i/>
          <w:sz w:val="22"/>
          <w:lang w:val="fr-FR"/>
        </w:rPr>
      </w:pPr>
      <w:r w:rsidRPr="00642E58">
        <w:rPr>
          <w:rFonts w:ascii="Arial" w:hAnsi="Arial" w:cs="Arial"/>
          <w:i/>
          <w:sz w:val="18"/>
          <w:vertAlign w:val="superscript"/>
          <w:lang w:val="fr-FR"/>
        </w:rPr>
        <w:t>2</w:t>
      </w:r>
      <w:r w:rsidRPr="00642E58">
        <w:rPr>
          <w:rFonts w:ascii="Arial" w:hAnsi="Arial" w:cs="Arial"/>
          <w:i/>
          <w:sz w:val="18"/>
          <w:lang w:val="fr-FR"/>
        </w:rPr>
        <w:t>GenPhySE, Université de Toulouse, INRA, ENVT, Castanet Tolosan, France</w:t>
      </w:r>
      <w:r w:rsidRPr="00642E58">
        <w:rPr>
          <w:rFonts w:ascii="Arial" w:hAnsi="Arial" w:cs="Arial"/>
          <w:i/>
          <w:sz w:val="22"/>
          <w:lang w:val="fr-FR"/>
        </w:rPr>
        <w:t>.</w:t>
      </w:r>
    </w:p>
    <w:p w14:paraId="3B91347F" w14:textId="0914AE7A" w:rsidR="00845C88" w:rsidRPr="00642E58" w:rsidRDefault="00845C88" w:rsidP="00D9145A">
      <w:pPr>
        <w:spacing w:after="0" w:line="360" w:lineRule="auto"/>
        <w:jc w:val="center"/>
        <w:rPr>
          <w:rFonts w:ascii="Arial" w:hAnsi="Arial" w:cs="Arial"/>
          <w:i/>
          <w:sz w:val="22"/>
          <w:lang w:val="en-US"/>
        </w:rPr>
      </w:pPr>
      <w:r w:rsidRPr="00642E58">
        <w:rPr>
          <w:rFonts w:ascii="Arial" w:eastAsiaTheme="minorEastAsia" w:hAnsi="Arial" w:cs="Arial"/>
          <w:sz w:val="18"/>
        </w:rPr>
        <w:t xml:space="preserve">*Corresponding Author: </w:t>
      </w:r>
      <w:hyperlink r:id="rId6" w:history="1">
        <w:r w:rsidRPr="00642E58">
          <w:rPr>
            <w:rStyle w:val="Lienhypertexte"/>
            <w:rFonts w:ascii="Arial" w:eastAsiaTheme="minorEastAsia" w:hAnsi="Arial" w:cs="Arial"/>
            <w:sz w:val="18"/>
          </w:rPr>
          <w:t>davi.savietto@inra.fr</w:t>
        </w:r>
      </w:hyperlink>
    </w:p>
    <w:p w14:paraId="0DE64905" w14:textId="77777777" w:rsidR="005C122D" w:rsidRPr="00642E58" w:rsidRDefault="005C122D" w:rsidP="00D9145A">
      <w:pPr>
        <w:spacing w:after="0" w:line="360" w:lineRule="auto"/>
        <w:rPr>
          <w:rFonts w:ascii="Arial" w:hAnsi="Arial" w:cs="Arial"/>
          <w:b/>
          <w:sz w:val="22"/>
          <w:lang w:val="en-US"/>
        </w:rPr>
      </w:pPr>
    </w:p>
    <w:p w14:paraId="3FAC2DE7" w14:textId="622106D1" w:rsidR="00CB0ECA" w:rsidRPr="00642E58" w:rsidRDefault="00F57AAE" w:rsidP="00D9145A">
      <w:pPr>
        <w:spacing w:after="60" w:line="360" w:lineRule="auto"/>
        <w:rPr>
          <w:rFonts w:ascii="Arial" w:hAnsi="Arial" w:cs="Arial"/>
          <w:i/>
          <w:sz w:val="22"/>
        </w:rPr>
      </w:pPr>
      <w:r w:rsidRPr="00642E58">
        <w:rPr>
          <w:rFonts w:ascii="Arial" w:hAnsi="Arial" w:cs="Arial"/>
          <w:b/>
          <w:sz w:val="22"/>
        </w:rPr>
        <w:t xml:space="preserve">Supplementary Table S1 </w:t>
      </w:r>
      <w:r w:rsidR="00CB0ECA" w:rsidRPr="00642E58">
        <w:rPr>
          <w:rFonts w:ascii="Arial" w:hAnsi="Arial" w:cs="Arial"/>
          <w:i/>
          <w:sz w:val="22"/>
        </w:rPr>
        <w:t>Parameters of the Weibull growth curves of rabbit females fed with control (C) or fibrous (F) diet during their rearing period. SE is the standard error of each estimated parameter.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149"/>
        <w:gridCol w:w="1788"/>
        <w:gridCol w:w="1404"/>
        <w:gridCol w:w="800"/>
        <w:gridCol w:w="1255"/>
        <w:gridCol w:w="800"/>
        <w:gridCol w:w="1528"/>
        <w:gridCol w:w="1013"/>
        <w:gridCol w:w="1480"/>
        <w:gridCol w:w="1013"/>
      </w:tblGrid>
      <w:tr w:rsidR="00CB0ECA" w:rsidRPr="00642E58" w14:paraId="353A5009" w14:textId="77777777" w:rsidTr="005B57B7">
        <w:trPr>
          <w:jc w:val="center"/>
        </w:trPr>
        <w:tc>
          <w:tcPr>
            <w:tcW w:w="1106" w:type="pct"/>
            <w:vMerge w:val="restart"/>
            <w:tcBorders>
              <w:left w:val="nil"/>
              <w:right w:val="nil"/>
            </w:tcBorders>
            <w:vAlign w:val="bottom"/>
          </w:tcPr>
          <w:p w14:paraId="4B69DCD2" w14:textId="77777777" w:rsidR="00CB0ECA" w:rsidRPr="00642E58" w:rsidRDefault="00CB0ECA" w:rsidP="00D9145A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Growth period</w:t>
            </w:r>
          </w:p>
        </w:tc>
        <w:tc>
          <w:tcPr>
            <w:tcW w:w="628" w:type="pct"/>
            <w:vMerge w:val="restart"/>
            <w:tcBorders>
              <w:left w:val="nil"/>
              <w:right w:val="nil"/>
            </w:tcBorders>
            <w:vAlign w:val="bottom"/>
          </w:tcPr>
          <w:p w14:paraId="37493F54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Rearing diet</w:t>
            </w:r>
          </w:p>
        </w:tc>
        <w:tc>
          <w:tcPr>
            <w:tcW w:w="3265" w:type="pct"/>
            <w:gridSpan w:val="8"/>
            <w:tcBorders>
              <w:left w:val="nil"/>
              <w:right w:val="nil"/>
            </w:tcBorders>
          </w:tcPr>
          <w:p w14:paraId="100F4798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Weibull growth curve parameters</w:t>
            </w:r>
            <w:r w:rsidRPr="00642E58">
              <w:rPr>
                <w:rFonts w:ascii="Arial" w:hAnsi="Arial" w:cs="Arial"/>
                <w:vertAlign w:val="superscript"/>
              </w:rPr>
              <w:t>1</w:t>
            </w:r>
          </w:p>
        </w:tc>
      </w:tr>
      <w:tr w:rsidR="005C122D" w:rsidRPr="00642E58" w14:paraId="288DF14B" w14:textId="77777777" w:rsidTr="005B57B7">
        <w:trPr>
          <w:jc w:val="center"/>
        </w:trPr>
        <w:tc>
          <w:tcPr>
            <w:tcW w:w="1106" w:type="pct"/>
            <w:vMerge/>
            <w:tcBorders>
              <w:left w:val="nil"/>
              <w:right w:val="nil"/>
            </w:tcBorders>
            <w:vAlign w:val="bottom"/>
          </w:tcPr>
          <w:p w14:paraId="191D3D7E" w14:textId="77777777" w:rsidR="00CB0ECA" w:rsidRPr="00642E58" w:rsidRDefault="00CB0ECA" w:rsidP="00D9145A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pct"/>
            <w:vMerge/>
            <w:tcBorders>
              <w:left w:val="nil"/>
              <w:right w:val="nil"/>
            </w:tcBorders>
            <w:vAlign w:val="bottom"/>
          </w:tcPr>
          <w:p w14:paraId="11CCC48C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vAlign w:val="bottom"/>
          </w:tcPr>
          <w:p w14:paraId="779CE40E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Alpha (α)</w:t>
            </w:r>
          </w:p>
        </w:tc>
        <w:tc>
          <w:tcPr>
            <w:tcW w:w="281" w:type="pct"/>
            <w:tcBorders>
              <w:left w:val="nil"/>
              <w:right w:val="nil"/>
            </w:tcBorders>
          </w:tcPr>
          <w:p w14:paraId="58E5EBF0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SE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bottom"/>
          </w:tcPr>
          <w:p w14:paraId="079943F6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Beta (β)</w:t>
            </w:r>
          </w:p>
        </w:tc>
        <w:tc>
          <w:tcPr>
            <w:tcW w:w="281" w:type="pct"/>
            <w:tcBorders>
              <w:left w:val="nil"/>
              <w:right w:val="nil"/>
            </w:tcBorders>
          </w:tcPr>
          <w:p w14:paraId="1DD0EBD1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SE</w:t>
            </w:r>
          </w:p>
        </w:tc>
        <w:tc>
          <w:tcPr>
            <w:tcW w:w="537" w:type="pct"/>
            <w:tcBorders>
              <w:left w:val="nil"/>
              <w:right w:val="nil"/>
            </w:tcBorders>
            <w:vAlign w:val="bottom"/>
          </w:tcPr>
          <w:p w14:paraId="72F37449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Kappa (Κ)</w:t>
            </w:r>
          </w:p>
        </w:tc>
        <w:tc>
          <w:tcPr>
            <w:tcW w:w="356" w:type="pct"/>
            <w:tcBorders>
              <w:left w:val="nil"/>
              <w:right w:val="nil"/>
            </w:tcBorders>
          </w:tcPr>
          <w:p w14:paraId="00C0F9AD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SE</w:t>
            </w:r>
          </w:p>
        </w:tc>
        <w:tc>
          <w:tcPr>
            <w:tcW w:w="520" w:type="pct"/>
            <w:tcBorders>
              <w:left w:val="nil"/>
              <w:right w:val="nil"/>
            </w:tcBorders>
            <w:vAlign w:val="bottom"/>
          </w:tcPr>
          <w:p w14:paraId="06371DB8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Delta (δ)</w:t>
            </w:r>
          </w:p>
        </w:tc>
        <w:tc>
          <w:tcPr>
            <w:tcW w:w="356" w:type="pct"/>
            <w:tcBorders>
              <w:left w:val="nil"/>
              <w:right w:val="nil"/>
            </w:tcBorders>
          </w:tcPr>
          <w:p w14:paraId="0B7BD458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SE</w:t>
            </w:r>
          </w:p>
        </w:tc>
      </w:tr>
      <w:tr w:rsidR="005C122D" w:rsidRPr="00642E58" w14:paraId="4EE5DADB" w14:textId="77777777" w:rsidTr="005B57B7">
        <w:trPr>
          <w:jc w:val="center"/>
        </w:trPr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6EA317" w14:textId="77777777" w:rsidR="00CB0ECA" w:rsidRPr="00642E58" w:rsidRDefault="00CB0ECA" w:rsidP="00D914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From birth to 188 days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39B65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Diet C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D5D11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4 500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68813E4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FECF2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4 419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9E1AE99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3DD48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-7.4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37CC164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CF94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1.6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70F3EB7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0.04</w:t>
            </w:r>
          </w:p>
        </w:tc>
      </w:tr>
      <w:tr w:rsidR="005C122D" w:rsidRPr="00642E58" w14:paraId="350270C1" w14:textId="77777777" w:rsidTr="005B57B7">
        <w:trPr>
          <w:jc w:val="center"/>
        </w:trPr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09DE5F" w14:textId="77777777" w:rsidR="00CB0ECA" w:rsidRPr="00642E58" w:rsidRDefault="00CB0ECA" w:rsidP="00D914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4C20C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Diet F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5108A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4 695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848513A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108C5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4 642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5A9A3A37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84936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-6.5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DD98C6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ABCF2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1.4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6F61A8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0.03</w:t>
            </w:r>
          </w:p>
        </w:tc>
      </w:tr>
      <w:tr w:rsidR="005C122D" w:rsidRPr="00642E58" w14:paraId="537DF6C9" w14:textId="77777777" w:rsidTr="005B57B7">
        <w:trPr>
          <w:jc w:val="center"/>
        </w:trPr>
        <w:tc>
          <w:tcPr>
            <w:tcW w:w="11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665E" w14:textId="77777777" w:rsidR="00CB0ECA" w:rsidRPr="00642E58" w:rsidRDefault="00CB0ECA" w:rsidP="00D914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From 63 to 188 days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FFE37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Diet C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84432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4 115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CCCFF31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6CA26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2 479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3565FB5B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8ACF3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-18.9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EBFA66A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1.07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01CED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4.0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742A9EE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0.22</w:t>
            </w:r>
          </w:p>
        </w:tc>
      </w:tr>
      <w:tr w:rsidR="005C122D" w:rsidRPr="00642E58" w14:paraId="2C61B5F3" w14:textId="77777777" w:rsidTr="005B57B7">
        <w:trPr>
          <w:trHeight w:val="80"/>
          <w:jc w:val="center"/>
        </w:trPr>
        <w:tc>
          <w:tcPr>
            <w:tcW w:w="1106" w:type="pct"/>
            <w:vMerge/>
            <w:tcBorders>
              <w:top w:val="nil"/>
              <w:left w:val="nil"/>
              <w:right w:val="nil"/>
            </w:tcBorders>
            <w:vAlign w:val="bottom"/>
          </w:tcPr>
          <w:p w14:paraId="22716971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right w:val="nil"/>
            </w:tcBorders>
            <w:vAlign w:val="bottom"/>
          </w:tcPr>
          <w:p w14:paraId="73E6E785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Diet F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vAlign w:val="bottom"/>
          </w:tcPr>
          <w:p w14:paraId="7C4CC07D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4 025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</w:tcPr>
          <w:p w14:paraId="27818043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  <w:vAlign w:val="bottom"/>
          </w:tcPr>
          <w:p w14:paraId="2E223FC4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2 461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</w:tcPr>
          <w:p w14:paraId="72F5093B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537" w:type="pct"/>
            <w:tcBorders>
              <w:top w:val="nil"/>
              <w:left w:val="nil"/>
              <w:right w:val="nil"/>
            </w:tcBorders>
            <w:vAlign w:val="bottom"/>
          </w:tcPr>
          <w:p w14:paraId="3D702421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-15.8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</w:tcPr>
          <w:p w14:paraId="1226DE08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0.88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vAlign w:val="bottom"/>
          </w:tcPr>
          <w:p w14:paraId="78209CCA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3.3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</w:tcPr>
          <w:p w14:paraId="162BE0F4" w14:textId="77777777" w:rsidR="00CB0ECA" w:rsidRPr="00642E58" w:rsidRDefault="00CB0ECA" w:rsidP="00D9145A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642E58">
              <w:rPr>
                <w:rFonts w:ascii="Arial" w:hAnsi="Arial" w:cs="Arial"/>
                <w:sz w:val="22"/>
              </w:rPr>
              <w:t>0.18</w:t>
            </w:r>
          </w:p>
        </w:tc>
      </w:tr>
    </w:tbl>
    <w:p w14:paraId="4911246D" w14:textId="6CF4DECF" w:rsidR="001A38E0" w:rsidRPr="001A38E0" w:rsidRDefault="00CB0ECA" w:rsidP="00845C88">
      <w:pPr>
        <w:spacing w:after="60" w:line="360" w:lineRule="auto"/>
        <w:rPr>
          <w:rFonts w:ascii="Arial" w:hAnsi="Arial" w:cs="Arial"/>
          <w:color w:val="000000" w:themeColor="text1"/>
          <w:sz w:val="16"/>
          <w:szCs w:val="20"/>
        </w:rPr>
      </w:pPr>
      <w:r w:rsidRPr="00642E58">
        <w:rPr>
          <w:rFonts w:ascii="Arial" w:hAnsi="Arial" w:cs="Arial"/>
          <w:sz w:val="20"/>
          <w:vertAlign w:val="superscript"/>
        </w:rPr>
        <w:t xml:space="preserve">1 </w:t>
      </w:r>
      <w:r w:rsidRPr="00642E58">
        <w:rPr>
          <w:rFonts w:ascii="Arial" w:eastAsiaTheme="minorEastAsia" w:hAnsi="Arial" w:cs="Arial"/>
          <w:sz w:val="20"/>
        </w:rPr>
        <w:t>Weibull growth model [</w:t>
      </w:r>
      <m:oMath>
        <m:r>
          <w:rPr>
            <w:rFonts w:ascii="Cambria Math" w:hAnsi="Cambria Math" w:cs="Arial"/>
            <w:sz w:val="20"/>
          </w:rPr>
          <m:t xml:space="preserve">Live weight = α – β · 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</w:rPr>
              <m:t>(-</m:t>
            </m:r>
            <m:sSup>
              <m:sSupPr>
                <m:ctrlPr>
                  <w:rPr>
                    <w:rFonts w:ascii="Cambria Math" w:hAnsi="Cambria Math" w:cs="Arial"/>
                    <w:sz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K</m:t>
                </m:r>
              </m:sup>
            </m:sSup>
            <m:r>
              <w:rPr>
                <w:rFonts w:ascii="Cambria Math" w:hAnsi="Cambria Math" w:cs="Arial"/>
                <w:sz w:val="20"/>
              </w:rPr>
              <m:t xml:space="preserve"> ∙ 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</w:rPr>
                  <m:t>Age</m:t>
                </m:r>
              </m:e>
              <m:sup>
                <m:r>
                  <w:rPr>
                    <w:rFonts w:ascii="Cambria Math" w:hAnsi="Cambria Math" w:cs="Arial"/>
                    <w:sz w:val="20"/>
                  </w:rPr>
                  <m:t>δ</m:t>
                </m:r>
              </m:sup>
            </m:sSup>
            <m:r>
              <w:rPr>
                <w:rFonts w:ascii="Cambria Math" w:hAnsi="Cambria Math" w:cs="Arial"/>
                <w:sz w:val="20"/>
              </w:rPr>
              <m:t>)</m:t>
            </m:r>
          </m:sup>
        </m:sSup>
      </m:oMath>
      <w:r w:rsidRPr="00642E58">
        <w:rPr>
          <w:rFonts w:ascii="Arial" w:eastAsiaTheme="minorEastAsia" w:hAnsi="Arial" w:cs="Arial"/>
          <w:sz w:val="20"/>
        </w:rPr>
        <w:t>], where alpha (</w:t>
      </w:r>
      <m:oMath>
        <m:r>
          <w:rPr>
            <w:rFonts w:ascii="Cambria Math" w:hAnsi="Cambria Math" w:cs="Arial"/>
            <w:sz w:val="20"/>
          </w:rPr>
          <m:t>α)</m:t>
        </m:r>
      </m:oMath>
      <w:r w:rsidRPr="00642E58">
        <w:rPr>
          <w:rFonts w:ascii="Arial" w:eastAsiaTheme="minorEastAsia" w:hAnsi="Arial" w:cs="Arial"/>
          <w:sz w:val="20"/>
        </w:rPr>
        <w:t xml:space="preserve"> is the upper asymptote, beta (</w:t>
      </w:r>
      <m:oMath>
        <m:r>
          <w:rPr>
            <w:rFonts w:ascii="Cambria Math" w:hAnsi="Cambria Math" w:cs="Arial"/>
            <w:sz w:val="20"/>
          </w:rPr>
          <m:t>β)</m:t>
        </m:r>
      </m:oMath>
      <w:r w:rsidRPr="00642E58">
        <w:rPr>
          <w:rFonts w:ascii="Arial" w:eastAsiaTheme="minorEastAsia" w:hAnsi="Arial" w:cs="Arial"/>
          <w:sz w:val="20"/>
        </w:rPr>
        <w:t xml:space="preserve"> the growth range, kappa</w:t>
      </w:r>
      <m:oMath>
        <m:r>
          <w:rPr>
            <w:rFonts w:ascii="Cambria Math" w:eastAsiaTheme="minorEastAsia" w:hAnsi="Cambria Math" w:cs="Arial"/>
            <w:sz w:val="20"/>
          </w:rPr>
          <m:t xml:space="preserve"> (-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</w:rPr>
              <m:t>Κ</m:t>
            </m:r>
          </m:sup>
        </m:sSup>
      </m:oMath>
      <w:r w:rsidRPr="00642E58">
        <w:rPr>
          <w:rFonts w:ascii="Arial" w:eastAsiaTheme="minorEastAsia" w:hAnsi="Arial" w:cs="Arial"/>
          <w:sz w:val="20"/>
        </w:rPr>
        <w:t>) the growth rate and delta (</w:t>
      </w:r>
      <m:oMath>
        <m:r>
          <w:rPr>
            <w:rFonts w:ascii="Cambria Math" w:hAnsi="Cambria Math" w:cs="Arial"/>
            <w:sz w:val="20"/>
          </w:rPr>
          <m:t>δ</m:t>
        </m:r>
      </m:oMath>
      <w:r w:rsidRPr="00642E58">
        <w:rPr>
          <w:rFonts w:ascii="Arial" w:eastAsiaTheme="minorEastAsia" w:hAnsi="Arial" w:cs="Arial"/>
          <w:sz w:val="20"/>
        </w:rPr>
        <w:t>) how growth slows down with age</w:t>
      </w:r>
      <w:r w:rsidRPr="00642E58">
        <w:rPr>
          <w:rFonts w:ascii="Arial" w:eastAsiaTheme="minorEastAsia" w:hAnsi="Arial" w:cs="Arial"/>
          <w:sz w:val="22"/>
        </w:rPr>
        <w:t>.</w:t>
      </w:r>
      <w:r w:rsidR="00845C88">
        <w:rPr>
          <w:rFonts w:ascii="Arial" w:eastAsiaTheme="minorEastAsia" w:hAnsi="Arial" w:cs="Arial"/>
          <w:sz w:val="22"/>
        </w:rPr>
        <w:t xml:space="preserve"> </w:t>
      </w:r>
    </w:p>
    <w:sectPr w:rsidR="001A38E0" w:rsidRPr="001A38E0" w:rsidSect="005C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D3CE" w14:textId="77777777" w:rsidR="00445B9E" w:rsidRDefault="00445B9E" w:rsidP="00845C88">
      <w:pPr>
        <w:spacing w:after="0" w:line="240" w:lineRule="auto"/>
      </w:pPr>
      <w:r>
        <w:separator/>
      </w:r>
    </w:p>
  </w:endnote>
  <w:endnote w:type="continuationSeparator" w:id="0">
    <w:p w14:paraId="78CBD7E0" w14:textId="77777777" w:rsidR="00445B9E" w:rsidRDefault="00445B9E" w:rsidP="0084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2712" w14:textId="77777777" w:rsidR="00642E58" w:rsidRDefault="00642E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E490" w14:textId="77777777" w:rsidR="00642E58" w:rsidRDefault="00642E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4AA28" w14:textId="77777777" w:rsidR="00642E58" w:rsidRDefault="00642E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CE12" w14:textId="77777777" w:rsidR="00445B9E" w:rsidRDefault="00445B9E" w:rsidP="00845C88">
      <w:pPr>
        <w:spacing w:after="0" w:line="240" w:lineRule="auto"/>
      </w:pPr>
      <w:r>
        <w:separator/>
      </w:r>
    </w:p>
  </w:footnote>
  <w:footnote w:type="continuationSeparator" w:id="0">
    <w:p w14:paraId="691483CC" w14:textId="77777777" w:rsidR="00445B9E" w:rsidRDefault="00445B9E" w:rsidP="0084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1870" w14:textId="77777777" w:rsidR="00642E58" w:rsidRDefault="00642E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E433" w14:textId="77777777" w:rsidR="00845C88" w:rsidRDefault="00845C88" w:rsidP="00845C88">
    <w:pPr>
      <w:spacing w:after="0" w:line="360" w:lineRule="auto"/>
      <w:jc w:val="center"/>
      <w:rPr>
        <w:rFonts w:ascii="Arial" w:hAnsi="Arial" w:cs="Arial"/>
        <w:sz w:val="22"/>
        <w:lang w:val="en-US"/>
      </w:rPr>
    </w:pPr>
    <w:r w:rsidRPr="00642E58">
      <w:rPr>
        <w:rFonts w:ascii="Arial" w:hAnsi="Arial" w:cs="Arial"/>
        <w:sz w:val="22"/>
        <w:lang w:val="en-US"/>
      </w:rPr>
      <w:t>Animal: An International Journal of Animal Bioscience</w:t>
    </w:r>
    <w:bookmarkStart w:id="0" w:name="_GoBack"/>
    <w:bookmarkEnd w:id="0"/>
  </w:p>
  <w:p w14:paraId="576F63E0" w14:textId="77777777" w:rsidR="00845C88" w:rsidRPr="00845C88" w:rsidRDefault="00845C88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87E9" w14:textId="77777777" w:rsidR="00642E58" w:rsidRDefault="00642E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sjAwNzG1sDAxNTZU0lEKTi0uzszPAykwrAUAMdy29iwAAAA="/>
  </w:docVars>
  <w:rsids>
    <w:rsidRoot w:val="00F57AAE"/>
    <w:rsid w:val="0002136E"/>
    <w:rsid w:val="00041225"/>
    <w:rsid w:val="00074A47"/>
    <w:rsid w:val="00080893"/>
    <w:rsid w:val="001152FB"/>
    <w:rsid w:val="00116CA4"/>
    <w:rsid w:val="0012294B"/>
    <w:rsid w:val="001451EE"/>
    <w:rsid w:val="001A38E0"/>
    <w:rsid w:val="001C513F"/>
    <w:rsid w:val="00205C75"/>
    <w:rsid w:val="002A6EA6"/>
    <w:rsid w:val="002B35CE"/>
    <w:rsid w:val="002E685B"/>
    <w:rsid w:val="00301A50"/>
    <w:rsid w:val="0036133F"/>
    <w:rsid w:val="00362F76"/>
    <w:rsid w:val="003725E4"/>
    <w:rsid w:val="003A6C51"/>
    <w:rsid w:val="00404D5F"/>
    <w:rsid w:val="00445B9E"/>
    <w:rsid w:val="00471E2E"/>
    <w:rsid w:val="004D1170"/>
    <w:rsid w:val="004D1F47"/>
    <w:rsid w:val="004F7141"/>
    <w:rsid w:val="00541FE3"/>
    <w:rsid w:val="005660C0"/>
    <w:rsid w:val="00570D73"/>
    <w:rsid w:val="00572B8C"/>
    <w:rsid w:val="00591D9B"/>
    <w:rsid w:val="005B57B7"/>
    <w:rsid w:val="005C122D"/>
    <w:rsid w:val="005D20F6"/>
    <w:rsid w:val="00642E58"/>
    <w:rsid w:val="006C4A10"/>
    <w:rsid w:val="006D4248"/>
    <w:rsid w:val="006D5360"/>
    <w:rsid w:val="006E3242"/>
    <w:rsid w:val="00761639"/>
    <w:rsid w:val="00797FFB"/>
    <w:rsid w:val="007A4703"/>
    <w:rsid w:val="008033C0"/>
    <w:rsid w:val="008065A0"/>
    <w:rsid w:val="00813E5C"/>
    <w:rsid w:val="00826524"/>
    <w:rsid w:val="00845C88"/>
    <w:rsid w:val="008566E9"/>
    <w:rsid w:val="008D3865"/>
    <w:rsid w:val="008E6F72"/>
    <w:rsid w:val="009564AD"/>
    <w:rsid w:val="009C23CD"/>
    <w:rsid w:val="009F0BF0"/>
    <w:rsid w:val="00A0217B"/>
    <w:rsid w:val="00A6666E"/>
    <w:rsid w:val="00A949C4"/>
    <w:rsid w:val="00AB6AB0"/>
    <w:rsid w:val="00AC6769"/>
    <w:rsid w:val="00B06023"/>
    <w:rsid w:val="00B10C4B"/>
    <w:rsid w:val="00B172EA"/>
    <w:rsid w:val="00B17A13"/>
    <w:rsid w:val="00B461F0"/>
    <w:rsid w:val="00B54136"/>
    <w:rsid w:val="00B608BD"/>
    <w:rsid w:val="00B758DB"/>
    <w:rsid w:val="00BC1C58"/>
    <w:rsid w:val="00C00864"/>
    <w:rsid w:val="00C31300"/>
    <w:rsid w:val="00C443EF"/>
    <w:rsid w:val="00C46C2F"/>
    <w:rsid w:val="00C533DA"/>
    <w:rsid w:val="00C66220"/>
    <w:rsid w:val="00CB0ECA"/>
    <w:rsid w:val="00CF6733"/>
    <w:rsid w:val="00D03F43"/>
    <w:rsid w:val="00D2443C"/>
    <w:rsid w:val="00D6094C"/>
    <w:rsid w:val="00D74289"/>
    <w:rsid w:val="00D9145A"/>
    <w:rsid w:val="00DB0254"/>
    <w:rsid w:val="00DB174C"/>
    <w:rsid w:val="00E17459"/>
    <w:rsid w:val="00E96621"/>
    <w:rsid w:val="00EF698D"/>
    <w:rsid w:val="00F339C8"/>
    <w:rsid w:val="00F57AAE"/>
    <w:rsid w:val="00F81413"/>
    <w:rsid w:val="00FB3BE2"/>
    <w:rsid w:val="00FB6922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8165"/>
  <w15:chartTrackingRefBased/>
  <w15:docId w15:val="{23CCE840-D18A-4333-B89C-0A6C7AA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AAE"/>
    <w:pPr>
      <w:spacing w:after="200" w:line="276" w:lineRule="auto"/>
    </w:pPr>
    <w:rPr>
      <w:rFonts w:ascii="Times New Roman" w:hAnsi="Times New Roman" w:cs="Times New Roman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7AA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57AAE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52F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621"/>
    <w:pPr>
      <w:spacing w:after="0"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621"/>
    <w:rPr>
      <w:rFonts w:ascii="Times New Roman" w:hAnsi="Times New Roman" w:cs="Times New Roman"/>
      <w:sz w:val="18"/>
      <w:szCs w:val="1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84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C88"/>
    <w:rPr>
      <w:rFonts w:ascii="Times New Roman" w:hAnsi="Times New Roman" w:cs="Times New Roman"/>
      <w:sz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4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C88"/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.savietto@inra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dc:description/>
  <cp:lastModifiedBy>ANM</cp:lastModifiedBy>
  <cp:revision>2</cp:revision>
  <dcterms:created xsi:type="dcterms:W3CDTF">2018-01-19T09:35:00Z</dcterms:created>
  <dcterms:modified xsi:type="dcterms:W3CDTF">2018-01-19T09:35:00Z</dcterms:modified>
</cp:coreProperties>
</file>