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9AC" w:rsidRPr="003E62BD" w:rsidRDefault="00D919AC" w:rsidP="00D919AC">
      <w:pPr>
        <w:spacing w:after="0" w:line="480" w:lineRule="auto"/>
        <w:jc w:val="center"/>
        <w:rPr>
          <w:rFonts w:ascii="Arial" w:hAnsi="Arial" w:cs="Arial"/>
          <w:b/>
          <w:bCs/>
          <w:rtl/>
        </w:rPr>
      </w:pPr>
      <w:r w:rsidRPr="003E62BD">
        <w:rPr>
          <w:rFonts w:ascii="Arial" w:hAnsi="Arial" w:cs="Arial"/>
          <w:b/>
          <w:bCs/>
        </w:rPr>
        <w:t>Integrated regulatory network reveals novel candidate regulators in the development of negative energy balance in cattle</w:t>
      </w:r>
    </w:p>
    <w:p w:rsidR="00D919AC" w:rsidRPr="003E62BD" w:rsidRDefault="00D919AC" w:rsidP="00D919AC">
      <w:pPr>
        <w:spacing w:after="0" w:line="480" w:lineRule="auto"/>
        <w:jc w:val="center"/>
        <w:rPr>
          <w:rFonts w:ascii="Arial" w:hAnsi="Arial" w:cs="Arial"/>
          <w:vertAlign w:val="superscript"/>
        </w:rPr>
      </w:pPr>
      <w:r w:rsidRPr="003E62BD">
        <w:rPr>
          <w:rFonts w:ascii="Arial" w:hAnsi="Arial" w:cs="Arial"/>
        </w:rPr>
        <w:t xml:space="preserve">Z. </w:t>
      </w:r>
      <w:proofErr w:type="spellStart"/>
      <w:r w:rsidRPr="003E62BD">
        <w:rPr>
          <w:rFonts w:ascii="Arial" w:hAnsi="Arial" w:cs="Arial"/>
        </w:rPr>
        <w:t>Mozduri</w:t>
      </w:r>
      <w:proofErr w:type="spellEnd"/>
      <w:r w:rsidRPr="003E62BD">
        <w:rPr>
          <w:rFonts w:ascii="Arial" w:hAnsi="Arial" w:cs="Arial"/>
        </w:rPr>
        <w:t>, M. R. Bakhtiarizadeh</w:t>
      </w:r>
      <w:r w:rsidRPr="003E62BD">
        <w:rPr>
          <w:rFonts w:asciiTheme="minorBidi" w:eastAsiaTheme="minorHAnsi" w:hAnsiTheme="minorBidi" w:cstheme="minorBidi"/>
          <w:sz w:val="19"/>
          <w:szCs w:val="19"/>
          <w:vertAlign w:val="superscript"/>
          <w:lang w:bidi="fa-IR"/>
        </w:rPr>
        <w:t>†</w:t>
      </w:r>
      <w:r w:rsidRPr="003E62BD">
        <w:rPr>
          <w:rFonts w:ascii="Arial" w:hAnsi="Arial" w:cs="Arial"/>
        </w:rPr>
        <w:t>, A. Salehi</w:t>
      </w:r>
    </w:p>
    <w:p w:rsidR="00D919AC" w:rsidRPr="003E62BD" w:rsidRDefault="00D919AC" w:rsidP="00D919AC">
      <w:pPr>
        <w:spacing w:after="0" w:line="480" w:lineRule="auto"/>
        <w:jc w:val="center"/>
        <w:rPr>
          <w:rFonts w:ascii="Arial" w:hAnsi="Arial" w:cs="Arial"/>
          <w:i/>
          <w:iCs/>
        </w:rPr>
      </w:pPr>
      <w:r w:rsidRPr="003E62BD">
        <w:rPr>
          <w:rFonts w:ascii="Arial" w:hAnsi="Arial" w:cs="Arial"/>
          <w:i/>
          <w:iCs/>
        </w:rPr>
        <w:t xml:space="preserve">Department of Animal and Poultry Science, College of </w:t>
      </w:r>
      <w:proofErr w:type="spellStart"/>
      <w:r w:rsidRPr="003E62BD">
        <w:rPr>
          <w:rFonts w:ascii="Arial" w:hAnsi="Arial" w:cs="Arial"/>
          <w:i/>
          <w:iCs/>
        </w:rPr>
        <w:t>Aburaihan</w:t>
      </w:r>
      <w:proofErr w:type="spellEnd"/>
      <w:r w:rsidRPr="003E62BD">
        <w:rPr>
          <w:rFonts w:ascii="Arial" w:hAnsi="Arial" w:cs="Arial"/>
          <w:i/>
          <w:iCs/>
        </w:rPr>
        <w:t>, University of Tehran, Tehran, Iran</w:t>
      </w:r>
    </w:p>
    <w:p w:rsidR="00D919AC" w:rsidRPr="003E62BD" w:rsidRDefault="00D919AC" w:rsidP="00D919AC">
      <w:pPr>
        <w:spacing w:line="480" w:lineRule="auto"/>
      </w:pPr>
    </w:p>
    <w:p w:rsidR="00A058CA" w:rsidRPr="00A058CA" w:rsidRDefault="00D919AC" w:rsidP="00A058CA">
      <w:pPr>
        <w:spacing w:after="0" w:line="480" w:lineRule="auto"/>
        <w:jc w:val="both"/>
        <w:rPr>
          <w:rFonts w:ascii="Arial" w:hAnsi="Arial" w:cs="Arial"/>
          <w:i/>
          <w:iCs/>
          <w:lang w:val="en"/>
        </w:rPr>
      </w:pPr>
      <w:r>
        <w:rPr>
          <w:rFonts w:ascii="Arial" w:hAnsi="Arial" w:cs="Arial"/>
          <w:b/>
          <w:bCs/>
          <w:lang w:val="en"/>
        </w:rPr>
        <w:t xml:space="preserve">Supplementary </w:t>
      </w:r>
      <w:r w:rsidR="00BF742E" w:rsidRPr="00AA0EA6">
        <w:rPr>
          <w:rFonts w:ascii="Arial" w:hAnsi="Arial" w:cs="Arial"/>
          <w:b/>
          <w:bCs/>
        </w:rPr>
        <w:t xml:space="preserve">Material </w:t>
      </w:r>
      <w:r w:rsidRPr="003E62BD">
        <w:rPr>
          <w:rFonts w:ascii="Arial" w:hAnsi="Arial" w:cs="Arial"/>
          <w:b/>
          <w:bCs/>
          <w:lang w:val="en"/>
        </w:rPr>
        <w:t>S</w:t>
      </w:r>
      <w:r w:rsidR="00BF742E">
        <w:rPr>
          <w:rFonts w:ascii="Arial" w:hAnsi="Arial" w:cs="Arial"/>
          <w:b/>
          <w:bCs/>
          <w:lang w:val="en"/>
        </w:rPr>
        <w:t>7</w:t>
      </w:r>
      <w:bookmarkStart w:id="0" w:name="_GoBack"/>
      <w:bookmarkEnd w:id="0"/>
      <w:r w:rsidRPr="003E62BD">
        <w:rPr>
          <w:rFonts w:ascii="Arial" w:hAnsi="Arial" w:cs="Arial"/>
          <w:b/>
          <w:bCs/>
        </w:rPr>
        <w:t xml:space="preserve"> </w:t>
      </w:r>
      <w:r w:rsidRPr="00D919AC">
        <w:rPr>
          <w:rFonts w:ascii="Arial" w:hAnsi="Arial" w:cs="Arial"/>
          <w:i/>
          <w:iCs/>
        </w:rPr>
        <w:t>A s</w:t>
      </w:r>
      <w:r w:rsidRPr="003E62BD">
        <w:rPr>
          <w:rFonts w:ascii="Arial" w:hAnsi="Arial" w:cs="Arial"/>
          <w:i/>
          <w:iCs/>
        </w:rPr>
        <w:t xml:space="preserve">ummary and </w:t>
      </w:r>
      <w:r>
        <w:rPr>
          <w:rFonts w:ascii="Arial" w:hAnsi="Arial" w:cs="Arial"/>
          <w:i/>
          <w:iCs/>
        </w:rPr>
        <w:t xml:space="preserve">some </w:t>
      </w:r>
      <w:r w:rsidRPr="00A058CA">
        <w:rPr>
          <w:rFonts w:ascii="Arial" w:hAnsi="Arial" w:cs="Arial"/>
          <w:i/>
          <w:iCs/>
          <w:lang w:val="en"/>
        </w:rPr>
        <w:t>s</w:t>
      </w:r>
      <w:r w:rsidRPr="003E62BD">
        <w:rPr>
          <w:rFonts w:ascii="Arial" w:hAnsi="Arial" w:cs="Arial"/>
          <w:i/>
          <w:iCs/>
          <w:lang w:val="en"/>
        </w:rPr>
        <w:t xml:space="preserve">elected GO terms of the </w:t>
      </w:r>
      <w:r w:rsidR="00A058CA" w:rsidRPr="00A058CA">
        <w:rPr>
          <w:rFonts w:ascii="Arial" w:hAnsi="Arial" w:cs="Arial"/>
          <w:i/>
          <w:iCs/>
          <w:lang w:val="en"/>
        </w:rPr>
        <w:t>integrated regulatory modules.</w:t>
      </w:r>
    </w:p>
    <w:tbl>
      <w:tblPr>
        <w:tblStyle w:val="TableGrid"/>
        <w:tblW w:w="1024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1908"/>
        <w:gridCol w:w="852"/>
        <w:gridCol w:w="6576"/>
      </w:tblGrid>
      <w:tr w:rsidR="00D919AC" w:rsidRPr="003D20A4" w:rsidTr="00236F8B">
        <w:trPr>
          <w:trHeight w:val="233"/>
          <w:jc w:val="center"/>
        </w:trPr>
        <w:tc>
          <w:tcPr>
            <w:tcW w:w="883" w:type="dxa"/>
            <w:tcBorders>
              <w:top w:val="single" w:sz="4" w:space="0" w:color="auto"/>
              <w:bottom w:val="single" w:sz="4" w:space="0" w:color="auto"/>
            </w:tcBorders>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Cluster</w:t>
            </w:r>
          </w:p>
        </w:tc>
        <w:tc>
          <w:tcPr>
            <w:tcW w:w="1917" w:type="dxa"/>
            <w:tcBorders>
              <w:top w:val="single" w:sz="4" w:space="0" w:color="auto"/>
              <w:bottom w:val="single" w:sz="4" w:space="0" w:color="auto"/>
            </w:tcBorders>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Regulators</w:t>
            </w:r>
          </w:p>
          <w:p w:rsidR="00D919AC" w:rsidRPr="003D20A4" w:rsidRDefault="00D919AC" w:rsidP="00236F8B">
            <w:pPr>
              <w:spacing w:line="480" w:lineRule="auto"/>
              <w:jc w:val="center"/>
              <w:rPr>
                <w:rFonts w:asciiTheme="minorBidi" w:hAnsiTheme="minorBidi" w:cstheme="minorBidi"/>
                <w:sz w:val="22"/>
                <w:szCs w:val="22"/>
              </w:rPr>
            </w:pPr>
          </w:p>
        </w:tc>
        <w:tc>
          <w:tcPr>
            <w:tcW w:w="810" w:type="dxa"/>
            <w:tcBorders>
              <w:top w:val="single" w:sz="4" w:space="0" w:color="auto"/>
              <w:bottom w:val="single" w:sz="4" w:space="0" w:color="auto"/>
            </w:tcBorders>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Target genes</w:t>
            </w:r>
          </w:p>
        </w:tc>
        <w:tc>
          <w:tcPr>
            <w:tcW w:w="6639" w:type="dxa"/>
            <w:tcBorders>
              <w:top w:val="single" w:sz="4" w:space="0" w:color="auto"/>
              <w:bottom w:val="single" w:sz="4" w:space="0" w:color="auto"/>
            </w:tcBorders>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Selected GO Terms (</w:t>
            </w:r>
            <w:proofErr w:type="spellStart"/>
            <w:r w:rsidRPr="003D20A4">
              <w:rPr>
                <w:rFonts w:asciiTheme="minorBidi" w:hAnsiTheme="minorBidi" w:cstheme="minorBidi"/>
                <w:sz w:val="22"/>
                <w:szCs w:val="22"/>
              </w:rPr>
              <w:t>P.value</w:t>
            </w:r>
            <w:proofErr w:type="spellEnd"/>
            <w:r w:rsidRPr="003D20A4">
              <w:rPr>
                <w:rFonts w:asciiTheme="minorBidi" w:hAnsiTheme="minorBidi" w:cstheme="minorBidi"/>
                <w:sz w:val="22"/>
                <w:szCs w:val="22"/>
              </w:rPr>
              <w:t>)</w:t>
            </w:r>
          </w:p>
        </w:tc>
      </w:tr>
      <w:tr w:rsidR="00D919AC" w:rsidRPr="003D20A4" w:rsidTr="00236F8B">
        <w:trPr>
          <w:trHeight w:val="215"/>
          <w:jc w:val="center"/>
        </w:trPr>
        <w:tc>
          <w:tcPr>
            <w:tcW w:w="883" w:type="dxa"/>
            <w:vMerge w:val="restart"/>
            <w:tcBorders>
              <w:top w:val="single" w:sz="4" w:space="0" w:color="auto"/>
            </w:tcBorders>
          </w:tcPr>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0</w:t>
            </w:r>
          </w:p>
        </w:tc>
        <w:tc>
          <w:tcPr>
            <w:tcW w:w="1917" w:type="dxa"/>
            <w:tcBorders>
              <w:top w:val="single" w:sz="4" w:space="0" w:color="auto"/>
            </w:tcBorders>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FOXM1</w:t>
            </w:r>
          </w:p>
        </w:tc>
        <w:tc>
          <w:tcPr>
            <w:tcW w:w="810" w:type="dxa"/>
            <w:tcBorders>
              <w:top w:val="single" w:sz="4" w:space="0" w:color="auto"/>
            </w:tcBorders>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43</w:t>
            </w:r>
          </w:p>
        </w:tc>
        <w:tc>
          <w:tcPr>
            <w:tcW w:w="6639" w:type="dxa"/>
            <w:tcBorders>
              <w:top w:val="single" w:sz="4" w:space="0" w:color="auto"/>
            </w:tcBorders>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positive regulation of cell cycle phase transition (0.004)</w:t>
            </w:r>
          </w:p>
        </w:tc>
      </w:tr>
      <w:tr w:rsidR="00D919AC" w:rsidRPr="003D20A4" w:rsidTr="00236F8B">
        <w:trPr>
          <w:trHeight w:val="368"/>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KLF7</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43</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positive regulation of cell cycle process (0.000)</w:t>
            </w:r>
          </w:p>
        </w:tc>
      </w:tr>
      <w:tr w:rsidR="00D919AC" w:rsidRPr="003D20A4" w:rsidTr="00236F8B">
        <w:trPr>
          <w:trHeight w:val="278"/>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SOX5</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43</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positive regulation of cytokinesis (0.0008)</w:t>
            </w:r>
          </w:p>
        </w:tc>
      </w:tr>
      <w:tr w:rsidR="00D919AC" w:rsidRPr="003D20A4" w:rsidTr="00236F8B">
        <w:trPr>
          <w:trHeight w:val="278"/>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bta-mir-19a</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7</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cell cycle process (0.0003)</w:t>
            </w:r>
          </w:p>
        </w:tc>
      </w:tr>
      <w:tr w:rsidR="00D919AC" w:rsidRPr="003D20A4" w:rsidTr="00236F8B">
        <w:trPr>
          <w:trHeight w:val="84"/>
          <w:jc w:val="center"/>
        </w:trPr>
        <w:tc>
          <w:tcPr>
            <w:tcW w:w="883" w:type="dxa"/>
            <w:vMerge w:val="restart"/>
          </w:tcPr>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8</w:t>
            </w:r>
          </w:p>
        </w:tc>
        <w:tc>
          <w:tcPr>
            <w:tcW w:w="1917" w:type="dxa"/>
          </w:tcPr>
          <w:p w:rsidR="00D919AC" w:rsidRPr="003D20A4" w:rsidRDefault="00D919AC" w:rsidP="00236F8B">
            <w:pPr>
              <w:spacing w:line="480" w:lineRule="auto"/>
              <w:jc w:val="center"/>
              <w:rPr>
                <w:rFonts w:asciiTheme="minorBidi" w:hAnsiTheme="minorBidi" w:cstheme="minorBidi"/>
                <w:sz w:val="22"/>
                <w:szCs w:val="22"/>
              </w:rPr>
            </w:pPr>
          </w:p>
        </w:tc>
        <w:tc>
          <w:tcPr>
            <w:tcW w:w="810" w:type="dxa"/>
          </w:tcPr>
          <w:p w:rsidR="00D919AC" w:rsidRPr="003D20A4" w:rsidRDefault="00D919AC" w:rsidP="00236F8B">
            <w:pPr>
              <w:spacing w:line="480" w:lineRule="auto"/>
              <w:jc w:val="center"/>
              <w:rPr>
                <w:rFonts w:asciiTheme="minorBidi" w:hAnsiTheme="minorBidi" w:cstheme="minorBidi"/>
                <w:sz w:val="22"/>
                <w:szCs w:val="22"/>
              </w:rPr>
            </w:pPr>
          </w:p>
        </w:tc>
        <w:tc>
          <w:tcPr>
            <w:tcW w:w="6639" w:type="dxa"/>
          </w:tcPr>
          <w:p w:rsidR="00D919AC" w:rsidRPr="003D20A4" w:rsidRDefault="00D919AC" w:rsidP="00236F8B">
            <w:pPr>
              <w:spacing w:line="480" w:lineRule="auto"/>
              <w:jc w:val="center"/>
              <w:rPr>
                <w:rFonts w:asciiTheme="minorBidi" w:hAnsiTheme="minorBidi" w:cstheme="minorBidi"/>
                <w:sz w:val="22"/>
                <w:szCs w:val="22"/>
              </w:rPr>
            </w:pPr>
          </w:p>
        </w:tc>
      </w:tr>
      <w:tr w:rsidR="00D919AC" w:rsidRPr="003D20A4" w:rsidTr="00236F8B">
        <w:trPr>
          <w:trHeight w:val="81"/>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bta-mir-2346</w:t>
            </w:r>
          </w:p>
          <w:p w:rsidR="00D919AC" w:rsidRPr="003D20A4" w:rsidRDefault="00D919AC" w:rsidP="00236F8B">
            <w:pPr>
              <w:spacing w:line="480" w:lineRule="auto"/>
              <w:jc w:val="center"/>
              <w:rPr>
                <w:rFonts w:asciiTheme="minorBidi" w:hAnsiTheme="minorBidi" w:cstheme="minorBidi"/>
                <w:sz w:val="22"/>
                <w:szCs w:val="22"/>
              </w:rPr>
            </w:pP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10</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positive regulation of brown fat cell differentiation (0.034), regulation of brown fat cell differentiation (0.036)</w:t>
            </w:r>
          </w:p>
        </w:tc>
      </w:tr>
      <w:tr w:rsidR="00D919AC" w:rsidRPr="003D20A4" w:rsidTr="00236F8B">
        <w:trPr>
          <w:trHeight w:val="81"/>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bta-let-7d</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11</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81"/>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XBP1</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51</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81"/>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GRHL1</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44</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81"/>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TFE3</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29</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204"/>
          <w:jc w:val="center"/>
        </w:trPr>
        <w:tc>
          <w:tcPr>
            <w:tcW w:w="883" w:type="dxa"/>
            <w:vMerge w:val="restart"/>
          </w:tcPr>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18</w:t>
            </w: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bta-mir-193b</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5</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cellular response to glucose starvation (0.040), negative regulation of cellular response to oxidative stress (0.040), pathway-restricted SMAD protein phosphorylation (0.040), response to sterol (0.040), negative regulation of response to oxidative stress (0.040), positive regulation of glucose import (0.043), positive regulation of glucose transport (0.044), regulation of cellular response to oxidative stress (0.046), activation of MAPKK activity (0.046)</w:t>
            </w:r>
          </w:p>
        </w:tc>
      </w:tr>
      <w:tr w:rsidR="00D919AC" w:rsidRPr="003D20A4" w:rsidTr="00236F8B">
        <w:trPr>
          <w:trHeight w:val="204"/>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bta-mir-1277</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3</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446"/>
          <w:jc w:val="center"/>
        </w:trPr>
        <w:tc>
          <w:tcPr>
            <w:tcW w:w="883" w:type="dxa"/>
            <w:vMerge w:val="restart"/>
          </w:tcPr>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88</w:t>
            </w: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XBP1</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63</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p w:rsidR="00D919AC" w:rsidRPr="003D20A4" w:rsidRDefault="00D919AC" w:rsidP="00236F8B">
            <w:pPr>
              <w:spacing w:line="480" w:lineRule="auto"/>
              <w:jc w:val="center"/>
              <w:rPr>
                <w:rFonts w:asciiTheme="minorBidi" w:hAnsiTheme="minorBidi" w:cstheme="minorBidi"/>
                <w:sz w:val="22"/>
                <w:szCs w:val="22"/>
              </w:rPr>
            </w:pPr>
          </w:p>
        </w:tc>
      </w:tr>
      <w:tr w:rsidR="00D919AC" w:rsidRPr="003D20A4" w:rsidTr="00236F8B">
        <w:trPr>
          <w:trHeight w:val="439"/>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ZNF219</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61</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439"/>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bta-mir-1468</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5</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ADP biosynthetic process (0.028), GTP metabolic process (0.049)</w:t>
            </w:r>
          </w:p>
        </w:tc>
      </w:tr>
      <w:tr w:rsidR="00D919AC" w:rsidRPr="003D20A4" w:rsidTr="00236F8B">
        <w:trPr>
          <w:trHeight w:val="439"/>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bta-mir-132</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11</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439"/>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bta-mir-10b</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7</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regulation of leukotriene production involved in inflammatory response (0.033), short-chain fatty acid biosynthetic process (0.044)</w:t>
            </w:r>
          </w:p>
        </w:tc>
      </w:tr>
      <w:tr w:rsidR="00D919AC" w:rsidRPr="003D20A4" w:rsidTr="00236F8B">
        <w:trPr>
          <w:trHeight w:val="439"/>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bta-mir-182</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10</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439"/>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bta-mir-26b</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12</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439"/>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bta-mir-30d</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6</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positive regulation of leukotriene production involved in inflammatory response (0.029)</w:t>
            </w:r>
          </w:p>
        </w:tc>
      </w:tr>
      <w:tr w:rsidR="00D919AC" w:rsidRPr="003D20A4" w:rsidTr="00236F8B">
        <w:trPr>
          <w:trHeight w:val="616"/>
          <w:jc w:val="center"/>
        </w:trPr>
        <w:tc>
          <w:tcPr>
            <w:tcW w:w="883" w:type="dxa"/>
            <w:vMerge w:val="restart"/>
          </w:tcPr>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110</w:t>
            </w: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CREB3L4</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35</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DNA metabolic process (0.003)</w:t>
            </w:r>
          </w:p>
        </w:tc>
      </w:tr>
      <w:tr w:rsidR="00D919AC" w:rsidRPr="003D20A4" w:rsidTr="00236F8B">
        <w:trPr>
          <w:trHeight w:val="616"/>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SMAD4</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30</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DNA metabolic process (0.0005), nucleic acid metabolic process (0.038)</w:t>
            </w:r>
          </w:p>
          <w:p w:rsidR="00D919AC" w:rsidRPr="003D20A4" w:rsidRDefault="00D919AC" w:rsidP="00236F8B">
            <w:pPr>
              <w:spacing w:line="480" w:lineRule="auto"/>
              <w:jc w:val="center"/>
              <w:rPr>
                <w:rFonts w:asciiTheme="minorBidi" w:hAnsiTheme="minorBidi" w:cstheme="minorBidi"/>
                <w:sz w:val="22"/>
                <w:szCs w:val="22"/>
              </w:rPr>
            </w:pPr>
          </w:p>
        </w:tc>
      </w:tr>
      <w:tr w:rsidR="00D919AC" w:rsidRPr="003D20A4" w:rsidTr="00236F8B">
        <w:trPr>
          <w:trHeight w:val="879"/>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bta-mir-2346</w:t>
            </w:r>
          </w:p>
          <w:p w:rsidR="00D919AC" w:rsidRPr="003D20A4" w:rsidRDefault="00D919AC" w:rsidP="00236F8B">
            <w:pPr>
              <w:spacing w:line="480" w:lineRule="auto"/>
              <w:jc w:val="center"/>
              <w:rPr>
                <w:rFonts w:asciiTheme="minorBidi" w:hAnsiTheme="minorBidi" w:cstheme="minorBidi"/>
                <w:sz w:val="22"/>
                <w:szCs w:val="22"/>
              </w:rPr>
            </w:pP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5</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regulation of unsaturated fatty acid biosynthetic process (0.018), positive regulation of insulin receptor signaling pathway (0.029), white fat cell differentiation (0.029), negative regulation of cellular response to oxidative stress (0.039), negative regulation of TOR signaling (0.042)</w:t>
            </w:r>
          </w:p>
        </w:tc>
      </w:tr>
      <w:tr w:rsidR="00D919AC" w:rsidRPr="003D20A4" w:rsidTr="00236F8B">
        <w:trPr>
          <w:trHeight w:val="616"/>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bta-mir-487b</w:t>
            </w:r>
          </w:p>
          <w:p w:rsidR="00D919AC" w:rsidRPr="003D20A4" w:rsidRDefault="00D919AC" w:rsidP="00236F8B">
            <w:pPr>
              <w:spacing w:line="480" w:lineRule="auto"/>
              <w:jc w:val="center"/>
              <w:rPr>
                <w:rFonts w:asciiTheme="minorBidi" w:hAnsiTheme="minorBidi" w:cstheme="minorBidi"/>
                <w:sz w:val="22"/>
                <w:szCs w:val="22"/>
              </w:rPr>
            </w:pP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4</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behavioral response to starvation (0.018), regulation of unsaturated fatty acid biosynthetic process (0.018), cellular response to stress (0.029), regulation of steroid biosynthetic process (0.046)</w:t>
            </w:r>
          </w:p>
        </w:tc>
      </w:tr>
      <w:tr w:rsidR="00D919AC" w:rsidRPr="003D20A4" w:rsidTr="00236F8B">
        <w:trPr>
          <w:trHeight w:val="616"/>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bta-mir-543</w:t>
            </w:r>
          </w:p>
          <w:p w:rsidR="00D919AC" w:rsidRPr="003D20A4" w:rsidRDefault="00D919AC" w:rsidP="00236F8B">
            <w:pPr>
              <w:spacing w:line="480" w:lineRule="auto"/>
              <w:jc w:val="center"/>
              <w:rPr>
                <w:rFonts w:asciiTheme="minorBidi" w:hAnsiTheme="minorBidi" w:cstheme="minorBidi"/>
                <w:sz w:val="22"/>
                <w:szCs w:val="22"/>
              </w:rPr>
            </w:pP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5</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behavioral response to starvation (0.009), hepatocyte apoptotic process (0.019), response to stress (0.021), negative regulation of TOR signaling (0.026),activation of MAPKK activity (0.031), cellular glucose homeostasis (0.031), negative regulation of I-</w:t>
            </w:r>
            <w:proofErr w:type="spellStart"/>
            <w:r w:rsidRPr="003D20A4">
              <w:rPr>
                <w:rFonts w:asciiTheme="minorBidi" w:hAnsiTheme="minorBidi" w:cstheme="minorBidi"/>
                <w:sz w:val="22"/>
                <w:szCs w:val="22"/>
              </w:rPr>
              <w:lastRenderedPageBreak/>
              <w:t>kappaB</w:t>
            </w:r>
            <w:proofErr w:type="spellEnd"/>
            <w:r w:rsidRPr="003D20A4">
              <w:rPr>
                <w:rFonts w:asciiTheme="minorBidi" w:hAnsiTheme="minorBidi" w:cstheme="minorBidi"/>
                <w:sz w:val="22"/>
                <w:szCs w:val="22"/>
              </w:rPr>
              <w:t xml:space="preserve"> kinase/NF-</w:t>
            </w:r>
            <w:proofErr w:type="spellStart"/>
            <w:r w:rsidRPr="003D20A4">
              <w:rPr>
                <w:rFonts w:asciiTheme="minorBidi" w:hAnsiTheme="minorBidi" w:cstheme="minorBidi"/>
                <w:sz w:val="22"/>
                <w:szCs w:val="22"/>
              </w:rPr>
              <w:t>kappaB</w:t>
            </w:r>
            <w:proofErr w:type="spellEnd"/>
            <w:r w:rsidRPr="003D20A4">
              <w:rPr>
                <w:rFonts w:asciiTheme="minorBidi" w:hAnsiTheme="minorBidi" w:cstheme="minorBidi"/>
                <w:sz w:val="22"/>
                <w:szCs w:val="22"/>
              </w:rPr>
              <w:t xml:space="preserve"> signaling (0.032), negative regulation of </w:t>
            </w:r>
            <w:proofErr w:type="spellStart"/>
            <w:r w:rsidRPr="003D20A4">
              <w:rPr>
                <w:rFonts w:asciiTheme="minorBidi" w:hAnsiTheme="minorBidi" w:cstheme="minorBidi"/>
                <w:sz w:val="22"/>
                <w:szCs w:val="22"/>
              </w:rPr>
              <w:t>Wnt</w:t>
            </w:r>
            <w:proofErr w:type="spellEnd"/>
            <w:r w:rsidRPr="003D20A4">
              <w:rPr>
                <w:rFonts w:asciiTheme="minorBidi" w:hAnsiTheme="minorBidi" w:cstheme="minorBidi"/>
                <w:sz w:val="22"/>
                <w:szCs w:val="22"/>
              </w:rPr>
              <w:t xml:space="preserve"> signaling pathway (0.050), regulation of cellular ketone metabolic process (0.047), regulation of steroid metabolic process (0.038), regulation of carbohydrate metabolic process (0.050)</w:t>
            </w:r>
            <w:r w:rsidRPr="003D20A4">
              <w:rPr>
                <w:rFonts w:asciiTheme="minorBidi" w:hAnsiTheme="minorBidi" w:cstheme="minorBidi"/>
                <w:sz w:val="22"/>
                <w:szCs w:val="22"/>
              </w:rPr>
              <w:tab/>
            </w:r>
          </w:p>
        </w:tc>
      </w:tr>
      <w:tr w:rsidR="00D919AC" w:rsidRPr="003D20A4" w:rsidTr="00236F8B">
        <w:trPr>
          <w:trHeight w:val="238"/>
          <w:jc w:val="center"/>
        </w:trPr>
        <w:tc>
          <w:tcPr>
            <w:tcW w:w="883" w:type="dxa"/>
            <w:vMerge w:val="restart"/>
          </w:tcPr>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143</w:t>
            </w: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bta-mir-24-2</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2</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 xml:space="preserve">regulation of steroid biosynthetic process (0.035), negative regulation of lipid metabolic process (0.042), regulation of steroid metabolic process (0.047), negative regulation of canonical </w:t>
            </w:r>
            <w:proofErr w:type="spellStart"/>
            <w:r w:rsidRPr="003D20A4">
              <w:rPr>
                <w:rFonts w:asciiTheme="minorBidi" w:hAnsiTheme="minorBidi" w:cstheme="minorBidi"/>
                <w:sz w:val="22"/>
                <w:szCs w:val="22"/>
              </w:rPr>
              <w:t>Wnt</w:t>
            </w:r>
            <w:proofErr w:type="spellEnd"/>
            <w:r w:rsidRPr="003D20A4">
              <w:rPr>
                <w:rFonts w:asciiTheme="minorBidi" w:hAnsiTheme="minorBidi" w:cstheme="minorBidi"/>
                <w:sz w:val="22"/>
                <w:szCs w:val="22"/>
              </w:rPr>
              <w:t xml:space="preserve"> signaling pathway (0.049), regulation of ketone biosynthetic process (0.015)</w:t>
            </w:r>
          </w:p>
        </w:tc>
      </w:tr>
      <w:tr w:rsidR="00D919AC" w:rsidRPr="003D20A4" w:rsidTr="00236F8B">
        <w:trPr>
          <w:trHeight w:val="237"/>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bta-mir-326</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4</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237"/>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ZNF239</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12</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p>
        </w:tc>
      </w:tr>
      <w:tr w:rsidR="00D919AC" w:rsidRPr="003D20A4" w:rsidTr="00236F8B">
        <w:trPr>
          <w:trHeight w:val="530"/>
          <w:jc w:val="center"/>
        </w:trPr>
        <w:tc>
          <w:tcPr>
            <w:tcW w:w="883" w:type="dxa"/>
            <w:vMerge w:val="restart"/>
          </w:tcPr>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p>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145</w:t>
            </w: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TFEB</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16</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528"/>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ZNF219</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20</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528"/>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bta-mir-127</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1</w:t>
            </w:r>
          </w:p>
        </w:tc>
        <w:tc>
          <w:tcPr>
            <w:tcW w:w="6639" w:type="dxa"/>
          </w:tcPr>
          <w:p w:rsidR="00D919AC" w:rsidRPr="003D20A4" w:rsidRDefault="00D919AC" w:rsidP="00236F8B">
            <w:pPr>
              <w:tabs>
                <w:tab w:val="left" w:pos="3193"/>
              </w:tabs>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528"/>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bta-mir-143</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2</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w:t>
            </w:r>
          </w:p>
        </w:tc>
      </w:tr>
      <w:tr w:rsidR="00D919AC" w:rsidRPr="003D20A4" w:rsidTr="00236F8B">
        <w:trPr>
          <w:trHeight w:val="528"/>
          <w:jc w:val="center"/>
        </w:trPr>
        <w:tc>
          <w:tcPr>
            <w:tcW w:w="883" w:type="dxa"/>
            <w:vMerge/>
          </w:tcPr>
          <w:p w:rsidR="00D919AC" w:rsidRPr="003D20A4" w:rsidRDefault="00D919AC" w:rsidP="00236F8B">
            <w:pPr>
              <w:spacing w:line="480" w:lineRule="auto"/>
              <w:jc w:val="center"/>
              <w:rPr>
                <w:rFonts w:asciiTheme="minorBidi" w:hAnsiTheme="minorBidi" w:cstheme="minorBidi"/>
                <w:sz w:val="22"/>
                <w:szCs w:val="22"/>
              </w:rPr>
            </w:pPr>
          </w:p>
        </w:tc>
        <w:tc>
          <w:tcPr>
            <w:tcW w:w="1917"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bta-mir-23a</w:t>
            </w:r>
          </w:p>
        </w:tc>
        <w:tc>
          <w:tcPr>
            <w:tcW w:w="810"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4</w:t>
            </w:r>
          </w:p>
        </w:tc>
        <w:tc>
          <w:tcPr>
            <w:tcW w:w="6639" w:type="dxa"/>
          </w:tcPr>
          <w:p w:rsidR="00D919AC" w:rsidRPr="003D20A4" w:rsidRDefault="00D919AC" w:rsidP="00236F8B">
            <w:pPr>
              <w:spacing w:line="480" w:lineRule="auto"/>
              <w:jc w:val="center"/>
              <w:rPr>
                <w:rFonts w:asciiTheme="minorBidi" w:hAnsiTheme="minorBidi" w:cstheme="minorBidi"/>
                <w:sz w:val="22"/>
                <w:szCs w:val="22"/>
              </w:rPr>
            </w:pPr>
            <w:r w:rsidRPr="003D20A4">
              <w:rPr>
                <w:rFonts w:asciiTheme="minorBidi" w:hAnsiTheme="minorBidi" w:cstheme="minorBidi"/>
                <w:sz w:val="22"/>
                <w:szCs w:val="22"/>
              </w:rPr>
              <w:t>negative regulation of transcription from RNA polymerase II promoter in response to endoplasmic reticulum stress (0.027), regulation of immunoglobulin secretion (0.048)</w:t>
            </w:r>
          </w:p>
        </w:tc>
      </w:tr>
    </w:tbl>
    <w:p w:rsidR="00D919AC" w:rsidRDefault="00D919AC" w:rsidP="00D919AC">
      <w:pPr>
        <w:spacing w:after="0" w:line="480" w:lineRule="auto"/>
        <w:jc w:val="both"/>
        <w:rPr>
          <w:rFonts w:ascii="Arial" w:eastAsia="Calibri" w:hAnsi="Arial" w:cs="Arial"/>
        </w:rPr>
      </w:pPr>
    </w:p>
    <w:p w:rsidR="009260FB" w:rsidRDefault="009260FB"/>
    <w:sectPr w:rsidR="0092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1NTUwtDQ3tDSwMDBR0lEKTi0uzszPAykwrAUAt7HSrSwAAAA="/>
  </w:docVars>
  <w:rsids>
    <w:rsidRoot w:val="00D919AC"/>
    <w:rsid w:val="00705B66"/>
    <w:rsid w:val="009260FB"/>
    <w:rsid w:val="00A058CA"/>
    <w:rsid w:val="00BF742E"/>
    <w:rsid w:val="00D619B5"/>
    <w:rsid w:val="00D91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DE65"/>
  <w15:chartTrackingRefBased/>
  <w15:docId w15:val="{54A0C2DA-B4F2-4DB1-8E4C-65489043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متن اصلی"/>
    <w:qFormat/>
    <w:rsid w:val="00D919AC"/>
    <w:pPr>
      <w:spacing w:after="240" w:line="300" w:lineRule="auto"/>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9AC"/>
    <w:pPr>
      <w:spacing w:after="0" w:line="240" w:lineRule="auto"/>
      <w:jc w:val="right"/>
    </w:pPr>
    <w:rPr>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46EB-C0CC-429E-92BE-F6436016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MRB</cp:lastModifiedBy>
  <cp:revision>5</cp:revision>
  <dcterms:created xsi:type="dcterms:W3CDTF">2017-04-06T12:52:00Z</dcterms:created>
  <dcterms:modified xsi:type="dcterms:W3CDTF">2017-11-07T19:04:00Z</dcterms:modified>
</cp:coreProperties>
</file>