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3A" w:rsidRPr="00536E3A" w:rsidRDefault="00536E3A" w:rsidP="00536E3A">
      <w:pPr>
        <w:rPr>
          <w:rFonts w:ascii="Arial" w:hAnsi="Arial" w:cs="Arial"/>
          <w:sz w:val="24"/>
          <w:szCs w:val="24"/>
        </w:rPr>
      </w:pPr>
      <w:r w:rsidRPr="00536E3A">
        <w:rPr>
          <w:rFonts w:ascii="Arial" w:hAnsi="Arial" w:cs="Arial"/>
          <w:sz w:val="24"/>
          <w:szCs w:val="24"/>
        </w:rPr>
        <w:t xml:space="preserve">Impact of hygiene of housing conditions on performance and health of two pig genetic lines divergent for residual feed intake </w:t>
      </w:r>
    </w:p>
    <w:p w:rsidR="00536E3A" w:rsidRPr="00536E3A" w:rsidRDefault="00536E3A" w:rsidP="00536E3A">
      <w:pPr>
        <w:rPr>
          <w:rFonts w:ascii="Arial" w:hAnsi="Arial" w:cs="Arial"/>
          <w:sz w:val="24"/>
          <w:szCs w:val="24"/>
        </w:rPr>
      </w:pPr>
      <w:r w:rsidRPr="00536E3A">
        <w:rPr>
          <w:rFonts w:ascii="Arial" w:hAnsi="Arial" w:cs="Arial"/>
          <w:sz w:val="24"/>
          <w:szCs w:val="24"/>
        </w:rPr>
        <w:t xml:space="preserve">A. </w:t>
      </w:r>
      <w:proofErr w:type="spellStart"/>
      <w:r w:rsidRPr="00536E3A">
        <w:rPr>
          <w:rFonts w:ascii="Arial" w:hAnsi="Arial" w:cs="Arial"/>
          <w:sz w:val="24"/>
          <w:szCs w:val="24"/>
        </w:rPr>
        <w:t>Chatelet</w:t>
      </w:r>
      <w:proofErr w:type="spellEnd"/>
      <w:r w:rsidRPr="00536E3A">
        <w:rPr>
          <w:rFonts w:ascii="Arial" w:hAnsi="Arial" w:cs="Arial"/>
          <w:sz w:val="24"/>
          <w:szCs w:val="24"/>
        </w:rPr>
        <w:t xml:space="preserve"> </w:t>
      </w:r>
      <w:r w:rsidRPr="00536E3A">
        <w:rPr>
          <w:rFonts w:ascii="Arial" w:hAnsi="Arial" w:cs="Arial"/>
          <w:sz w:val="24"/>
          <w:szCs w:val="24"/>
          <w:vertAlign w:val="superscript"/>
        </w:rPr>
        <w:t>1</w:t>
      </w:r>
      <w:r w:rsidRPr="00536E3A">
        <w:rPr>
          <w:rFonts w:ascii="Arial" w:hAnsi="Arial" w:cs="Arial"/>
          <w:sz w:val="24"/>
          <w:szCs w:val="24"/>
        </w:rPr>
        <w:t xml:space="preserve">, F. Gondret </w:t>
      </w:r>
      <w:r w:rsidRPr="00536E3A">
        <w:rPr>
          <w:rFonts w:ascii="Arial" w:hAnsi="Arial" w:cs="Arial"/>
          <w:sz w:val="24"/>
          <w:szCs w:val="24"/>
          <w:vertAlign w:val="superscript"/>
        </w:rPr>
        <w:t>1</w:t>
      </w:r>
      <w:r w:rsidRPr="00536E3A">
        <w:rPr>
          <w:rFonts w:ascii="Arial" w:hAnsi="Arial" w:cs="Arial"/>
          <w:sz w:val="24"/>
          <w:szCs w:val="24"/>
        </w:rPr>
        <w:t xml:space="preserve">, E. Merlot </w:t>
      </w:r>
      <w:r w:rsidRPr="00536E3A">
        <w:rPr>
          <w:rFonts w:ascii="Arial" w:hAnsi="Arial" w:cs="Arial"/>
          <w:sz w:val="24"/>
          <w:szCs w:val="24"/>
          <w:vertAlign w:val="superscript"/>
        </w:rPr>
        <w:t>1</w:t>
      </w:r>
      <w:r w:rsidRPr="00536E3A">
        <w:rPr>
          <w:rFonts w:ascii="Arial" w:hAnsi="Arial" w:cs="Arial"/>
          <w:sz w:val="24"/>
          <w:szCs w:val="24"/>
        </w:rPr>
        <w:t xml:space="preserve">, H. Gilbert </w:t>
      </w:r>
      <w:r w:rsidRPr="00536E3A">
        <w:rPr>
          <w:rFonts w:ascii="Arial" w:hAnsi="Arial" w:cs="Arial"/>
          <w:sz w:val="24"/>
          <w:szCs w:val="24"/>
          <w:vertAlign w:val="superscript"/>
        </w:rPr>
        <w:t>2</w:t>
      </w:r>
      <w:r w:rsidRPr="00536E3A">
        <w:rPr>
          <w:rFonts w:ascii="Arial" w:hAnsi="Arial" w:cs="Arial"/>
          <w:sz w:val="24"/>
          <w:szCs w:val="24"/>
        </w:rPr>
        <w:t xml:space="preserve">, N.C. </w:t>
      </w:r>
      <w:proofErr w:type="spellStart"/>
      <w:r w:rsidRPr="00536E3A">
        <w:rPr>
          <w:rFonts w:ascii="Arial" w:hAnsi="Arial" w:cs="Arial"/>
          <w:sz w:val="24"/>
          <w:szCs w:val="24"/>
        </w:rPr>
        <w:t>Friggens</w:t>
      </w:r>
      <w:proofErr w:type="spellEnd"/>
      <w:r w:rsidRPr="00536E3A">
        <w:rPr>
          <w:rFonts w:ascii="Arial" w:hAnsi="Arial" w:cs="Arial"/>
          <w:sz w:val="24"/>
          <w:szCs w:val="24"/>
        </w:rPr>
        <w:t xml:space="preserve"> </w:t>
      </w:r>
      <w:r w:rsidRPr="00536E3A">
        <w:rPr>
          <w:rFonts w:ascii="Arial" w:hAnsi="Arial" w:cs="Arial"/>
          <w:sz w:val="24"/>
          <w:szCs w:val="24"/>
          <w:vertAlign w:val="superscript"/>
        </w:rPr>
        <w:t>3</w:t>
      </w:r>
      <w:r w:rsidRPr="00536E3A">
        <w:rPr>
          <w:rFonts w:ascii="Arial" w:hAnsi="Arial" w:cs="Arial"/>
          <w:sz w:val="24"/>
          <w:szCs w:val="24"/>
        </w:rPr>
        <w:t xml:space="preserve"> and N. Le Floc’h</w:t>
      </w:r>
      <w:r w:rsidRPr="00536E3A">
        <w:rPr>
          <w:rFonts w:ascii="Arial" w:hAnsi="Arial" w:cs="Arial"/>
          <w:sz w:val="24"/>
          <w:szCs w:val="24"/>
          <w:vertAlign w:val="superscript"/>
        </w:rPr>
        <w:t xml:space="preserve">1 </w:t>
      </w:r>
    </w:p>
    <w:p w:rsidR="00536E3A" w:rsidRPr="00536E3A" w:rsidRDefault="00536E3A" w:rsidP="00536E3A">
      <w:pPr>
        <w:rPr>
          <w:rFonts w:ascii="Arial" w:hAnsi="Arial" w:cs="Arial"/>
          <w:sz w:val="24"/>
          <w:szCs w:val="24"/>
        </w:rPr>
      </w:pPr>
    </w:p>
    <w:p w:rsidR="00536E3A" w:rsidRPr="00536E3A" w:rsidRDefault="00536E3A" w:rsidP="00536E3A">
      <w:pPr>
        <w:rPr>
          <w:rFonts w:ascii="Arial" w:hAnsi="Arial" w:cs="Arial"/>
          <w:sz w:val="24"/>
          <w:szCs w:val="24"/>
          <w:lang w:val="fr-FR"/>
        </w:rPr>
      </w:pPr>
      <w:r w:rsidRPr="00536E3A">
        <w:rPr>
          <w:rFonts w:ascii="Arial" w:hAnsi="Arial" w:cs="Arial"/>
          <w:sz w:val="24"/>
          <w:szCs w:val="24"/>
          <w:vertAlign w:val="superscript"/>
        </w:rPr>
        <w:t>1</w:t>
      </w:r>
      <w:r w:rsidRPr="00536E3A">
        <w:rPr>
          <w:rFonts w:ascii="Arial" w:hAnsi="Arial" w:cs="Arial"/>
          <w:sz w:val="24"/>
          <w:szCs w:val="24"/>
          <w:lang w:val="fr-FR"/>
        </w:rPr>
        <w:t xml:space="preserve"> PEGASE, </w:t>
      </w:r>
      <w:proofErr w:type="spellStart"/>
      <w:r w:rsidRPr="00536E3A">
        <w:rPr>
          <w:rFonts w:ascii="Arial" w:hAnsi="Arial" w:cs="Arial"/>
          <w:sz w:val="24"/>
          <w:szCs w:val="24"/>
          <w:lang w:val="fr-FR"/>
        </w:rPr>
        <w:t>Agrocampus</w:t>
      </w:r>
      <w:proofErr w:type="spellEnd"/>
      <w:r w:rsidRPr="00536E3A">
        <w:rPr>
          <w:rFonts w:ascii="Arial" w:hAnsi="Arial" w:cs="Arial"/>
          <w:sz w:val="24"/>
          <w:szCs w:val="24"/>
          <w:lang w:val="fr-FR"/>
        </w:rPr>
        <w:t xml:space="preserve"> Ouest, INRA, 35590 Saint Gilles, France</w:t>
      </w:r>
    </w:p>
    <w:p w:rsidR="00536E3A" w:rsidRPr="00536E3A" w:rsidRDefault="00536E3A" w:rsidP="00536E3A">
      <w:pPr>
        <w:rPr>
          <w:rFonts w:ascii="Arial" w:hAnsi="Arial" w:cs="Arial"/>
          <w:sz w:val="24"/>
          <w:szCs w:val="24"/>
          <w:lang w:val="fr-FR"/>
        </w:rPr>
      </w:pPr>
      <w:r w:rsidRPr="00536E3A">
        <w:rPr>
          <w:rFonts w:ascii="Arial" w:hAnsi="Arial" w:cs="Arial"/>
          <w:sz w:val="24"/>
          <w:szCs w:val="24"/>
          <w:vertAlign w:val="superscript"/>
        </w:rPr>
        <w:t>2</w:t>
      </w:r>
      <w:r w:rsidRPr="00536E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36E3A">
        <w:rPr>
          <w:rFonts w:ascii="Arial" w:hAnsi="Arial" w:cs="Arial"/>
          <w:sz w:val="24"/>
          <w:szCs w:val="24"/>
          <w:lang w:val="fr-FR"/>
        </w:rPr>
        <w:t>GenPhySE</w:t>
      </w:r>
      <w:proofErr w:type="spellEnd"/>
      <w:r w:rsidRPr="00536E3A">
        <w:rPr>
          <w:rFonts w:ascii="Arial" w:hAnsi="Arial" w:cs="Arial"/>
          <w:sz w:val="24"/>
          <w:szCs w:val="24"/>
          <w:lang w:val="fr-FR"/>
        </w:rPr>
        <w:t>, INRA, INPT, ENVT, Université de Toulouse, 31326 Castanet-Tolosan cedex, France</w:t>
      </w:r>
    </w:p>
    <w:p w:rsidR="00536E3A" w:rsidRPr="00536E3A" w:rsidRDefault="00536E3A" w:rsidP="00536E3A">
      <w:pPr>
        <w:rPr>
          <w:rFonts w:ascii="Arial" w:hAnsi="Arial" w:cs="Arial"/>
          <w:sz w:val="24"/>
          <w:szCs w:val="24"/>
          <w:lang w:val="fr-FR"/>
        </w:rPr>
      </w:pPr>
      <w:r w:rsidRPr="00536E3A">
        <w:rPr>
          <w:rFonts w:ascii="Arial" w:hAnsi="Arial" w:cs="Arial"/>
          <w:sz w:val="24"/>
          <w:szCs w:val="24"/>
          <w:vertAlign w:val="superscript"/>
        </w:rPr>
        <w:t>3</w:t>
      </w:r>
      <w:r w:rsidRPr="00536E3A">
        <w:rPr>
          <w:rFonts w:ascii="Arial" w:hAnsi="Arial" w:cs="Arial"/>
          <w:sz w:val="24"/>
          <w:szCs w:val="24"/>
          <w:lang w:val="fr-FR"/>
        </w:rPr>
        <w:t xml:space="preserve"> UMR Modélisation Systémique Appliquée aux Ruminants, INRA, </w:t>
      </w:r>
      <w:proofErr w:type="spellStart"/>
      <w:r w:rsidRPr="00536E3A">
        <w:rPr>
          <w:rFonts w:ascii="Arial" w:hAnsi="Arial" w:cs="Arial"/>
          <w:sz w:val="24"/>
          <w:szCs w:val="24"/>
          <w:lang w:val="fr-FR"/>
        </w:rPr>
        <w:t>AgroParisTech</w:t>
      </w:r>
      <w:proofErr w:type="spellEnd"/>
      <w:r w:rsidRPr="00536E3A">
        <w:rPr>
          <w:rFonts w:ascii="Arial" w:hAnsi="Arial" w:cs="Arial"/>
          <w:sz w:val="24"/>
          <w:szCs w:val="24"/>
          <w:lang w:val="fr-FR"/>
        </w:rPr>
        <w:t xml:space="preserve">, Université Paris-Saclay, 75005 Paris, France. </w:t>
      </w:r>
    </w:p>
    <w:p w:rsidR="00536E3A" w:rsidRPr="00536E3A" w:rsidRDefault="00536E3A" w:rsidP="00536E3A">
      <w:pPr>
        <w:rPr>
          <w:rFonts w:ascii="Arial" w:hAnsi="Arial" w:cs="Arial"/>
          <w:sz w:val="24"/>
          <w:szCs w:val="24"/>
          <w:lang w:val="fr-FR"/>
        </w:rPr>
      </w:pPr>
    </w:p>
    <w:p w:rsidR="00536E3A" w:rsidRPr="00536E3A" w:rsidRDefault="00536E3A" w:rsidP="00536E3A">
      <w:pPr>
        <w:rPr>
          <w:rFonts w:ascii="Arial" w:hAnsi="Arial" w:cs="Arial"/>
          <w:sz w:val="24"/>
          <w:szCs w:val="24"/>
        </w:rPr>
      </w:pPr>
      <w:r w:rsidRPr="00536E3A">
        <w:rPr>
          <w:rFonts w:ascii="Arial" w:hAnsi="Arial" w:cs="Arial"/>
          <w:sz w:val="24"/>
          <w:szCs w:val="24"/>
        </w:rPr>
        <w:t xml:space="preserve">Corresponding author: Nathalie Le </w:t>
      </w:r>
      <w:proofErr w:type="spellStart"/>
      <w:r w:rsidRPr="00536E3A">
        <w:rPr>
          <w:rFonts w:ascii="Arial" w:hAnsi="Arial" w:cs="Arial"/>
          <w:sz w:val="24"/>
          <w:szCs w:val="24"/>
        </w:rPr>
        <w:t>Floc’h</w:t>
      </w:r>
      <w:proofErr w:type="spellEnd"/>
      <w:r w:rsidRPr="00536E3A">
        <w:rPr>
          <w:rFonts w:ascii="Arial" w:hAnsi="Arial" w:cs="Arial"/>
          <w:sz w:val="24"/>
          <w:szCs w:val="24"/>
        </w:rPr>
        <w:t xml:space="preserve">. Email: nathalie.lefloch@inra.fr </w:t>
      </w:r>
    </w:p>
    <w:p w:rsidR="00536E3A" w:rsidRPr="00536E3A" w:rsidRDefault="00536E3A" w:rsidP="00536E3A">
      <w:pPr>
        <w:rPr>
          <w:rFonts w:ascii="Arial" w:hAnsi="Arial" w:cs="Arial"/>
          <w:sz w:val="24"/>
          <w:szCs w:val="24"/>
        </w:rPr>
      </w:pPr>
    </w:p>
    <w:p w:rsidR="00536E3A" w:rsidRDefault="00536E3A" w:rsidP="00536E3A">
      <w:pPr>
        <w:rPr>
          <w:rFonts w:ascii="Arial" w:hAnsi="Arial" w:cs="Arial"/>
          <w:sz w:val="24"/>
          <w:szCs w:val="24"/>
        </w:rPr>
      </w:pPr>
      <w:r w:rsidRPr="00536E3A">
        <w:rPr>
          <w:rFonts w:ascii="Arial" w:hAnsi="Arial" w:cs="Arial"/>
          <w:sz w:val="24"/>
          <w:szCs w:val="24"/>
        </w:rPr>
        <w:t>Genotype by environment interaction in growing pig</w:t>
      </w:r>
    </w:p>
    <w:p w:rsidR="00536E3A" w:rsidRDefault="00536E3A" w:rsidP="00536E3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n-GB" w:eastAsia="fr-FR"/>
        </w:rPr>
      </w:pPr>
    </w:p>
    <w:p w:rsidR="00536E3A" w:rsidRPr="00536E3A" w:rsidRDefault="00536E3A" w:rsidP="00536E3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n-GB" w:eastAsia="fr-FR"/>
        </w:rPr>
      </w:pPr>
      <w:r w:rsidRPr="00536E3A">
        <w:rPr>
          <w:rFonts w:ascii="Arial" w:eastAsia="Times New Roman" w:hAnsi="Arial" w:cs="Arial"/>
          <w:b/>
          <w:sz w:val="24"/>
          <w:szCs w:val="24"/>
          <w:lang w:val="en-GB" w:eastAsia="fr-FR"/>
        </w:rPr>
        <w:t xml:space="preserve">Material and methods </w:t>
      </w:r>
    </w:p>
    <w:p w:rsidR="00536E3A" w:rsidRPr="00536E3A" w:rsidRDefault="00536E3A" w:rsidP="00536E3A">
      <w:pPr>
        <w:pStyle w:val="ANMheading2"/>
      </w:pPr>
      <w:r w:rsidRPr="00536E3A">
        <w:t>Environmental assessment</w:t>
      </w:r>
    </w:p>
    <w:p w:rsidR="00536E3A" w:rsidRPr="00536E3A" w:rsidRDefault="00536E3A" w:rsidP="00536E3A">
      <w:pPr>
        <w:rPr>
          <w:rFonts w:ascii="Arial" w:hAnsi="Arial" w:cs="Arial"/>
          <w:sz w:val="24"/>
          <w:szCs w:val="24"/>
        </w:rPr>
      </w:pPr>
      <w:r w:rsidRPr="00536E3A">
        <w:rPr>
          <w:rFonts w:ascii="Arial" w:hAnsi="Arial" w:cs="Arial"/>
          <w:sz w:val="24"/>
          <w:szCs w:val="24"/>
        </w:rPr>
        <w:t>During Period 1, carbon dioxide (CO2, ppm), ambient temperature (°C) and relative humidity (RH %) were recorded in both experimental rooms for the two replicates with a probe (General Alert, Saffron Walden, UK) placed at two meters above the floor. Measurements of ammonia (NH4, ppm) were carried out at 30 cm above floor in two replicates with a manual pump (</w:t>
      </w:r>
      <w:proofErr w:type="spellStart"/>
      <w:r w:rsidRPr="00536E3A">
        <w:rPr>
          <w:rFonts w:ascii="Arial" w:hAnsi="Arial" w:cs="Arial"/>
          <w:sz w:val="24"/>
          <w:szCs w:val="24"/>
        </w:rPr>
        <w:t>Drager</w:t>
      </w:r>
      <w:proofErr w:type="spellEnd"/>
      <w:r w:rsidRPr="00536E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6E3A">
        <w:rPr>
          <w:rFonts w:ascii="Arial" w:hAnsi="Arial" w:cs="Arial"/>
          <w:sz w:val="24"/>
          <w:szCs w:val="24"/>
        </w:rPr>
        <w:t>Draeger</w:t>
      </w:r>
      <w:proofErr w:type="spellEnd"/>
      <w:r w:rsidRPr="00536E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6E3A">
        <w:rPr>
          <w:rFonts w:ascii="Arial" w:hAnsi="Arial" w:cs="Arial"/>
          <w:sz w:val="24"/>
          <w:szCs w:val="24"/>
        </w:rPr>
        <w:t>Accuro</w:t>
      </w:r>
      <w:proofErr w:type="spellEnd"/>
      <w:r w:rsidRPr="00536E3A">
        <w:rPr>
          <w:rFonts w:ascii="Arial" w:hAnsi="Arial" w:cs="Arial"/>
          <w:sz w:val="24"/>
          <w:szCs w:val="24"/>
        </w:rPr>
        <w:t xml:space="preserve"> Manual Tube Pump) at W0, W2 and W5. These measurements were done between 0800 and 0900 h in three locations of the two rooms (central and at the two extremities). </w:t>
      </w:r>
    </w:p>
    <w:p w:rsidR="00536E3A" w:rsidRPr="00536E3A" w:rsidRDefault="00536E3A" w:rsidP="00536E3A">
      <w:pPr>
        <w:rPr>
          <w:rFonts w:ascii="Arial" w:hAnsi="Arial" w:cs="Arial"/>
          <w:sz w:val="24"/>
          <w:szCs w:val="24"/>
        </w:rPr>
      </w:pPr>
      <w:r w:rsidRPr="00536E3A">
        <w:rPr>
          <w:rFonts w:ascii="Arial" w:hAnsi="Arial" w:cs="Arial"/>
          <w:sz w:val="24"/>
          <w:szCs w:val="24"/>
        </w:rPr>
        <w:t xml:space="preserve"> For the second experimental replicate, total airborne dust (µg/m3) was continuously sampled during 24h at W2 and W4. These measures were performed at 30 cm above the floor using a photometric method (</w:t>
      </w:r>
      <w:proofErr w:type="spellStart"/>
      <w:r w:rsidRPr="00536E3A">
        <w:rPr>
          <w:rFonts w:ascii="Arial" w:hAnsi="Arial" w:cs="Arial"/>
          <w:sz w:val="24"/>
          <w:szCs w:val="24"/>
        </w:rPr>
        <w:t>Thermo</w:t>
      </w:r>
      <w:proofErr w:type="spellEnd"/>
      <w:r w:rsidRPr="00536E3A">
        <w:rPr>
          <w:rFonts w:ascii="Arial" w:hAnsi="Arial" w:cs="Arial"/>
          <w:sz w:val="24"/>
          <w:szCs w:val="24"/>
        </w:rPr>
        <w:t xml:space="preserve"> Scientific™ </w:t>
      </w:r>
      <w:proofErr w:type="spellStart"/>
      <w:r w:rsidRPr="00536E3A">
        <w:rPr>
          <w:rFonts w:ascii="Arial" w:hAnsi="Arial" w:cs="Arial"/>
          <w:sz w:val="24"/>
          <w:szCs w:val="24"/>
        </w:rPr>
        <w:t>DataRAM</w:t>
      </w:r>
      <w:proofErr w:type="spellEnd"/>
      <w:r w:rsidRPr="00536E3A">
        <w:rPr>
          <w:rFonts w:ascii="Arial" w:hAnsi="Arial" w:cs="Arial"/>
          <w:sz w:val="24"/>
          <w:szCs w:val="24"/>
        </w:rPr>
        <w:t xml:space="preserve">™ pDR-1500). Within room, total dust values, gas concentrations, temperature and RH recorded during Period 1 were pooled and presented as median values. </w:t>
      </w:r>
    </w:p>
    <w:p w:rsidR="00536E3A" w:rsidRDefault="00536E3A" w:rsidP="00536E3A">
      <w:pPr>
        <w:spacing w:after="0" w:line="480" w:lineRule="auto"/>
        <w:rPr>
          <w:rFonts w:ascii="Arial" w:eastAsia="Times New Roman" w:hAnsi="Arial" w:cs="Times New Roman"/>
          <w:b/>
          <w:sz w:val="24"/>
          <w:szCs w:val="24"/>
          <w:lang w:val="en-GB" w:eastAsia="fr-FR"/>
        </w:rPr>
      </w:pPr>
    </w:p>
    <w:p w:rsidR="00536E3A" w:rsidRDefault="00536E3A" w:rsidP="00536E3A">
      <w:pPr>
        <w:spacing w:after="0" w:line="480" w:lineRule="auto"/>
        <w:rPr>
          <w:rFonts w:ascii="Arial" w:eastAsia="Times New Roman" w:hAnsi="Arial" w:cs="Times New Roman"/>
          <w:b/>
          <w:sz w:val="24"/>
          <w:szCs w:val="24"/>
          <w:lang w:val="en-GB" w:eastAsia="fr-FR"/>
        </w:rPr>
      </w:pPr>
    </w:p>
    <w:p w:rsidR="00536E3A" w:rsidRPr="00536E3A" w:rsidRDefault="00536E3A" w:rsidP="00536E3A">
      <w:pPr>
        <w:spacing w:after="0" w:line="480" w:lineRule="auto"/>
        <w:rPr>
          <w:rFonts w:ascii="Arial" w:eastAsia="Times New Roman" w:hAnsi="Arial" w:cs="Arial"/>
          <w:b/>
          <w:i/>
          <w:sz w:val="24"/>
          <w:szCs w:val="24"/>
          <w:lang w:val="en-GB" w:eastAsia="fr-FR"/>
        </w:rPr>
      </w:pPr>
      <w:r w:rsidRPr="00536E3A">
        <w:rPr>
          <w:rFonts w:ascii="Arial" w:eastAsia="Times New Roman" w:hAnsi="Arial" w:cs="Times New Roman"/>
          <w:b/>
          <w:sz w:val="24"/>
          <w:szCs w:val="24"/>
          <w:lang w:val="en-GB" w:eastAsia="fr-FR"/>
        </w:rPr>
        <w:lastRenderedPageBreak/>
        <w:t xml:space="preserve">Results </w:t>
      </w:r>
    </w:p>
    <w:p w:rsidR="00536E3A" w:rsidRPr="00536E3A" w:rsidRDefault="00536E3A" w:rsidP="00536E3A">
      <w:pPr>
        <w:pStyle w:val="ANMheading2"/>
      </w:pPr>
      <w:r w:rsidRPr="00536E3A">
        <w:t xml:space="preserve">Environmental assessment </w:t>
      </w:r>
    </w:p>
    <w:p w:rsidR="00536E3A" w:rsidRPr="00536E3A" w:rsidRDefault="00536E3A" w:rsidP="00536E3A">
      <w:pPr>
        <w:rPr>
          <w:rFonts w:ascii="Arial" w:hAnsi="Arial" w:cs="Arial"/>
          <w:sz w:val="24"/>
          <w:szCs w:val="24"/>
        </w:rPr>
      </w:pPr>
      <w:r w:rsidRPr="00536E3A">
        <w:rPr>
          <w:rFonts w:ascii="Arial" w:hAnsi="Arial" w:cs="Arial"/>
          <w:sz w:val="24"/>
          <w:szCs w:val="24"/>
        </w:rPr>
        <w:t>During Period 1, the median values for temperature, RH, CO2, ammonia, and total dust in the poor and good conditions were, respectively:  20.7°C (ran</w:t>
      </w:r>
      <w:bookmarkStart w:id="0" w:name="_GoBack"/>
      <w:bookmarkEnd w:id="0"/>
      <w:r w:rsidRPr="00536E3A">
        <w:rPr>
          <w:rFonts w:ascii="Arial" w:hAnsi="Arial" w:cs="Arial"/>
          <w:sz w:val="24"/>
          <w:szCs w:val="24"/>
        </w:rPr>
        <w:t xml:space="preserve">ge: 10.8°C - 26.4°C; n=1954) and 21°C (range: 12.3°C - 26°C; n=1954); 74.5 % (range: 39.9 % - 92.7 %, n=1954) and 54.5 % (range: 29.7 % - 84.4 %; n=1954); 1060 ppm (range: 224 ppm - 2277 ppm, n=1906) and 1186 ppm (range: 354 ppm - 2313 ppm, n=1954); 7.25 ppm (n=22) with 6 measures below the detectable limit and 3.5 ppm (n=14) with 22 measures below the detectable limit (5 ppm) and; 20.5 µg/m3 (range: 18.9 µg/m3 - 22.6 µg/m3, n=9555) and 47.1 µg/m3 (range: 7.2 µg/m3 – 174.0 µg/m3, n=9555). </w:t>
      </w:r>
    </w:p>
    <w:p w:rsidR="00536E3A" w:rsidRDefault="00536E3A" w:rsidP="00536E3A"/>
    <w:p w:rsidR="00536E3A" w:rsidRDefault="00536E3A" w:rsidP="00536E3A"/>
    <w:p w:rsidR="00536E3A" w:rsidRDefault="00536E3A" w:rsidP="00536E3A"/>
    <w:p w:rsidR="00536E3A" w:rsidRDefault="00536E3A" w:rsidP="00536E3A"/>
    <w:p w:rsidR="00536E3A" w:rsidRDefault="00536E3A" w:rsidP="00536E3A"/>
    <w:p w:rsidR="00536E3A" w:rsidRDefault="00536E3A" w:rsidP="00536E3A"/>
    <w:p w:rsidR="002469BF" w:rsidRDefault="00DF2BA3"/>
    <w:sectPr w:rsidR="002469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3A"/>
    <w:rsid w:val="00035A8B"/>
    <w:rsid w:val="00177FC9"/>
    <w:rsid w:val="00536E3A"/>
    <w:rsid w:val="00DF2BA3"/>
    <w:rsid w:val="00F2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heading2">
    <w:name w:val="ANM heading 2"/>
    <w:next w:val="Normal"/>
    <w:uiPriority w:val="99"/>
    <w:qFormat/>
    <w:rsid w:val="00536E3A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heading2">
    <w:name w:val="ANM heading 2"/>
    <w:next w:val="Normal"/>
    <w:uiPriority w:val="99"/>
    <w:qFormat/>
    <w:rsid w:val="00536E3A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achatelet</dc:creator>
  <cp:lastModifiedBy>achatelet</cp:lastModifiedBy>
  <cp:revision>2</cp:revision>
  <dcterms:created xsi:type="dcterms:W3CDTF">2017-05-09T07:01:00Z</dcterms:created>
  <dcterms:modified xsi:type="dcterms:W3CDTF">2017-05-09T07:01:00Z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