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3B" w:rsidRDefault="00BD4538">
      <w:pP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Supplementary File – for Online Publication only</w:t>
      </w:r>
    </w:p>
    <w:p w:rsidR="00BD4538" w:rsidRDefault="00BD4538" w:rsidP="00BD453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25A70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b/>
          <w:sz w:val="24"/>
          <w:szCs w:val="24"/>
          <w:lang w:val="en-US"/>
        </w:rPr>
        <w:t>o</w:t>
      </w:r>
      <w:r w:rsidRPr="00C25A70">
        <w:rPr>
          <w:rFonts w:ascii="Arial" w:hAnsi="Arial" w:cs="Arial"/>
          <w:b/>
          <w:sz w:val="24"/>
          <w:szCs w:val="24"/>
          <w:lang w:val="en-US"/>
        </w:rPr>
        <w:t xml:space="preserve">ccurrence of </w:t>
      </w:r>
      <w:r>
        <w:rPr>
          <w:rFonts w:ascii="Arial" w:hAnsi="Arial" w:cs="Arial"/>
          <w:b/>
          <w:sz w:val="24"/>
          <w:szCs w:val="24"/>
          <w:lang w:val="en-US"/>
        </w:rPr>
        <w:t>extreme feather peckers in laying h</w:t>
      </w:r>
      <w:r w:rsidRPr="00C25A70">
        <w:rPr>
          <w:rFonts w:ascii="Arial" w:hAnsi="Arial" w:cs="Arial"/>
          <w:b/>
          <w:sz w:val="24"/>
          <w:szCs w:val="24"/>
          <w:lang w:val="en-US"/>
        </w:rPr>
        <w:t>ens</w:t>
      </w:r>
    </w:p>
    <w:p w:rsidR="00BD4538" w:rsidRPr="001174C0" w:rsidRDefault="00BD4538" w:rsidP="00BD453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174C0">
        <w:rPr>
          <w:rFonts w:ascii="Arial" w:hAnsi="Arial" w:cs="Arial"/>
          <w:sz w:val="24"/>
          <w:szCs w:val="24"/>
          <w:lang w:val="en-US"/>
        </w:rPr>
        <w:t xml:space="preserve">H.-P. </w:t>
      </w:r>
      <w:proofErr w:type="spellStart"/>
      <w:r w:rsidRPr="001174C0">
        <w:rPr>
          <w:rFonts w:ascii="Arial" w:hAnsi="Arial" w:cs="Arial"/>
          <w:sz w:val="24"/>
          <w:szCs w:val="24"/>
          <w:lang w:val="en-US"/>
        </w:rPr>
        <w:t>Piepho</w:t>
      </w:r>
      <w:proofErr w:type="spellEnd"/>
      <w:r w:rsidRPr="001174C0">
        <w:rPr>
          <w:rFonts w:ascii="Arial" w:hAnsi="Arial" w:cs="Arial"/>
          <w:sz w:val="24"/>
          <w:szCs w:val="24"/>
          <w:lang w:val="en-US"/>
        </w:rPr>
        <w:t xml:space="preserve">, V. </w:t>
      </w:r>
      <w:proofErr w:type="gramStart"/>
      <w:r w:rsidRPr="001174C0">
        <w:rPr>
          <w:rFonts w:ascii="Arial" w:hAnsi="Arial" w:cs="Arial"/>
          <w:sz w:val="24"/>
          <w:szCs w:val="24"/>
          <w:lang w:val="en-US"/>
        </w:rPr>
        <w:t>Lutz</w:t>
      </w:r>
      <w:r w:rsidRPr="001174C0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1174C0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Pr="001174C0">
        <w:rPr>
          <w:rFonts w:ascii="Arial" w:hAnsi="Arial" w:cs="Arial"/>
          <w:sz w:val="24"/>
          <w:szCs w:val="24"/>
          <w:lang w:val="en-US"/>
        </w:rPr>
        <w:t xml:space="preserve"> J.B. </w:t>
      </w:r>
      <w:proofErr w:type="spellStart"/>
      <w:r w:rsidRPr="001174C0">
        <w:rPr>
          <w:rFonts w:ascii="Arial" w:hAnsi="Arial" w:cs="Arial"/>
          <w:sz w:val="24"/>
          <w:szCs w:val="24"/>
          <w:lang w:val="en-US"/>
        </w:rPr>
        <w:t>Kjaer</w:t>
      </w:r>
      <w:proofErr w:type="spellEnd"/>
      <w:r w:rsidRPr="001174C0">
        <w:rPr>
          <w:rFonts w:ascii="Arial" w:hAnsi="Arial" w:cs="Arial"/>
          <w:sz w:val="24"/>
          <w:szCs w:val="24"/>
          <w:lang w:val="en-US"/>
        </w:rPr>
        <w:t xml:space="preserve">, M. </w:t>
      </w:r>
      <w:proofErr w:type="spellStart"/>
      <w:r w:rsidRPr="001174C0">
        <w:rPr>
          <w:rFonts w:ascii="Arial" w:hAnsi="Arial" w:cs="Arial"/>
          <w:sz w:val="24"/>
          <w:szCs w:val="24"/>
          <w:lang w:val="en-US"/>
        </w:rPr>
        <w:t>Grashorn</w:t>
      </w:r>
      <w:proofErr w:type="spellEnd"/>
      <w:r w:rsidRPr="001174C0">
        <w:rPr>
          <w:rFonts w:ascii="Arial" w:hAnsi="Arial" w:cs="Arial"/>
          <w:sz w:val="24"/>
          <w:szCs w:val="24"/>
          <w:lang w:val="en-US"/>
        </w:rPr>
        <w:t>, J. Bennewitz</w:t>
      </w:r>
      <w:r w:rsidRPr="001174C0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1174C0">
        <w:rPr>
          <w:rFonts w:ascii="Arial" w:hAnsi="Arial" w:cs="Arial"/>
          <w:sz w:val="24"/>
          <w:szCs w:val="24"/>
          <w:lang w:val="en-US"/>
        </w:rPr>
        <w:t xml:space="preserve">and W. Bessei </w:t>
      </w:r>
    </w:p>
    <w:p w:rsidR="00BD4538" w:rsidRDefault="00BD4538">
      <w:pP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Supplementary Table S1</w:t>
      </w:r>
    </w:p>
    <w:p w:rsidR="00630D60" w:rsidRPr="003F293B" w:rsidRDefault="00DD1B08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3F293B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Results of c</w:t>
      </w:r>
      <w:r w:rsidR="00A26BBB" w:rsidRPr="003F293B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omparison</w:t>
      </w:r>
      <w:r w:rsidR="003F293B" w:rsidRPr="003F293B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</w:t>
      </w:r>
      <w:r w:rsidR="00A26BBB" w:rsidRPr="003F293B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of </w:t>
      </w:r>
      <w:r w:rsidRPr="003F293B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High Feather Peckers (HFP) versus Low Feather Peckers (LFP) for proportion of Extreme Feather Peck</w:t>
      </w:r>
      <w:r w:rsidR="003F293B" w:rsidRPr="003F293B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ing</w:t>
      </w:r>
      <w:r w:rsidRPr="003F293B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(EFP) and mean bouts per bird (bpb)</w:t>
      </w:r>
      <w:r w:rsidR="003F293B" w:rsidRPr="003F293B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,</w:t>
      </w:r>
      <w:r w:rsidR="00D619F8" w:rsidRPr="003F293B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and </w:t>
      </w:r>
      <w:r w:rsidRPr="003F293B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comparison of EFP versus remaining birds within HFP and LFP</w:t>
      </w:r>
      <w:r w:rsidR="00D619F8" w:rsidRPr="003F293B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, </w:t>
      </w:r>
      <w:r w:rsidRPr="003F293B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using z-statistics.</w:t>
      </w:r>
      <w:proofErr w:type="gramEnd"/>
      <w:r w:rsidRPr="003F293B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 </w:t>
      </w:r>
      <w:r w:rsidR="00A26BBB" w:rsidRPr="003F293B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Level of significance: z &gt; 1.98 (p = 0.05) </w:t>
      </w:r>
    </w:p>
    <w:tbl>
      <w:tblPr>
        <w:tblStyle w:val="Tabellengitternetz"/>
        <w:tblpPr w:leftFromText="141" w:rightFromText="141" w:vertAnchor="text" w:horzAnchor="margin" w:tblpY="440"/>
        <w:tblOverlap w:val="never"/>
        <w:tblW w:w="0" w:type="auto"/>
        <w:tblLayout w:type="fixed"/>
        <w:tblLook w:val="04A0"/>
      </w:tblPr>
      <w:tblGrid>
        <w:gridCol w:w="1526"/>
        <w:gridCol w:w="850"/>
        <w:gridCol w:w="1276"/>
        <w:gridCol w:w="1418"/>
        <w:gridCol w:w="1559"/>
        <w:gridCol w:w="1276"/>
        <w:gridCol w:w="1383"/>
      </w:tblGrid>
      <w:tr w:rsidR="00630D60" w:rsidRPr="00630D60" w:rsidTr="00630D60">
        <w:tc>
          <w:tcPr>
            <w:tcW w:w="1526" w:type="dxa"/>
            <w:vAlign w:val="center"/>
          </w:tcPr>
          <w:p w:rsidR="00630D60" w:rsidRPr="003F293B" w:rsidRDefault="00CE780E" w:rsidP="00630D60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293B">
              <w:rPr>
                <w:rFonts w:ascii="Calibri" w:hAnsi="Calibri"/>
                <w:b/>
                <w:color w:val="000000"/>
                <w:lang w:val="en-US"/>
              </w:rPr>
              <w:t>Year* (</w:t>
            </w:r>
            <w:r w:rsidR="00630D60" w:rsidRPr="003F293B">
              <w:rPr>
                <w:rFonts w:ascii="Calibri" w:hAnsi="Calibri"/>
                <w:b/>
                <w:color w:val="000000"/>
                <w:lang w:val="en-US"/>
              </w:rPr>
              <w:t>Generation</w:t>
            </w:r>
            <w:r w:rsidRPr="003F293B">
              <w:rPr>
                <w:rFonts w:ascii="Calibri" w:hAnsi="Calibri"/>
                <w:b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630D60" w:rsidRPr="003F293B" w:rsidRDefault="00630D60" w:rsidP="00630D60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293B">
              <w:rPr>
                <w:rFonts w:ascii="Calibri" w:hAnsi="Calibri"/>
                <w:b/>
                <w:color w:val="000000"/>
                <w:lang w:val="en-US"/>
              </w:rPr>
              <w:t>N</w:t>
            </w:r>
          </w:p>
        </w:tc>
        <w:tc>
          <w:tcPr>
            <w:tcW w:w="1276" w:type="dxa"/>
            <w:vAlign w:val="center"/>
          </w:tcPr>
          <w:p w:rsidR="00630D60" w:rsidRPr="003F293B" w:rsidRDefault="00630D60" w:rsidP="00630D60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293B">
              <w:rPr>
                <w:rFonts w:ascii="Calibri" w:hAnsi="Calibri"/>
                <w:b/>
                <w:color w:val="000000"/>
                <w:lang w:val="en-US"/>
              </w:rPr>
              <w:t>z-values</w:t>
            </w:r>
          </w:p>
          <w:p w:rsidR="00630D60" w:rsidRPr="003F293B" w:rsidRDefault="00630D60" w:rsidP="00630D60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293B">
              <w:rPr>
                <w:rFonts w:ascii="Calibri" w:hAnsi="Calibri"/>
                <w:b/>
                <w:color w:val="000000"/>
                <w:lang w:val="en-US"/>
              </w:rPr>
              <w:t>Proportion of  EFP</w:t>
            </w:r>
          </w:p>
          <w:p w:rsidR="00630D60" w:rsidRPr="003F293B" w:rsidRDefault="00630D60" w:rsidP="00630D60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293B">
              <w:rPr>
                <w:rFonts w:ascii="Calibri" w:hAnsi="Calibri"/>
                <w:b/>
                <w:color w:val="000000"/>
                <w:lang w:val="en-US"/>
              </w:rPr>
              <w:t>HFP vs. LFP</w:t>
            </w:r>
          </w:p>
        </w:tc>
        <w:tc>
          <w:tcPr>
            <w:tcW w:w="1418" w:type="dxa"/>
            <w:vAlign w:val="center"/>
          </w:tcPr>
          <w:p w:rsidR="00630D60" w:rsidRPr="003F293B" w:rsidRDefault="00630D60" w:rsidP="00630D60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293B">
              <w:rPr>
                <w:rFonts w:ascii="Calibri" w:hAnsi="Calibri"/>
                <w:b/>
                <w:color w:val="000000"/>
                <w:lang w:val="en-US"/>
              </w:rPr>
              <w:t>z-values</w:t>
            </w:r>
          </w:p>
          <w:p w:rsidR="00630D60" w:rsidRPr="003F293B" w:rsidRDefault="00630D60" w:rsidP="00630D60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293B">
              <w:rPr>
                <w:rFonts w:ascii="Calibri" w:hAnsi="Calibri"/>
                <w:b/>
                <w:color w:val="000000"/>
                <w:lang w:val="en-US"/>
              </w:rPr>
              <w:t>Mean bpb of EFP</w:t>
            </w:r>
          </w:p>
          <w:p w:rsidR="00630D60" w:rsidRPr="003F293B" w:rsidRDefault="00630D60" w:rsidP="00630D60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293B">
              <w:rPr>
                <w:rFonts w:ascii="Calibri" w:hAnsi="Calibri"/>
                <w:b/>
                <w:color w:val="000000"/>
                <w:lang w:val="en-US"/>
              </w:rPr>
              <w:t>HFP vs. LFP</w:t>
            </w:r>
          </w:p>
        </w:tc>
        <w:tc>
          <w:tcPr>
            <w:tcW w:w="1559" w:type="dxa"/>
            <w:vAlign w:val="center"/>
          </w:tcPr>
          <w:p w:rsidR="00630D60" w:rsidRPr="003F293B" w:rsidRDefault="00630D60" w:rsidP="00630D60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293B">
              <w:rPr>
                <w:rFonts w:ascii="Calibri" w:hAnsi="Calibri"/>
                <w:b/>
                <w:color w:val="000000"/>
                <w:lang w:val="en-US"/>
              </w:rPr>
              <w:t>z-values</w:t>
            </w:r>
          </w:p>
          <w:p w:rsidR="00630D60" w:rsidRPr="003F293B" w:rsidRDefault="00630D60" w:rsidP="00630D60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293B">
              <w:rPr>
                <w:rFonts w:ascii="Calibri" w:hAnsi="Calibri"/>
                <w:b/>
                <w:color w:val="000000"/>
                <w:lang w:val="en-US"/>
              </w:rPr>
              <w:t xml:space="preserve">Mean bpb of remaining </w:t>
            </w:r>
          </w:p>
          <w:p w:rsidR="00630D60" w:rsidRPr="003F293B" w:rsidRDefault="00630D60" w:rsidP="00630D60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293B">
              <w:rPr>
                <w:rFonts w:ascii="Calibri" w:hAnsi="Calibri"/>
                <w:b/>
                <w:color w:val="000000"/>
                <w:lang w:val="en-US"/>
              </w:rPr>
              <w:t>HFP vs. LFP</w:t>
            </w:r>
          </w:p>
        </w:tc>
        <w:tc>
          <w:tcPr>
            <w:tcW w:w="1276" w:type="dxa"/>
            <w:vAlign w:val="center"/>
          </w:tcPr>
          <w:p w:rsidR="00630D60" w:rsidRPr="003F293B" w:rsidRDefault="00630D60" w:rsidP="00630D60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293B">
              <w:rPr>
                <w:rFonts w:ascii="Calibri" w:hAnsi="Calibri"/>
                <w:b/>
                <w:color w:val="000000"/>
                <w:lang w:val="en-US"/>
              </w:rPr>
              <w:t>z-values</w:t>
            </w:r>
          </w:p>
          <w:p w:rsidR="00630D60" w:rsidRPr="003F293B" w:rsidRDefault="00630D60" w:rsidP="00630D60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293B">
              <w:rPr>
                <w:rFonts w:ascii="Calibri" w:hAnsi="Calibri"/>
                <w:b/>
                <w:color w:val="000000"/>
                <w:lang w:val="en-US"/>
              </w:rPr>
              <w:t>Mean bpb</w:t>
            </w:r>
          </w:p>
          <w:p w:rsidR="00630D60" w:rsidRPr="003F293B" w:rsidRDefault="00630D60" w:rsidP="00630D60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293B">
              <w:rPr>
                <w:rFonts w:ascii="Calibri" w:hAnsi="Calibri"/>
                <w:b/>
                <w:color w:val="000000"/>
                <w:lang w:val="en-US"/>
              </w:rPr>
              <w:t xml:space="preserve">of EFP </w:t>
            </w:r>
            <w:proofErr w:type="spellStart"/>
            <w:r w:rsidRPr="003F293B">
              <w:rPr>
                <w:rFonts w:ascii="Calibri" w:hAnsi="Calibri"/>
                <w:b/>
                <w:color w:val="000000"/>
                <w:lang w:val="en-US"/>
              </w:rPr>
              <w:t>vs</w:t>
            </w:r>
            <w:proofErr w:type="spellEnd"/>
            <w:r w:rsidRPr="003F293B">
              <w:rPr>
                <w:rFonts w:ascii="Calibri" w:hAnsi="Calibri"/>
                <w:b/>
                <w:color w:val="000000"/>
                <w:lang w:val="en-US"/>
              </w:rPr>
              <w:t xml:space="preserve"> remaining within HFP</w:t>
            </w:r>
          </w:p>
        </w:tc>
        <w:tc>
          <w:tcPr>
            <w:tcW w:w="1383" w:type="dxa"/>
            <w:vAlign w:val="center"/>
          </w:tcPr>
          <w:p w:rsidR="00630D60" w:rsidRPr="003F293B" w:rsidRDefault="00630D60" w:rsidP="00630D60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293B">
              <w:rPr>
                <w:rFonts w:ascii="Calibri" w:hAnsi="Calibri"/>
                <w:b/>
                <w:color w:val="000000"/>
                <w:lang w:val="en-US"/>
              </w:rPr>
              <w:t>z-values</w:t>
            </w:r>
          </w:p>
          <w:p w:rsidR="00630D60" w:rsidRPr="003F293B" w:rsidRDefault="00630D60" w:rsidP="00630D60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293B">
              <w:rPr>
                <w:rFonts w:ascii="Calibri" w:hAnsi="Calibri"/>
                <w:b/>
                <w:color w:val="000000"/>
                <w:lang w:val="en-US"/>
              </w:rPr>
              <w:t>Mean bpb</w:t>
            </w:r>
          </w:p>
          <w:p w:rsidR="00630D60" w:rsidRPr="003F293B" w:rsidRDefault="00630D60" w:rsidP="00630D60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293B">
              <w:rPr>
                <w:rFonts w:ascii="Calibri" w:hAnsi="Calibri"/>
                <w:b/>
                <w:color w:val="000000"/>
                <w:lang w:val="en-US"/>
              </w:rPr>
              <w:t xml:space="preserve">of EFP </w:t>
            </w:r>
            <w:proofErr w:type="spellStart"/>
            <w:r w:rsidRPr="003F293B">
              <w:rPr>
                <w:rFonts w:ascii="Calibri" w:hAnsi="Calibri"/>
                <w:b/>
                <w:color w:val="000000"/>
                <w:lang w:val="en-US"/>
              </w:rPr>
              <w:t>vs</w:t>
            </w:r>
            <w:proofErr w:type="spellEnd"/>
            <w:r w:rsidRPr="003F293B">
              <w:rPr>
                <w:rFonts w:ascii="Calibri" w:hAnsi="Calibri"/>
                <w:b/>
                <w:color w:val="000000"/>
                <w:lang w:val="en-US"/>
              </w:rPr>
              <w:t xml:space="preserve"> remaining  within</w:t>
            </w:r>
          </w:p>
          <w:p w:rsidR="00630D60" w:rsidRPr="003F293B" w:rsidRDefault="00630D60" w:rsidP="00630D60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293B">
              <w:rPr>
                <w:rFonts w:ascii="Calibri" w:hAnsi="Calibri"/>
                <w:b/>
                <w:color w:val="000000"/>
                <w:lang w:val="en-US"/>
              </w:rPr>
              <w:t>LFP</w:t>
            </w:r>
          </w:p>
        </w:tc>
      </w:tr>
      <w:tr w:rsidR="00630D60" w:rsidRPr="001451D8" w:rsidTr="00630D60">
        <w:tc>
          <w:tcPr>
            <w:tcW w:w="152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2007 (5)</w:t>
            </w:r>
          </w:p>
        </w:tc>
        <w:tc>
          <w:tcPr>
            <w:tcW w:w="850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127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0,17</w:t>
            </w:r>
          </w:p>
        </w:tc>
        <w:tc>
          <w:tcPr>
            <w:tcW w:w="1418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15,06</w:t>
            </w:r>
          </w:p>
        </w:tc>
        <w:tc>
          <w:tcPr>
            <w:tcW w:w="1559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10,57</w:t>
            </w:r>
          </w:p>
        </w:tc>
        <w:tc>
          <w:tcPr>
            <w:tcW w:w="127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17,51</w:t>
            </w:r>
          </w:p>
        </w:tc>
        <w:tc>
          <w:tcPr>
            <w:tcW w:w="1383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4,27</w:t>
            </w:r>
          </w:p>
        </w:tc>
      </w:tr>
      <w:tr w:rsidR="00630D60" w:rsidTr="00630D60">
        <w:tc>
          <w:tcPr>
            <w:tcW w:w="152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2008 (6)</w:t>
            </w:r>
          </w:p>
        </w:tc>
        <w:tc>
          <w:tcPr>
            <w:tcW w:w="850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127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2,61</w:t>
            </w:r>
          </w:p>
        </w:tc>
        <w:tc>
          <w:tcPr>
            <w:tcW w:w="1418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16,85</w:t>
            </w:r>
          </w:p>
        </w:tc>
        <w:tc>
          <w:tcPr>
            <w:tcW w:w="1559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15,75</w:t>
            </w:r>
          </w:p>
        </w:tc>
        <w:tc>
          <w:tcPr>
            <w:tcW w:w="127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23,11</w:t>
            </w:r>
          </w:p>
        </w:tc>
        <w:tc>
          <w:tcPr>
            <w:tcW w:w="1383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4,48</w:t>
            </w:r>
          </w:p>
        </w:tc>
      </w:tr>
      <w:tr w:rsidR="00630D60" w:rsidTr="00630D60">
        <w:tc>
          <w:tcPr>
            <w:tcW w:w="152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2009 (7)</w:t>
            </w:r>
          </w:p>
        </w:tc>
        <w:tc>
          <w:tcPr>
            <w:tcW w:w="850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141</w:t>
            </w:r>
          </w:p>
        </w:tc>
        <w:tc>
          <w:tcPr>
            <w:tcW w:w="127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5,43</w:t>
            </w:r>
          </w:p>
        </w:tc>
        <w:tc>
          <w:tcPr>
            <w:tcW w:w="1418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1,05</w:t>
            </w:r>
          </w:p>
        </w:tc>
        <w:tc>
          <w:tcPr>
            <w:tcW w:w="1559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6,69</w:t>
            </w:r>
          </w:p>
        </w:tc>
        <w:tc>
          <w:tcPr>
            <w:tcW w:w="127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15,66</w:t>
            </w:r>
          </w:p>
        </w:tc>
        <w:tc>
          <w:tcPr>
            <w:tcW w:w="1383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4,90</w:t>
            </w:r>
          </w:p>
        </w:tc>
      </w:tr>
      <w:tr w:rsidR="00630D60" w:rsidTr="00630D60">
        <w:tc>
          <w:tcPr>
            <w:tcW w:w="152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2010 (8)</w:t>
            </w:r>
          </w:p>
        </w:tc>
        <w:tc>
          <w:tcPr>
            <w:tcW w:w="850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211</w:t>
            </w:r>
          </w:p>
        </w:tc>
        <w:tc>
          <w:tcPr>
            <w:tcW w:w="127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0,38</w:t>
            </w:r>
          </w:p>
        </w:tc>
        <w:tc>
          <w:tcPr>
            <w:tcW w:w="1418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18,12</w:t>
            </w:r>
          </w:p>
        </w:tc>
        <w:tc>
          <w:tcPr>
            <w:tcW w:w="1559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14,50</w:t>
            </w:r>
          </w:p>
        </w:tc>
        <w:tc>
          <w:tcPr>
            <w:tcW w:w="127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23,33</w:t>
            </w:r>
          </w:p>
        </w:tc>
        <w:tc>
          <w:tcPr>
            <w:tcW w:w="1383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11,18</w:t>
            </w:r>
          </w:p>
        </w:tc>
      </w:tr>
      <w:tr w:rsidR="00630D60" w:rsidTr="00630D60">
        <w:tc>
          <w:tcPr>
            <w:tcW w:w="152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2011 (9)</w:t>
            </w:r>
          </w:p>
        </w:tc>
        <w:tc>
          <w:tcPr>
            <w:tcW w:w="850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153</w:t>
            </w:r>
          </w:p>
        </w:tc>
        <w:tc>
          <w:tcPr>
            <w:tcW w:w="127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1,04</w:t>
            </w:r>
          </w:p>
        </w:tc>
        <w:tc>
          <w:tcPr>
            <w:tcW w:w="1418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8,77</w:t>
            </w:r>
          </w:p>
        </w:tc>
        <w:tc>
          <w:tcPr>
            <w:tcW w:w="1559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7,45</w:t>
            </w:r>
          </w:p>
        </w:tc>
        <w:tc>
          <w:tcPr>
            <w:tcW w:w="127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16,17</w:t>
            </w:r>
          </w:p>
        </w:tc>
        <w:tc>
          <w:tcPr>
            <w:tcW w:w="1383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0,59</w:t>
            </w:r>
          </w:p>
        </w:tc>
      </w:tr>
      <w:tr w:rsidR="00630D60" w:rsidTr="00630D60">
        <w:tc>
          <w:tcPr>
            <w:tcW w:w="152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2013 (10)</w:t>
            </w:r>
          </w:p>
        </w:tc>
        <w:tc>
          <w:tcPr>
            <w:tcW w:w="850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182</w:t>
            </w:r>
          </w:p>
        </w:tc>
        <w:tc>
          <w:tcPr>
            <w:tcW w:w="127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0,91</w:t>
            </w:r>
          </w:p>
        </w:tc>
        <w:tc>
          <w:tcPr>
            <w:tcW w:w="1418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17,09</w:t>
            </w:r>
          </w:p>
        </w:tc>
        <w:tc>
          <w:tcPr>
            <w:tcW w:w="1559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11,73</w:t>
            </w:r>
          </w:p>
        </w:tc>
        <w:tc>
          <w:tcPr>
            <w:tcW w:w="127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19,21</w:t>
            </w:r>
          </w:p>
        </w:tc>
        <w:tc>
          <w:tcPr>
            <w:tcW w:w="1383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2,80</w:t>
            </w:r>
          </w:p>
        </w:tc>
      </w:tr>
      <w:tr w:rsidR="00630D60" w:rsidTr="00630D60">
        <w:tc>
          <w:tcPr>
            <w:tcW w:w="152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2014 (11)</w:t>
            </w:r>
          </w:p>
        </w:tc>
        <w:tc>
          <w:tcPr>
            <w:tcW w:w="850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0,61</w:t>
            </w:r>
          </w:p>
        </w:tc>
        <w:tc>
          <w:tcPr>
            <w:tcW w:w="1418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12,41</w:t>
            </w:r>
          </w:p>
        </w:tc>
        <w:tc>
          <w:tcPr>
            <w:tcW w:w="1559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9,86</w:t>
            </w:r>
          </w:p>
        </w:tc>
        <w:tc>
          <w:tcPr>
            <w:tcW w:w="127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13,19</w:t>
            </w:r>
          </w:p>
        </w:tc>
        <w:tc>
          <w:tcPr>
            <w:tcW w:w="1383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3,54</w:t>
            </w:r>
          </w:p>
        </w:tc>
      </w:tr>
      <w:tr w:rsidR="00630D60" w:rsidTr="00630D60">
        <w:tc>
          <w:tcPr>
            <w:tcW w:w="152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</w:t>
            </w:r>
          </w:p>
        </w:tc>
        <w:tc>
          <w:tcPr>
            <w:tcW w:w="850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885</w:t>
            </w:r>
          </w:p>
        </w:tc>
        <w:tc>
          <w:tcPr>
            <w:tcW w:w="127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2,06</w:t>
            </w:r>
          </w:p>
        </w:tc>
        <w:tc>
          <w:tcPr>
            <w:tcW w:w="1418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3,78</w:t>
            </w:r>
          </w:p>
        </w:tc>
        <w:tc>
          <w:tcPr>
            <w:tcW w:w="1559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3,80</w:t>
            </w:r>
          </w:p>
        </w:tc>
        <w:tc>
          <w:tcPr>
            <w:tcW w:w="1276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5,86</w:t>
            </w:r>
          </w:p>
        </w:tc>
        <w:tc>
          <w:tcPr>
            <w:tcW w:w="1383" w:type="dxa"/>
            <w:vAlign w:val="bottom"/>
          </w:tcPr>
          <w:p w:rsidR="00630D60" w:rsidRDefault="00630D60" w:rsidP="003F2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2,42</w:t>
            </w:r>
          </w:p>
        </w:tc>
      </w:tr>
    </w:tbl>
    <w:p w:rsidR="007E72D3" w:rsidRPr="00CE780E" w:rsidRDefault="00CE780E" w:rsidP="00CE780E">
      <w:pPr>
        <w:rPr>
          <w:lang w:val="en-US"/>
        </w:rPr>
      </w:pPr>
      <w:r w:rsidRPr="00CE780E">
        <w:rPr>
          <w:lang w:val="en-US"/>
        </w:rPr>
        <w:t>*There was no selection in 2012</w:t>
      </w:r>
    </w:p>
    <w:sectPr w:rsidR="007E72D3" w:rsidRPr="00CE780E" w:rsidSect="007E72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41F"/>
    <w:multiLevelType w:val="hybridMultilevel"/>
    <w:tmpl w:val="346C59C6"/>
    <w:lvl w:ilvl="0" w:tplc="F6187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CC18CD"/>
    <w:rsid w:val="000020A5"/>
    <w:rsid w:val="001451D8"/>
    <w:rsid w:val="00150871"/>
    <w:rsid w:val="00157A42"/>
    <w:rsid w:val="001B2E46"/>
    <w:rsid w:val="00297910"/>
    <w:rsid w:val="003F293B"/>
    <w:rsid w:val="004F22EE"/>
    <w:rsid w:val="00630D60"/>
    <w:rsid w:val="006D0084"/>
    <w:rsid w:val="007D5749"/>
    <w:rsid w:val="007E72D3"/>
    <w:rsid w:val="00843317"/>
    <w:rsid w:val="009E1676"/>
    <w:rsid w:val="00A26BBB"/>
    <w:rsid w:val="00B65E7F"/>
    <w:rsid w:val="00BD4538"/>
    <w:rsid w:val="00CA548B"/>
    <w:rsid w:val="00CC18CD"/>
    <w:rsid w:val="00CE780E"/>
    <w:rsid w:val="00D36408"/>
    <w:rsid w:val="00D619F8"/>
    <w:rsid w:val="00DB5D94"/>
    <w:rsid w:val="00DD1B08"/>
    <w:rsid w:val="00DF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2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C18C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E7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Heisler</dc:creator>
  <cp:lastModifiedBy>Bessei</cp:lastModifiedBy>
  <cp:revision>2</cp:revision>
  <dcterms:created xsi:type="dcterms:W3CDTF">2016-04-29T11:14:00Z</dcterms:created>
  <dcterms:modified xsi:type="dcterms:W3CDTF">2016-04-29T11:14:00Z</dcterms:modified>
</cp:coreProperties>
</file>