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40" w:rsidRDefault="00DA6340" w:rsidP="00842ABE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most EU pigs tail docked?</w:t>
      </w:r>
      <w:r w:rsidRPr="007830C9">
        <w:rPr>
          <w:rFonts w:ascii="Arial" w:hAnsi="Arial" w:cs="Arial"/>
          <w:sz w:val="24"/>
          <w:szCs w:val="24"/>
        </w:rPr>
        <w:t xml:space="preserve"> </w:t>
      </w:r>
      <w:r w:rsidR="00532F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conomic and ethical a</w:t>
      </w:r>
      <w:r w:rsidR="003D2876">
        <w:rPr>
          <w:rFonts w:ascii="Arial" w:hAnsi="Arial" w:cs="Arial"/>
          <w:sz w:val="24"/>
          <w:szCs w:val="24"/>
        </w:rPr>
        <w:t>nalysis</w:t>
      </w:r>
      <w:r>
        <w:rPr>
          <w:rFonts w:ascii="Arial" w:hAnsi="Arial" w:cs="Arial"/>
          <w:sz w:val="24"/>
          <w:szCs w:val="24"/>
        </w:rPr>
        <w:t xml:space="preserve"> of four</w:t>
      </w:r>
      <w:r w:rsidRPr="00783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housing and management </w:t>
      </w:r>
      <w:r w:rsidRPr="007830C9">
        <w:rPr>
          <w:rFonts w:ascii="Arial" w:hAnsi="Arial" w:cs="Arial"/>
          <w:sz w:val="24"/>
          <w:szCs w:val="24"/>
        </w:rPr>
        <w:t xml:space="preserve">scenarios </w:t>
      </w:r>
      <w:r>
        <w:rPr>
          <w:rFonts w:ascii="Arial" w:hAnsi="Arial" w:cs="Arial"/>
          <w:sz w:val="24"/>
          <w:szCs w:val="24"/>
        </w:rPr>
        <w:t xml:space="preserve">in the light of EU </w:t>
      </w:r>
      <w:r w:rsidR="00100D4F">
        <w:rPr>
          <w:rFonts w:ascii="Arial" w:hAnsi="Arial" w:cs="Arial"/>
          <w:sz w:val="24"/>
          <w:szCs w:val="24"/>
        </w:rPr>
        <w:t>legislation</w:t>
      </w:r>
      <w:r>
        <w:rPr>
          <w:rFonts w:ascii="Arial" w:hAnsi="Arial" w:cs="Arial"/>
          <w:sz w:val="24"/>
          <w:szCs w:val="24"/>
        </w:rPr>
        <w:t xml:space="preserve"> and animal welfare outcomes</w:t>
      </w:r>
    </w:p>
    <w:p w:rsidR="00400385" w:rsidRDefault="00400385" w:rsidP="00842ABE">
      <w:pPr>
        <w:rPr>
          <w:rFonts w:ascii="Arial" w:hAnsi="Arial" w:cs="Arial"/>
        </w:rPr>
      </w:pPr>
      <w:r w:rsidRPr="007830C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</w:t>
      </w:r>
      <w:proofErr w:type="spellStart"/>
      <w:r w:rsidRPr="007830C9">
        <w:rPr>
          <w:rFonts w:ascii="Arial" w:hAnsi="Arial" w:cs="Arial"/>
        </w:rPr>
        <w:t>D’Eath</w:t>
      </w:r>
      <w:proofErr w:type="spellEnd"/>
      <w:r w:rsidRPr="007830C9">
        <w:rPr>
          <w:rFonts w:ascii="Arial" w:hAnsi="Arial" w:cs="Arial"/>
        </w:rPr>
        <w:t>, J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</w:t>
      </w:r>
      <w:proofErr w:type="spellStart"/>
      <w:r w:rsidRPr="007830C9">
        <w:rPr>
          <w:rFonts w:ascii="Arial" w:hAnsi="Arial" w:cs="Arial"/>
        </w:rPr>
        <w:t>Niemi</w:t>
      </w:r>
      <w:proofErr w:type="spellEnd"/>
      <w:r w:rsidRPr="007830C9">
        <w:rPr>
          <w:rFonts w:ascii="Arial" w:hAnsi="Arial" w:cs="Arial"/>
        </w:rPr>
        <w:t>, B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</w:t>
      </w:r>
      <w:proofErr w:type="spellStart"/>
      <w:r w:rsidRPr="007830C9">
        <w:rPr>
          <w:rFonts w:ascii="Arial" w:hAnsi="Arial" w:cs="Arial"/>
        </w:rPr>
        <w:t>Vosough</w:t>
      </w:r>
      <w:proofErr w:type="spellEnd"/>
      <w:r w:rsidRPr="007830C9">
        <w:rPr>
          <w:rFonts w:ascii="Arial" w:hAnsi="Arial" w:cs="Arial"/>
        </w:rPr>
        <w:t xml:space="preserve"> </w:t>
      </w:r>
      <w:proofErr w:type="spellStart"/>
      <w:r w:rsidRPr="007830C9">
        <w:rPr>
          <w:rFonts w:ascii="Arial" w:hAnsi="Arial" w:cs="Arial"/>
        </w:rPr>
        <w:t>Ahmadi</w:t>
      </w:r>
      <w:proofErr w:type="spellEnd"/>
      <w:r w:rsidRPr="007830C9">
        <w:rPr>
          <w:rFonts w:ascii="Arial" w:hAnsi="Arial" w:cs="Arial"/>
        </w:rPr>
        <w:t>, K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Rutherford, S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Ison, S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Turner, H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Anker, T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Jensen, M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Busch, K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K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Jensen, A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>B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Lawrence, P</w:t>
      </w:r>
      <w:r>
        <w:rPr>
          <w:rFonts w:ascii="Arial" w:hAnsi="Arial" w:cs="Arial"/>
        </w:rPr>
        <w:t>.</w:t>
      </w:r>
      <w:r w:rsidRPr="007830C9">
        <w:rPr>
          <w:rFonts w:ascii="Arial" w:hAnsi="Arial" w:cs="Arial"/>
        </w:rPr>
        <w:t xml:space="preserve"> Sandøe</w:t>
      </w:r>
    </w:p>
    <w:p w:rsidR="000A199F" w:rsidRDefault="000A199F" w:rsidP="00842ABE">
      <w:pPr>
        <w:rPr>
          <w:rFonts w:ascii="Arial" w:hAnsi="Arial" w:cs="Arial"/>
        </w:rPr>
      </w:pPr>
    </w:p>
    <w:p w:rsidR="000A199F" w:rsidRPr="009B6C76" w:rsidRDefault="000A199F" w:rsidP="00842ABE">
      <w:pPr>
        <w:rPr>
          <w:rFonts w:ascii="Arial" w:hAnsi="Arial" w:cs="Arial"/>
          <w:i/>
        </w:rPr>
      </w:pPr>
      <w:r w:rsidRPr="000A199F">
        <w:rPr>
          <w:rFonts w:ascii="Arial" w:hAnsi="Arial" w:cs="Arial"/>
          <w:b/>
          <w:i/>
        </w:rPr>
        <w:t>Supplementary Table</w:t>
      </w:r>
      <w:r>
        <w:rPr>
          <w:rFonts w:ascii="Arial" w:hAnsi="Arial" w:cs="Arial"/>
          <w:b/>
        </w:rPr>
        <w:t xml:space="preserve"> </w:t>
      </w:r>
      <w:r w:rsidRPr="000A199F">
        <w:rPr>
          <w:rFonts w:ascii="Arial" w:hAnsi="Arial" w:cs="Arial"/>
          <w:i/>
        </w:rPr>
        <w:t>Details of the costs included to estimate the total costs of the victims of tail biting</w:t>
      </w:r>
      <w:r w:rsidRPr="009B6C7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vertAlign w:val="superscript"/>
        </w:rPr>
        <w:t>1</w:t>
      </w:r>
      <w:r w:rsidRPr="009B6C76">
        <w:rPr>
          <w:rFonts w:ascii="Arial" w:hAnsi="Arial" w:cs="Arial"/>
          <w:b/>
          <w:i/>
        </w:rPr>
        <w:t>.</w:t>
      </w:r>
    </w:p>
    <w:tbl>
      <w:tblPr>
        <w:tblpPr w:leftFromText="180" w:rightFromText="180" w:vertAnchor="text" w:horzAnchor="margin" w:tblpY="315"/>
        <w:tblW w:w="918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78"/>
        <w:gridCol w:w="1098"/>
        <w:gridCol w:w="1560"/>
        <w:gridCol w:w="5244"/>
      </w:tblGrid>
      <w:tr w:rsidR="000A199F" w:rsidRPr="009B6C76" w:rsidTr="00AA1A3C">
        <w:trPr>
          <w:trHeight w:val="300"/>
        </w:trPr>
        <w:tc>
          <w:tcPr>
            <w:tcW w:w="2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Cost item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Value (€/victim pig)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Assumptions</w:t>
            </w:r>
          </w:p>
        </w:tc>
      </w:tr>
      <w:tr w:rsidR="000A199F" w:rsidRPr="009B6C76" w:rsidTr="00AA1A3C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Vet and medicine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center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6.00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Pig treated for 5 days</w:t>
            </w:r>
            <w:r w:rsidR="009018C9">
              <w:rPr>
                <w:rFonts w:ascii="Arial" w:hAnsi="Arial" w:cs="Arial"/>
                <w:color w:val="000000"/>
                <w:vertAlign w:val="superscript"/>
                <w:lang w:eastAsia="fi-FI"/>
              </w:rPr>
              <w:t>3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: </w:t>
            </w:r>
            <w:r w:rsidR="009018C9">
              <w:rPr>
                <w:rFonts w:ascii="Arial" w:hAnsi="Arial" w:cs="Arial"/>
                <w:color w:val="000000"/>
                <w:lang w:eastAsia="fi-FI"/>
              </w:rPr>
              <w:t>(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>0.4 €/day medicine + 0.35 €/day vet work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="009018C9">
              <w:rPr>
                <w:rFonts w:ascii="Arial" w:hAnsi="Arial" w:cs="Arial"/>
                <w:color w:val="000000"/>
                <w:lang w:eastAsia="fi-FI"/>
              </w:rPr>
              <w:t>)</w:t>
            </w:r>
            <w:r w:rsidR="009018C9" w:rsidRPr="009B6C76">
              <w:rPr>
                <w:rFonts w:ascii="Arial" w:hAnsi="Arial" w:cs="Arial"/>
                <w:color w:val="000000"/>
                <w:lang w:eastAsia="fi-FI"/>
              </w:rPr>
              <w:t>×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 1.6</w:t>
            </w:r>
          </w:p>
        </w:tc>
      </w:tr>
      <w:tr w:rsidR="000A199F" w:rsidRPr="009B6C76" w:rsidTr="00AA1A3C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Extra labour effort by farm workers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center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6.85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Extra time/victim: 27 minutes </w:t>
            </w:r>
            <w:r>
              <w:rPr>
                <w:rFonts w:ascii="Arial" w:hAnsi="Arial" w:cs="Arial"/>
                <w:color w:val="000000"/>
                <w:vertAlign w:val="superscript"/>
                <w:lang w:eastAsia="fi-FI"/>
              </w:rPr>
              <w:t>4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, Duration of treatment 5 days, time spent in hospital 14 days, and proportion of victims moved to hospital pen 14.8% based on </w:t>
            </w:r>
            <w:proofErr w:type="spellStart"/>
            <w:r w:rsidRPr="009B6C76">
              <w:rPr>
                <w:rFonts w:ascii="Arial" w:hAnsi="Arial" w:cs="Arial"/>
                <w:color w:val="000000"/>
                <w:lang w:eastAsia="fi-FI"/>
              </w:rPr>
              <w:t>Niemi</w:t>
            </w:r>
            <w:proofErr w:type="spellEnd"/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 </w:t>
            </w:r>
            <w:r w:rsidRPr="00832E03">
              <w:rPr>
                <w:rFonts w:ascii="Arial" w:hAnsi="Arial" w:cs="Arial"/>
                <w:i/>
                <w:color w:val="000000"/>
                <w:lang w:eastAsia="fi-FI"/>
              </w:rPr>
              <w:t>et al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>. (2012a). Price of labour 15€/hour</w:t>
            </w:r>
            <w:r>
              <w:rPr>
                <w:rFonts w:ascii="Arial" w:hAnsi="Arial" w:cs="Arial"/>
                <w:color w:val="000000"/>
                <w:vertAlign w:val="superscript"/>
                <w:lang w:eastAsia="fi-FI"/>
              </w:rPr>
              <w:t>5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>.</w:t>
            </w:r>
          </w:p>
        </w:tc>
      </w:tr>
      <w:tr w:rsidR="000A199F" w:rsidRPr="009B6C76" w:rsidTr="00AA1A3C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Materials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center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0.30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An extra enrichment of 0.5 kg/day/victim is provided in the original pen for 5 days and for two week</w:t>
            </w:r>
            <w:bookmarkStart w:id="0" w:name="_GoBack"/>
            <w:bookmarkEnd w:id="0"/>
            <w:r w:rsidRPr="009B6C76">
              <w:rPr>
                <w:rFonts w:ascii="Arial" w:hAnsi="Arial" w:cs="Arial"/>
                <w:color w:val="000000"/>
                <w:lang w:eastAsia="fi-FI"/>
              </w:rPr>
              <w:t>s in the hospital pen.</w:t>
            </w:r>
          </w:p>
        </w:tc>
      </w:tr>
      <w:tr w:rsidR="000A199F" w:rsidRPr="009B6C76" w:rsidTr="00AA1A3C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Disposal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center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2.80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The same percentage of victims (2.12%) to be destroyed as reported by Zonderland </w:t>
            </w:r>
            <w:r w:rsidRPr="00832E03">
              <w:rPr>
                <w:rFonts w:ascii="Arial" w:hAnsi="Arial" w:cs="Arial"/>
                <w:i/>
                <w:color w:val="000000"/>
                <w:lang w:eastAsia="fi-FI"/>
              </w:rPr>
              <w:t>et al</w:t>
            </w:r>
            <w:r>
              <w:rPr>
                <w:rFonts w:ascii="Arial" w:hAnsi="Arial" w:cs="Arial"/>
                <w:color w:val="000000"/>
                <w:lang w:eastAsia="fi-FI"/>
              </w:rPr>
              <w:t>.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 (2011).</w:t>
            </w:r>
          </w:p>
        </w:tc>
      </w:tr>
      <w:tr w:rsidR="000A199F" w:rsidRPr="009B6C76" w:rsidTr="00AA1A3C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Loss of condemned meat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center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1.22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0.8 kg condemned/victim based on </w:t>
            </w:r>
            <w:proofErr w:type="spellStart"/>
            <w:r w:rsidRPr="009B6C76">
              <w:rPr>
                <w:rFonts w:ascii="Arial" w:hAnsi="Arial" w:cs="Arial"/>
                <w:color w:val="000000"/>
                <w:lang w:eastAsia="fi-FI"/>
              </w:rPr>
              <w:t>Niemi</w:t>
            </w:r>
            <w:proofErr w:type="spellEnd"/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 </w:t>
            </w:r>
            <w:r w:rsidRPr="00832E03">
              <w:rPr>
                <w:rFonts w:ascii="Arial" w:hAnsi="Arial" w:cs="Arial"/>
                <w:i/>
                <w:color w:val="000000"/>
                <w:lang w:eastAsia="fi-FI"/>
              </w:rPr>
              <w:t>et al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. (2012a), price €1.52/kg </w:t>
            </w:r>
            <w:proofErr w:type="spellStart"/>
            <w:r w:rsidRPr="009B6C76">
              <w:rPr>
                <w:rFonts w:ascii="Arial" w:hAnsi="Arial" w:cs="Arial"/>
                <w:color w:val="000000"/>
                <w:lang w:eastAsia="fi-FI"/>
              </w:rPr>
              <w:t>pigmeat</w:t>
            </w:r>
            <w:proofErr w:type="spellEnd"/>
            <w:r w:rsidRPr="009B6C76">
              <w:rPr>
                <w:rFonts w:ascii="Arial" w:hAnsi="Arial" w:cs="Arial"/>
                <w:color w:val="000000"/>
                <w:lang w:eastAsia="fi-FI"/>
              </w:rPr>
              <w:t>.</w:t>
            </w:r>
          </w:p>
        </w:tc>
      </w:tr>
      <w:tr w:rsidR="000A199F" w:rsidRPr="009B6C76" w:rsidTr="00AA1A3C">
        <w:trPr>
          <w:trHeight w:val="300"/>
        </w:trPr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A199F" w:rsidRPr="009B6C76" w:rsidRDefault="000A199F" w:rsidP="00842ABE">
            <w:pPr>
              <w:rPr>
                <w:rFonts w:ascii="Arial" w:hAnsi="Arial" w:cs="Arial"/>
                <w:b/>
                <w:bCs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 xml:space="preserve">Reduced daily gain and </w:t>
            </w:r>
            <w:r w:rsidR="003F4E09">
              <w:rPr>
                <w:rFonts w:ascii="Arial" w:hAnsi="Arial" w:cs="Arial"/>
                <w:bCs/>
                <w:color w:val="000000"/>
                <w:lang w:eastAsia="fi-FI"/>
              </w:rPr>
              <w:t xml:space="preserve">consequent increased </w:t>
            </w:r>
            <w:r w:rsidRPr="009B6C76">
              <w:rPr>
                <w:rFonts w:ascii="Arial" w:hAnsi="Arial" w:cs="Arial"/>
                <w:bCs/>
                <w:color w:val="000000"/>
                <w:lang w:eastAsia="fi-FI"/>
              </w:rPr>
              <w:t>feed use</w:t>
            </w:r>
            <w:r w:rsidR="003F4E09">
              <w:rPr>
                <w:rFonts w:ascii="Arial" w:hAnsi="Arial" w:cs="Arial"/>
                <w:bCs/>
                <w:color w:val="000000"/>
                <w:lang w:eastAsia="fi-FI"/>
              </w:rPr>
              <w:t xml:space="preserve"> to finishing</w:t>
            </w:r>
            <w:r w:rsidR="003F4E09" w:rsidRPr="003F4E09">
              <w:rPr>
                <w:rFonts w:ascii="Arial" w:hAnsi="Arial" w:cs="Arial"/>
                <w:bCs/>
                <w:color w:val="000000"/>
                <w:vertAlign w:val="superscript"/>
                <w:lang w:eastAsia="fi-F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center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>1.80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A199F" w:rsidRPr="009B6C76" w:rsidRDefault="000A199F" w:rsidP="00842ABE">
            <w:pPr>
              <w:jc w:val="both"/>
              <w:rPr>
                <w:rFonts w:ascii="Arial" w:hAnsi="Arial" w:cs="Arial"/>
                <w:color w:val="000000"/>
                <w:lang w:eastAsia="fi-FI"/>
              </w:rPr>
            </w:pP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Simulated based on </w:t>
            </w:r>
            <w:proofErr w:type="spellStart"/>
            <w:r w:rsidRPr="009B6C76">
              <w:rPr>
                <w:rFonts w:ascii="Arial" w:hAnsi="Arial" w:cs="Arial"/>
                <w:color w:val="000000"/>
                <w:lang w:eastAsia="fi-FI"/>
              </w:rPr>
              <w:t>Niemi</w:t>
            </w:r>
            <w:proofErr w:type="spellEnd"/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 </w:t>
            </w:r>
            <w:r w:rsidRPr="00832E03">
              <w:rPr>
                <w:rFonts w:ascii="Arial" w:hAnsi="Arial" w:cs="Arial"/>
                <w:i/>
                <w:color w:val="000000"/>
                <w:lang w:eastAsia="fi-FI"/>
              </w:rPr>
              <w:t>et al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 xml:space="preserve">. </w:t>
            </w:r>
            <w:r w:rsidRPr="009B6C76">
              <w:rPr>
                <w:rFonts w:ascii="Arial" w:hAnsi="Arial" w:cs="Arial"/>
                <w:color w:val="000000"/>
                <w:lang w:val="fi-FI" w:eastAsia="fi-FI"/>
              </w:rPr>
              <w:t xml:space="preserve">(2012b) and Sinisalo </w:t>
            </w:r>
            <w:r w:rsidRPr="00832E03">
              <w:rPr>
                <w:rFonts w:ascii="Arial" w:hAnsi="Arial" w:cs="Arial"/>
                <w:i/>
                <w:color w:val="000000"/>
                <w:lang w:val="fi-FI" w:eastAsia="fi-FI"/>
              </w:rPr>
              <w:t>et al</w:t>
            </w:r>
            <w:r w:rsidRPr="009B6C76">
              <w:rPr>
                <w:rFonts w:ascii="Arial" w:hAnsi="Arial" w:cs="Arial"/>
                <w:color w:val="000000"/>
                <w:lang w:val="fi-FI" w:eastAsia="fi-FI"/>
              </w:rPr>
              <w:t xml:space="preserve">. </w:t>
            </w:r>
            <w:r w:rsidRPr="009B6C76">
              <w:rPr>
                <w:rFonts w:ascii="Arial" w:hAnsi="Arial" w:cs="Arial"/>
                <w:color w:val="000000"/>
                <w:lang w:eastAsia="fi-FI"/>
              </w:rPr>
              <w:t>(2012)</w:t>
            </w:r>
          </w:p>
        </w:tc>
      </w:tr>
    </w:tbl>
    <w:p w:rsidR="000A199F" w:rsidRDefault="000A199F" w:rsidP="00842ABE">
      <w:pPr>
        <w:pStyle w:val="Caption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0A199F" w:rsidRPr="009B6C76" w:rsidRDefault="000A199F" w:rsidP="00842ABE">
      <w:pPr>
        <w:pStyle w:val="Caption"/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9B6C76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>1</w:t>
      </w:r>
      <w:r w:rsidRPr="009B6C76">
        <w:rPr>
          <w:rFonts w:ascii="Arial" w:hAnsi="Arial" w:cs="Arial"/>
          <w:b w:val="0"/>
          <w:color w:val="auto"/>
          <w:sz w:val="20"/>
          <w:szCs w:val="20"/>
        </w:rPr>
        <w:t xml:space="preserve"> Numbers based on authors’ calculations, literature and data from an experimental farm. The fixed costs of hospital pen</w:t>
      </w:r>
      <w:r w:rsidR="009018C9">
        <w:rPr>
          <w:rFonts w:ascii="Arial" w:hAnsi="Arial" w:cs="Arial"/>
          <w:b w:val="0"/>
          <w:color w:val="auto"/>
          <w:sz w:val="20"/>
          <w:szCs w:val="20"/>
        </w:rPr>
        <w:t>s</w:t>
      </w:r>
      <w:r w:rsidRPr="009B6C76">
        <w:rPr>
          <w:rFonts w:ascii="Arial" w:hAnsi="Arial" w:cs="Arial"/>
          <w:b w:val="0"/>
          <w:color w:val="auto"/>
          <w:sz w:val="20"/>
          <w:szCs w:val="20"/>
        </w:rPr>
        <w:t xml:space="preserve"> are not included as the farm is assumed to have a fixed hospital pen capacity and the costs are included in the fixed costs.</w:t>
      </w:r>
    </w:p>
    <w:p w:rsidR="000A199F" w:rsidRPr="009B6C76" w:rsidRDefault="000A199F" w:rsidP="00842ABE">
      <w:pPr>
        <w:pStyle w:val="Caption"/>
        <w:spacing w:after="0"/>
        <w:rPr>
          <w:rFonts w:ascii="Arial" w:hAnsi="Arial" w:cs="Arial"/>
          <w:b w:val="0"/>
          <w:color w:val="auto"/>
          <w:sz w:val="20"/>
          <w:szCs w:val="20"/>
        </w:rPr>
      </w:pPr>
      <w:r w:rsidRPr="009B6C76">
        <w:rPr>
          <w:rFonts w:ascii="Arial" w:hAnsi="Arial" w:cs="Arial"/>
          <w:b w:val="0"/>
          <w:color w:val="auto"/>
          <w:sz w:val="20"/>
          <w:szCs w:val="20"/>
          <w:vertAlign w:val="superscript"/>
        </w:rPr>
        <w:t>2</w:t>
      </w:r>
      <w:r w:rsidRPr="009B6C76">
        <w:rPr>
          <w:rFonts w:ascii="Arial" w:hAnsi="Arial" w:cs="Arial"/>
          <w:b w:val="0"/>
          <w:color w:val="auto"/>
          <w:sz w:val="20"/>
          <w:szCs w:val="20"/>
        </w:rPr>
        <w:t xml:space="preserve"> Estimated after consultation with Professor Mari </w:t>
      </w:r>
      <w:proofErr w:type="spellStart"/>
      <w:r w:rsidRPr="009B6C76">
        <w:rPr>
          <w:rFonts w:ascii="Arial" w:hAnsi="Arial" w:cs="Arial"/>
          <w:b w:val="0"/>
          <w:color w:val="auto"/>
          <w:sz w:val="20"/>
          <w:szCs w:val="20"/>
        </w:rPr>
        <w:t>Heinonen</w:t>
      </w:r>
      <w:proofErr w:type="spellEnd"/>
      <w:r w:rsidRPr="009B6C76">
        <w:rPr>
          <w:rFonts w:ascii="Arial" w:hAnsi="Arial" w:cs="Arial"/>
          <w:b w:val="0"/>
          <w:color w:val="auto"/>
          <w:sz w:val="20"/>
          <w:szCs w:val="20"/>
        </w:rPr>
        <w:t>, University of Helsinki and University Pharmacy.</w:t>
      </w:r>
    </w:p>
    <w:p w:rsidR="000A199F" w:rsidRPr="009B6C76" w:rsidRDefault="000A199F" w:rsidP="00842ABE">
      <w:pPr>
        <w:rPr>
          <w:rFonts w:ascii="Arial" w:hAnsi="Arial" w:cs="Arial"/>
          <w:color w:val="000000"/>
          <w:sz w:val="20"/>
          <w:szCs w:val="20"/>
          <w:lang w:eastAsia="fi-FI"/>
        </w:rPr>
      </w:pPr>
      <w:r w:rsidRPr="009B6C76">
        <w:rPr>
          <w:rFonts w:ascii="Arial" w:hAnsi="Arial" w:cs="Arial"/>
          <w:sz w:val="20"/>
          <w:szCs w:val="20"/>
          <w:vertAlign w:val="superscript"/>
        </w:rPr>
        <w:t>3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1.6 is a multiplier for secondary infections for each victim based on </w:t>
      </w:r>
      <w:proofErr w:type="spellStart"/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>Niemi</w:t>
      </w:r>
      <w:proofErr w:type="spellEnd"/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</w:t>
      </w:r>
      <w:r w:rsidRPr="00832E03">
        <w:rPr>
          <w:rFonts w:ascii="Arial" w:hAnsi="Arial" w:cs="Arial"/>
          <w:i/>
          <w:color w:val="000000"/>
          <w:sz w:val="20"/>
          <w:szCs w:val="20"/>
          <w:lang w:eastAsia="fi-FI"/>
        </w:rPr>
        <w:t>et al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>., 2012a.</w:t>
      </w:r>
    </w:p>
    <w:p w:rsidR="000A199F" w:rsidRPr="009B6C76" w:rsidRDefault="000A199F" w:rsidP="00842ABE">
      <w:pPr>
        <w:rPr>
          <w:rFonts w:ascii="Arial" w:hAnsi="Arial" w:cs="Arial"/>
          <w:color w:val="000000"/>
          <w:sz w:val="20"/>
          <w:szCs w:val="20"/>
          <w:lang w:eastAsia="fi-FI"/>
        </w:rPr>
      </w:pPr>
      <w:r w:rsidRPr="009B6C76">
        <w:rPr>
          <w:rFonts w:ascii="Arial" w:hAnsi="Arial" w:cs="Arial"/>
          <w:sz w:val="20"/>
          <w:szCs w:val="20"/>
          <w:vertAlign w:val="superscript"/>
        </w:rPr>
        <w:t>4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Including: 2 minutes/day/victim for medication (including secondary infections) for five days for 1/3 of victims + 2.55 minutes/victim for moving the animal to hospital pen </w:t>
      </w:r>
      <w:r>
        <w:rPr>
          <w:rFonts w:ascii="Arial" w:hAnsi="Arial" w:cs="Arial"/>
          <w:color w:val="000000"/>
          <w:sz w:val="20"/>
          <w:szCs w:val="20"/>
          <w:lang w:eastAsia="fi-FI"/>
        </w:rPr>
        <w:t>for 14.8% of victims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+ 1 minute/day/victim for providing extra enrichments and extra cleaning for two weeks after tail biting (except 2.9 minutes in a hospital pen).</w:t>
      </w:r>
    </w:p>
    <w:p w:rsidR="000A199F" w:rsidRDefault="000A199F" w:rsidP="00842ABE">
      <w:pPr>
        <w:rPr>
          <w:rFonts w:ascii="Arial" w:hAnsi="Arial" w:cs="Arial"/>
          <w:color w:val="000000"/>
          <w:sz w:val="20"/>
          <w:szCs w:val="20"/>
          <w:lang w:eastAsia="fi-FI"/>
        </w:rPr>
      </w:pPr>
      <w:r w:rsidRPr="009B6C76">
        <w:rPr>
          <w:rFonts w:ascii="Arial" w:hAnsi="Arial" w:cs="Arial"/>
          <w:color w:val="000000"/>
          <w:sz w:val="20"/>
          <w:szCs w:val="20"/>
          <w:vertAlign w:val="superscript"/>
          <w:lang w:eastAsia="fi-FI"/>
        </w:rPr>
        <w:t>5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Assumption</w:t>
      </w:r>
      <w:r w:rsidR="00107C56">
        <w:rPr>
          <w:rFonts w:ascii="Arial" w:hAnsi="Arial" w:cs="Arial"/>
          <w:color w:val="000000"/>
          <w:sz w:val="20"/>
          <w:szCs w:val="20"/>
          <w:lang w:eastAsia="fi-FI"/>
        </w:rPr>
        <w:t>s concerning the amount and cost of labour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based on author</w:t>
      </w:r>
      <w:r>
        <w:rPr>
          <w:rFonts w:ascii="Arial" w:hAnsi="Arial" w:cs="Arial"/>
          <w:color w:val="000000"/>
          <w:sz w:val="20"/>
          <w:szCs w:val="20"/>
          <w:lang w:eastAsia="fi-FI"/>
        </w:rPr>
        <w:t xml:space="preserve">s’ calculations and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i-FI"/>
        </w:rPr>
        <w:t>Mäki-Mattil</w:t>
      </w:r>
      <w:r w:rsidR="009018C9">
        <w:rPr>
          <w:rFonts w:ascii="Arial" w:hAnsi="Arial" w:cs="Arial"/>
          <w:color w:val="000000"/>
          <w:sz w:val="20"/>
          <w:szCs w:val="20"/>
          <w:lang w:eastAsia="fi-FI"/>
        </w:rPr>
        <w:t>a</w:t>
      </w:r>
      <w:proofErr w:type="spellEnd"/>
      <w:r w:rsidR="009018C9">
        <w:rPr>
          <w:rFonts w:ascii="Arial" w:hAnsi="Arial" w:cs="Arial"/>
          <w:color w:val="000000"/>
          <w:sz w:val="20"/>
          <w:szCs w:val="20"/>
          <w:lang w:eastAsia="fi-FI"/>
        </w:rPr>
        <w:t xml:space="preserve"> (1998), </w:t>
      </w:r>
      <w:proofErr w:type="spellStart"/>
      <w:r w:rsidR="009018C9">
        <w:rPr>
          <w:rFonts w:ascii="Arial" w:hAnsi="Arial" w:cs="Arial"/>
          <w:color w:val="000000"/>
          <w:sz w:val="20"/>
          <w:szCs w:val="20"/>
          <w:lang w:eastAsia="fi-FI"/>
        </w:rPr>
        <w:t>Parviainen</w:t>
      </w:r>
      <w:proofErr w:type="spellEnd"/>
      <w:r w:rsidR="009018C9">
        <w:rPr>
          <w:rFonts w:ascii="Arial" w:hAnsi="Arial" w:cs="Arial"/>
          <w:color w:val="000000"/>
          <w:sz w:val="20"/>
          <w:szCs w:val="20"/>
          <w:lang w:eastAsia="fi-FI"/>
        </w:rPr>
        <w:t xml:space="preserve"> (2001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) and </w:t>
      </w:r>
      <w:proofErr w:type="spellStart"/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>Niemi</w:t>
      </w:r>
      <w:proofErr w:type="spellEnd"/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 xml:space="preserve"> </w:t>
      </w:r>
      <w:r w:rsidRPr="00832E03">
        <w:rPr>
          <w:rFonts w:ascii="Arial" w:hAnsi="Arial" w:cs="Arial"/>
          <w:i/>
          <w:color w:val="000000"/>
          <w:sz w:val="20"/>
          <w:szCs w:val="20"/>
          <w:lang w:eastAsia="fi-FI"/>
        </w:rPr>
        <w:t>et al</w:t>
      </w:r>
      <w:r w:rsidRPr="009B6C76">
        <w:rPr>
          <w:rFonts w:ascii="Arial" w:hAnsi="Arial" w:cs="Arial"/>
          <w:color w:val="000000"/>
          <w:sz w:val="20"/>
          <w:szCs w:val="20"/>
          <w:lang w:eastAsia="fi-FI"/>
        </w:rPr>
        <w:t>. (2012a).</w:t>
      </w:r>
    </w:p>
    <w:p w:rsidR="003F4E09" w:rsidRPr="003F4E09" w:rsidRDefault="003F4E09" w:rsidP="00842ABE">
      <w:pPr>
        <w:rPr>
          <w:rFonts w:ascii="Arial" w:hAnsi="Arial" w:cs="Arial"/>
          <w:color w:val="000000"/>
          <w:sz w:val="20"/>
          <w:szCs w:val="20"/>
          <w:lang w:eastAsia="fi-FI"/>
        </w:rPr>
      </w:pPr>
      <w:r w:rsidRPr="00CB792F">
        <w:rPr>
          <w:rFonts w:ascii="Arial" w:hAnsi="Arial" w:cs="Arial"/>
          <w:color w:val="000000"/>
          <w:sz w:val="20"/>
          <w:szCs w:val="20"/>
          <w:vertAlign w:val="superscript"/>
          <w:lang w:eastAsia="fi-FI"/>
        </w:rPr>
        <w:t>6</w:t>
      </w:r>
      <w:r w:rsidRPr="003F4E09">
        <w:rPr>
          <w:rFonts w:ascii="Arial" w:hAnsi="Arial" w:cs="Arial"/>
          <w:color w:val="000000"/>
          <w:sz w:val="20"/>
          <w:szCs w:val="20"/>
          <w:lang w:eastAsia="fi-FI"/>
        </w:rPr>
        <w:t xml:space="preserve"> In our model, average daily weight gain in bitten pigs was reduced by 1-3% compared with unaffected pigs, which results in a longer finishing period and a greater use of feed, meaning that feed efficiency is also affected due to longer fattening time requiring more feed for body maintenance (</w:t>
      </w:r>
      <w:proofErr w:type="spellStart"/>
      <w:r w:rsidRPr="003F4E09">
        <w:rPr>
          <w:rFonts w:ascii="Arial" w:hAnsi="Arial" w:cs="Arial"/>
          <w:color w:val="000000"/>
          <w:sz w:val="20"/>
          <w:szCs w:val="20"/>
          <w:lang w:eastAsia="fi-FI"/>
        </w:rPr>
        <w:t>Sinisalo</w:t>
      </w:r>
      <w:proofErr w:type="spellEnd"/>
      <w:r w:rsidRPr="003F4E09">
        <w:rPr>
          <w:rFonts w:ascii="Arial" w:hAnsi="Arial" w:cs="Arial"/>
          <w:color w:val="000000"/>
          <w:sz w:val="20"/>
          <w:szCs w:val="20"/>
          <w:lang w:eastAsia="fi-FI"/>
        </w:rPr>
        <w:t xml:space="preserve"> et al., 2012). We have assumed that there are no separate direct effects on feed conversion efficiency itself. Of the €1.80 reported here, the effect of increased feed consumption due to the decreased average weight gain accounts for €1.39 per pig in extra costs whereas the direct impact of reduced weight gain</w:t>
      </w:r>
      <w:r>
        <w:rPr>
          <w:rFonts w:ascii="Arial" w:hAnsi="Arial" w:cs="Arial"/>
          <w:color w:val="000000"/>
          <w:sz w:val="20"/>
          <w:szCs w:val="20"/>
          <w:lang w:eastAsia="fi-FI"/>
        </w:rPr>
        <w:t xml:space="preserve"> in terms of reduced throughput of pigs</w:t>
      </w:r>
      <w:r w:rsidRPr="003F4E09">
        <w:rPr>
          <w:rFonts w:ascii="Arial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i-FI"/>
        </w:rPr>
        <w:t xml:space="preserve">per unit of time </w:t>
      </w:r>
      <w:r w:rsidRPr="003F4E09">
        <w:rPr>
          <w:rFonts w:ascii="Arial" w:hAnsi="Arial" w:cs="Arial"/>
          <w:color w:val="000000"/>
          <w:sz w:val="20"/>
          <w:szCs w:val="20"/>
          <w:lang w:eastAsia="fi-FI"/>
        </w:rPr>
        <w:t>was €0.41 per pig.</w:t>
      </w:r>
    </w:p>
    <w:p w:rsidR="001D47A4" w:rsidRDefault="001D47A4" w:rsidP="00842ABE">
      <w:pPr>
        <w:rPr>
          <w:rFonts w:ascii="Arial" w:hAnsi="Arial" w:cs="Arial"/>
        </w:rPr>
      </w:pPr>
    </w:p>
    <w:p w:rsidR="001D47A4" w:rsidRDefault="001D47A4" w:rsidP="00842ABE">
      <w:pPr>
        <w:rPr>
          <w:rFonts w:ascii="Arial" w:hAnsi="Arial" w:cs="Arial"/>
          <w:b/>
        </w:rPr>
      </w:pPr>
      <w:r w:rsidRPr="00FF76C8">
        <w:rPr>
          <w:rFonts w:ascii="Arial" w:hAnsi="Arial" w:cs="Arial"/>
          <w:b/>
        </w:rPr>
        <w:lastRenderedPageBreak/>
        <w:t>References</w:t>
      </w:r>
    </w:p>
    <w:p w:rsidR="006F3029" w:rsidRPr="006F3029" w:rsidRDefault="006F3029" w:rsidP="00842ABE">
      <w:pPr>
        <w:ind w:left="567" w:hanging="567"/>
        <w:rPr>
          <w:rFonts w:ascii="Arial" w:hAnsi="Arial" w:cs="Arial"/>
          <w:lang w:val="fi-FI"/>
        </w:rPr>
      </w:pPr>
      <w:r w:rsidRPr="006F3029">
        <w:rPr>
          <w:rFonts w:ascii="Arial" w:hAnsi="Arial" w:cs="Arial"/>
          <w:lang w:val="fi-FI"/>
        </w:rPr>
        <w:t xml:space="preserve">Mäki-Mattila M 1998. Production costs of pork under intensive and animal friendly extensive production systems. </w:t>
      </w:r>
      <w:r w:rsidRPr="004858AF">
        <w:rPr>
          <w:rFonts w:ascii="Arial" w:hAnsi="Arial" w:cs="Arial"/>
          <w:lang w:val="fi-FI"/>
        </w:rPr>
        <w:t xml:space="preserve">(Sikojen hyvinvointia edistävien tuotantotapojen kustannusvaikutukset). Agricultural Economics Research Institute working papers 4/98. </w:t>
      </w:r>
      <w:r w:rsidRPr="006F3029">
        <w:rPr>
          <w:rFonts w:ascii="Arial" w:hAnsi="Arial" w:cs="Arial"/>
          <w:lang w:val="fi-FI"/>
        </w:rPr>
        <w:t>Agricultural Economics Research Institute, Helsinki, Finland.</w:t>
      </w:r>
    </w:p>
    <w:p w:rsidR="000A199F" w:rsidRPr="004858AF" w:rsidRDefault="000A199F" w:rsidP="00842ABE">
      <w:pPr>
        <w:ind w:left="567" w:hanging="567"/>
        <w:rPr>
          <w:rFonts w:ascii="Arial" w:hAnsi="Arial" w:cs="Arial"/>
          <w:lang w:val="en-US"/>
        </w:rPr>
      </w:pPr>
      <w:r w:rsidRPr="004858AF">
        <w:rPr>
          <w:rFonts w:ascii="Arial" w:hAnsi="Arial" w:cs="Arial"/>
          <w:lang w:val="fi-FI"/>
        </w:rPr>
        <w:t xml:space="preserve">Niemi JK, Sinisalo A, Valros A and Heinonen M 2012a. </w:t>
      </w:r>
      <w:r w:rsidRPr="004858AF">
        <w:rPr>
          <w:rFonts w:ascii="Arial" w:hAnsi="Arial" w:cs="Arial"/>
        </w:rPr>
        <w:t>Tail biting – a cause or a consequence</w:t>
      </w:r>
      <w:r>
        <w:rPr>
          <w:rFonts w:ascii="Arial" w:hAnsi="Arial" w:cs="Arial"/>
        </w:rPr>
        <w:t>?</w:t>
      </w:r>
      <w:r w:rsidRPr="004858AF">
        <w:rPr>
          <w:rFonts w:ascii="Arial" w:hAnsi="Arial" w:cs="Arial"/>
        </w:rPr>
        <w:t xml:space="preserve"> (In Finnish: </w:t>
      </w:r>
      <w:proofErr w:type="spellStart"/>
      <w:proofErr w:type="gramStart"/>
      <w:r w:rsidRPr="004858AF">
        <w:rPr>
          <w:rFonts w:ascii="Arial" w:hAnsi="Arial" w:cs="Arial"/>
        </w:rPr>
        <w:t>Hännänpurenta</w:t>
      </w:r>
      <w:proofErr w:type="spellEnd"/>
      <w:r w:rsidRPr="004858AF">
        <w:rPr>
          <w:rFonts w:ascii="Arial" w:hAnsi="Arial" w:cs="Arial"/>
        </w:rPr>
        <w:t xml:space="preserve">  –</w:t>
      </w:r>
      <w:proofErr w:type="spellStart"/>
      <w:proofErr w:type="gramEnd"/>
      <w:r w:rsidRPr="004858AF">
        <w:rPr>
          <w:rFonts w:ascii="Arial" w:hAnsi="Arial" w:cs="Arial"/>
        </w:rPr>
        <w:t>syy</w:t>
      </w:r>
      <w:proofErr w:type="spellEnd"/>
      <w:r w:rsidRPr="004858AF">
        <w:rPr>
          <w:rFonts w:ascii="Arial" w:hAnsi="Arial" w:cs="Arial"/>
        </w:rPr>
        <w:t xml:space="preserve"> </w:t>
      </w:r>
      <w:proofErr w:type="spellStart"/>
      <w:r w:rsidRPr="004858AF">
        <w:rPr>
          <w:rFonts w:ascii="Arial" w:hAnsi="Arial" w:cs="Arial"/>
        </w:rPr>
        <w:t>vai</w:t>
      </w:r>
      <w:proofErr w:type="spellEnd"/>
      <w:r w:rsidRPr="004858AF">
        <w:rPr>
          <w:rFonts w:ascii="Arial" w:hAnsi="Arial" w:cs="Arial"/>
        </w:rPr>
        <w:t xml:space="preserve"> </w:t>
      </w:r>
      <w:proofErr w:type="spellStart"/>
      <w:r w:rsidRPr="004858AF">
        <w:rPr>
          <w:rFonts w:ascii="Arial" w:hAnsi="Arial" w:cs="Arial"/>
        </w:rPr>
        <w:t>seuraus</w:t>
      </w:r>
      <w:proofErr w:type="spellEnd"/>
      <w:r w:rsidRPr="004858AF">
        <w:rPr>
          <w:rFonts w:ascii="Arial" w:hAnsi="Arial" w:cs="Arial"/>
        </w:rPr>
        <w:t xml:space="preserve">?). </w:t>
      </w:r>
      <w:proofErr w:type="gramStart"/>
      <w:r w:rsidRPr="004858AF">
        <w:rPr>
          <w:rFonts w:ascii="Arial" w:hAnsi="Arial" w:cs="Arial"/>
        </w:rPr>
        <w:t xml:space="preserve">In </w:t>
      </w:r>
      <w:proofErr w:type="spellStart"/>
      <w:r w:rsidRPr="004858AF">
        <w:rPr>
          <w:rFonts w:ascii="Arial" w:hAnsi="Arial" w:cs="Arial"/>
        </w:rPr>
        <w:t>Maataloustieteen</w:t>
      </w:r>
      <w:proofErr w:type="spellEnd"/>
      <w:r w:rsidRPr="004858AF">
        <w:rPr>
          <w:rFonts w:ascii="Arial" w:hAnsi="Arial" w:cs="Arial"/>
        </w:rPr>
        <w:t xml:space="preserve"> </w:t>
      </w:r>
      <w:proofErr w:type="spellStart"/>
      <w:r w:rsidRPr="004858AF">
        <w:rPr>
          <w:rFonts w:ascii="Arial" w:hAnsi="Arial" w:cs="Arial"/>
        </w:rPr>
        <w:t>Päivät</w:t>
      </w:r>
      <w:proofErr w:type="spellEnd"/>
      <w:r w:rsidRPr="004858AF">
        <w:rPr>
          <w:rFonts w:ascii="Arial" w:hAnsi="Arial" w:cs="Arial"/>
        </w:rPr>
        <w:t xml:space="preserve"> 2012 (eds. N Schulman and H </w:t>
      </w:r>
      <w:proofErr w:type="spellStart"/>
      <w:r w:rsidRPr="004858AF">
        <w:rPr>
          <w:rFonts w:ascii="Arial" w:hAnsi="Arial" w:cs="Arial"/>
        </w:rPr>
        <w:t>Kauppinen</w:t>
      </w:r>
      <w:proofErr w:type="spellEnd"/>
      <w:r w:rsidRPr="004858AF">
        <w:rPr>
          <w:rFonts w:ascii="Arial" w:hAnsi="Arial" w:cs="Arial"/>
        </w:rPr>
        <w:t>).</w:t>
      </w:r>
      <w:proofErr w:type="gramEnd"/>
      <w:r w:rsidRPr="004858AF">
        <w:rPr>
          <w:rFonts w:ascii="Arial" w:hAnsi="Arial" w:cs="Arial"/>
        </w:rPr>
        <w:t xml:space="preserve"> </w:t>
      </w:r>
      <w:proofErr w:type="gramStart"/>
      <w:r w:rsidRPr="004858AF">
        <w:rPr>
          <w:rFonts w:ascii="Arial" w:hAnsi="Arial" w:cs="Arial"/>
        </w:rPr>
        <w:t>Publications of Scientific Agricultural Society of Finland 28.</w:t>
      </w:r>
      <w:proofErr w:type="gramEnd"/>
      <w:r w:rsidRPr="004858AF">
        <w:rPr>
          <w:rFonts w:ascii="Arial" w:hAnsi="Arial" w:cs="Arial"/>
        </w:rPr>
        <w:t xml:space="preserve"> </w:t>
      </w:r>
      <w:proofErr w:type="gramStart"/>
      <w:r w:rsidRPr="004858AF">
        <w:rPr>
          <w:rFonts w:ascii="Arial" w:hAnsi="Arial" w:cs="Arial"/>
        </w:rPr>
        <w:t xml:space="preserve">Retrieved on 22 August 2014 from </w:t>
      </w:r>
      <w:hyperlink r:id="rId5" w:history="1">
        <w:r w:rsidRPr="004858AF">
          <w:rPr>
            <w:rStyle w:val="Hyperlink"/>
            <w:rFonts w:ascii="Arial" w:hAnsi="Arial" w:cs="Arial"/>
            <w:lang w:val="en-US"/>
          </w:rPr>
          <w:t>www.smts.fi</w:t>
        </w:r>
      </w:hyperlink>
      <w:r w:rsidRPr="004858AF">
        <w:rPr>
          <w:rFonts w:ascii="Arial" w:hAnsi="Arial" w:cs="Arial"/>
        </w:rPr>
        <w:t>.</w:t>
      </w:r>
      <w:proofErr w:type="gramEnd"/>
    </w:p>
    <w:p w:rsidR="000A199F" w:rsidRPr="006F3029" w:rsidRDefault="000A199F" w:rsidP="00842ABE">
      <w:pPr>
        <w:ind w:left="567" w:hanging="567"/>
        <w:rPr>
          <w:rStyle w:val="Hyperlink"/>
          <w:rFonts w:ascii="Arial" w:hAnsi="Arial" w:cs="Arial"/>
        </w:rPr>
      </w:pPr>
      <w:r w:rsidRPr="004858AF">
        <w:rPr>
          <w:rFonts w:ascii="Arial" w:hAnsi="Arial" w:cs="Arial"/>
          <w:lang w:val="fi-FI"/>
        </w:rPr>
        <w:t xml:space="preserve">Niemi JK, Sinisalo A, Valros A and Heinonen M 2012b. </w:t>
      </w:r>
      <w:r w:rsidRPr="004858AF">
        <w:rPr>
          <w:rFonts w:ascii="Arial" w:hAnsi="Arial" w:cs="Arial"/>
        </w:rPr>
        <w:t>Market and policy-oriented incentives to provide animal welfare: The case of tail biting. Paper presented at the 126th EAAE seminar “New challenges for EU agricultural sector and rural areas. Which role for public policy?</w:t>
      </w:r>
      <w:proofErr w:type="gramStart"/>
      <w:r w:rsidRPr="004858AF">
        <w:rPr>
          <w:rFonts w:ascii="Arial" w:hAnsi="Arial" w:cs="Arial"/>
        </w:rPr>
        <w:t>”,</w:t>
      </w:r>
      <w:proofErr w:type="gramEnd"/>
      <w:r w:rsidRPr="004858AF">
        <w:rPr>
          <w:rFonts w:ascii="Arial" w:hAnsi="Arial" w:cs="Arial"/>
        </w:rPr>
        <w:t xml:space="preserve"> June 27-29, 2012, Capri, Italy. </w:t>
      </w:r>
      <w:proofErr w:type="gramStart"/>
      <w:r w:rsidRPr="004858AF">
        <w:rPr>
          <w:rFonts w:ascii="Arial" w:hAnsi="Arial" w:cs="Arial"/>
        </w:rPr>
        <w:t xml:space="preserve">Retrieved on 22 August 2014 from </w:t>
      </w:r>
      <w:r w:rsidR="00D825C1">
        <w:rPr>
          <w:rFonts w:ascii="Arial" w:hAnsi="Arial" w:cs="Arial"/>
        </w:rPr>
        <w:fldChar w:fldCharType="begin"/>
      </w:r>
      <w:r w:rsidR="006F3029">
        <w:rPr>
          <w:rFonts w:ascii="Arial" w:hAnsi="Arial" w:cs="Arial"/>
        </w:rPr>
        <w:instrText xml:space="preserve"> HYPERLINK "http://ageconsearch.umn.edu/handle/125957" </w:instrText>
      </w:r>
      <w:r w:rsidR="00D825C1">
        <w:rPr>
          <w:rFonts w:ascii="Arial" w:hAnsi="Arial" w:cs="Arial"/>
        </w:rPr>
        <w:fldChar w:fldCharType="separate"/>
      </w:r>
      <w:r w:rsidRPr="006F3029">
        <w:rPr>
          <w:rStyle w:val="Hyperlink"/>
          <w:rFonts w:ascii="Arial" w:hAnsi="Arial" w:cs="Arial"/>
        </w:rPr>
        <w:t>http://ageconsearch.umn.edu/handle/125957.</w:t>
      </w:r>
      <w:proofErr w:type="gramEnd"/>
    </w:p>
    <w:p w:rsidR="006F3029" w:rsidRPr="004858AF" w:rsidRDefault="00D825C1" w:rsidP="00842AB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proofErr w:type="spellStart"/>
      <w:proofErr w:type="gramStart"/>
      <w:r w:rsidR="006F3029" w:rsidRPr="004858AF">
        <w:rPr>
          <w:rFonts w:ascii="Arial" w:hAnsi="Arial" w:cs="Arial"/>
        </w:rPr>
        <w:t>Parviainen</w:t>
      </w:r>
      <w:proofErr w:type="spellEnd"/>
      <w:r w:rsidR="006F3029" w:rsidRPr="004858AF">
        <w:rPr>
          <w:rFonts w:ascii="Arial" w:hAnsi="Arial" w:cs="Arial"/>
        </w:rPr>
        <w:t xml:space="preserve"> H 2001.</w:t>
      </w:r>
      <w:proofErr w:type="gramEnd"/>
      <w:r w:rsidR="006F3029" w:rsidRPr="004858AF">
        <w:rPr>
          <w:rFonts w:ascii="Arial" w:hAnsi="Arial" w:cs="Arial"/>
        </w:rPr>
        <w:t xml:space="preserve"> </w:t>
      </w:r>
      <w:proofErr w:type="gramStart"/>
      <w:r w:rsidR="006F3029" w:rsidRPr="004858AF">
        <w:rPr>
          <w:rFonts w:ascii="Arial" w:hAnsi="Arial" w:cs="Arial"/>
        </w:rPr>
        <w:t>The research of working time and working methods in a rationalized piggery (In Finnish with an English abstract).</w:t>
      </w:r>
      <w:proofErr w:type="gramEnd"/>
      <w:r w:rsidR="006F3029" w:rsidRPr="004858AF">
        <w:rPr>
          <w:rFonts w:ascii="Arial" w:hAnsi="Arial" w:cs="Arial"/>
        </w:rPr>
        <w:t xml:space="preserve"> Work Efficiency Institute Agricultural Bulletin 534. Work Efficiency Institute, </w:t>
      </w:r>
      <w:proofErr w:type="spellStart"/>
      <w:r w:rsidR="006F3029" w:rsidRPr="004858AF">
        <w:rPr>
          <w:rFonts w:ascii="Arial" w:hAnsi="Arial" w:cs="Arial"/>
        </w:rPr>
        <w:t>Rajamäki</w:t>
      </w:r>
      <w:proofErr w:type="spellEnd"/>
      <w:r w:rsidR="006F3029" w:rsidRPr="004858AF">
        <w:rPr>
          <w:rFonts w:ascii="Arial" w:hAnsi="Arial" w:cs="Arial"/>
        </w:rPr>
        <w:t>, Finland.</w:t>
      </w:r>
    </w:p>
    <w:p w:rsidR="006F3029" w:rsidRDefault="006F3029" w:rsidP="00842ABE">
      <w:pPr>
        <w:ind w:left="567" w:hanging="567"/>
        <w:rPr>
          <w:rFonts w:ascii="Arial" w:hAnsi="Arial" w:cs="Arial"/>
        </w:rPr>
      </w:pPr>
      <w:proofErr w:type="spellStart"/>
      <w:proofErr w:type="gramStart"/>
      <w:r w:rsidRPr="006F3029">
        <w:rPr>
          <w:rFonts w:ascii="Arial" w:hAnsi="Arial" w:cs="Arial"/>
        </w:rPr>
        <w:t>Sinisalo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 xml:space="preserve">A, </w:t>
      </w:r>
      <w:proofErr w:type="spellStart"/>
      <w:r w:rsidRPr="006F3029">
        <w:rPr>
          <w:rFonts w:ascii="Arial" w:hAnsi="Arial" w:cs="Arial"/>
        </w:rPr>
        <w:t>Niemi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 xml:space="preserve">JK, </w:t>
      </w:r>
      <w:proofErr w:type="spellStart"/>
      <w:r w:rsidRPr="006F3029">
        <w:rPr>
          <w:rFonts w:ascii="Arial" w:hAnsi="Arial" w:cs="Arial"/>
        </w:rPr>
        <w:t>Heinonen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 xml:space="preserve">M </w:t>
      </w:r>
      <w:r w:rsidR="0002069F">
        <w:rPr>
          <w:rFonts w:ascii="Arial" w:hAnsi="Arial" w:cs="Arial"/>
        </w:rPr>
        <w:t>and</w:t>
      </w:r>
      <w:r w:rsidRPr="006F3029">
        <w:rPr>
          <w:rFonts w:ascii="Arial" w:hAnsi="Arial" w:cs="Arial"/>
        </w:rPr>
        <w:t xml:space="preserve"> </w:t>
      </w:r>
      <w:proofErr w:type="spellStart"/>
      <w:r w:rsidRPr="006F3029">
        <w:rPr>
          <w:rFonts w:ascii="Arial" w:hAnsi="Arial" w:cs="Arial"/>
        </w:rPr>
        <w:t>Valros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>A</w:t>
      </w:r>
      <w:r w:rsidR="0002069F">
        <w:rPr>
          <w:rFonts w:ascii="Arial" w:hAnsi="Arial" w:cs="Arial"/>
        </w:rPr>
        <w:t>.</w:t>
      </w:r>
      <w:r w:rsidRPr="006F3029">
        <w:rPr>
          <w:rFonts w:ascii="Arial" w:hAnsi="Arial" w:cs="Arial"/>
        </w:rPr>
        <w:t xml:space="preserve"> 2012.</w:t>
      </w:r>
      <w:proofErr w:type="gramEnd"/>
      <w:r w:rsidRPr="006F3029">
        <w:rPr>
          <w:rFonts w:ascii="Arial" w:hAnsi="Arial" w:cs="Arial"/>
        </w:rPr>
        <w:t xml:space="preserve"> </w:t>
      </w:r>
      <w:proofErr w:type="gramStart"/>
      <w:r w:rsidRPr="006F3029">
        <w:rPr>
          <w:rFonts w:ascii="Arial" w:hAnsi="Arial" w:cs="Arial"/>
        </w:rPr>
        <w:t>Tail biting and production performance in fattening pigs.</w:t>
      </w:r>
      <w:proofErr w:type="gramEnd"/>
      <w:r w:rsidRPr="006F3029">
        <w:rPr>
          <w:rFonts w:ascii="Arial" w:hAnsi="Arial" w:cs="Arial"/>
        </w:rPr>
        <w:t xml:space="preserve"> Livestock Science 143, 220-225.</w:t>
      </w:r>
    </w:p>
    <w:p w:rsidR="000A199F" w:rsidRPr="006F3029" w:rsidRDefault="000A199F" w:rsidP="00842ABE">
      <w:pPr>
        <w:ind w:left="567" w:hanging="567"/>
        <w:rPr>
          <w:rFonts w:ascii="Arial" w:hAnsi="Arial" w:cs="Arial"/>
        </w:rPr>
      </w:pPr>
      <w:proofErr w:type="spellStart"/>
      <w:proofErr w:type="gramStart"/>
      <w:r w:rsidRPr="006F3029">
        <w:rPr>
          <w:rFonts w:ascii="Arial" w:hAnsi="Arial" w:cs="Arial"/>
        </w:rPr>
        <w:t>Zonderland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 xml:space="preserve">JJ, </w:t>
      </w:r>
      <w:proofErr w:type="spellStart"/>
      <w:r w:rsidRPr="006F3029">
        <w:rPr>
          <w:rFonts w:ascii="Arial" w:hAnsi="Arial" w:cs="Arial"/>
        </w:rPr>
        <w:t>Bosma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 xml:space="preserve">B </w:t>
      </w:r>
      <w:r w:rsidR="0002069F">
        <w:rPr>
          <w:rFonts w:ascii="Arial" w:hAnsi="Arial" w:cs="Arial"/>
        </w:rPr>
        <w:t>and</w:t>
      </w:r>
      <w:r w:rsidRPr="006F3029">
        <w:rPr>
          <w:rFonts w:ascii="Arial" w:hAnsi="Arial" w:cs="Arial"/>
        </w:rPr>
        <w:t xml:space="preserve"> </w:t>
      </w:r>
      <w:proofErr w:type="spellStart"/>
      <w:r w:rsidRPr="006F3029">
        <w:rPr>
          <w:rFonts w:ascii="Arial" w:hAnsi="Arial" w:cs="Arial"/>
        </w:rPr>
        <w:t>Hoste</w:t>
      </w:r>
      <w:proofErr w:type="spellEnd"/>
      <w:r w:rsidR="0002069F">
        <w:rPr>
          <w:rFonts w:ascii="Arial" w:hAnsi="Arial" w:cs="Arial"/>
        </w:rPr>
        <w:t xml:space="preserve"> </w:t>
      </w:r>
      <w:r w:rsidRPr="006F3029">
        <w:rPr>
          <w:rFonts w:ascii="Arial" w:hAnsi="Arial" w:cs="Arial"/>
        </w:rPr>
        <w:t>R</w:t>
      </w:r>
      <w:r w:rsidR="0002069F">
        <w:rPr>
          <w:rFonts w:ascii="Arial" w:hAnsi="Arial" w:cs="Arial"/>
        </w:rPr>
        <w:t>.</w:t>
      </w:r>
      <w:r w:rsidRPr="006F3029">
        <w:rPr>
          <w:rFonts w:ascii="Arial" w:hAnsi="Arial" w:cs="Arial"/>
        </w:rPr>
        <w:t xml:space="preserve"> </w:t>
      </w:r>
      <w:r w:rsidR="0002069F">
        <w:rPr>
          <w:rFonts w:ascii="Arial" w:hAnsi="Arial" w:cs="Arial"/>
        </w:rPr>
        <w:t>2011.</w:t>
      </w:r>
      <w:proofErr w:type="gramEnd"/>
      <w:r w:rsidRPr="006F3029">
        <w:rPr>
          <w:rFonts w:ascii="Arial" w:hAnsi="Arial" w:cs="Arial"/>
        </w:rPr>
        <w:t xml:space="preserve"> Report on the financial consequences of tail damage due to tail biting among pigs in conventional pig farms in the Netherlands.  2011. Livestock Research </w:t>
      </w:r>
      <w:proofErr w:type="spellStart"/>
      <w:r w:rsidRPr="006F3029">
        <w:rPr>
          <w:rFonts w:ascii="Arial" w:hAnsi="Arial" w:cs="Arial"/>
        </w:rPr>
        <w:t>Wageningen</w:t>
      </w:r>
      <w:proofErr w:type="spellEnd"/>
      <w:r w:rsidRPr="006F3029">
        <w:rPr>
          <w:rFonts w:ascii="Arial" w:hAnsi="Arial" w:cs="Arial"/>
        </w:rPr>
        <w:t xml:space="preserve"> UR report 543. </w:t>
      </w:r>
      <w:proofErr w:type="gramStart"/>
      <w:r w:rsidRPr="006F3029">
        <w:rPr>
          <w:rFonts w:ascii="Arial" w:hAnsi="Arial" w:cs="Arial"/>
        </w:rPr>
        <w:t>ISSN 1570-8616.</w:t>
      </w:r>
      <w:proofErr w:type="gramEnd"/>
    </w:p>
    <w:sectPr w:rsidR="000A199F" w:rsidRPr="006F3029" w:rsidSect="00A16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5"/>
    <w:rsid w:val="0002069F"/>
    <w:rsid w:val="000A199F"/>
    <w:rsid w:val="000F5629"/>
    <w:rsid w:val="00100D4F"/>
    <w:rsid w:val="00107C56"/>
    <w:rsid w:val="00127D7F"/>
    <w:rsid w:val="001D47A4"/>
    <w:rsid w:val="003601C9"/>
    <w:rsid w:val="003D2876"/>
    <w:rsid w:val="003F4E09"/>
    <w:rsid w:val="00400385"/>
    <w:rsid w:val="00413D78"/>
    <w:rsid w:val="004E2566"/>
    <w:rsid w:val="00532F3A"/>
    <w:rsid w:val="006F3029"/>
    <w:rsid w:val="00842ABE"/>
    <w:rsid w:val="009018C9"/>
    <w:rsid w:val="00A169B7"/>
    <w:rsid w:val="00B91719"/>
    <w:rsid w:val="00C30424"/>
    <w:rsid w:val="00CB792F"/>
    <w:rsid w:val="00D825C1"/>
    <w:rsid w:val="00D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47A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A199F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47A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A199F"/>
    <w:pPr>
      <w:spacing w:after="200"/>
    </w:pPr>
    <w:rPr>
      <w:rFonts w:ascii="Calibri" w:hAnsi="Calibri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t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Fiona Ferguson</cp:lastModifiedBy>
  <cp:revision>2</cp:revision>
  <dcterms:created xsi:type="dcterms:W3CDTF">2015-09-17T14:36:00Z</dcterms:created>
  <dcterms:modified xsi:type="dcterms:W3CDTF">2015-09-17T14:36:00Z</dcterms:modified>
</cp:coreProperties>
</file>