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B" w:rsidRDefault="0072133B" w:rsidP="001503B6">
      <w:pPr>
        <w:spacing w:before="240"/>
        <w:jc w:val="both"/>
        <w:rPr>
          <w:szCs w:val="24"/>
        </w:rPr>
      </w:pPr>
      <w:r>
        <w:rPr>
          <w:b/>
          <w:szCs w:val="24"/>
        </w:rPr>
        <w:t xml:space="preserve">Supplementary Table </w:t>
      </w:r>
      <w:r w:rsidR="00ED5281">
        <w:rPr>
          <w:b/>
          <w:szCs w:val="24"/>
        </w:rPr>
        <w:t>S</w:t>
      </w:r>
      <w:r w:rsidR="00E445DC">
        <w:rPr>
          <w:b/>
          <w:szCs w:val="24"/>
        </w:rPr>
        <w:t>4</w:t>
      </w:r>
      <w:r>
        <w:rPr>
          <w:b/>
          <w:szCs w:val="24"/>
        </w:rPr>
        <w:t xml:space="preserve">. </w:t>
      </w:r>
      <w:r w:rsidRPr="0072133B">
        <w:rPr>
          <w:szCs w:val="24"/>
        </w:rPr>
        <w:t xml:space="preserve">Heritability estimates (standard error in parenthesis) for the </w:t>
      </w:r>
      <w:r w:rsidR="000105EB">
        <w:rPr>
          <w:szCs w:val="24"/>
        </w:rPr>
        <w:t>detailed</w:t>
      </w:r>
      <w:r w:rsidRPr="0072133B">
        <w:rPr>
          <w:szCs w:val="24"/>
        </w:rPr>
        <w:t xml:space="preserve"> fertility traits</w:t>
      </w:r>
      <w:r w:rsidR="0062599A" w:rsidRPr="00EC137D">
        <w:rPr>
          <w:vertAlign w:val="superscript"/>
        </w:rPr>
        <w:t>†</w:t>
      </w:r>
      <w:r w:rsidRPr="0072133B">
        <w:rPr>
          <w:szCs w:val="24"/>
        </w:rPr>
        <w:t xml:space="preserve"> in </w:t>
      </w:r>
      <w:r w:rsidR="004210D1">
        <w:rPr>
          <w:szCs w:val="24"/>
        </w:rPr>
        <w:t>dairy</w:t>
      </w:r>
      <w:r w:rsidRPr="0072133B">
        <w:rPr>
          <w:szCs w:val="24"/>
        </w:rPr>
        <w:t xml:space="preserve"> cows.</w:t>
      </w:r>
    </w:p>
    <w:tbl>
      <w:tblPr>
        <w:tblW w:w="13363" w:type="dxa"/>
        <w:tblInd w:w="108" w:type="dxa"/>
        <w:tblLook w:val="04A0"/>
      </w:tblPr>
      <w:tblGrid>
        <w:gridCol w:w="1087"/>
        <w:gridCol w:w="1228"/>
        <w:gridCol w:w="1295"/>
        <w:gridCol w:w="1115"/>
        <w:gridCol w:w="1134"/>
        <w:gridCol w:w="1087"/>
        <w:gridCol w:w="992"/>
        <w:gridCol w:w="1017"/>
        <w:gridCol w:w="1792"/>
        <w:gridCol w:w="2616"/>
      </w:tblGrid>
      <w:tr w:rsidR="000105EB" w:rsidRPr="000105EB" w:rsidTr="00317204">
        <w:trPr>
          <w:trHeight w:val="255"/>
        </w:trPr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>
              <w:rPr>
                <w:rFonts w:ascii="Arial" w:hAnsi="Arial" w:cs="Arial"/>
                <w:snapToGrid/>
                <w:sz w:val="20"/>
                <w:lang w:val="en-IE" w:eastAsia="en-IE"/>
              </w:rPr>
              <w:t>MO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Cysts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CLA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>
              <w:rPr>
                <w:rFonts w:ascii="Arial" w:hAnsi="Arial" w:cs="Arial"/>
                <w:snapToGrid/>
                <w:sz w:val="20"/>
                <w:lang w:val="en-IE" w:eastAsia="en-IE"/>
              </w:rPr>
              <w:t>RFM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Puerperal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Met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>
              <w:rPr>
                <w:rFonts w:ascii="Arial" w:hAnsi="Arial" w:cs="Arial"/>
                <w:snapToGrid/>
                <w:sz w:val="20"/>
                <w:lang w:val="en-IE" w:eastAsia="en-IE"/>
              </w:rPr>
              <w:t>Silent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Parity</w:t>
            </w:r>
            <w:r w:rsidR="0062599A">
              <w:rPr>
                <w:vertAlign w:val="superscript"/>
              </w:rPr>
              <w:t>‡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Population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Reference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0.13 </w:t>
            </w:r>
          </w:p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(0.06)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Multiple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Berry et al., (2012)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0.21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UK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Darwash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(1997)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0.028 (0.003)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>
              <w:rPr>
                <w:rFonts w:ascii="Arial" w:hAnsi="Arial" w:cs="Arial"/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317204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>
              <w:rPr>
                <w:rFonts w:ascii="Arial" w:hAnsi="Arial" w:cs="Arial"/>
                <w:snapToGrid/>
                <w:sz w:val="20"/>
                <w:lang w:val="en-IE" w:eastAsia="en-IE"/>
              </w:rPr>
              <w:t>Ireland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Fitzgerald et al. (2013)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0.06 (0.01)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0.04 (0.02)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0.03 (0.01)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0.05 (0.02)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0.04 (0.01)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Germany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Gernand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(2012)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0.07 (0.01)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0.06 (0.01)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0.03 (0.01)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0.06 (0.01)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Norway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Heringstad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(2010)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0.102 0.033)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1 to 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The Netherlands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Hooijer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(2001)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1 to 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The Netherlands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Hooijer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(2001)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0.04 (0.009)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>
              <w:rPr>
                <w:rFonts w:ascii="Arial" w:hAnsi="Arial" w:cs="Arial"/>
                <w:snapToGrid/>
                <w:sz w:val="20"/>
                <w:lang w:val="en-IE" w:eastAsia="en-IE"/>
              </w:rPr>
              <w:t>0</w:t>
            </w: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.007 (0.004)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0.019 (0.005)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0.009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0.006 (0.004)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317204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>
              <w:rPr>
                <w:rFonts w:ascii="Arial" w:hAnsi="Arial" w:cs="Arial"/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Austria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Koeck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(2010)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0.077 (0.027)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0.06 (0.37)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0.143 (0.054)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0.062 (0.036)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0.012 (0.015)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317204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>
              <w:rPr>
                <w:rFonts w:ascii="Arial" w:hAnsi="Arial" w:cs="Arial"/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Austria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Koeck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(2010)</w:t>
            </w:r>
          </w:p>
        </w:tc>
      </w:tr>
      <w:tr w:rsidR="000105EB" w:rsidRPr="000105EB" w:rsidTr="00317204">
        <w:trPr>
          <w:trHeight w:val="27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0.03 (0.005)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0.03 (0.005)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0.02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Canada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Koeck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(2012)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0.119 (0.077)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0.05 (0.07)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0.19 (0.077)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Lin et al. (1989)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0.076 (0.084)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0.091 (0.077)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0.262 (0.089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Lin et al. (1989)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0.006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Finland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Poso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and </w:t>
            </w: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Mantysaari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(1996)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0.007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Finland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Poso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and </w:t>
            </w: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Mantysaari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(1996)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0.16 </w:t>
            </w:r>
          </w:p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(0.05)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UK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Royal et al. (2002)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317204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>
              <w:rPr>
                <w:rFonts w:ascii="Arial" w:hAnsi="Arial" w:cs="Arial"/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The Netherlands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van </w:t>
            </w: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Dorp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(1998)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0.16 </w:t>
            </w:r>
          </w:p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(0.10)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The Netherlands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Veerkamp et al. (2000)</w:t>
            </w:r>
          </w:p>
        </w:tc>
      </w:tr>
      <w:tr w:rsidR="000105EB" w:rsidRPr="000105EB" w:rsidTr="00317204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0.08 (0.005)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0.08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Zwald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(2004)</w:t>
            </w:r>
          </w:p>
        </w:tc>
      </w:tr>
      <w:tr w:rsidR="000105EB" w:rsidRPr="000105EB" w:rsidTr="00317204">
        <w:trPr>
          <w:trHeight w:val="270"/>
        </w:trPr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0.05 (0.005)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0.07 (0.004)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317204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5EB" w:rsidRPr="000105EB" w:rsidRDefault="000105EB" w:rsidP="000105EB">
            <w:pPr>
              <w:widowControl/>
              <w:rPr>
                <w:rFonts w:ascii="Arial" w:hAnsi="Arial" w:cs="Arial"/>
                <w:snapToGrid/>
                <w:sz w:val="20"/>
                <w:lang w:val="en-IE" w:eastAsia="en-IE"/>
              </w:rPr>
            </w:pPr>
            <w:proofErr w:type="spellStart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>Zwald</w:t>
            </w:r>
            <w:proofErr w:type="spellEnd"/>
            <w:r w:rsidRPr="000105EB">
              <w:rPr>
                <w:rFonts w:ascii="Arial" w:hAnsi="Arial" w:cs="Arial"/>
                <w:snapToGrid/>
                <w:sz w:val="20"/>
                <w:lang w:val="en-IE" w:eastAsia="en-IE"/>
              </w:rPr>
              <w:t xml:space="preserve"> et al. (2004)</w:t>
            </w:r>
          </w:p>
        </w:tc>
      </w:tr>
    </w:tbl>
    <w:p w:rsidR="004210D1" w:rsidRDefault="0062599A" w:rsidP="001503B6">
      <w:pPr>
        <w:spacing w:before="240"/>
        <w:jc w:val="both"/>
        <w:rPr>
          <w:sz w:val="20"/>
        </w:rPr>
      </w:pPr>
      <w:r w:rsidRPr="00EC137D">
        <w:rPr>
          <w:vertAlign w:val="superscript"/>
        </w:rPr>
        <w:lastRenderedPageBreak/>
        <w:t>†</w:t>
      </w:r>
      <w:r w:rsidR="00317204">
        <w:rPr>
          <w:sz w:val="20"/>
        </w:rPr>
        <w:t xml:space="preserve">MO </w:t>
      </w:r>
      <w:r w:rsidR="0072133B" w:rsidRPr="004210D1">
        <w:rPr>
          <w:sz w:val="20"/>
        </w:rPr>
        <w:t xml:space="preserve">= </w:t>
      </w:r>
      <w:r w:rsidR="00317204">
        <w:rPr>
          <w:sz w:val="20"/>
        </w:rPr>
        <w:t>multiple ovulations</w:t>
      </w:r>
      <w:r w:rsidR="0072133B" w:rsidRPr="004210D1">
        <w:rPr>
          <w:sz w:val="20"/>
        </w:rPr>
        <w:t xml:space="preserve">; </w:t>
      </w:r>
      <w:r w:rsidR="00317204">
        <w:rPr>
          <w:sz w:val="20"/>
        </w:rPr>
        <w:t>Cysts</w:t>
      </w:r>
      <w:r w:rsidR="0072133B" w:rsidRPr="004210D1">
        <w:rPr>
          <w:sz w:val="20"/>
        </w:rPr>
        <w:t xml:space="preserve"> = </w:t>
      </w:r>
      <w:r w:rsidR="00317204">
        <w:rPr>
          <w:sz w:val="20"/>
        </w:rPr>
        <w:t>cystic ovaries</w:t>
      </w:r>
      <w:r w:rsidR="0072133B" w:rsidRPr="004210D1">
        <w:rPr>
          <w:sz w:val="20"/>
        </w:rPr>
        <w:t xml:space="preserve">; </w:t>
      </w:r>
      <w:r w:rsidR="00317204">
        <w:rPr>
          <w:sz w:val="20"/>
        </w:rPr>
        <w:t>CLA</w:t>
      </w:r>
      <w:r w:rsidR="0072133B" w:rsidRPr="004210D1">
        <w:rPr>
          <w:sz w:val="20"/>
        </w:rPr>
        <w:t xml:space="preserve"> =</w:t>
      </w:r>
      <w:r w:rsidR="00317204">
        <w:rPr>
          <w:sz w:val="20"/>
        </w:rPr>
        <w:t xml:space="preserve"> interval post-calving to commencement of luteal activity</w:t>
      </w:r>
      <w:r w:rsidR="00A019D5" w:rsidRPr="004210D1">
        <w:rPr>
          <w:sz w:val="20"/>
        </w:rPr>
        <w:t xml:space="preserve">; </w:t>
      </w:r>
      <w:proofErr w:type="spellStart"/>
      <w:r w:rsidR="00317204">
        <w:rPr>
          <w:sz w:val="20"/>
        </w:rPr>
        <w:t>RFM</w:t>
      </w:r>
      <w:proofErr w:type="spellEnd"/>
      <w:r w:rsidR="0072133B" w:rsidRPr="004210D1">
        <w:rPr>
          <w:sz w:val="20"/>
        </w:rPr>
        <w:t xml:space="preserve"> = </w:t>
      </w:r>
      <w:r w:rsidR="00317204">
        <w:rPr>
          <w:sz w:val="20"/>
        </w:rPr>
        <w:t xml:space="preserve">retained </w:t>
      </w:r>
      <w:proofErr w:type="spellStart"/>
      <w:r w:rsidR="00317204">
        <w:rPr>
          <w:sz w:val="20"/>
        </w:rPr>
        <w:t>foetal</w:t>
      </w:r>
      <w:proofErr w:type="spellEnd"/>
      <w:r w:rsidR="00317204">
        <w:rPr>
          <w:sz w:val="20"/>
        </w:rPr>
        <w:t xml:space="preserve"> membranes</w:t>
      </w:r>
      <w:r w:rsidR="00A019D5" w:rsidRPr="004210D1">
        <w:rPr>
          <w:sz w:val="20"/>
        </w:rPr>
        <w:t xml:space="preserve">; </w:t>
      </w:r>
      <w:r w:rsidR="00317204" w:rsidRPr="00317204">
        <w:rPr>
          <w:sz w:val="20"/>
        </w:rPr>
        <w:t xml:space="preserve">Puerperal </w:t>
      </w:r>
      <w:r w:rsidR="00A019D5" w:rsidRPr="004210D1">
        <w:rPr>
          <w:sz w:val="20"/>
        </w:rPr>
        <w:t xml:space="preserve">= </w:t>
      </w:r>
      <w:r w:rsidR="00317204" w:rsidRPr="00317204">
        <w:rPr>
          <w:sz w:val="20"/>
        </w:rPr>
        <w:t xml:space="preserve">Puerperal </w:t>
      </w:r>
      <w:r w:rsidR="00317204">
        <w:rPr>
          <w:sz w:val="20"/>
        </w:rPr>
        <w:t>disease</w:t>
      </w:r>
      <w:r w:rsidR="00A019D5" w:rsidRPr="004210D1">
        <w:rPr>
          <w:sz w:val="20"/>
        </w:rPr>
        <w:t xml:space="preserve">; </w:t>
      </w:r>
      <w:r w:rsidR="00317204">
        <w:rPr>
          <w:sz w:val="20"/>
        </w:rPr>
        <w:t>Met</w:t>
      </w:r>
      <w:r w:rsidR="00A019D5" w:rsidRPr="004210D1">
        <w:rPr>
          <w:sz w:val="20"/>
        </w:rPr>
        <w:t xml:space="preserve">= </w:t>
      </w:r>
      <w:proofErr w:type="spellStart"/>
      <w:r w:rsidR="00317204">
        <w:rPr>
          <w:sz w:val="20"/>
        </w:rPr>
        <w:t>metritis</w:t>
      </w:r>
      <w:proofErr w:type="spellEnd"/>
      <w:r w:rsidR="00A019D5" w:rsidRPr="004210D1">
        <w:rPr>
          <w:sz w:val="20"/>
        </w:rPr>
        <w:t xml:space="preserve">; </w:t>
      </w:r>
      <w:r w:rsidR="00317204">
        <w:rPr>
          <w:sz w:val="20"/>
        </w:rPr>
        <w:t xml:space="preserve">Silent </w:t>
      </w:r>
      <w:r w:rsidR="00A019D5" w:rsidRPr="004210D1">
        <w:rPr>
          <w:sz w:val="20"/>
        </w:rPr>
        <w:t xml:space="preserve">= </w:t>
      </w:r>
      <w:r w:rsidR="00317204">
        <w:rPr>
          <w:sz w:val="20"/>
        </w:rPr>
        <w:t>silent heat</w:t>
      </w:r>
      <w:r w:rsidR="00A019D5" w:rsidRPr="004210D1">
        <w:rPr>
          <w:sz w:val="20"/>
        </w:rPr>
        <w:t>;</w:t>
      </w:r>
    </w:p>
    <w:p w:rsidR="0072133B" w:rsidRPr="00A019D5" w:rsidRDefault="004210D1" w:rsidP="001503B6">
      <w:pPr>
        <w:spacing w:before="240"/>
        <w:jc w:val="both"/>
        <w:rPr>
          <w:sz w:val="20"/>
        </w:rPr>
      </w:pPr>
      <w:r w:rsidRPr="00A019D5">
        <w:rPr>
          <w:sz w:val="20"/>
          <w:vertAlign w:val="superscript"/>
        </w:rPr>
        <w:t xml:space="preserve"> </w:t>
      </w:r>
      <w:r w:rsidR="0062599A">
        <w:rPr>
          <w:vertAlign w:val="superscript"/>
        </w:rPr>
        <w:t>‡</w:t>
      </w:r>
      <w:bookmarkStart w:id="0" w:name="_GoBack"/>
      <w:bookmarkEnd w:id="0"/>
      <w:r w:rsidR="00A019D5" w:rsidRPr="00A019D5">
        <w:rPr>
          <w:sz w:val="20"/>
        </w:rPr>
        <w:t>M= multiple parities</w:t>
      </w:r>
    </w:p>
    <w:p w:rsidR="0072133B" w:rsidRDefault="0072133B" w:rsidP="001503B6">
      <w:pPr>
        <w:spacing w:before="240"/>
        <w:jc w:val="both"/>
        <w:rPr>
          <w:b/>
          <w:szCs w:val="24"/>
        </w:rPr>
      </w:pPr>
    </w:p>
    <w:p w:rsidR="0089594F" w:rsidRDefault="0089594F" w:rsidP="001503B6">
      <w:pPr>
        <w:spacing w:before="240"/>
        <w:jc w:val="both"/>
        <w:rPr>
          <w:b/>
          <w:szCs w:val="24"/>
        </w:rPr>
        <w:sectPr w:rsidR="0089594F" w:rsidSect="0072133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B14E6" w:rsidRPr="008B14E6" w:rsidRDefault="0072133B" w:rsidP="001503B6">
      <w:pPr>
        <w:spacing w:before="240"/>
        <w:jc w:val="both"/>
        <w:rPr>
          <w:b/>
          <w:szCs w:val="24"/>
        </w:rPr>
      </w:pPr>
      <w:r>
        <w:rPr>
          <w:b/>
          <w:szCs w:val="24"/>
        </w:rPr>
        <w:lastRenderedPageBreak/>
        <w:t>References</w:t>
      </w:r>
      <w:r w:rsidR="008B14E6" w:rsidRPr="008B14E6">
        <w:rPr>
          <w:b/>
          <w:szCs w:val="24"/>
        </w:rPr>
        <w:t>.</w:t>
      </w:r>
    </w:p>
    <w:p w:rsidR="00FE1238" w:rsidRPr="00A631B4" w:rsidRDefault="00FE1238" w:rsidP="00FE1238">
      <w:pPr>
        <w:spacing w:before="240"/>
        <w:jc w:val="both"/>
        <w:rPr>
          <w:lang w:val="en-IE"/>
        </w:rPr>
      </w:pPr>
      <w:r w:rsidRPr="00A631B4">
        <w:rPr>
          <w:lang w:val="en-IE"/>
        </w:rPr>
        <w:t xml:space="preserve">Berry DP, </w:t>
      </w:r>
      <w:proofErr w:type="spellStart"/>
      <w:r w:rsidRPr="00A631B4">
        <w:rPr>
          <w:lang w:val="en-IE"/>
        </w:rPr>
        <w:t>Bastiaansen</w:t>
      </w:r>
      <w:proofErr w:type="spellEnd"/>
      <w:r w:rsidRPr="00A631B4">
        <w:rPr>
          <w:lang w:val="en-IE"/>
        </w:rPr>
        <w:t xml:space="preserve"> </w:t>
      </w:r>
      <w:proofErr w:type="spellStart"/>
      <w:r w:rsidRPr="00A631B4">
        <w:rPr>
          <w:lang w:val="en-IE"/>
        </w:rPr>
        <w:t>JWM</w:t>
      </w:r>
      <w:proofErr w:type="spellEnd"/>
      <w:r w:rsidRPr="00A631B4">
        <w:rPr>
          <w:lang w:val="en-IE"/>
        </w:rPr>
        <w:t xml:space="preserve">, </w:t>
      </w:r>
      <w:proofErr w:type="spellStart"/>
      <w:r w:rsidRPr="00A631B4">
        <w:rPr>
          <w:lang w:val="en-IE"/>
        </w:rPr>
        <w:t>Veerkamp</w:t>
      </w:r>
      <w:proofErr w:type="spellEnd"/>
      <w:r w:rsidRPr="00A631B4">
        <w:rPr>
          <w:lang w:val="en-IE"/>
        </w:rPr>
        <w:t xml:space="preserve"> </w:t>
      </w:r>
      <w:proofErr w:type="spellStart"/>
      <w:r w:rsidRPr="00A631B4">
        <w:rPr>
          <w:lang w:val="en-IE"/>
        </w:rPr>
        <w:t>RF</w:t>
      </w:r>
      <w:proofErr w:type="spellEnd"/>
      <w:r w:rsidRPr="00A631B4">
        <w:rPr>
          <w:lang w:val="en-IE"/>
        </w:rPr>
        <w:t xml:space="preserve">, </w:t>
      </w:r>
      <w:proofErr w:type="spellStart"/>
      <w:r w:rsidRPr="00A631B4">
        <w:rPr>
          <w:lang w:val="en-IE"/>
        </w:rPr>
        <w:t>Wijga</w:t>
      </w:r>
      <w:proofErr w:type="spellEnd"/>
      <w:r w:rsidRPr="00A631B4">
        <w:rPr>
          <w:lang w:val="en-IE"/>
        </w:rPr>
        <w:t xml:space="preserve"> S, Wall E, Berglund B and </w:t>
      </w:r>
      <w:proofErr w:type="spellStart"/>
      <w:r w:rsidRPr="00A631B4">
        <w:rPr>
          <w:lang w:val="en-IE"/>
        </w:rPr>
        <w:t>Calus</w:t>
      </w:r>
      <w:proofErr w:type="spellEnd"/>
      <w:r w:rsidRPr="00A631B4">
        <w:rPr>
          <w:lang w:val="en-IE"/>
        </w:rPr>
        <w:t xml:space="preserve"> </w:t>
      </w:r>
      <w:proofErr w:type="spellStart"/>
      <w:r w:rsidRPr="00A631B4">
        <w:rPr>
          <w:lang w:val="en-IE"/>
        </w:rPr>
        <w:t>MPL</w:t>
      </w:r>
      <w:proofErr w:type="spellEnd"/>
      <w:r w:rsidRPr="00A631B4">
        <w:rPr>
          <w:lang w:val="en-IE"/>
        </w:rPr>
        <w:t xml:space="preserve"> 2012. Genome-wide associations for fertility traits in Holstein-Friesian dairy cows using data from experimental research herds in four European countries. Animal 6, 1206-1215.</w:t>
      </w:r>
    </w:p>
    <w:p w:rsidR="00FE1238" w:rsidRPr="00A631B4" w:rsidRDefault="00FE1238" w:rsidP="00FE1238">
      <w:pPr>
        <w:spacing w:before="240"/>
        <w:jc w:val="both"/>
        <w:rPr>
          <w:szCs w:val="24"/>
        </w:rPr>
      </w:pPr>
      <w:proofErr w:type="spellStart"/>
      <w:r w:rsidRPr="00A631B4">
        <w:rPr>
          <w:szCs w:val="24"/>
        </w:rPr>
        <w:t>Darwash</w:t>
      </w:r>
      <w:proofErr w:type="spellEnd"/>
      <w:r w:rsidRPr="00A631B4">
        <w:rPr>
          <w:szCs w:val="24"/>
        </w:rPr>
        <w:t xml:space="preserve"> AO, Lamming GE, </w:t>
      </w:r>
      <w:proofErr w:type="spellStart"/>
      <w:r w:rsidRPr="00A631B4">
        <w:rPr>
          <w:szCs w:val="24"/>
        </w:rPr>
        <w:t>Woolliams</w:t>
      </w:r>
      <w:proofErr w:type="spellEnd"/>
      <w:r w:rsidRPr="00A631B4">
        <w:rPr>
          <w:szCs w:val="24"/>
        </w:rPr>
        <w:t xml:space="preserve"> JA. 1997. Estimation of genetic variation in the interval from calving to postpartum ovulation of dairy cows. Journal of Dairy Science. 80, 1227-1234.</w:t>
      </w:r>
    </w:p>
    <w:p w:rsidR="00FE1238" w:rsidRPr="00ED5281" w:rsidRDefault="00FE1238" w:rsidP="00FE1238">
      <w:pPr>
        <w:spacing w:before="240"/>
        <w:jc w:val="both"/>
        <w:rPr>
          <w:szCs w:val="24"/>
          <w:lang w:val="de-CH"/>
        </w:rPr>
      </w:pPr>
      <w:r w:rsidRPr="00A631B4">
        <w:rPr>
          <w:szCs w:val="24"/>
          <w:lang w:val="es-US"/>
        </w:rPr>
        <w:t xml:space="preserve">Fitzgerald AM, Berry </w:t>
      </w:r>
      <w:proofErr w:type="spellStart"/>
      <w:r w:rsidRPr="00A631B4">
        <w:rPr>
          <w:szCs w:val="24"/>
          <w:lang w:val="es-US"/>
        </w:rPr>
        <w:t>DP</w:t>
      </w:r>
      <w:proofErr w:type="spellEnd"/>
      <w:r w:rsidRPr="00A631B4">
        <w:rPr>
          <w:szCs w:val="24"/>
          <w:lang w:val="es-US"/>
        </w:rPr>
        <w:t xml:space="preserve">, </w:t>
      </w:r>
      <w:proofErr w:type="spellStart"/>
      <w:r w:rsidRPr="00A631B4">
        <w:rPr>
          <w:szCs w:val="24"/>
          <w:lang w:val="es-US"/>
        </w:rPr>
        <w:t>Carthy</w:t>
      </w:r>
      <w:proofErr w:type="spellEnd"/>
      <w:r w:rsidRPr="00A631B4">
        <w:rPr>
          <w:szCs w:val="24"/>
          <w:lang w:val="es-US"/>
        </w:rPr>
        <w:t xml:space="preserve"> T,</w:t>
      </w:r>
      <w:r w:rsidRPr="00A631B4">
        <w:rPr>
          <w:szCs w:val="24"/>
          <w:vertAlign w:val="superscript"/>
          <w:lang w:val="es-US"/>
        </w:rPr>
        <w:t xml:space="preserve"> </w:t>
      </w:r>
      <w:r w:rsidRPr="00A631B4">
        <w:rPr>
          <w:szCs w:val="24"/>
          <w:lang w:val="es-US"/>
        </w:rPr>
        <w:t xml:space="preserve"> </w:t>
      </w:r>
      <w:proofErr w:type="spellStart"/>
      <w:r w:rsidRPr="00A631B4">
        <w:rPr>
          <w:szCs w:val="24"/>
          <w:lang w:val="es-US"/>
        </w:rPr>
        <w:t>Cromie</w:t>
      </w:r>
      <w:proofErr w:type="spellEnd"/>
      <w:r w:rsidRPr="00A631B4">
        <w:rPr>
          <w:szCs w:val="24"/>
          <w:lang w:val="es-US"/>
        </w:rPr>
        <w:t xml:space="preserve"> AR, and </w:t>
      </w:r>
      <w:proofErr w:type="spellStart"/>
      <w:r w:rsidRPr="00A631B4">
        <w:rPr>
          <w:szCs w:val="24"/>
          <w:lang w:val="es-US"/>
        </w:rPr>
        <w:t>Ryan</w:t>
      </w:r>
      <w:proofErr w:type="spellEnd"/>
      <w:r w:rsidRPr="00A631B4">
        <w:rPr>
          <w:szCs w:val="24"/>
          <w:lang w:val="es-US"/>
        </w:rPr>
        <w:t xml:space="preserve"> DP. 2014 </w:t>
      </w:r>
      <w:r w:rsidRPr="00A631B4">
        <w:rPr>
          <w:szCs w:val="24"/>
        </w:rPr>
        <w:t xml:space="preserve">Risk factors associated with multiple ovulation and twin birth rate in Irish dairy and beef cattle. </w:t>
      </w:r>
      <w:r w:rsidRPr="00ED5281">
        <w:rPr>
          <w:szCs w:val="24"/>
          <w:lang w:val="de-CH"/>
        </w:rPr>
        <w:t>J. Animal Science. 92,966-973.</w:t>
      </w:r>
    </w:p>
    <w:p w:rsidR="00FE1238" w:rsidRPr="00A631B4" w:rsidRDefault="00FE1238" w:rsidP="00FE1238">
      <w:pPr>
        <w:spacing w:before="240"/>
        <w:jc w:val="both"/>
        <w:rPr>
          <w:szCs w:val="24"/>
        </w:rPr>
      </w:pPr>
      <w:r w:rsidRPr="00ED5281">
        <w:rPr>
          <w:szCs w:val="24"/>
          <w:lang w:val="de-CH"/>
        </w:rPr>
        <w:t xml:space="preserve">Gernand E, Rehbein P, von Borstel UU, and König S. 2012. </w:t>
      </w:r>
      <w:r w:rsidRPr="00A631B4">
        <w:rPr>
          <w:szCs w:val="24"/>
        </w:rPr>
        <w:t>Incidences of and genetic parameters for mastitis, claw disorders, and common health traits recorded in dairy cattle contract herds. Journal of Dairy Science. 95, 2144-2156</w:t>
      </w:r>
    </w:p>
    <w:p w:rsidR="00FE1238" w:rsidRPr="00A631B4" w:rsidRDefault="00FE1238" w:rsidP="00FE1238">
      <w:pPr>
        <w:spacing w:before="240"/>
        <w:jc w:val="both"/>
        <w:rPr>
          <w:szCs w:val="24"/>
        </w:rPr>
      </w:pPr>
      <w:proofErr w:type="spellStart"/>
      <w:r w:rsidRPr="00A631B4">
        <w:rPr>
          <w:szCs w:val="24"/>
        </w:rPr>
        <w:t>Heringstad</w:t>
      </w:r>
      <w:proofErr w:type="spellEnd"/>
      <w:r w:rsidRPr="00A631B4">
        <w:rPr>
          <w:szCs w:val="24"/>
        </w:rPr>
        <w:t xml:space="preserve"> B. 2010.  Genetic analysis of fertility-related diseases and disorders in Norwegian Red cows. Journal of Dairy Science. 93, 2751-2756</w:t>
      </w:r>
    </w:p>
    <w:p w:rsidR="00FE1238" w:rsidRDefault="00FE1238" w:rsidP="00FE1238">
      <w:pPr>
        <w:spacing w:before="240"/>
        <w:jc w:val="both"/>
        <w:rPr>
          <w:szCs w:val="24"/>
        </w:rPr>
      </w:pPr>
      <w:proofErr w:type="spellStart"/>
      <w:r w:rsidRPr="00A631B4">
        <w:rPr>
          <w:szCs w:val="24"/>
        </w:rPr>
        <w:t>Hooijer</w:t>
      </w:r>
      <w:proofErr w:type="spellEnd"/>
      <w:r w:rsidRPr="00A631B4">
        <w:rPr>
          <w:szCs w:val="24"/>
        </w:rPr>
        <w:t xml:space="preserve"> GA, Lubbers </w:t>
      </w:r>
      <w:proofErr w:type="spellStart"/>
      <w:r w:rsidRPr="00A631B4">
        <w:rPr>
          <w:szCs w:val="24"/>
        </w:rPr>
        <w:t>RB</w:t>
      </w:r>
      <w:proofErr w:type="spellEnd"/>
      <w:r w:rsidRPr="00A631B4">
        <w:rPr>
          <w:szCs w:val="24"/>
        </w:rPr>
        <w:t xml:space="preserve">, </w:t>
      </w:r>
      <w:proofErr w:type="spellStart"/>
      <w:r w:rsidRPr="00A631B4">
        <w:rPr>
          <w:szCs w:val="24"/>
        </w:rPr>
        <w:t>Ducro</w:t>
      </w:r>
      <w:proofErr w:type="spellEnd"/>
      <w:r w:rsidRPr="00A631B4">
        <w:rPr>
          <w:szCs w:val="24"/>
        </w:rPr>
        <w:t xml:space="preserve"> BJ, van </w:t>
      </w:r>
      <w:proofErr w:type="spellStart"/>
      <w:r w:rsidRPr="00A631B4">
        <w:rPr>
          <w:szCs w:val="24"/>
        </w:rPr>
        <w:t>Arendonk</w:t>
      </w:r>
      <w:proofErr w:type="spellEnd"/>
      <w:r w:rsidRPr="00A631B4">
        <w:rPr>
          <w:szCs w:val="24"/>
        </w:rPr>
        <w:t xml:space="preserve"> JA, Kaal-Lansbergen LM, van </w:t>
      </w:r>
      <w:proofErr w:type="spellStart"/>
      <w:r w:rsidRPr="00A631B4">
        <w:rPr>
          <w:szCs w:val="24"/>
        </w:rPr>
        <w:t>der</w:t>
      </w:r>
      <w:proofErr w:type="spellEnd"/>
      <w:r w:rsidRPr="00A631B4">
        <w:rPr>
          <w:szCs w:val="24"/>
        </w:rPr>
        <w:t xml:space="preserve"> </w:t>
      </w:r>
      <w:proofErr w:type="spellStart"/>
      <w:r w:rsidRPr="00A631B4">
        <w:rPr>
          <w:szCs w:val="24"/>
        </w:rPr>
        <w:t>Lende</w:t>
      </w:r>
      <w:proofErr w:type="spellEnd"/>
      <w:r w:rsidRPr="00A631B4">
        <w:rPr>
          <w:szCs w:val="24"/>
        </w:rPr>
        <w:t xml:space="preserve"> T. 2001. Genetic parameters for cystic ovarian disease in Dutch black and white dairy cattle. Journal of Dairy Science. 84:286-291.</w:t>
      </w:r>
    </w:p>
    <w:p w:rsidR="00FE1238" w:rsidRPr="00A631B4" w:rsidRDefault="00FE1238" w:rsidP="00FE1238">
      <w:pPr>
        <w:spacing w:before="240"/>
        <w:jc w:val="both"/>
        <w:rPr>
          <w:szCs w:val="24"/>
        </w:rPr>
      </w:pPr>
      <w:proofErr w:type="spellStart"/>
      <w:r w:rsidRPr="00A631B4">
        <w:rPr>
          <w:szCs w:val="24"/>
        </w:rPr>
        <w:t>Koeck</w:t>
      </w:r>
      <w:proofErr w:type="spellEnd"/>
      <w:r w:rsidRPr="00A631B4">
        <w:rPr>
          <w:szCs w:val="24"/>
        </w:rPr>
        <w:t xml:space="preserve"> A, Egger-Danner C, </w:t>
      </w:r>
      <w:proofErr w:type="spellStart"/>
      <w:r w:rsidRPr="00A631B4">
        <w:rPr>
          <w:szCs w:val="24"/>
        </w:rPr>
        <w:t>Fuerst</w:t>
      </w:r>
      <w:proofErr w:type="spellEnd"/>
      <w:r w:rsidRPr="00A631B4">
        <w:rPr>
          <w:szCs w:val="24"/>
        </w:rPr>
        <w:t xml:space="preserve"> C, </w:t>
      </w:r>
      <w:proofErr w:type="spellStart"/>
      <w:r w:rsidRPr="00A631B4">
        <w:rPr>
          <w:szCs w:val="24"/>
        </w:rPr>
        <w:t>Obritzhauser</w:t>
      </w:r>
      <w:proofErr w:type="spellEnd"/>
      <w:r w:rsidRPr="00A631B4">
        <w:rPr>
          <w:szCs w:val="24"/>
        </w:rPr>
        <w:t xml:space="preserve"> W, and </w:t>
      </w:r>
      <w:proofErr w:type="spellStart"/>
      <w:r w:rsidRPr="00A631B4">
        <w:rPr>
          <w:szCs w:val="24"/>
        </w:rPr>
        <w:t>Fuerst-Waltl</w:t>
      </w:r>
      <w:proofErr w:type="spellEnd"/>
      <w:r w:rsidRPr="00A631B4">
        <w:rPr>
          <w:szCs w:val="24"/>
        </w:rPr>
        <w:t xml:space="preserve"> B. 2010. Genetic analysis of reproductive disorders and their relationship to fertility and milk yield in Austrian </w:t>
      </w:r>
      <w:proofErr w:type="spellStart"/>
      <w:r w:rsidRPr="00A631B4">
        <w:rPr>
          <w:szCs w:val="24"/>
        </w:rPr>
        <w:t>Fleckvieh</w:t>
      </w:r>
      <w:proofErr w:type="spellEnd"/>
      <w:r w:rsidRPr="00A631B4">
        <w:rPr>
          <w:szCs w:val="24"/>
        </w:rPr>
        <w:t xml:space="preserve"> dual-purpose cows Journal of Dairy Science. 93, 2185-2194</w:t>
      </w:r>
    </w:p>
    <w:p w:rsidR="00FE1238" w:rsidRPr="00A631B4" w:rsidRDefault="00FE1238" w:rsidP="00FE1238">
      <w:pPr>
        <w:autoSpaceDE w:val="0"/>
        <w:autoSpaceDN w:val="0"/>
        <w:adjustRightInd w:val="0"/>
        <w:spacing w:before="240"/>
        <w:jc w:val="both"/>
      </w:pPr>
      <w:proofErr w:type="spellStart"/>
      <w:r w:rsidRPr="00A631B4">
        <w:t>Koeck</w:t>
      </w:r>
      <w:proofErr w:type="spellEnd"/>
      <w:r w:rsidRPr="00A631B4">
        <w:t xml:space="preserve"> A, </w:t>
      </w:r>
      <w:proofErr w:type="spellStart"/>
      <w:r w:rsidRPr="00A631B4">
        <w:t>Miglior</w:t>
      </w:r>
      <w:proofErr w:type="spellEnd"/>
      <w:r w:rsidRPr="00A631B4">
        <w:t xml:space="preserve"> F, </w:t>
      </w:r>
      <w:proofErr w:type="spellStart"/>
      <w:r w:rsidRPr="00A631B4">
        <w:t>Kelton</w:t>
      </w:r>
      <w:proofErr w:type="spellEnd"/>
      <w:r w:rsidRPr="00A631B4">
        <w:t xml:space="preserve"> DF and </w:t>
      </w:r>
      <w:proofErr w:type="spellStart"/>
      <w:r w:rsidRPr="00A631B4">
        <w:t>Schenkel</w:t>
      </w:r>
      <w:proofErr w:type="spellEnd"/>
      <w:r w:rsidRPr="00A631B4">
        <w:t xml:space="preserve"> FS 2012 Health recording in Canadian Holsteins: Data and genetic parameters. Journal of Dairy Science 9, 4099-4108.</w:t>
      </w:r>
    </w:p>
    <w:p w:rsidR="00FE1238" w:rsidRPr="00A631B4" w:rsidRDefault="00FE1238" w:rsidP="00FE1238">
      <w:pPr>
        <w:spacing w:before="240"/>
        <w:jc w:val="both"/>
        <w:rPr>
          <w:szCs w:val="24"/>
        </w:rPr>
      </w:pPr>
      <w:r w:rsidRPr="00A631B4">
        <w:rPr>
          <w:szCs w:val="24"/>
        </w:rPr>
        <w:t xml:space="preserve">Lin HK, </w:t>
      </w:r>
      <w:proofErr w:type="spellStart"/>
      <w:r w:rsidRPr="00A631B4">
        <w:rPr>
          <w:szCs w:val="24"/>
        </w:rPr>
        <w:t>Oltenacu</w:t>
      </w:r>
      <w:proofErr w:type="spellEnd"/>
      <w:r w:rsidRPr="00A631B4">
        <w:rPr>
          <w:szCs w:val="24"/>
        </w:rPr>
        <w:t xml:space="preserve"> PA, Van </w:t>
      </w:r>
      <w:proofErr w:type="spellStart"/>
      <w:r w:rsidRPr="00A631B4">
        <w:rPr>
          <w:szCs w:val="24"/>
        </w:rPr>
        <w:t>Vleck</w:t>
      </w:r>
      <w:proofErr w:type="spellEnd"/>
      <w:r w:rsidRPr="00A631B4">
        <w:rPr>
          <w:szCs w:val="24"/>
        </w:rPr>
        <w:t xml:space="preserve"> LD, </w:t>
      </w:r>
      <w:proofErr w:type="spellStart"/>
      <w:r w:rsidRPr="00A631B4">
        <w:rPr>
          <w:szCs w:val="24"/>
        </w:rPr>
        <w:t>Erb</w:t>
      </w:r>
      <w:proofErr w:type="spellEnd"/>
      <w:r w:rsidRPr="00A631B4">
        <w:rPr>
          <w:szCs w:val="24"/>
        </w:rPr>
        <w:t xml:space="preserve"> </w:t>
      </w:r>
      <w:proofErr w:type="spellStart"/>
      <w:r w:rsidRPr="00A631B4">
        <w:rPr>
          <w:szCs w:val="24"/>
        </w:rPr>
        <w:t>HN</w:t>
      </w:r>
      <w:proofErr w:type="spellEnd"/>
      <w:r w:rsidRPr="00A631B4">
        <w:rPr>
          <w:szCs w:val="24"/>
        </w:rPr>
        <w:t xml:space="preserve">, and Smith RD. 1989. </w:t>
      </w:r>
      <w:proofErr w:type="spellStart"/>
      <w:r w:rsidRPr="00A631B4">
        <w:rPr>
          <w:szCs w:val="24"/>
        </w:rPr>
        <w:t>Heritabilities</w:t>
      </w:r>
      <w:proofErr w:type="spellEnd"/>
      <w:r w:rsidRPr="00A631B4">
        <w:rPr>
          <w:szCs w:val="24"/>
        </w:rPr>
        <w:t xml:space="preserve"> of and genetic correlations among six health problems in Holstein cows. Journal of Dairy Science, 72, 180-186</w:t>
      </w:r>
    </w:p>
    <w:p w:rsidR="00FE1238" w:rsidRPr="00A631B4" w:rsidRDefault="00FE1238" w:rsidP="00FE1238">
      <w:pPr>
        <w:spacing w:before="240"/>
        <w:jc w:val="both"/>
        <w:rPr>
          <w:szCs w:val="24"/>
        </w:rPr>
      </w:pPr>
      <w:proofErr w:type="spellStart"/>
      <w:r w:rsidRPr="00A631B4">
        <w:rPr>
          <w:szCs w:val="24"/>
        </w:rPr>
        <w:t>Pösö</w:t>
      </w:r>
      <w:proofErr w:type="spellEnd"/>
      <w:r w:rsidRPr="00A631B4">
        <w:rPr>
          <w:szCs w:val="24"/>
        </w:rPr>
        <w:t xml:space="preserve"> J, and </w:t>
      </w:r>
      <w:proofErr w:type="spellStart"/>
      <w:r w:rsidRPr="00A631B4">
        <w:rPr>
          <w:szCs w:val="24"/>
        </w:rPr>
        <w:t>Mäntysaari</w:t>
      </w:r>
      <w:proofErr w:type="spellEnd"/>
      <w:r w:rsidRPr="00A631B4">
        <w:rPr>
          <w:szCs w:val="24"/>
        </w:rPr>
        <w:t xml:space="preserve"> EA. 1996. Genetic relationships </w:t>
      </w:r>
      <w:r>
        <w:rPr>
          <w:szCs w:val="24"/>
        </w:rPr>
        <w:t xml:space="preserve">between reproductive disorders, </w:t>
      </w:r>
      <w:r w:rsidRPr="00A631B4">
        <w:rPr>
          <w:szCs w:val="24"/>
        </w:rPr>
        <w:t>operational days open and milk yield. Livestock Production Science. 46,41-48.</w:t>
      </w:r>
    </w:p>
    <w:p w:rsidR="00FE1238" w:rsidRPr="00A631B4" w:rsidRDefault="00FE1238" w:rsidP="00FE1238">
      <w:pPr>
        <w:spacing w:before="240"/>
        <w:jc w:val="both"/>
        <w:rPr>
          <w:szCs w:val="24"/>
        </w:rPr>
      </w:pPr>
      <w:r w:rsidRPr="00A631B4">
        <w:rPr>
          <w:szCs w:val="24"/>
        </w:rPr>
        <w:t xml:space="preserve">Royal MD, Flint </w:t>
      </w:r>
      <w:proofErr w:type="spellStart"/>
      <w:r w:rsidRPr="00A631B4">
        <w:rPr>
          <w:szCs w:val="24"/>
        </w:rPr>
        <w:t>APF</w:t>
      </w:r>
      <w:proofErr w:type="spellEnd"/>
      <w:r w:rsidRPr="00A631B4">
        <w:rPr>
          <w:szCs w:val="24"/>
        </w:rPr>
        <w:t xml:space="preserve">, and </w:t>
      </w:r>
      <w:proofErr w:type="spellStart"/>
      <w:r w:rsidRPr="00A631B4">
        <w:rPr>
          <w:szCs w:val="24"/>
        </w:rPr>
        <w:t>Woolliams</w:t>
      </w:r>
      <w:proofErr w:type="spellEnd"/>
      <w:r w:rsidRPr="00A631B4">
        <w:rPr>
          <w:szCs w:val="24"/>
        </w:rPr>
        <w:t xml:space="preserve"> JA. 2002. Genetic and phenotypic relationships among endocrine and traditional fertility traits and production traits in Holstein-Friesian dairy cows. Journal of Dairy Science. 85, 958-967</w:t>
      </w:r>
    </w:p>
    <w:p w:rsidR="00FE1238" w:rsidRPr="00A631B4" w:rsidRDefault="00FE1238" w:rsidP="00FE1238">
      <w:pPr>
        <w:spacing w:before="240"/>
        <w:jc w:val="both"/>
        <w:rPr>
          <w:szCs w:val="24"/>
        </w:rPr>
      </w:pPr>
      <w:r w:rsidRPr="00A631B4">
        <w:rPr>
          <w:szCs w:val="24"/>
        </w:rPr>
        <w:t xml:space="preserve">Van </w:t>
      </w:r>
      <w:proofErr w:type="spellStart"/>
      <w:r w:rsidRPr="00A631B4">
        <w:rPr>
          <w:szCs w:val="24"/>
        </w:rPr>
        <w:t>Dorp</w:t>
      </w:r>
      <w:proofErr w:type="spellEnd"/>
      <w:r w:rsidRPr="00A631B4">
        <w:rPr>
          <w:szCs w:val="24"/>
        </w:rPr>
        <w:t xml:space="preserve"> TE, </w:t>
      </w:r>
      <w:proofErr w:type="spellStart"/>
      <w:r w:rsidRPr="00A631B4">
        <w:rPr>
          <w:szCs w:val="24"/>
        </w:rPr>
        <w:t>Dekkers</w:t>
      </w:r>
      <w:proofErr w:type="spellEnd"/>
      <w:r w:rsidRPr="00A631B4">
        <w:rPr>
          <w:szCs w:val="24"/>
        </w:rPr>
        <w:t xml:space="preserve"> </w:t>
      </w:r>
      <w:proofErr w:type="spellStart"/>
      <w:r w:rsidRPr="00A631B4">
        <w:rPr>
          <w:szCs w:val="24"/>
        </w:rPr>
        <w:t>JCM</w:t>
      </w:r>
      <w:proofErr w:type="spellEnd"/>
      <w:r w:rsidRPr="00A631B4">
        <w:rPr>
          <w:szCs w:val="24"/>
        </w:rPr>
        <w:t xml:space="preserve">, Martin SW, and </w:t>
      </w:r>
      <w:proofErr w:type="spellStart"/>
      <w:r w:rsidRPr="00A631B4">
        <w:rPr>
          <w:szCs w:val="24"/>
        </w:rPr>
        <w:t>Noordhuizen</w:t>
      </w:r>
      <w:proofErr w:type="spellEnd"/>
      <w:r w:rsidRPr="00A631B4">
        <w:rPr>
          <w:szCs w:val="24"/>
        </w:rPr>
        <w:t xml:space="preserve">, </w:t>
      </w:r>
      <w:proofErr w:type="spellStart"/>
      <w:r w:rsidRPr="00A631B4">
        <w:rPr>
          <w:szCs w:val="24"/>
        </w:rPr>
        <w:t>JPTM</w:t>
      </w:r>
      <w:proofErr w:type="spellEnd"/>
      <w:r w:rsidRPr="00A631B4">
        <w:rPr>
          <w:szCs w:val="24"/>
        </w:rPr>
        <w:t xml:space="preserve"> </w:t>
      </w:r>
      <w:proofErr w:type="spellStart"/>
      <w:r w:rsidRPr="00A631B4">
        <w:rPr>
          <w:szCs w:val="24"/>
        </w:rPr>
        <w:t>J.P.T.M.</w:t>
      </w:r>
      <w:proofErr w:type="spellEnd"/>
      <w:r w:rsidRPr="00A631B4">
        <w:rPr>
          <w:szCs w:val="24"/>
        </w:rPr>
        <w:t xml:space="preserve"> 1998. Genetic parameters of health disorders, and relationships with 305-day milk yield and conformation traits of registered Holstein cows. Journal of Dairy Science, 81, 2264-2270</w:t>
      </w:r>
    </w:p>
    <w:p w:rsidR="00FE1238" w:rsidRPr="00A631B4" w:rsidRDefault="00FE1238" w:rsidP="00FE1238">
      <w:pPr>
        <w:spacing w:before="240"/>
        <w:jc w:val="both"/>
        <w:rPr>
          <w:szCs w:val="24"/>
        </w:rPr>
      </w:pPr>
      <w:proofErr w:type="spellStart"/>
      <w:r w:rsidRPr="00A631B4">
        <w:rPr>
          <w:szCs w:val="24"/>
        </w:rPr>
        <w:t>Veerkamp</w:t>
      </w:r>
      <w:proofErr w:type="spellEnd"/>
      <w:r w:rsidRPr="00A631B4">
        <w:rPr>
          <w:szCs w:val="24"/>
        </w:rPr>
        <w:t xml:space="preserve"> </w:t>
      </w:r>
      <w:proofErr w:type="spellStart"/>
      <w:r w:rsidRPr="00A631B4">
        <w:rPr>
          <w:szCs w:val="24"/>
        </w:rPr>
        <w:t>RF</w:t>
      </w:r>
      <w:proofErr w:type="spellEnd"/>
      <w:r w:rsidRPr="00A631B4">
        <w:rPr>
          <w:szCs w:val="24"/>
        </w:rPr>
        <w:t xml:space="preserve">, </w:t>
      </w:r>
      <w:proofErr w:type="spellStart"/>
      <w:r w:rsidRPr="00A631B4">
        <w:rPr>
          <w:szCs w:val="24"/>
        </w:rPr>
        <w:t>Oldenbroek</w:t>
      </w:r>
      <w:proofErr w:type="spellEnd"/>
      <w:r w:rsidRPr="00A631B4">
        <w:rPr>
          <w:szCs w:val="24"/>
        </w:rPr>
        <w:t xml:space="preserve"> </w:t>
      </w:r>
      <w:proofErr w:type="spellStart"/>
      <w:r w:rsidRPr="00A631B4">
        <w:rPr>
          <w:szCs w:val="24"/>
        </w:rPr>
        <w:t>JK</w:t>
      </w:r>
      <w:proofErr w:type="spellEnd"/>
      <w:r w:rsidRPr="00A631B4">
        <w:rPr>
          <w:szCs w:val="24"/>
        </w:rPr>
        <w:t xml:space="preserve">, Van </w:t>
      </w:r>
      <w:proofErr w:type="spellStart"/>
      <w:r w:rsidRPr="00A631B4">
        <w:rPr>
          <w:szCs w:val="24"/>
        </w:rPr>
        <w:t>Der</w:t>
      </w:r>
      <w:proofErr w:type="spellEnd"/>
      <w:r w:rsidRPr="00A631B4">
        <w:rPr>
          <w:szCs w:val="24"/>
        </w:rPr>
        <w:t xml:space="preserve"> </w:t>
      </w:r>
      <w:proofErr w:type="spellStart"/>
      <w:r w:rsidRPr="00A631B4">
        <w:rPr>
          <w:szCs w:val="24"/>
        </w:rPr>
        <w:t>Gaast</w:t>
      </w:r>
      <w:proofErr w:type="spellEnd"/>
      <w:r w:rsidRPr="00A631B4">
        <w:rPr>
          <w:szCs w:val="24"/>
        </w:rPr>
        <w:t xml:space="preserve"> </w:t>
      </w:r>
      <w:proofErr w:type="spellStart"/>
      <w:r w:rsidRPr="00A631B4">
        <w:rPr>
          <w:szCs w:val="24"/>
        </w:rPr>
        <w:t>HJ</w:t>
      </w:r>
      <w:proofErr w:type="spellEnd"/>
      <w:r w:rsidRPr="00A631B4">
        <w:rPr>
          <w:szCs w:val="24"/>
        </w:rPr>
        <w:t xml:space="preserve">, and Van </w:t>
      </w:r>
      <w:proofErr w:type="spellStart"/>
      <w:r w:rsidRPr="00A631B4">
        <w:rPr>
          <w:szCs w:val="24"/>
        </w:rPr>
        <w:t>Der</w:t>
      </w:r>
      <w:proofErr w:type="spellEnd"/>
      <w:r w:rsidRPr="00A631B4">
        <w:rPr>
          <w:szCs w:val="24"/>
        </w:rPr>
        <w:t xml:space="preserve"> </w:t>
      </w:r>
      <w:proofErr w:type="spellStart"/>
      <w:r w:rsidRPr="00A631B4">
        <w:rPr>
          <w:szCs w:val="24"/>
        </w:rPr>
        <w:t>Werf</w:t>
      </w:r>
      <w:proofErr w:type="spellEnd"/>
      <w:r w:rsidRPr="00A631B4">
        <w:rPr>
          <w:szCs w:val="24"/>
        </w:rPr>
        <w:t xml:space="preserve"> </w:t>
      </w:r>
      <w:proofErr w:type="spellStart"/>
      <w:r w:rsidRPr="00A631B4">
        <w:rPr>
          <w:szCs w:val="24"/>
        </w:rPr>
        <w:t>JHJ</w:t>
      </w:r>
      <w:proofErr w:type="spellEnd"/>
      <w:r w:rsidRPr="00A631B4">
        <w:rPr>
          <w:szCs w:val="24"/>
        </w:rPr>
        <w:t>. 2000. Genetic correlation between days until start of luteal Activity and milk yield, energy balance, and live weights. Journal of Dairy Science. 83, 577-583</w:t>
      </w:r>
    </w:p>
    <w:p w:rsidR="00FE1238" w:rsidRDefault="00FE1238" w:rsidP="00FE1238">
      <w:pPr>
        <w:spacing w:before="240"/>
        <w:jc w:val="both"/>
        <w:rPr>
          <w:szCs w:val="24"/>
        </w:rPr>
      </w:pPr>
      <w:proofErr w:type="spellStart"/>
      <w:r w:rsidRPr="00A631B4">
        <w:rPr>
          <w:szCs w:val="24"/>
        </w:rPr>
        <w:lastRenderedPageBreak/>
        <w:t>Zwald</w:t>
      </w:r>
      <w:proofErr w:type="spellEnd"/>
      <w:r w:rsidRPr="00A631B4">
        <w:rPr>
          <w:szCs w:val="24"/>
        </w:rPr>
        <w:t xml:space="preserve"> NR, </w:t>
      </w:r>
      <w:proofErr w:type="spellStart"/>
      <w:r w:rsidRPr="00A631B4">
        <w:rPr>
          <w:szCs w:val="24"/>
        </w:rPr>
        <w:t>Weigel</w:t>
      </w:r>
      <w:proofErr w:type="spellEnd"/>
      <w:r w:rsidRPr="00A631B4">
        <w:rPr>
          <w:szCs w:val="24"/>
        </w:rPr>
        <w:t xml:space="preserve"> KA, Chang </w:t>
      </w:r>
      <w:proofErr w:type="spellStart"/>
      <w:r w:rsidRPr="00A631B4">
        <w:rPr>
          <w:szCs w:val="24"/>
        </w:rPr>
        <w:t>YM</w:t>
      </w:r>
      <w:proofErr w:type="spellEnd"/>
      <w:r w:rsidRPr="00A631B4">
        <w:rPr>
          <w:szCs w:val="24"/>
        </w:rPr>
        <w:t xml:space="preserve">, </w:t>
      </w:r>
      <w:proofErr w:type="spellStart"/>
      <w:r w:rsidRPr="00A631B4">
        <w:rPr>
          <w:szCs w:val="24"/>
        </w:rPr>
        <w:t>Welper</w:t>
      </w:r>
      <w:proofErr w:type="spellEnd"/>
      <w:r w:rsidRPr="00A631B4">
        <w:rPr>
          <w:szCs w:val="24"/>
        </w:rPr>
        <w:t xml:space="preserve"> RD, Clay JS. 2004. Genetic selection for health traits using producer-recorded data. I. Incidence rates, heritability Estimates, and sire breeding values Journal of Dairy Science. 87, 4287-4294</w:t>
      </w:r>
    </w:p>
    <w:p w:rsidR="00FE1238" w:rsidRDefault="00FE1238" w:rsidP="00FE1238">
      <w:pPr>
        <w:spacing w:before="240"/>
        <w:jc w:val="both"/>
        <w:rPr>
          <w:szCs w:val="24"/>
        </w:rPr>
      </w:pPr>
    </w:p>
    <w:sectPr w:rsidR="00FE1238" w:rsidSect="008959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6D65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B424FB"/>
    <w:multiLevelType w:val="hybridMultilevel"/>
    <w:tmpl w:val="C072635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A5577"/>
    <w:rsid w:val="000105EB"/>
    <w:rsid w:val="00113F63"/>
    <w:rsid w:val="001503B6"/>
    <w:rsid w:val="001A5577"/>
    <w:rsid w:val="001D0C67"/>
    <w:rsid w:val="001E0203"/>
    <w:rsid w:val="0024261C"/>
    <w:rsid w:val="002C69DF"/>
    <w:rsid w:val="00317204"/>
    <w:rsid w:val="00343305"/>
    <w:rsid w:val="004210D1"/>
    <w:rsid w:val="004547E3"/>
    <w:rsid w:val="00457386"/>
    <w:rsid w:val="004719E6"/>
    <w:rsid w:val="004E77ED"/>
    <w:rsid w:val="0055382A"/>
    <w:rsid w:val="0062599A"/>
    <w:rsid w:val="0068481D"/>
    <w:rsid w:val="0072133B"/>
    <w:rsid w:val="00742C12"/>
    <w:rsid w:val="00761ABC"/>
    <w:rsid w:val="007B0B0B"/>
    <w:rsid w:val="007C3A20"/>
    <w:rsid w:val="0089594F"/>
    <w:rsid w:val="008B14E6"/>
    <w:rsid w:val="0090400E"/>
    <w:rsid w:val="00A019D5"/>
    <w:rsid w:val="00A07619"/>
    <w:rsid w:val="00A631B4"/>
    <w:rsid w:val="00A81B3D"/>
    <w:rsid w:val="00A85774"/>
    <w:rsid w:val="00CF0359"/>
    <w:rsid w:val="00E445DC"/>
    <w:rsid w:val="00E6737B"/>
    <w:rsid w:val="00E749E0"/>
    <w:rsid w:val="00EA4E96"/>
    <w:rsid w:val="00ED5281"/>
    <w:rsid w:val="00ED6978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82A"/>
    <w:pPr>
      <w:ind w:left="720"/>
      <w:contextualSpacing/>
    </w:pPr>
  </w:style>
  <w:style w:type="paragraph" w:styleId="Corpsdetexte">
    <w:name w:val="Body Text"/>
    <w:basedOn w:val="Normal"/>
    <w:link w:val="CorpsdetexteCar"/>
    <w:rsid w:val="0055382A"/>
    <w:pPr>
      <w:widowControl/>
      <w:spacing w:after="120"/>
    </w:pPr>
    <w:rPr>
      <w:snapToGrid/>
      <w:szCs w:val="24"/>
    </w:rPr>
  </w:style>
  <w:style w:type="character" w:customStyle="1" w:styleId="CorpsdetexteCar">
    <w:name w:val="Corps de texte Car"/>
    <w:basedOn w:val="Policepardfaut"/>
    <w:link w:val="Corpsdetexte"/>
    <w:rsid w:val="00553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631B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631B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2A"/>
    <w:pPr>
      <w:ind w:left="720"/>
      <w:contextualSpacing/>
    </w:pPr>
  </w:style>
  <w:style w:type="paragraph" w:styleId="BodyText">
    <w:name w:val="Body Text"/>
    <w:basedOn w:val="Normal"/>
    <w:link w:val="BodyTextChar"/>
    <w:rsid w:val="0055382A"/>
    <w:pPr>
      <w:widowControl/>
      <w:spacing w:after="120"/>
    </w:pPr>
    <w:rPr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553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31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1B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07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63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33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9648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6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5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367">
                  <w:marLeft w:val="0"/>
                  <w:marRight w:val="0"/>
                  <w:marTop w:val="0"/>
                  <w:marBottom w:val="15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90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60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6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2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57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 Berry</dc:creator>
  <cp:lastModifiedBy>Nadine Miraux</cp:lastModifiedBy>
  <cp:revision>2</cp:revision>
  <dcterms:created xsi:type="dcterms:W3CDTF">2014-03-10T09:01:00Z</dcterms:created>
  <dcterms:modified xsi:type="dcterms:W3CDTF">2014-03-10T09:01:00Z</dcterms:modified>
</cp:coreProperties>
</file>