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5E0" w:rsidRPr="00406EA1" w:rsidRDefault="008605E0" w:rsidP="008605E0">
      <w:pPr>
        <w:rPr>
          <w:b/>
          <w:sz w:val="24"/>
          <w:szCs w:val="24"/>
        </w:rPr>
      </w:pPr>
      <w:bookmarkStart w:id="0" w:name="_GoBack"/>
      <w:bookmarkEnd w:id="0"/>
      <w:r>
        <w:rPr>
          <w:b/>
          <w:sz w:val="24"/>
          <w:szCs w:val="24"/>
        </w:rPr>
        <w:t>Appendix</w:t>
      </w:r>
    </w:p>
    <w:p w:rsidR="008605E0" w:rsidRPr="0032020C" w:rsidRDefault="001A4931" w:rsidP="005050D2">
      <w:pPr>
        <w:jc w:val="both"/>
        <w:rPr>
          <w:sz w:val="24"/>
          <w:szCs w:val="24"/>
        </w:rPr>
      </w:pPr>
      <w:r>
        <w:rPr>
          <w:sz w:val="24"/>
          <w:szCs w:val="24"/>
        </w:rPr>
        <w:t>From equation (4</w:t>
      </w:r>
      <w:r w:rsidR="008605E0" w:rsidRPr="0032020C">
        <w:rPr>
          <w:sz w:val="24"/>
          <w:szCs w:val="24"/>
        </w:rPr>
        <w:t>) the (average) self-funder price for LA j is equal to:</w:t>
      </w:r>
    </w:p>
    <w:p w:rsidR="008605E0" w:rsidRPr="005050D2" w:rsidRDefault="009C21A8" w:rsidP="005050D2">
      <w:pPr>
        <w:ind w:left="1440" w:firstLine="720"/>
        <w:jc w:val="both"/>
      </w:pPr>
      <m:oMath>
        <m:sSubSup>
          <m:sSubSupPr>
            <m:ctrlPr>
              <w:rPr>
                <w:rFonts w:ascii="Cambria Math" w:hAnsi="Cambria Math"/>
                <w:i/>
              </w:rPr>
            </m:ctrlPr>
          </m:sSubSupPr>
          <m:e>
            <m:r>
              <w:rPr>
                <w:rFonts w:ascii="Cambria Math" w:hAnsi="Cambria Math"/>
              </w:rPr>
              <m:t>P</m:t>
            </m:r>
          </m:e>
          <m:sub>
            <m:r>
              <w:rPr>
                <w:rFonts w:ascii="Cambria Math" w:hAnsi="Cambria Math"/>
              </w:rPr>
              <m:t>j</m:t>
            </m:r>
          </m:sub>
          <m:sup>
            <m:r>
              <w:rPr>
                <w:rFonts w:ascii="Cambria Math" w:hAnsi="Cambria Math"/>
              </w:rPr>
              <m:t>SF</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j</m:t>
                </m:r>
              </m:sub>
            </m:sSub>
            <m:sSubSup>
              <m:sSubSupPr>
                <m:ctrlPr>
                  <w:rPr>
                    <w:rFonts w:ascii="Cambria Math" w:hAnsi="Cambria Math"/>
                    <w:i/>
                  </w:rPr>
                </m:ctrlPr>
              </m:sSubSupPr>
              <m:e>
                <m:r>
                  <w:rPr>
                    <w:rFonts w:ascii="Cambria Math" w:hAnsi="Cambria Math"/>
                  </w:rPr>
                  <m:t>P</m:t>
                </m:r>
              </m:e>
              <m:sub>
                <m:r>
                  <w:rPr>
                    <w:rFonts w:ascii="Cambria Math" w:hAnsi="Cambria Math"/>
                  </w:rPr>
                  <m:t>j</m:t>
                </m:r>
              </m:sub>
              <m:sup>
                <m:r>
                  <w:rPr>
                    <w:rFonts w:ascii="Cambria Math" w:hAnsi="Cambria Math"/>
                  </w:rPr>
                  <m:t>LA</m:t>
                </m:r>
              </m:sup>
            </m:sSubSup>
          </m:num>
          <m:den>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rPr>
              <m:t>)</m:t>
            </m:r>
          </m:den>
        </m:f>
      </m:oMath>
      <w:r w:rsidR="008605E0" w:rsidRPr="00397A75">
        <w:t xml:space="preserve"> </w:t>
      </w:r>
      <w:r w:rsidR="008605E0" w:rsidRPr="00397A75">
        <w:tab/>
      </w:r>
      <w:r w:rsidR="008605E0" w:rsidRPr="00397A75">
        <w:tab/>
      </w:r>
      <w:r w:rsidR="008605E0" w:rsidRPr="00397A75">
        <w:tab/>
      </w:r>
      <w:r w:rsidR="008605E0">
        <w:tab/>
      </w:r>
      <w:r w:rsidR="008605E0" w:rsidRPr="00397A75">
        <w:tab/>
      </w:r>
      <w:r w:rsidR="008605E0" w:rsidRPr="00397A75">
        <w:tab/>
        <w:t xml:space="preserve"> </w:t>
      </w:r>
      <m:oMath>
        <m:r>
          <w:rPr>
            <w:rFonts w:ascii="Cambria Math" w:hAnsi="Cambria Math"/>
          </w:rPr>
          <m:t>(A1)</m:t>
        </m:r>
      </m:oMath>
    </w:p>
    <w:p w:rsidR="008605E0" w:rsidRPr="0032020C" w:rsidRDefault="001A4931" w:rsidP="005050D2">
      <w:pPr>
        <w:jc w:val="both"/>
        <w:rPr>
          <w:sz w:val="24"/>
          <w:szCs w:val="24"/>
        </w:rPr>
      </w:pPr>
      <w:r>
        <w:rPr>
          <w:sz w:val="24"/>
          <w:szCs w:val="24"/>
        </w:rPr>
        <w:t>From equation (5) we calculated t</w:t>
      </w:r>
      <w:r w:rsidR="008605E0" w:rsidRPr="0032020C">
        <w:rPr>
          <w:sz w:val="24"/>
          <w:szCs w:val="24"/>
        </w:rPr>
        <w:t xml:space="preserve">he proportion of LA-funded residents located in LA </w:t>
      </w:r>
      <m:oMath>
        <m:r>
          <w:rPr>
            <w:rFonts w:ascii="Cambria Math" w:hAnsi="Cambria Math"/>
            <w:sz w:val="24"/>
            <w:szCs w:val="24"/>
          </w:rPr>
          <m:t>j</m:t>
        </m:r>
      </m:oMath>
      <w:r w:rsidR="008605E0">
        <w:rPr>
          <w:sz w:val="24"/>
          <w:szCs w:val="24"/>
        </w:rPr>
        <w:t xml:space="preserve"> is therefore calculated as:</w:t>
      </w:r>
    </w:p>
    <w:p w:rsidR="008605E0" w:rsidRPr="005050D2" w:rsidRDefault="009C21A8" w:rsidP="005050D2">
      <w:pPr>
        <w:ind w:left="2160" w:firstLine="720"/>
        <w:jc w:val="both"/>
      </w:pPr>
      <m:oMath>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z</m:t>
                </m:r>
              </m:sup>
              <m:e>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j</m:t>
                    </m:r>
                  </m:sup>
                </m:sSubSup>
              </m:e>
            </m:nary>
          </m:num>
          <m:den>
            <m:r>
              <w:rPr>
                <w:rFonts w:ascii="Cambria Math" w:hAnsi="Cambria Math"/>
              </w:rPr>
              <m:t>δ</m:t>
            </m:r>
            <m:sSub>
              <m:sSubPr>
                <m:ctrlPr>
                  <w:rPr>
                    <w:rFonts w:ascii="Cambria Math" w:hAnsi="Cambria Math"/>
                    <w:i/>
                  </w:rPr>
                </m:ctrlPr>
              </m:sSubPr>
              <m:e>
                <m:r>
                  <w:rPr>
                    <w:rFonts w:ascii="Cambria Math" w:hAnsi="Cambria Math"/>
                  </w:rPr>
                  <m:t>B</m:t>
                </m:r>
              </m:e>
              <m:sub>
                <m:r>
                  <w:rPr>
                    <w:rFonts w:ascii="Cambria Math" w:hAnsi="Cambria Math"/>
                  </w:rPr>
                  <m:t>j</m:t>
                </m:r>
              </m:sub>
            </m:sSub>
          </m:den>
        </m:f>
      </m:oMath>
      <w:r w:rsidR="005050D2">
        <w:tab/>
      </w:r>
      <w:r w:rsidR="005050D2">
        <w:tab/>
      </w:r>
      <w:r w:rsidR="005050D2">
        <w:tab/>
      </w:r>
      <w:r w:rsidR="005050D2">
        <w:tab/>
      </w:r>
      <w:r w:rsidR="005050D2">
        <w:tab/>
      </w:r>
      <w:r w:rsidR="008605E0" w:rsidRPr="00397A75">
        <w:t>(</w:t>
      </w:r>
      <m:oMath>
        <m:r>
          <w:rPr>
            <w:rFonts w:ascii="Cambria Math" w:hAnsi="Cambria Math"/>
          </w:rPr>
          <m:t>A2)</m:t>
        </m:r>
      </m:oMath>
    </w:p>
    <w:p w:rsidR="008605E0" w:rsidRDefault="008605E0" w:rsidP="005050D2">
      <w:pPr>
        <w:jc w:val="both"/>
        <w:rPr>
          <w:sz w:val="24"/>
          <w:szCs w:val="24"/>
        </w:rPr>
      </w:pPr>
      <w:r w:rsidRPr="0032020C">
        <w:rPr>
          <w:sz w:val="24"/>
          <w:szCs w:val="24"/>
        </w:rPr>
        <w:t xml:space="preserve">Where </w:t>
      </w: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m:t>
            </m:r>
          </m:sub>
          <m:sup>
            <m:r>
              <w:rPr>
                <w:rFonts w:ascii="Cambria Math" w:hAnsi="Cambria Math"/>
                <w:sz w:val="24"/>
                <w:szCs w:val="24"/>
              </w:rPr>
              <m:t>j</m:t>
            </m:r>
          </m:sup>
        </m:sSubSup>
        <m:r>
          <w:rPr>
            <w:rFonts w:ascii="Cambria Math" w:hAnsi="Cambria Math"/>
            <w:sz w:val="24"/>
            <w:szCs w:val="24"/>
          </w:rPr>
          <m:t xml:space="preserve"> </m:t>
        </m:r>
      </m:oMath>
      <w:r w:rsidRPr="0032020C">
        <w:rPr>
          <w:sz w:val="24"/>
          <w:szCs w:val="24"/>
        </w:rPr>
        <w:t xml:space="preserve">is the number of LA-funded residents that are funded by LA </w:t>
      </w:r>
      <m:oMath>
        <m:r>
          <w:rPr>
            <w:rFonts w:ascii="Cambria Math" w:hAnsi="Cambria Math"/>
            <w:sz w:val="24"/>
            <w:szCs w:val="24"/>
          </w:rPr>
          <m:t>i</m:t>
        </m:r>
      </m:oMath>
      <w:r w:rsidRPr="0032020C">
        <w:rPr>
          <w:sz w:val="24"/>
          <w:szCs w:val="24"/>
        </w:rPr>
        <w:t xml:space="preserve"> and located in </w:t>
      </w:r>
      <w:proofErr w:type="gramStart"/>
      <w:r w:rsidRPr="0032020C">
        <w:rPr>
          <w:sz w:val="24"/>
          <w:szCs w:val="24"/>
        </w:rPr>
        <w:t xml:space="preserve">LA </w:t>
      </w:r>
      <w:proofErr w:type="gramEnd"/>
      <m:oMath>
        <m:r>
          <w:rPr>
            <w:rFonts w:ascii="Cambria Math" w:hAnsi="Cambria Math"/>
            <w:sz w:val="24"/>
            <w:szCs w:val="24"/>
          </w:rPr>
          <m:t>j</m:t>
        </m:r>
      </m:oMath>
      <w:r w:rsidRPr="0032020C">
        <w:rPr>
          <w:sz w:val="24"/>
          <w:szCs w:val="24"/>
        </w:rPr>
        <w:t xml:space="preserve">, </w:t>
      </w:r>
      <m:oMath>
        <m:r>
          <w:rPr>
            <w:rFonts w:ascii="Cambria Math" w:hAnsi="Cambria Math"/>
            <w:sz w:val="24"/>
            <w:szCs w:val="24"/>
          </w:rPr>
          <m:t>δ</m:t>
        </m:r>
      </m:oMath>
      <w:r w:rsidRPr="0032020C">
        <w:rPr>
          <w:sz w:val="24"/>
          <w:szCs w:val="24"/>
        </w:rPr>
        <w:t xml:space="preserve"> is the assumed occupancy rate, and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j</m:t>
            </m:r>
          </m:sub>
        </m:sSub>
        <m:r>
          <w:rPr>
            <w:rFonts w:ascii="Cambria Math" w:hAnsi="Cambria Math"/>
            <w:sz w:val="24"/>
            <w:szCs w:val="24"/>
          </w:rPr>
          <m:t xml:space="preserve"> </m:t>
        </m:r>
      </m:oMath>
      <w:r w:rsidRPr="0032020C">
        <w:rPr>
          <w:sz w:val="24"/>
          <w:szCs w:val="24"/>
        </w:rPr>
        <w:t xml:space="preserve">is the total number of places in LA </w:t>
      </w:r>
      <m:oMath>
        <m:r>
          <w:rPr>
            <w:rFonts w:ascii="Cambria Math" w:hAnsi="Cambria Math"/>
            <w:sz w:val="24"/>
            <w:szCs w:val="24"/>
          </w:rPr>
          <m:t>j</m:t>
        </m:r>
      </m:oMath>
      <w:r>
        <w:rPr>
          <w:sz w:val="24"/>
          <w:szCs w:val="24"/>
        </w:rPr>
        <w:t xml:space="preserve">. </w:t>
      </w:r>
    </w:p>
    <w:p w:rsidR="008605E0" w:rsidRDefault="008605E0" w:rsidP="005050D2">
      <w:pPr>
        <w:jc w:val="both"/>
        <w:rPr>
          <w:sz w:val="24"/>
          <w:szCs w:val="24"/>
        </w:rPr>
      </w:pPr>
      <w:r w:rsidRPr="0032020C">
        <w:rPr>
          <w:sz w:val="24"/>
          <w:szCs w:val="24"/>
        </w:rPr>
        <w:t>Information on total LA-funded resident numbers was taken from council-level unit costs reports for 2007/08 and 2009/10.</w:t>
      </w:r>
      <w:r w:rsidRPr="0032020C">
        <w:rPr>
          <w:sz w:val="24"/>
          <w:szCs w:val="24"/>
          <w:vertAlign w:val="superscript"/>
        </w:rPr>
        <w:footnoteReference w:id="1"/>
      </w:r>
      <w:r w:rsidRPr="0032020C">
        <w:rPr>
          <w:sz w:val="24"/>
          <w:szCs w:val="24"/>
          <w:vertAlign w:val="superscript"/>
        </w:rPr>
        <w:t>,</w:t>
      </w:r>
      <w:r w:rsidRPr="0032020C">
        <w:rPr>
          <w:sz w:val="24"/>
          <w:szCs w:val="24"/>
          <w:vertAlign w:val="superscript"/>
        </w:rPr>
        <w:footnoteReference w:id="2"/>
      </w:r>
      <w:r w:rsidRPr="0032020C">
        <w:rPr>
          <w:sz w:val="24"/>
          <w:szCs w:val="24"/>
        </w:rPr>
        <w:t xml:space="preserve"> To find the total number of LA-funded residents in the independent sector for each LA or region we assume that all residents in homes run by the public sector are LA-funded and that t</w:t>
      </w:r>
      <w:r>
        <w:rPr>
          <w:sz w:val="24"/>
          <w:szCs w:val="24"/>
        </w:rPr>
        <w:t xml:space="preserve">hese homes have 90% occupancy. </w:t>
      </w:r>
      <w:r w:rsidRPr="0032020C">
        <w:rPr>
          <w:sz w:val="24"/>
          <w:szCs w:val="24"/>
        </w:rPr>
        <w:t xml:space="preserve">We use figures provided by the CQC from 2009 on </w:t>
      </w:r>
      <w:proofErr w:type="spellStart"/>
      <w:r w:rsidRPr="0032020C">
        <w:rPr>
          <w:sz w:val="24"/>
          <w:szCs w:val="24"/>
        </w:rPr>
        <w:t>out-of</w:t>
      </w:r>
      <w:proofErr w:type="spellEnd"/>
      <w:r w:rsidRPr="0032020C">
        <w:rPr>
          <w:sz w:val="24"/>
          <w:szCs w:val="24"/>
        </w:rPr>
        <w:t xml:space="preserve"> area placements by each LA to assign LA-funded placements to the LA in which they are actually located.</w:t>
      </w:r>
      <w:r w:rsidRPr="0032020C">
        <w:rPr>
          <w:rStyle w:val="FootnoteReference"/>
          <w:sz w:val="24"/>
          <w:szCs w:val="24"/>
        </w:rPr>
        <w:footnoteReference w:id="3"/>
      </w:r>
      <w:r>
        <w:rPr>
          <w:sz w:val="24"/>
          <w:szCs w:val="24"/>
        </w:rPr>
        <w:t xml:space="preserve"> </w:t>
      </w:r>
    </w:p>
    <w:p w:rsidR="008605E0" w:rsidRDefault="008605E0" w:rsidP="005050D2">
      <w:pPr>
        <w:jc w:val="both"/>
        <w:rPr>
          <w:sz w:val="24"/>
          <w:szCs w:val="24"/>
        </w:rPr>
      </w:pPr>
      <w:r w:rsidRPr="0032020C">
        <w:rPr>
          <w:sz w:val="24"/>
          <w:szCs w:val="24"/>
        </w:rPr>
        <w:t xml:space="preserve">The proportion of self-funded residents in independent care homes is not known. </w:t>
      </w:r>
      <w:r>
        <w:rPr>
          <w:sz w:val="24"/>
          <w:szCs w:val="24"/>
        </w:rPr>
        <w:t xml:space="preserve">We therefore use </w:t>
      </w:r>
      <w:r w:rsidRPr="0032020C">
        <w:rPr>
          <w:sz w:val="24"/>
          <w:szCs w:val="24"/>
        </w:rPr>
        <w:t>data of the number of residents that are funded by LAs, which, when subtracted away from total places in a LA (weighted by occupancy rates), will leave the number of residents that are self-funded.</w:t>
      </w:r>
      <w:r w:rsidRPr="0032020C">
        <w:rPr>
          <w:sz w:val="24"/>
          <w:szCs w:val="24"/>
          <w:vertAlign w:val="superscript"/>
        </w:rPr>
        <w:footnoteReference w:id="4"/>
      </w:r>
      <w:r>
        <w:rPr>
          <w:sz w:val="24"/>
          <w:szCs w:val="24"/>
        </w:rPr>
        <w:t xml:space="preserve"> We assume a 90% occupancy rate in all estimations, but as a sensitivity analysis we also assume 85% and 95% occupancy rates.</w:t>
      </w:r>
      <w:r w:rsidRPr="00D23604">
        <w:rPr>
          <w:rStyle w:val="FootnoteReference"/>
          <w:sz w:val="24"/>
          <w:szCs w:val="24"/>
        </w:rPr>
        <w:t xml:space="preserve"> </w:t>
      </w:r>
    </w:p>
    <w:p w:rsidR="008605E0" w:rsidRDefault="008605E0" w:rsidP="005050D2">
      <w:pPr>
        <w:jc w:val="both"/>
        <w:rPr>
          <w:sz w:val="24"/>
          <w:szCs w:val="24"/>
        </w:rPr>
      </w:pPr>
      <w:r w:rsidRPr="0032020C">
        <w:rPr>
          <w:sz w:val="24"/>
          <w:szCs w:val="24"/>
        </w:rPr>
        <w:t xml:space="preserve">The prices </w:t>
      </w:r>
      <w:r>
        <w:rPr>
          <w:sz w:val="24"/>
          <w:szCs w:val="24"/>
        </w:rPr>
        <w:t>obtained</w:t>
      </w:r>
      <w:r w:rsidRPr="0032020C">
        <w:rPr>
          <w:sz w:val="24"/>
          <w:szCs w:val="24"/>
        </w:rPr>
        <w:t xml:space="preserve"> from Laing &amp; Buisson will include both third party top-ups made on top of the price paid by an LA and NHS funded nursing care payments. We are unable to deal with the former in our analysis, but we can attempt to solve the latter issue. We removed NHS funded nursing care payments that a certain proportion of nursing home residents receive using the following process</w:t>
      </w:r>
      <w:r>
        <w:rPr>
          <w:sz w:val="24"/>
          <w:szCs w:val="24"/>
        </w:rPr>
        <w:t xml:space="preserve"> (using 2010 as the </w:t>
      </w:r>
      <w:r>
        <w:rPr>
          <w:sz w:val="24"/>
          <w:szCs w:val="24"/>
        </w:rPr>
        <w:lastRenderedPageBreak/>
        <w:t>example)</w:t>
      </w:r>
      <w:r w:rsidRPr="0032020C">
        <w:rPr>
          <w:sz w:val="24"/>
          <w:szCs w:val="24"/>
        </w:rPr>
        <w:t>: in 2011/12 PCTs spent £488m on funded nursing care, which suggests that 86,335 placements a year receive a weekly nursing care payment of £108.70. There were 186,601 nursing home places available in 2010. Assuming a 90% occupancy rate in nursing homes, the average weekly funded nursing care payment for every nursing home resident would be £55.88. We subtract this figure from the average price of a nursing home place for each care home.</w:t>
      </w:r>
    </w:p>
    <w:p w:rsidR="008605E0" w:rsidRPr="0032020C" w:rsidRDefault="008605E0" w:rsidP="005050D2">
      <w:pPr>
        <w:jc w:val="both"/>
        <w:rPr>
          <w:sz w:val="24"/>
          <w:szCs w:val="24"/>
        </w:rPr>
      </w:pPr>
      <w:r w:rsidRPr="0032020C">
        <w:rPr>
          <w:sz w:val="24"/>
          <w:szCs w:val="24"/>
        </w:rPr>
        <w:t xml:space="preserve">In addition, </w:t>
      </w:r>
      <w:r>
        <w:rPr>
          <w:sz w:val="24"/>
          <w:szCs w:val="24"/>
        </w:rPr>
        <w:t xml:space="preserve">again </w:t>
      </w:r>
      <w:r w:rsidRPr="0032020C">
        <w:rPr>
          <w:sz w:val="24"/>
          <w:szCs w:val="24"/>
        </w:rPr>
        <w:t>using 2010 as the example, we excluded from the distribution analysis care homes reporting an average price per week over £2000 (n=9) and care homes with an average price below the (initial) 5</w:t>
      </w:r>
      <w:r w:rsidRPr="0032020C">
        <w:rPr>
          <w:sz w:val="24"/>
          <w:szCs w:val="24"/>
          <w:vertAlign w:val="superscript"/>
        </w:rPr>
        <w:t>th</w:t>
      </w:r>
      <w:r w:rsidRPr="0032020C">
        <w:rPr>
          <w:sz w:val="24"/>
          <w:szCs w:val="24"/>
        </w:rPr>
        <w:t xml:space="preserve"> percentile of the regional price distribution for nursing and residential homes respectively (n=564).</w:t>
      </w:r>
      <w:r>
        <w:rPr>
          <w:sz w:val="24"/>
          <w:szCs w:val="24"/>
        </w:rPr>
        <w:t xml:space="preserve"> Prices are inflation adjusted to July 2012 terms.</w:t>
      </w:r>
      <w:r w:rsidRPr="0032020C">
        <w:rPr>
          <w:sz w:val="24"/>
          <w:szCs w:val="24"/>
        </w:rPr>
        <w:t xml:space="preserve"> Finally, all price distributions are weighted by the size of the care homes (number of beds) so that the data is more representative of resident numbers.</w:t>
      </w:r>
    </w:p>
    <w:p w:rsidR="008605E0" w:rsidRDefault="008605E0" w:rsidP="005050D2">
      <w:pPr>
        <w:jc w:val="both"/>
        <w:rPr>
          <w:sz w:val="24"/>
          <w:szCs w:val="24"/>
        </w:rPr>
      </w:pPr>
      <w:r>
        <w:rPr>
          <w:sz w:val="24"/>
          <w:szCs w:val="24"/>
        </w:rPr>
        <w:t>As an additional sensitivity check we also assume that the average price of a care home place is equal to the following:</w:t>
      </w:r>
    </w:p>
    <w:p w:rsidR="008605E0" w:rsidRPr="00576FC2" w:rsidRDefault="009C21A8" w:rsidP="005050D2">
      <w:pPr>
        <w:ind w:left="2160" w:firstLine="720"/>
        <w:jc w:val="both"/>
        <w:rPr>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m:t>
            </m:r>
          </m:sub>
        </m:sSub>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j</m:t>
            </m:r>
          </m:sub>
          <m:sup>
            <m:r>
              <w:rPr>
                <w:rFonts w:ascii="Cambria Math" w:hAnsi="Cambria Math"/>
                <w:sz w:val="24"/>
                <w:szCs w:val="24"/>
              </w:rPr>
              <m:t>max</m:t>
            </m:r>
          </m:sup>
        </m:sSubSup>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j</m:t>
            </m:r>
          </m:sub>
          <m:sup>
            <m:r>
              <w:rPr>
                <w:rFonts w:ascii="Cambria Math" w:hAnsi="Cambria Math"/>
                <w:sz w:val="24"/>
                <w:szCs w:val="24"/>
              </w:rPr>
              <m:t>min</m:t>
            </m:r>
          </m:sup>
        </m:sSubSup>
      </m:oMath>
      <w:r w:rsidR="005050D2">
        <w:rPr>
          <w:rFonts w:eastAsiaTheme="minorEastAsia"/>
          <w:sz w:val="24"/>
          <w:szCs w:val="24"/>
        </w:rPr>
        <w:tab/>
      </w:r>
      <w:r w:rsidR="005050D2">
        <w:rPr>
          <w:rFonts w:eastAsiaTheme="minorEastAsia"/>
          <w:sz w:val="24"/>
          <w:szCs w:val="24"/>
        </w:rPr>
        <w:tab/>
      </w:r>
      <m:oMath>
        <m:r>
          <w:rPr>
            <w:rFonts w:ascii="Cambria Math" w:eastAsiaTheme="minorEastAsia" w:hAnsi="Cambria Math"/>
            <w:sz w:val="24"/>
            <w:szCs w:val="24"/>
          </w:rPr>
          <m:t>(A3)</m:t>
        </m:r>
      </m:oMath>
      <w:r w:rsidR="008605E0">
        <w:rPr>
          <w:rFonts w:eastAsiaTheme="minorEastAsia"/>
          <w:sz w:val="24"/>
          <w:szCs w:val="24"/>
        </w:rPr>
        <w:tab/>
      </w:r>
    </w:p>
    <w:p w:rsidR="008605E0" w:rsidRDefault="008605E0" w:rsidP="005050D2">
      <w:pPr>
        <w:jc w:val="both"/>
        <w:rPr>
          <w:rFonts w:eastAsiaTheme="minorEastAsia"/>
          <w:sz w:val="24"/>
          <w:szCs w:val="24"/>
        </w:rPr>
      </w:pPr>
      <w:r>
        <w:rPr>
          <w:sz w:val="24"/>
          <w:szCs w:val="24"/>
        </w:rPr>
        <w:t xml:space="preserve">Where </w:t>
      </w:r>
      <m:oMath>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max</m:t>
            </m:r>
          </m:sup>
        </m:sSup>
      </m:oMath>
      <w:r>
        <w:rPr>
          <w:sz w:val="24"/>
          <w:szCs w:val="24"/>
        </w:rPr>
        <w:t xml:space="preserve"> and </w:t>
      </w:r>
      <m:oMath>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min</m:t>
            </m:r>
          </m:sup>
        </m:sSup>
      </m:oMath>
      <w:r>
        <w:rPr>
          <w:sz w:val="24"/>
          <w:szCs w:val="24"/>
        </w:rPr>
        <w:t xml:space="preserve"> are the average maximum and minimum price observed in each LA for a care home place, respectively. </w:t>
      </w:r>
      <w:r w:rsidRPr="004A63B9">
        <w:rPr>
          <w:sz w:val="24"/>
          <w:szCs w:val="24"/>
        </w:rPr>
        <w:t xml:space="preserve">Assuming that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j</m:t>
                </m:r>
              </m:sub>
            </m:sSub>
          </m:e>
        </m:d>
      </m:oMath>
      <w:r w:rsidRPr="004A63B9">
        <w:rPr>
          <w:rFonts w:eastAsiaTheme="minorEastAsia"/>
          <w:sz w:val="24"/>
          <w:szCs w:val="24"/>
        </w:rPr>
        <w:t xml:space="preserve"> </w:t>
      </w:r>
      <w:r>
        <w:rPr>
          <w:rFonts w:eastAsiaTheme="minorEastAsia"/>
          <w:sz w:val="24"/>
          <w:szCs w:val="24"/>
        </w:rPr>
        <w:t xml:space="preserve">and substituting </w:t>
      </w:r>
      <m:oMath>
        <m:r>
          <w:rPr>
            <w:rFonts w:ascii="Cambria Math" w:eastAsiaTheme="minorEastAsia" w:hAnsi="Cambria Math"/>
            <w:sz w:val="24"/>
            <w:szCs w:val="24"/>
          </w:rPr>
          <m:t>(A3)</m:t>
        </m:r>
      </m:oMath>
      <w:r>
        <w:rPr>
          <w:rFonts w:eastAsiaTheme="minorEastAsia"/>
          <w:sz w:val="24"/>
          <w:szCs w:val="24"/>
        </w:rPr>
        <w:t xml:space="preserve"> into </w:t>
      </w:r>
      <m:oMath>
        <m:r>
          <w:rPr>
            <w:rFonts w:ascii="Cambria Math" w:eastAsiaTheme="minorEastAsia" w:hAnsi="Cambria Math"/>
            <w:sz w:val="24"/>
            <w:szCs w:val="24"/>
          </w:rPr>
          <m:t>(A1)</m:t>
        </m:r>
      </m:oMath>
      <w:r>
        <w:rPr>
          <w:rFonts w:eastAsiaTheme="minorEastAsia"/>
          <w:sz w:val="24"/>
          <w:szCs w:val="24"/>
        </w:rPr>
        <w:t xml:space="preserve"> we obtain the following alternative way to estimate </w:t>
      </w:r>
      <w:r w:rsidRPr="004A63B9">
        <w:rPr>
          <w:rFonts w:eastAsiaTheme="minorEastAsia"/>
          <w:sz w:val="24"/>
          <w:szCs w:val="24"/>
        </w:rPr>
        <w:t>the average self-funded price for each LA</w:t>
      </w:r>
      <w:r>
        <w:rPr>
          <w:rFonts w:eastAsiaTheme="minorEastAsia"/>
          <w:sz w:val="24"/>
          <w:szCs w:val="24"/>
        </w:rPr>
        <w:t>:</w:t>
      </w:r>
    </w:p>
    <w:p w:rsidR="008605E0" w:rsidRPr="004A63B9" w:rsidRDefault="009C21A8" w:rsidP="005050D2">
      <w:pPr>
        <w:pStyle w:val="ListParagraph"/>
        <w:spacing w:after="0"/>
        <w:ind w:left="2160" w:firstLine="720"/>
        <w:jc w:val="both"/>
        <w:rPr>
          <w:sz w:val="24"/>
          <w:szCs w:val="24"/>
        </w:rPr>
      </w:pPr>
      <m:oMath>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j</m:t>
            </m:r>
          </m:sub>
          <m:sup>
            <m:r>
              <w:rPr>
                <w:rFonts w:ascii="Cambria Math" w:hAnsi="Cambria Math"/>
                <w:sz w:val="24"/>
                <w:szCs w:val="24"/>
              </w:rPr>
              <m:t>SF</m:t>
            </m:r>
          </m:sup>
        </m:sSubSup>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j</m:t>
                    </m:r>
                  </m:sub>
                </m:sSub>
              </m:e>
            </m:d>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j</m:t>
                </m:r>
              </m:sub>
              <m:sup>
                <m:r>
                  <w:rPr>
                    <w:rFonts w:ascii="Cambria Math" w:hAnsi="Cambria Math"/>
                    <w:sz w:val="24"/>
                    <w:szCs w:val="24"/>
                  </w:rPr>
                  <m:t>max</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j</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j</m:t>
                </m:r>
              </m:sub>
              <m:sup>
                <m:r>
                  <w:rPr>
                    <w:rFonts w:ascii="Cambria Math" w:hAnsi="Cambria Math"/>
                    <w:sz w:val="24"/>
                    <w:szCs w:val="24"/>
                  </w:rPr>
                  <m:t>min</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j</m:t>
                </m:r>
              </m:sub>
              <m:sup>
                <m:r>
                  <w:rPr>
                    <w:rFonts w:ascii="Cambria Math" w:hAnsi="Cambria Math"/>
                    <w:sz w:val="24"/>
                    <w:szCs w:val="24"/>
                  </w:rPr>
                  <m:t>LA</m:t>
                </m:r>
              </m:sup>
            </m:sSubSup>
            <m:r>
              <w:rPr>
                <w:rFonts w:ascii="Cambria Math" w:hAnsi="Cambria Math"/>
                <w:sz w:val="24"/>
                <w:szCs w:val="24"/>
              </w:rPr>
              <m:t>)</m:t>
            </m:r>
          </m:num>
          <m:den>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j</m:t>
                </m:r>
              </m:sub>
            </m:sSub>
            <m:r>
              <w:rPr>
                <w:rFonts w:ascii="Cambria Math" w:hAnsi="Cambria Math"/>
                <w:sz w:val="24"/>
                <w:szCs w:val="24"/>
              </w:rPr>
              <m:t>)</m:t>
            </m:r>
          </m:den>
        </m:f>
      </m:oMath>
      <w:r w:rsidR="005050D2">
        <w:rPr>
          <w:rFonts w:eastAsiaTheme="minorEastAsia"/>
          <w:sz w:val="24"/>
          <w:szCs w:val="24"/>
        </w:rPr>
        <w:tab/>
      </w:r>
      <w:r w:rsidR="005050D2">
        <w:rPr>
          <w:rFonts w:eastAsiaTheme="minorEastAsia"/>
          <w:sz w:val="24"/>
          <w:szCs w:val="24"/>
        </w:rPr>
        <w:tab/>
      </w:r>
      <m:oMath>
        <m:r>
          <w:rPr>
            <w:rFonts w:ascii="Cambria Math" w:eastAsiaTheme="minorEastAsia" w:hAnsi="Cambria Math"/>
            <w:sz w:val="24"/>
            <w:szCs w:val="24"/>
          </w:rPr>
          <m:t>(A4)</m:t>
        </m:r>
      </m:oMath>
      <w:r w:rsidR="008605E0">
        <w:rPr>
          <w:rFonts w:eastAsiaTheme="minorEastAsia"/>
          <w:sz w:val="24"/>
          <w:szCs w:val="24"/>
        </w:rPr>
        <w:tab/>
      </w:r>
      <w:r w:rsidR="008605E0">
        <w:rPr>
          <w:rFonts w:eastAsiaTheme="minorEastAsia"/>
          <w:sz w:val="24"/>
          <w:szCs w:val="24"/>
        </w:rPr>
        <w:tab/>
      </w:r>
    </w:p>
    <w:p w:rsidR="008605E0" w:rsidRPr="0032020C" w:rsidRDefault="008605E0" w:rsidP="005050D2">
      <w:pPr>
        <w:jc w:val="both"/>
        <w:rPr>
          <w:sz w:val="24"/>
          <w:szCs w:val="24"/>
        </w:rPr>
      </w:pPr>
      <w:r w:rsidRPr="0032020C">
        <w:rPr>
          <w:sz w:val="24"/>
          <w:szCs w:val="24"/>
        </w:rPr>
        <w:t>Average cost per LA-funded resident in the independent sector is measured using the average cost of funding a LA resident in a care home provided by others for 2007/08 and 2009/10 from council-level unit costs reports available from the Health and Social Care Information Centre</w:t>
      </w:r>
      <w:r>
        <w:rPr>
          <w:sz w:val="24"/>
          <w:szCs w:val="24"/>
        </w:rPr>
        <w:t xml:space="preserve"> (now NHS Digital)</w:t>
      </w:r>
      <w:r w:rsidRPr="0032020C">
        <w:rPr>
          <w:sz w:val="24"/>
          <w:szCs w:val="24"/>
        </w:rPr>
        <w:t xml:space="preserve">. Costs are inflation adjusted to July 2012 terms. The average cost per LA-funded resident located in LA j needs to be adjusted to reflect the issue of out-of-area placements discussed previously. This is </w:t>
      </w:r>
      <w:proofErr w:type="gramStart"/>
      <w:r w:rsidRPr="0032020C">
        <w:rPr>
          <w:sz w:val="24"/>
          <w:szCs w:val="24"/>
        </w:rPr>
        <w:t>calculated</w:t>
      </w:r>
      <w:proofErr w:type="gramEnd"/>
      <w:r w:rsidRPr="0032020C">
        <w:rPr>
          <w:sz w:val="24"/>
          <w:szCs w:val="24"/>
        </w:rPr>
        <w:t xml:space="preserve"> as:</w:t>
      </w:r>
    </w:p>
    <w:p w:rsidR="008605E0" w:rsidRPr="0032020C" w:rsidRDefault="009C21A8" w:rsidP="005050D2">
      <w:pPr>
        <w:ind w:left="2160"/>
        <w:jc w:val="both"/>
        <w:rPr>
          <w:sz w:val="24"/>
          <w:szCs w:val="24"/>
        </w:rPr>
      </w:pPr>
      <m:oMath>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j</m:t>
            </m:r>
          </m:sub>
          <m:sup>
            <m:r>
              <w:rPr>
                <w:rFonts w:ascii="Cambria Math" w:hAnsi="Cambria Math"/>
                <w:sz w:val="24"/>
                <w:szCs w:val="24"/>
              </w:rPr>
              <m:t>LA</m:t>
            </m:r>
          </m:sup>
        </m:sSub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z</m:t>
                </m:r>
              </m:sup>
              <m:e>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i</m:t>
                    </m:r>
                  </m:sub>
                  <m:sup>
                    <m:r>
                      <w:rPr>
                        <w:rFonts w:ascii="Cambria Math" w:hAnsi="Cambria Math"/>
                        <w:sz w:val="24"/>
                        <w:szCs w:val="24"/>
                      </w:rPr>
                      <m:t>LA</m:t>
                    </m:r>
                  </m:sup>
                </m:sSubSup>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m:t>
                    </m:r>
                  </m:sub>
                  <m:sup>
                    <m:r>
                      <w:rPr>
                        <w:rFonts w:ascii="Cambria Math" w:hAnsi="Cambria Math"/>
                        <w:sz w:val="24"/>
                        <w:szCs w:val="24"/>
                      </w:rPr>
                      <m:t>j</m:t>
                    </m:r>
                  </m:sup>
                </m:sSubSup>
                <m:r>
                  <w:rPr>
                    <w:rFonts w:ascii="Cambria Math" w:hAnsi="Cambria Math"/>
                    <w:sz w:val="24"/>
                    <w:szCs w:val="24"/>
                  </w:rPr>
                  <m:t>)</m:t>
                </m:r>
              </m:e>
            </m:nary>
          </m:num>
          <m:den>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z</m:t>
                </m:r>
              </m:sup>
              <m:e>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m:t>
                    </m:r>
                  </m:sub>
                  <m:sup>
                    <m:r>
                      <w:rPr>
                        <w:rFonts w:ascii="Cambria Math" w:hAnsi="Cambria Math"/>
                        <w:sz w:val="24"/>
                        <w:szCs w:val="24"/>
                      </w:rPr>
                      <m:t>j</m:t>
                    </m:r>
                  </m:sup>
                </m:sSubSup>
              </m:e>
            </m:nary>
          </m:den>
        </m:f>
      </m:oMath>
      <w:r w:rsidR="005050D2">
        <w:rPr>
          <w:sz w:val="24"/>
          <w:szCs w:val="24"/>
        </w:rPr>
        <w:t xml:space="preserve"> </w:t>
      </w:r>
      <w:r w:rsidR="005050D2">
        <w:rPr>
          <w:sz w:val="24"/>
          <w:szCs w:val="24"/>
        </w:rPr>
        <w:tab/>
      </w:r>
      <w:r w:rsidR="005050D2">
        <w:rPr>
          <w:sz w:val="24"/>
          <w:szCs w:val="24"/>
        </w:rPr>
        <w:tab/>
      </w:r>
      <w:r w:rsidR="005050D2">
        <w:rPr>
          <w:sz w:val="24"/>
          <w:szCs w:val="24"/>
        </w:rPr>
        <w:tab/>
      </w:r>
      <w:r w:rsidR="005050D2">
        <w:rPr>
          <w:sz w:val="24"/>
          <w:szCs w:val="24"/>
        </w:rPr>
        <w:tab/>
      </w:r>
      <w:r w:rsidR="008605E0" w:rsidRPr="0032020C">
        <w:rPr>
          <w:sz w:val="24"/>
          <w:szCs w:val="24"/>
        </w:rPr>
        <w:tab/>
      </w:r>
      <m:oMath>
        <m:r>
          <w:rPr>
            <w:rFonts w:ascii="Cambria Math" w:hAnsi="Cambria Math"/>
            <w:sz w:val="24"/>
            <w:szCs w:val="24"/>
          </w:rPr>
          <m:t>(A5)</m:t>
        </m:r>
      </m:oMath>
    </w:p>
    <w:p w:rsidR="008605E0" w:rsidRDefault="008605E0" w:rsidP="005050D2">
      <w:pPr>
        <w:jc w:val="both"/>
        <w:rPr>
          <w:sz w:val="24"/>
          <w:szCs w:val="24"/>
        </w:rPr>
      </w:pPr>
      <w:r w:rsidRPr="0032020C">
        <w:rPr>
          <w:sz w:val="24"/>
          <w:szCs w:val="24"/>
        </w:rPr>
        <w:lastRenderedPageBreak/>
        <w:t xml:space="preserve">Where </w:t>
      </w:r>
      <m:oMath>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j</m:t>
            </m:r>
          </m:sub>
          <m:sup>
            <m:r>
              <w:rPr>
                <w:rFonts w:ascii="Cambria Math" w:hAnsi="Cambria Math"/>
                <w:sz w:val="24"/>
                <w:szCs w:val="24"/>
              </w:rPr>
              <m:t>LA</m:t>
            </m:r>
          </m:sup>
        </m:sSubSup>
      </m:oMath>
      <w:r w:rsidRPr="0032020C">
        <w:rPr>
          <w:sz w:val="24"/>
          <w:szCs w:val="24"/>
        </w:rPr>
        <w:t xml:space="preserve"> is the average cost per LA-funded resident in the independent sector for LA </w:t>
      </w:r>
      <m:oMath>
        <m:r>
          <w:rPr>
            <w:rFonts w:ascii="Cambria Math" w:hAnsi="Cambria Math"/>
            <w:sz w:val="24"/>
            <w:szCs w:val="24"/>
          </w:rPr>
          <m:t>j</m:t>
        </m:r>
      </m:oMath>
      <w:r w:rsidRPr="0032020C">
        <w:rPr>
          <w:sz w:val="24"/>
          <w:szCs w:val="24"/>
        </w:rPr>
        <w:t xml:space="preserve"> and </w:t>
      </w:r>
      <m:oMath>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z</m:t>
            </m:r>
          </m:sup>
          <m:e>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i</m:t>
                </m:r>
              </m:sub>
              <m:sup>
                <m:r>
                  <w:rPr>
                    <w:rFonts w:ascii="Cambria Math" w:hAnsi="Cambria Math"/>
                    <w:sz w:val="24"/>
                    <w:szCs w:val="24"/>
                  </w:rPr>
                  <m:t>LA</m:t>
                </m:r>
              </m:sup>
            </m:sSubSup>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m:t>
                </m:r>
              </m:sub>
              <m:sup>
                <m:r>
                  <w:rPr>
                    <w:rFonts w:ascii="Cambria Math" w:hAnsi="Cambria Math"/>
                    <w:sz w:val="24"/>
                    <w:szCs w:val="24"/>
                  </w:rPr>
                  <m:t>j</m:t>
                </m:r>
              </m:sup>
            </m:sSubSup>
            <m:r>
              <w:rPr>
                <w:rFonts w:ascii="Cambria Math" w:hAnsi="Cambria Math"/>
                <w:sz w:val="24"/>
                <w:szCs w:val="24"/>
              </w:rPr>
              <m:t>)</m:t>
            </m:r>
          </m:e>
        </m:nary>
      </m:oMath>
      <w:r w:rsidRPr="0032020C">
        <w:rPr>
          <w:sz w:val="24"/>
          <w:szCs w:val="24"/>
        </w:rPr>
        <w:t xml:space="preserve"> is the total cost of LA-funded residents funded by each LA </w:t>
      </w:r>
      <m:oMath>
        <m:r>
          <w:rPr>
            <w:rFonts w:ascii="Cambria Math" w:hAnsi="Cambria Math"/>
            <w:sz w:val="24"/>
            <w:szCs w:val="24"/>
          </w:rPr>
          <m:t>i</m:t>
        </m:r>
      </m:oMath>
      <w:r w:rsidRPr="0032020C">
        <w:rPr>
          <w:sz w:val="24"/>
          <w:szCs w:val="24"/>
        </w:rPr>
        <w:t xml:space="preserve"> that are placed in a care home in LA </w:t>
      </w:r>
      <m:oMath>
        <m:r>
          <w:rPr>
            <w:rFonts w:ascii="Cambria Math" w:hAnsi="Cambria Math"/>
            <w:sz w:val="24"/>
            <w:szCs w:val="24"/>
          </w:rPr>
          <m:t>j</m:t>
        </m:r>
      </m:oMath>
      <w:r w:rsidRPr="0032020C">
        <w:rPr>
          <w:sz w:val="24"/>
          <w:szCs w:val="24"/>
        </w:rPr>
        <w:t>.</w:t>
      </w:r>
      <w:r w:rsidRPr="0032020C">
        <w:rPr>
          <w:sz w:val="24"/>
          <w:szCs w:val="24"/>
          <w:vertAlign w:val="superscript"/>
        </w:rPr>
        <w:footnoteReference w:id="5"/>
      </w:r>
    </w:p>
    <w:p w:rsidR="00DB33EA" w:rsidRDefault="00DB33EA" w:rsidP="005050D2">
      <w:pPr>
        <w:jc w:val="both"/>
        <w:rPr>
          <w:sz w:val="24"/>
          <w:szCs w:val="24"/>
        </w:rPr>
      </w:pPr>
      <w:r>
        <w:rPr>
          <w:sz w:val="24"/>
          <w:szCs w:val="24"/>
        </w:rPr>
        <w:t xml:space="preserve">Figures A1 and A2 present the distribution of estimated average self-funded price by the proportion of residents that are funded by LAs. </w:t>
      </w:r>
    </w:p>
    <w:p w:rsidR="008605E0" w:rsidRDefault="008605E0" w:rsidP="005050D2">
      <w:pPr>
        <w:jc w:val="both"/>
        <w:rPr>
          <w:sz w:val="24"/>
          <w:szCs w:val="24"/>
        </w:rPr>
      </w:pPr>
      <w:r>
        <w:rPr>
          <w:sz w:val="24"/>
          <w:szCs w:val="24"/>
        </w:rPr>
        <w:t xml:space="preserve">Table A1 </w:t>
      </w:r>
      <w:r w:rsidR="00DB33EA">
        <w:rPr>
          <w:sz w:val="24"/>
          <w:szCs w:val="24"/>
        </w:rPr>
        <w:t>presents data on LA-funded number of placements, out-of-area placements and the average LA cost of placements.</w:t>
      </w:r>
    </w:p>
    <w:p w:rsidR="00DB33EA" w:rsidRDefault="008605E0" w:rsidP="005050D2">
      <w:pPr>
        <w:jc w:val="both"/>
        <w:rPr>
          <w:sz w:val="24"/>
          <w:szCs w:val="24"/>
        </w:rPr>
      </w:pPr>
      <w:r>
        <w:rPr>
          <w:sz w:val="24"/>
          <w:szCs w:val="24"/>
        </w:rPr>
        <w:t>Table</w:t>
      </w:r>
      <w:r w:rsidR="00DB33EA">
        <w:rPr>
          <w:sz w:val="24"/>
          <w:szCs w:val="24"/>
        </w:rPr>
        <w:t>s</w:t>
      </w:r>
      <w:r>
        <w:rPr>
          <w:sz w:val="24"/>
          <w:szCs w:val="24"/>
        </w:rPr>
        <w:t xml:space="preserve"> A2</w:t>
      </w:r>
      <w:r w:rsidRPr="0032020C">
        <w:rPr>
          <w:sz w:val="24"/>
          <w:szCs w:val="24"/>
        </w:rPr>
        <w:t xml:space="preserve"> </w:t>
      </w:r>
      <w:r w:rsidR="00DB33EA">
        <w:rPr>
          <w:sz w:val="24"/>
          <w:szCs w:val="24"/>
        </w:rPr>
        <w:t xml:space="preserve">and A3 </w:t>
      </w:r>
      <w:r w:rsidRPr="0032020C">
        <w:rPr>
          <w:sz w:val="24"/>
          <w:szCs w:val="24"/>
        </w:rPr>
        <w:t>present for 2008 and 2010</w:t>
      </w:r>
      <w:r w:rsidR="00DB33EA">
        <w:rPr>
          <w:sz w:val="24"/>
          <w:szCs w:val="24"/>
        </w:rPr>
        <w:t xml:space="preserve">, respectively, the input data used to calculate the self-funded price estimates. </w:t>
      </w:r>
      <w:r w:rsidRPr="0032020C">
        <w:rPr>
          <w:sz w:val="24"/>
          <w:szCs w:val="24"/>
        </w:rPr>
        <w:t xml:space="preserve"> </w:t>
      </w:r>
    </w:p>
    <w:p w:rsidR="008605E0" w:rsidRDefault="00DB33EA" w:rsidP="005050D2">
      <w:pPr>
        <w:jc w:val="both"/>
        <w:rPr>
          <w:sz w:val="24"/>
          <w:szCs w:val="24"/>
        </w:rPr>
      </w:pPr>
      <w:r>
        <w:rPr>
          <w:sz w:val="24"/>
          <w:szCs w:val="24"/>
        </w:rPr>
        <w:t xml:space="preserve">Table A4 presents </w:t>
      </w:r>
      <w:r w:rsidR="008605E0">
        <w:rPr>
          <w:sz w:val="24"/>
          <w:szCs w:val="24"/>
        </w:rPr>
        <w:t>the basic average self-funded</w:t>
      </w:r>
      <w:r w:rsidR="008605E0" w:rsidRPr="0032020C">
        <w:rPr>
          <w:sz w:val="24"/>
          <w:szCs w:val="24"/>
        </w:rPr>
        <w:t xml:space="preserve"> price for a place in a care home </w:t>
      </w:r>
      <w:r w:rsidR="008605E0">
        <w:rPr>
          <w:sz w:val="24"/>
          <w:szCs w:val="24"/>
        </w:rPr>
        <w:t xml:space="preserve">per week and the adjusted price, both </w:t>
      </w:r>
      <w:r w:rsidR="008605E0" w:rsidRPr="0032020C">
        <w:rPr>
          <w:sz w:val="24"/>
          <w:szCs w:val="24"/>
        </w:rPr>
        <w:t>taking into account</w:t>
      </w:r>
      <w:r w:rsidR="008605E0">
        <w:rPr>
          <w:sz w:val="24"/>
          <w:szCs w:val="24"/>
        </w:rPr>
        <w:t xml:space="preserve"> inflation and in July 2012 terms</w:t>
      </w:r>
      <w:r w:rsidR="008605E0" w:rsidRPr="0032020C">
        <w:rPr>
          <w:sz w:val="24"/>
          <w:szCs w:val="24"/>
        </w:rPr>
        <w:t xml:space="preserve">. </w:t>
      </w:r>
      <w:r w:rsidR="008605E0">
        <w:rPr>
          <w:sz w:val="24"/>
          <w:szCs w:val="24"/>
        </w:rPr>
        <w:t>The adjusted price is calculated as follows: first, average regional costs were used in p</w:t>
      </w:r>
      <w:r w:rsidR="0016651B">
        <w:rPr>
          <w:sz w:val="24"/>
          <w:szCs w:val="24"/>
        </w:rPr>
        <w:t>lace of LA-level average costs;</w:t>
      </w:r>
      <w:r w:rsidR="00FB0421">
        <w:rPr>
          <w:sz w:val="24"/>
          <w:szCs w:val="24"/>
        </w:rPr>
        <w:t xml:space="preserve"> </w:t>
      </w:r>
      <w:r w:rsidR="008605E0">
        <w:rPr>
          <w:sz w:val="24"/>
          <w:szCs w:val="24"/>
        </w:rPr>
        <w:t>second,</w:t>
      </w:r>
      <w:r w:rsidR="008605E0" w:rsidRPr="00E84DC5">
        <w:rPr>
          <w:sz w:val="24"/>
          <w:szCs w:val="24"/>
        </w:rPr>
        <w:t xml:space="preserve"> </w:t>
      </w:r>
      <w:r w:rsidR="008605E0">
        <w:rPr>
          <w:sz w:val="24"/>
          <w:szCs w:val="24"/>
        </w:rPr>
        <w:t xml:space="preserve">we trimmed the proportion of residents that are LA-funded,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j</m:t>
            </m:r>
          </m:sub>
        </m:sSub>
      </m:oMath>
      <w:r w:rsidR="008605E0">
        <w:rPr>
          <w:rFonts w:eastAsiaTheme="minorEastAsia"/>
          <w:sz w:val="24"/>
          <w:szCs w:val="24"/>
        </w:rPr>
        <w:t>,</w:t>
      </w:r>
      <w:r w:rsidR="008605E0">
        <w:rPr>
          <w:sz w:val="24"/>
          <w:szCs w:val="24"/>
        </w:rPr>
        <w:t xml:space="preserve"> to the 95</w:t>
      </w:r>
      <w:r w:rsidR="008605E0" w:rsidRPr="006771CD">
        <w:rPr>
          <w:sz w:val="24"/>
          <w:szCs w:val="24"/>
          <w:vertAlign w:val="superscript"/>
        </w:rPr>
        <w:t>th</w:t>
      </w:r>
      <w:r w:rsidR="008605E0">
        <w:rPr>
          <w:sz w:val="24"/>
          <w:szCs w:val="24"/>
        </w:rPr>
        <w:t xml:space="preserve"> (5</w:t>
      </w:r>
      <w:r w:rsidR="008605E0" w:rsidRPr="006771CD">
        <w:rPr>
          <w:sz w:val="24"/>
          <w:szCs w:val="24"/>
          <w:vertAlign w:val="superscript"/>
        </w:rPr>
        <w:t>th</w:t>
      </w:r>
      <w:r w:rsidR="008605E0">
        <w:rPr>
          <w:sz w:val="24"/>
          <w:szCs w:val="24"/>
        </w:rPr>
        <w:t xml:space="preserve">) percentile for those LAs with high (low)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j</m:t>
            </m:r>
          </m:sub>
        </m:sSub>
      </m:oMath>
      <w:r w:rsidR="0016651B">
        <w:rPr>
          <w:rFonts w:eastAsiaTheme="minorEastAsia"/>
          <w:sz w:val="24"/>
          <w:szCs w:val="24"/>
        </w:rPr>
        <w:t xml:space="preserve">; and </w:t>
      </w:r>
      <w:r w:rsidR="0016651B">
        <w:rPr>
          <w:sz w:val="24"/>
          <w:szCs w:val="24"/>
        </w:rPr>
        <w:t>finally, a predicted average price was used for LAs with 20% or more of care homes that did not report any price or that had a proportion of LA-funded residents below (above) the 5</w:t>
      </w:r>
      <w:r w:rsidR="0016651B" w:rsidRPr="002E064D">
        <w:rPr>
          <w:sz w:val="24"/>
          <w:szCs w:val="24"/>
          <w:vertAlign w:val="superscript"/>
        </w:rPr>
        <w:t>th</w:t>
      </w:r>
      <w:r w:rsidR="0016651B">
        <w:rPr>
          <w:sz w:val="24"/>
          <w:szCs w:val="24"/>
        </w:rPr>
        <w:t xml:space="preserve"> (95</w:t>
      </w:r>
      <w:r w:rsidR="0016651B" w:rsidRPr="002E064D">
        <w:rPr>
          <w:sz w:val="24"/>
          <w:szCs w:val="24"/>
          <w:vertAlign w:val="superscript"/>
        </w:rPr>
        <w:t>th</w:t>
      </w:r>
      <w:r w:rsidR="0016651B">
        <w:rPr>
          <w:sz w:val="24"/>
          <w:szCs w:val="24"/>
        </w:rPr>
        <w:t>) percentile.</w:t>
      </w:r>
      <w:r w:rsidR="0016651B">
        <w:rPr>
          <w:rStyle w:val="FootnoteReference"/>
          <w:sz w:val="24"/>
          <w:szCs w:val="24"/>
        </w:rPr>
        <w:footnoteReference w:id="6"/>
      </w:r>
      <w:r w:rsidR="0016651B" w:rsidRPr="00E84DC5">
        <w:rPr>
          <w:sz w:val="24"/>
          <w:szCs w:val="24"/>
          <w:vertAlign w:val="superscript"/>
        </w:rPr>
        <w:t>,</w:t>
      </w:r>
      <w:r w:rsidR="0016651B">
        <w:rPr>
          <w:rStyle w:val="FootnoteReference"/>
          <w:sz w:val="24"/>
          <w:szCs w:val="24"/>
        </w:rPr>
        <w:footnoteReference w:id="7"/>
      </w:r>
    </w:p>
    <w:p w:rsidR="008605E0" w:rsidRDefault="00DB33EA" w:rsidP="005050D2">
      <w:pPr>
        <w:jc w:val="both"/>
        <w:rPr>
          <w:sz w:val="24"/>
          <w:szCs w:val="24"/>
        </w:rPr>
      </w:pPr>
      <w:r>
        <w:rPr>
          <w:sz w:val="24"/>
          <w:szCs w:val="24"/>
        </w:rPr>
        <w:t>Table A5</w:t>
      </w:r>
      <w:r w:rsidR="008605E0">
        <w:rPr>
          <w:sz w:val="24"/>
          <w:szCs w:val="24"/>
        </w:rPr>
        <w:t xml:space="preserve"> presents the mean average self-funded price for the various estimations over the two waves. The basic average self-funder price is 5.1% higher on average than the adjusted average self-funder price, although the difference is not significant. The </w:t>
      </w:r>
      <w:r w:rsidR="00F97966">
        <w:rPr>
          <w:sz w:val="24"/>
          <w:szCs w:val="24"/>
        </w:rPr>
        <w:t xml:space="preserve">mean </w:t>
      </w:r>
      <w:r w:rsidR="008605E0">
        <w:rPr>
          <w:sz w:val="24"/>
          <w:szCs w:val="24"/>
        </w:rPr>
        <w:t>85%</w:t>
      </w:r>
      <w:r w:rsidR="00F97966">
        <w:rPr>
          <w:sz w:val="24"/>
          <w:szCs w:val="24"/>
        </w:rPr>
        <w:t xml:space="preserve"> occupancy rate, </w:t>
      </w:r>
      <w:r w:rsidR="008605E0">
        <w:rPr>
          <w:sz w:val="24"/>
          <w:szCs w:val="24"/>
        </w:rPr>
        <w:t>95% occupancy rate</w:t>
      </w:r>
      <w:r w:rsidR="00F97966">
        <w:rPr>
          <w:sz w:val="24"/>
          <w:szCs w:val="24"/>
        </w:rPr>
        <w:t>,</w:t>
      </w:r>
      <w:r w:rsidR="008605E0">
        <w:rPr>
          <w:sz w:val="24"/>
          <w:szCs w:val="24"/>
        </w:rPr>
        <w:t xml:space="preserve"> and </w:t>
      </w:r>
      <w:r w:rsidR="00F97966">
        <w:rPr>
          <w:sz w:val="24"/>
          <w:szCs w:val="24"/>
        </w:rPr>
        <w:t>m</w:t>
      </w:r>
      <w:r w:rsidR="008605E0">
        <w:rPr>
          <w:sz w:val="24"/>
          <w:szCs w:val="24"/>
        </w:rPr>
        <w:t>in/max price estimations are</w:t>
      </w:r>
      <w:r w:rsidR="00F97966">
        <w:rPr>
          <w:sz w:val="24"/>
          <w:szCs w:val="24"/>
        </w:rPr>
        <w:t xml:space="preserve"> respectively 1.5% higher, 1.0% lower and 3.2% lower than the mean</w:t>
      </w:r>
      <w:r w:rsidR="008605E0">
        <w:rPr>
          <w:sz w:val="24"/>
          <w:szCs w:val="24"/>
        </w:rPr>
        <w:t xml:space="preserve"> 90% occupancy adjusted pric</w:t>
      </w:r>
      <w:r w:rsidR="00F97966">
        <w:rPr>
          <w:sz w:val="24"/>
          <w:szCs w:val="24"/>
        </w:rPr>
        <w:t xml:space="preserve">e, </w:t>
      </w:r>
      <w:r w:rsidR="008605E0">
        <w:rPr>
          <w:sz w:val="24"/>
          <w:szCs w:val="24"/>
        </w:rPr>
        <w:t xml:space="preserve">and for each the difference is significant, although only at the 10% level for the 95% occupancy estimation.  </w:t>
      </w:r>
    </w:p>
    <w:p w:rsidR="008605E0" w:rsidRDefault="008605E0" w:rsidP="008605E0">
      <w:pPr>
        <w:rPr>
          <w:sz w:val="24"/>
          <w:szCs w:val="24"/>
        </w:rPr>
      </w:pPr>
    </w:p>
    <w:p w:rsidR="00FB0421" w:rsidRDefault="00FB0421" w:rsidP="008605E0">
      <w:pPr>
        <w:rPr>
          <w:sz w:val="24"/>
          <w:szCs w:val="24"/>
        </w:rPr>
      </w:pPr>
    </w:p>
    <w:p w:rsidR="00491FF3" w:rsidRDefault="00491FF3" w:rsidP="008605E0">
      <w:pPr>
        <w:rPr>
          <w:sz w:val="24"/>
          <w:szCs w:val="24"/>
        </w:rPr>
      </w:pPr>
      <w:r>
        <w:rPr>
          <w:sz w:val="24"/>
          <w:szCs w:val="24"/>
        </w:rPr>
        <w:lastRenderedPageBreak/>
        <w:t>Figure A1: Basic LA-level average self-funding price</w:t>
      </w:r>
      <w:r w:rsidR="00435026">
        <w:rPr>
          <w:sz w:val="24"/>
          <w:szCs w:val="24"/>
        </w:rPr>
        <w:t xml:space="preserve"> by proportion of LA-funded residents</w:t>
      </w:r>
    </w:p>
    <w:p w:rsidR="00491FF3" w:rsidRDefault="00737F38" w:rsidP="008605E0">
      <w:pPr>
        <w:rPr>
          <w:sz w:val="24"/>
          <w:szCs w:val="24"/>
        </w:rPr>
      </w:pPr>
      <w:r>
        <w:rPr>
          <w:noProof/>
          <w:sz w:val="24"/>
          <w:szCs w:val="24"/>
          <w:lang w:eastAsia="en-GB"/>
        </w:rPr>
        <w:drawing>
          <wp:inline distT="0" distB="0" distL="0" distR="0">
            <wp:extent cx="5205730" cy="37877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1Updatedgra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05730" cy="3787775"/>
                    </a:xfrm>
                    <a:prstGeom prst="rect">
                      <a:avLst/>
                    </a:prstGeom>
                  </pic:spPr>
                </pic:pic>
              </a:graphicData>
            </a:graphic>
          </wp:inline>
        </w:drawing>
      </w:r>
    </w:p>
    <w:p w:rsidR="00491FF3" w:rsidRDefault="00491FF3" w:rsidP="008605E0">
      <w:pPr>
        <w:rPr>
          <w:sz w:val="24"/>
          <w:szCs w:val="24"/>
        </w:rPr>
      </w:pPr>
      <w:r>
        <w:rPr>
          <w:sz w:val="24"/>
          <w:szCs w:val="24"/>
        </w:rPr>
        <w:t>Figure A2: Adjusted LA-level average self-funding price</w:t>
      </w:r>
      <w:r w:rsidR="00435026">
        <w:rPr>
          <w:sz w:val="24"/>
          <w:szCs w:val="24"/>
        </w:rPr>
        <w:t xml:space="preserve"> by proportion of LA-funded residents</w:t>
      </w:r>
    </w:p>
    <w:p w:rsidR="00115E3D" w:rsidRDefault="00737F38" w:rsidP="0006746D">
      <w:pPr>
        <w:rPr>
          <w:sz w:val="24"/>
          <w:szCs w:val="24"/>
        </w:rPr>
      </w:pPr>
      <w:r>
        <w:rPr>
          <w:noProof/>
          <w:sz w:val="24"/>
          <w:szCs w:val="24"/>
          <w:lang w:eastAsia="en-GB"/>
        </w:rPr>
        <w:drawing>
          <wp:inline distT="0" distB="0" distL="0" distR="0">
            <wp:extent cx="5205730" cy="37877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2Updatedgra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5730" cy="3787775"/>
                    </a:xfrm>
                    <a:prstGeom prst="rect">
                      <a:avLst/>
                    </a:prstGeom>
                  </pic:spPr>
                </pic:pic>
              </a:graphicData>
            </a:graphic>
          </wp:inline>
        </w:drawing>
      </w:r>
    </w:p>
    <w:tbl>
      <w:tblPr>
        <w:tblStyle w:val="ListTable6Colorful"/>
        <w:tblpPr w:leftFromText="180" w:rightFromText="180" w:vertAnchor="text" w:horzAnchor="margin" w:tblpY="410"/>
        <w:tblW w:w="0" w:type="auto"/>
        <w:tblLook w:val="06A0" w:firstRow="1" w:lastRow="0" w:firstColumn="1" w:lastColumn="0" w:noHBand="1" w:noVBand="1"/>
      </w:tblPr>
      <w:tblGrid>
        <w:gridCol w:w="2253"/>
        <w:gridCol w:w="522"/>
        <w:gridCol w:w="1369"/>
        <w:gridCol w:w="1348"/>
        <w:gridCol w:w="1348"/>
        <w:gridCol w:w="1348"/>
      </w:tblGrid>
      <w:tr w:rsidR="00CF7B91" w:rsidRPr="00CF7B91" w:rsidTr="002A74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tcPr>
          <w:p w:rsidR="00CF7B91" w:rsidRPr="00FB0421" w:rsidRDefault="00CF7B91" w:rsidP="00CF7B91">
            <w:pPr>
              <w:spacing w:after="0" w:line="240" w:lineRule="auto"/>
              <w:rPr>
                <w:color w:val="auto"/>
                <w:sz w:val="20"/>
                <w:szCs w:val="20"/>
              </w:rPr>
            </w:pPr>
          </w:p>
        </w:tc>
        <w:tc>
          <w:tcPr>
            <w:tcW w:w="522" w:type="dxa"/>
          </w:tcPr>
          <w:p w:rsidR="00CF7B91" w:rsidRPr="00FB0421" w:rsidRDefault="00CF7B91" w:rsidP="00CF7B91">
            <w:pPr>
              <w:spacing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n</w:t>
            </w:r>
          </w:p>
        </w:tc>
        <w:tc>
          <w:tcPr>
            <w:tcW w:w="1369" w:type="dxa"/>
          </w:tcPr>
          <w:p w:rsidR="00CF7B91" w:rsidRPr="00FB0421" w:rsidRDefault="00CF7B91" w:rsidP="00CF7B91">
            <w:pPr>
              <w:spacing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Mean</w:t>
            </w:r>
          </w:p>
        </w:tc>
        <w:tc>
          <w:tcPr>
            <w:tcW w:w="1348" w:type="dxa"/>
          </w:tcPr>
          <w:p w:rsidR="00CF7B91" w:rsidRPr="00FB0421" w:rsidRDefault="00CF7B91" w:rsidP="00CF7B91">
            <w:pPr>
              <w:spacing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Std. Dev.</w:t>
            </w:r>
          </w:p>
        </w:tc>
        <w:tc>
          <w:tcPr>
            <w:tcW w:w="1348" w:type="dxa"/>
          </w:tcPr>
          <w:p w:rsidR="00CF7B91" w:rsidRPr="00FB0421" w:rsidRDefault="00CF7B91" w:rsidP="00CF7B91">
            <w:pPr>
              <w:spacing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Min</w:t>
            </w:r>
          </w:p>
        </w:tc>
        <w:tc>
          <w:tcPr>
            <w:tcW w:w="1348" w:type="dxa"/>
          </w:tcPr>
          <w:p w:rsidR="00CF7B91" w:rsidRPr="00FB0421" w:rsidRDefault="00CF7B91" w:rsidP="00CF7B91">
            <w:pPr>
              <w:spacing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Max</w:t>
            </w:r>
          </w:p>
        </w:tc>
      </w:tr>
      <w:tr w:rsidR="00CF7B91" w:rsidRPr="00CF7B91" w:rsidTr="002A7493">
        <w:tc>
          <w:tcPr>
            <w:cnfStyle w:val="001000000000" w:firstRow="0" w:lastRow="0" w:firstColumn="1" w:lastColumn="0" w:oddVBand="0" w:evenVBand="0" w:oddHBand="0" w:evenHBand="0" w:firstRowFirstColumn="0" w:firstRowLastColumn="0" w:lastRowFirstColumn="0" w:lastRowLastColumn="0"/>
            <w:tcW w:w="2253" w:type="dxa"/>
          </w:tcPr>
          <w:p w:rsidR="00CF7B91" w:rsidRPr="00FB0421" w:rsidRDefault="00CF7B91" w:rsidP="00CF7B91">
            <w:pPr>
              <w:spacing w:after="0" w:line="240" w:lineRule="auto"/>
              <w:rPr>
                <w:color w:val="auto"/>
                <w:sz w:val="20"/>
                <w:szCs w:val="20"/>
              </w:rPr>
            </w:pPr>
            <w:r w:rsidRPr="00FB0421">
              <w:rPr>
                <w:color w:val="auto"/>
                <w:sz w:val="20"/>
                <w:szCs w:val="20"/>
              </w:rPr>
              <w:t>Service users</w:t>
            </w:r>
          </w:p>
        </w:tc>
        <w:tc>
          <w:tcPr>
            <w:tcW w:w="522"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69"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48"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48"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48"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CF7B91" w:rsidRPr="00CF7B91" w:rsidTr="002A7493">
        <w:tc>
          <w:tcPr>
            <w:cnfStyle w:val="001000000000" w:firstRow="0" w:lastRow="0" w:firstColumn="1" w:lastColumn="0" w:oddVBand="0" w:evenVBand="0" w:oddHBand="0" w:evenHBand="0" w:firstRowFirstColumn="0" w:firstRowLastColumn="0" w:lastRowFirstColumn="0" w:lastRowLastColumn="0"/>
            <w:tcW w:w="2253" w:type="dxa"/>
          </w:tcPr>
          <w:p w:rsidR="00CF7B91" w:rsidRPr="00FB0421" w:rsidRDefault="00CF7B91" w:rsidP="00CF7B91">
            <w:pPr>
              <w:spacing w:after="0" w:line="240" w:lineRule="auto"/>
              <w:rPr>
                <w:b w:val="0"/>
                <w:color w:val="auto"/>
                <w:sz w:val="20"/>
                <w:szCs w:val="20"/>
              </w:rPr>
            </w:pPr>
            <w:r w:rsidRPr="00FB0421">
              <w:rPr>
                <w:b w:val="0"/>
                <w:color w:val="auto"/>
                <w:sz w:val="20"/>
                <w:szCs w:val="20"/>
              </w:rPr>
              <w:t>LA-funded placements 2008</w:t>
            </w:r>
          </w:p>
        </w:tc>
        <w:tc>
          <w:tcPr>
            <w:tcW w:w="522"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150</w:t>
            </w:r>
          </w:p>
        </w:tc>
        <w:tc>
          <w:tcPr>
            <w:tcW w:w="1369"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1217.33</w:t>
            </w:r>
          </w:p>
        </w:tc>
        <w:tc>
          <w:tcPr>
            <w:tcW w:w="1348"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939.01</w:t>
            </w:r>
          </w:p>
        </w:tc>
        <w:tc>
          <w:tcPr>
            <w:tcW w:w="1348"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90</w:t>
            </w:r>
          </w:p>
        </w:tc>
        <w:tc>
          <w:tcPr>
            <w:tcW w:w="1348"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5335</w:t>
            </w:r>
          </w:p>
        </w:tc>
      </w:tr>
      <w:tr w:rsidR="00CF7B91" w:rsidRPr="00CF7B91" w:rsidTr="002A7493">
        <w:tc>
          <w:tcPr>
            <w:cnfStyle w:val="001000000000" w:firstRow="0" w:lastRow="0" w:firstColumn="1" w:lastColumn="0" w:oddVBand="0" w:evenVBand="0" w:oddHBand="0" w:evenHBand="0" w:firstRowFirstColumn="0" w:firstRowLastColumn="0" w:lastRowFirstColumn="0" w:lastRowLastColumn="0"/>
            <w:tcW w:w="2253" w:type="dxa"/>
          </w:tcPr>
          <w:p w:rsidR="00CF7B91" w:rsidRPr="00FB0421" w:rsidRDefault="00CF7B91" w:rsidP="00CF7B91">
            <w:pPr>
              <w:spacing w:after="0" w:line="240" w:lineRule="auto"/>
              <w:rPr>
                <w:b w:val="0"/>
                <w:color w:val="auto"/>
                <w:sz w:val="20"/>
                <w:szCs w:val="20"/>
              </w:rPr>
            </w:pPr>
            <w:r w:rsidRPr="00FB0421">
              <w:rPr>
                <w:b w:val="0"/>
                <w:color w:val="auto"/>
                <w:sz w:val="20"/>
                <w:szCs w:val="20"/>
              </w:rPr>
              <w:t>LA-funded placements 2010</w:t>
            </w:r>
          </w:p>
        </w:tc>
        <w:tc>
          <w:tcPr>
            <w:tcW w:w="522"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150</w:t>
            </w:r>
          </w:p>
        </w:tc>
        <w:tc>
          <w:tcPr>
            <w:tcW w:w="1369"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1162.8</w:t>
            </w:r>
          </w:p>
        </w:tc>
        <w:tc>
          <w:tcPr>
            <w:tcW w:w="1348"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920.67</w:t>
            </w:r>
          </w:p>
        </w:tc>
        <w:tc>
          <w:tcPr>
            <w:tcW w:w="1348"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110</w:t>
            </w:r>
          </w:p>
        </w:tc>
        <w:tc>
          <w:tcPr>
            <w:tcW w:w="1348"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5055</w:t>
            </w:r>
          </w:p>
        </w:tc>
      </w:tr>
      <w:tr w:rsidR="00CF7B91" w:rsidRPr="00CF7B91" w:rsidTr="002A7493">
        <w:tc>
          <w:tcPr>
            <w:cnfStyle w:val="001000000000" w:firstRow="0" w:lastRow="0" w:firstColumn="1" w:lastColumn="0" w:oddVBand="0" w:evenVBand="0" w:oddHBand="0" w:evenHBand="0" w:firstRowFirstColumn="0" w:firstRowLastColumn="0" w:lastRowFirstColumn="0" w:lastRowLastColumn="0"/>
            <w:tcW w:w="2253" w:type="dxa"/>
          </w:tcPr>
          <w:p w:rsidR="00CF7B91" w:rsidRPr="00FB0421" w:rsidRDefault="00CF7B91" w:rsidP="00CF7B91">
            <w:pPr>
              <w:spacing w:after="0" w:line="240" w:lineRule="auto"/>
              <w:rPr>
                <w:b w:val="0"/>
                <w:color w:val="auto"/>
                <w:sz w:val="20"/>
                <w:szCs w:val="20"/>
              </w:rPr>
            </w:pPr>
            <w:r w:rsidRPr="00FB0421">
              <w:rPr>
                <w:b w:val="0"/>
                <w:color w:val="auto"/>
                <w:sz w:val="20"/>
                <w:szCs w:val="20"/>
              </w:rPr>
              <w:t>Out-of-area placements</w:t>
            </w:r>
          </w:p>
        </w:tc>
        <w:tc>
          <w:tcPr>
            <w:tcW w:w="522"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150</w:t>
            </w:r>
          </w:p>
        </w:tc>
        <w:tc>
          <w:tcPr>
            <w:tcW w:w="1369"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169.09</w:t>
            </w:r>
          </w:p>
        </w:tc>
        <w:tc>
          <w:tcPr>
            <w:tcW w:w="1348"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113.08</w:t>
            </w:r>
          </w:p>
        </w:tc>
        <w:tc>
          <w:tcPr>
            <w:tcW w:w="1348"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10</w:t>
            </w:r>
          </w:p>
        </w:tc>
        <w:tc>
          <w:tcPr>
            <w:tcW w:w="1348"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825</w:t>
            </w:r>
          </w:p>
        </w:tc>
      </w:tr>
      <w:tr w:rsidR="00CF7B91" w:rsidRPr="00CF7B91" w:rsidTr="002A7493">
        <w:tc>
          <w:tcPr>
            <w:cnfStyle w:val="001000000000" w:firstRow="0" w:lastRow="0" w:firstColumn="1" w:lastColumn="0" w:oddVBand="0" w:evenVBand="0" w:oddHBand="0" w:evenHBand="0" w:firstRowFirstColumn="0" w:firstRowLastColumn="0" w:lastRowFirstColumn="0" w:lastRowLastColumn="0"/>
            <w:tcW w:w="2253" w:type="dxa"/>
          </w:tcPr>
          <w:p w:rsidR="00CF7B91" w:rsidRPr="00FB0421" w:rsidRDefault="00CF7B91" w:rsidP="00CF7B91">
            <w:pPr>
              <w:spacing w:after="0" w:line="240" w:lineRule="auto"/>
              <w:rPr>
                <w:color w:val="auto"/>
                <w:sz w:val="20"/>
                <w:szCs w:val="20"/>
              </w:rPr>
            </w:pPr>
            <w:r w:rsidRPr="00FB0421">
              <w:rPr>
                <w:color w:val="auto"/>
                <w:sz w:val="20"/>
                <w:szCs w:val="20"/>
              </w:rPr>
              <w:t>Costs</w:t>
            </w:r>
          </w:p>
        </w:tc>
        <w:tc>
          <w:tcPr>
            <w:tcW w:w="522"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69"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48"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48"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48"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CF7B91" w:rsidRPr="00CF7B91" w:rsidTr="002A7493">
        <w:tc>
          <w:tcPr>
            <w:cnfStyle w:val="001000000000" w:firstRow="0" w:lastRow="0" w:firstColumn="1" w:lastColumn="0" w:oddVBand="0" w:evenVBand="0" w:oddHBand="0" w:evenHBand="0" w:firstRowFirstColumn="0" w:firstRowLastColumn="0" w:lastRowFirstColumn="0" w:lastRowLastColumn="0"/>
            <w:tcW w:w="2253" w:type="dxa"/>
          </w:tcPr>
          <w:p w:rsidR="00CF7B91" w:rsidRPr="00FB0421" w:rsidRDefault="00CF7B91" w:rsidP="00CF7B91">
            <w:pPr>
              <w:spacing w:after="0" w:line="240" w:lineRule="auto"/>
              <w:rPr>
                <w:b w:val="0"/>
                <w:color w:val="auto"/>
                <w:sz w:val="20"/>
                <w:szCs w:val="20"/>
              </w:rPr>
            </w:pPr>
            <w:r w:rsidRPr="00FB0421">
              <w:rPr>
                <w:b w:val="0"/>
                <w:color w:val="auto"/>
                <w:sz w:val="20"/>
                <w:szCs w:val="20"/>
              </w:rPr>
              <w:t>LA costs</w:t>
            </w:r>
          </w:p>
        </w:tc>
        <w:tc>
          <w:tcPr>
            <w:tcW w:w="522"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300</w:t>
            </w:r>
          </w:p>
        </w:tc>
        <w:tc>
          <w:tcPr>
            <w:tcW w:w="1369"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502.40</w:t>
            </w:r>
          </w:p>
        </w:tc>
        <w:tc>
          <w:tcPr>
            <w:tcW w:w="1348"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82.96</w:t>
            </w:r>
          </w:p>
        </w:tc>
        <w:tc>
          <w:tcPr>
            <w:tcW w:w="1348"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268.3</w:t>
            </w:r>
          </w:p>
        </w:tc>
        <w:tc>
          <w:tcPr>
            <w:tcW w:w="1348"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802.51</w:t>
            </w:r>
          </w:p>
        </w:tc>
      </w:tr>
      <w:tr w:rsidR="00CF7B91" w:rsidRPr="00CF7B91" w:rsidTr="002A7493">
        <w:tc>
          <w:tcPr>
            <w:cnfStyle w:val="001000000000" w:firstRow="0" w:lastRow="0" w:firstColumn="1" w:lastColumn="0" w:oddVBand="0" w:evenVBand="0" w:oddHBand="0" w:evenHBand="0" w:firstRowFirstColumn="0" w:firstRowLastColumn="0" w:lastRowFirstColumn="0" w:lastRowLastColumn="0"/>
            <w:tcW w:w="2253" w:type="dxa"/>
          </w:tcPr>
          <w:p w:rsidR="00CF7B91" w:rsidRPr="00FB0421" w:rsidRDefault="00CF7B91" w:rsidP="00CF7B91">
            <w:pPr>
              <w:spacing w:after="0" w:line="240" w:lineRule="auto"/>
              <w:rPr>
                <w:b w:val="0"/>
                <w:color w:val="auto"/>
                <w:sz w:val="20"/>
                <w:szCs w:val="20"/>
              </w:rPr>
            </w:pPr>
            <w:r w:rsidRPr="00FB0421">
              <w:rPr>
                <w:b w:val="0"/>
                <w:color w:val="auto"/>
                <w:sz w:val="20"/>
                <w:szCs w:val="20"/>
              </w:rPr>
              <w:t>Regional LA costs</w:t>
            </w:r>
          </w:p>
        </w:tc>
        <w:tc>
          <w:tcPr>
            <w:tcW w:w="522"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300</w:t>
            </w:r>
          </w:p>
        </w:tc>
        <w:tc>
          <w:tcPr>
            <w:tcW w:w="1369"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502.10</w:t>
            </w:r>
          </w:p>
        </w:tc>
        <w:tc>
          <w:tcPr>
            <w:tcW w:w="1348"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60.80</w:t>
            </w:r>
          </w:p>
        </w:tc>
        <w:tc>
          <w:tcPr>
            <w:tcW w:w="1348"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415.23</w:t>
            </w:r>
          </w:p>
        </w:tc>
        <w:tc>
          <w:tcPr>
            <w:tcW w:w="1348" w:type="dxa"/>
          </w:tcPr>
          <w:p w:rsidR="00CF7B91" w:rsidRPr="00FB0421" w:rsidRDefault="00CF7B91" w:rsidP="00CF7B91">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r>
    </w:tbl>
    <w:p w:rsidR="00115E3D" w:rsidRDefault="00115E3D" w:rsidP="0006746D">
      <w:pPr>
        <w:rPr>
          <w:sz w:val="24"/>
          <w:szCs w:val="24"/>
        </w:rPr>
      </w:pPr>
      <w:r>
        <w:rPr>
          <w:sz w:val="24"/>
          <w:szCs w:val="24"/>
        </w:rPr>
        <w:t>Table A1: LA-funded placements</w:t>
      </w:r>
      <w:r w:rsidR="00CF7B91">
        <w:rPr>
          <w:sz w:val="24"/>
          <w:szCs w:val="24"/>
        </w:rPr>
        <w:t>,</w:t>
      </w:r>
      <w:r>
        <w:rPr>
          <w:sz w:val="24"/>
          <w:szCs w:val="24"/>
        </w:rPr>
        <w:t xml:space="preserve"> out-of-area placements</w:t>
      </w:r>
      <w:r w:rsidR="00CF7B91">
        <w:rPr>
          <w:sz w:val="24"/>
          <w:szCs w:val="24"/>
        </w:rPr>
        <w:t xml:space="preserve"> and costs</w:t>
      </w:r>
    </w:p>
    <w:p w:rsidR="00CF7B91" w:rsidRDefault="00CF7B91" w:rsidP="0006746D">
      <w:pPr>
        <w:rPr>
          <w:sz w:val="24"/>
          <w:szCs w:val="24"/>
        </w:rPr>
      </w:pPr>
    </w:p>
    <w:p w:rsidR="0006746D" w:rsidRDefault="0006746D" w:rsidP="0006746D">
      <w:pPr>
        <w:rPr>
          <w:sz w:val="24"/>
          <w:szCs w:val="24"/>
        </w:rPr>
        <w:sectPr w:rsidR="0006746D" w:rsidSect="00CF7B91">
          <w:pgSz w:w="11906" w:h="16838"/>
          <w:pgMar w:top="1440" w:right="2268" w:bottom="1440" w:left="1440" w:header="709" w:footer="709" w:gutter="0"/>
          <w:cols w:space="708"/>
          <w:docGrid w:linePitch="360"/>
        </w:sectPr>
      </w:pPr>
    </w:p>
    <w:p w:rsidR="0006746D" w:rsidRDefault="00155CE1" w:rsidP="0006746D">
      <w:pPr>
        <w:rPr>
          <w:sz w:val="24"/>
          <w:szCs w:val="24"/>
        </w:rPr>
      </w:pPr>
      <w:r>
        <w:rPr>
          <w:sz w:val="24"/>
          <w:szCs w:val="24"/>
        </w:rPr>
        <w:lastRenderedPageBreak/>
        <w:t>Table A2</w:t>
      </w:r>
      <w:r w:rsidR="00624FA8">
        <w:rPr>
          <w:sz w:val="24"/>
          <w:szCs w:val="24"/>
        </w:rPr>
        <w:t>: LA-level input data for estimating average self-funding prices, 2008</w:t>
      </w:r>
    </w:p>
    <w:tbl>
      <w:tblPr>
        <w:tblStyle w:val="ListTable6Colorful"/>
        <w:tblW w:w="0" w:type="auto"/>
        <w:tblLook w:val="06A0" w:firstRow="1" w:lastRow="0" w:firstColumn="1" w:lastColumn="0" w:noHBand="1" w:noVBand="1"/>
      </w:tblPr>
      <w:tblGrid>
        <w:gridCol w:w="2031"/>
        <w:gridCol w:w="1398"/>
        <w:gridCol w:w="1103"/>
        <w:gridCol w:w="1129"/>
        <w:gridCol w:w="1135"/>
        <w:gridCol w:w="1278"/>
        <w:gridCol w:w="1275"/>
        <w:gridCol w:w="1419"/>
        <w:gridCol w:w="1560"/>
        <w:gridCol w:w="1620"/>
      </w:tblGrid>
      <w:tr w:rsidR="009D068F" w:rsidRPr="009D068F" w:rsidTr="002A749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color w:val="auto"/>
                <w:sz w:val="20"/>
                <w:szCs w:val="20"/>
              </w:rPr>
            </w:pPr>
            <w:r w:rsidRPr="00FB0421">
              <w:rPr>
                <w:color w:val="auto"/>
                <w:sz w:val="20"/>
                <w:szCs w:val="20"/>
              </w:rPr>
              <w:t>LA</w:t>
            </w:r>
          </w:p>
        </w:tc>
        <w:tc>
          <w:tcPr>
            <w:tcW w:w="1398" w:type="dxa"/>
            <w:noWrap/>
            <w:hideMark/>
          </w:tcPr>
          <w:p w:rsidR="009D068F" w:rsidRPr="00FB0421" w:rsidRDefault="009D068F" w:rsidP="00A82EE9">
            <w:pPr>
              <w:spacing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Price data missing (%)</w:t>
            </w:r>
          </w:p>
        </w:tc>
        <w:tc>
          <w:tcPr>
            <w:tcW w:w="1103" w:type="dxa"/>
            <w:noWrap/>
            <w:hideMark/>
          </w:tcPr>
          <w:p w:rsidR="009D068F" w:rsidRPr="00FB0421" w:rsidRDefault="009D068F" w:rsidP="00A82EE9">
            <w:pPr>
              <w:spacing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LA cost</w:t>
            </w:r>
          </w:p>
        </w:tc>
        <w:tc>
          <w:tcPr>
            <w:tcW w:w="1129" w:type="dxa"/>
            <w:noWrap/>
            <w:hideMark/>
          </w:tcPr>
          <w:p w:rsidR="009D068F" w:rsidRPr="00FB0421" w:rsidRDefault="009D068F" w:rsidP="00A82EE9">
            <w:pPr>
              <w:spacing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Reg. LA Cost</w:t>
            </w:r>
          </w:p>
        </w:tc>
        <w:tc>
          <w:tcPr>
            <w:tcW w:w="1135" w:type="dxa"/>
            <w:noWrap/>
            <w:hideMark/>
          </w:tcPr>
          <w:p w:rsidR="009D068F" w:rsidRPr="00FB0421" w:rsidRDefault="009D068F" w:rsidP="00A82EE9">
            <w:pPr>
              <w:spacing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Avg. price</w:t>
            </w:r>
          </w:p>
        </w:tc>
        <w:tc>
          <w:tcPr>
            <w:tcW w:w="1278" w:type="dxa"/>
            <w:noWrap/>
            <w:hideMark/>
          </w:tcPr>
          <w:p w:rsidR="009D068F" w:rsidRPr="00FB0421" w:rsidRDefault="009D068F" w:rsidP="00A82EE9">
            <w:pPr>
              <w:spacing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Avg. min. price</w:t>
            </w:r>
          </w:p>
        </w:tc>
        <w:tc>
          <w:tcPr>
            <w:tcW w:w="1275" w:type="dxa"/>
            <w:noWrap/>
            <w:hideMark/>
          </w:tcPr>
          <w:p w:rsidR="009D068F" w:rsidRPr="00FB0421" w:rsidRDefault="009D068F" w:rsidP="00A82EE9">
            <w:pPr>
              <w:spacing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Avg. max. price</w:t>
            </w:r>
          </w:p>
        </w:tc>
        <w:tc>
          <w:tcPr>
            <w:tcW w:w="1419" w:type="dxa"/>
            <w:noWrap/>
            <w:hideMark/>
          </w:tcPr>
          <w:p w:rsidR="009D068F" w:rsidRPr="00FB0421" w:rsidRDefault="009D068F" w:rsidP="00A82EE9">
            <w:pPr>
              <w:spacing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LA-funded proportion</w:t>
            </w:r>
          </w:p>
        </w:tc>
        <w:tc>
          <w:tcPr>
            <w:tcW w:w="1560" w:type="dxa"/>
            <w:noWrap/>
            <w:hideMark/>
          </w:tcPr>
          <w:p w:rsidR="009D068F" w:rsidRPr="00FB0421" w:rsidRDefault="009D068F" w:rsidP="00A82EE9">
            <w:pPr>
              <w:spacing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 xml:space="preserve">LA-funded proportion (w/ 85% </w:t>
            </w:r>
            <w:proofErr w:type="spellStart"/>
            <w:r w:rsidRPr="00FB0421">
              <w:rPr>
                <w:color w:val="auto"/>
                <w:sz w:val="20"/>
                <w:szCs w:val="20"/>
              </w:rPr>
              <w:t>occ</w:t>
            </w:r>
            <w:proofErr w:type="spellEnd"/>
            <w:r w:rsidRPr="00FB0421">
              <w:rPr>
                <w:color w:val="auto"/>
                <w:sz w:val="20"/>
                <w:szCs w:val="20"/>
              </w:rPr>
              <w:t>)</w:t>
            </w:r>
          </w:p>
        </w:tc>
        <w:tc>
          <w:tcPr>
            <w:tcW w:w="1620" w:type="dxa"/>
            <w:noWrap/>
            <w:hideMark/>
          </w:tcPr>
          <w:p w:rsidR="009D068F" w:rsidRPr="00FB0421" w:rsidRDefault="009D068F" w:rsidP="00A82EE9">
            <w:pPr>
              <w:spacing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 xml:space="preserve">LA-funded proportion (w/ 95% </w:t>
            </w:r>
            <w:proofErr w:type="spellStart"/>
            <w:r w:rsidRPr="00FB0421">
              <w:rPr>
                <w:color w:val="auto"/>
                <w:sz w:val="20"/>
                <w:szCs w:val="20"/>
              </w:rPr>
              <w:t>occ</w:t>
            </w:r>
            <w:proofErr w:type="spellEnd"/>
            <w:r w:rsidRPr="00FB0421">
              <w:rPr>
                <w:color w:val="auto"/>
                <w:sz w:val="20"/>
                <w:szCs w:val="20"/>
              </w:rPr>
              <w:t>)</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Barking and Dagenham</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60.0</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£580.89</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£613.90</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£578.69</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£649.11</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0.516</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0.546</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0.489</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Barnet</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£579.77</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£681.52</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£607.80</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£740.48</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0.598</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0.633</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Barnsley</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15.2</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£459.09</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£415.23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£398.79</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£352.38</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£470.62</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0.620</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0.656</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0.587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Bath and North East Somerset</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20.6</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£529.17</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£481.33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£576.22</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£507.81</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£661.72</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0.485</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0.514</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0.460</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Bedford</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20.0</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£526.81</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£518.73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£542.67</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£504.22</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£580.37</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0.522</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0.553</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0.494</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Bexley</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23.5</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£568.81</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£546.78</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£509.98</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£584.18</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0.652</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0.691</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0.618</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Birmingham</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30.3</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£455.69</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£449.48</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£502.11</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£423.39</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£547.89</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0.554</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0.586</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0.525</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 xml:space="preserve">Blackburn with </w:t>
            </w:r>
            <w:proofErr w:type="spellStart"/>
            <w:r w:rsidRPr="00FB0421">
              <w:rPr>
                <w:b w:val="0"/>
                <w:color w:val="auto"/>
                <w:sz w:val="20"/>
                <w:szCs w:val="20"/>
              </w:rPr>
              <w:t>Darwen</w:t>
            </w:r>
            <w:proofErr w:type="spellEnd"/>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20.7</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£460.19</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£436.76</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£418.85</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£384.42</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£457.81</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0.470</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0.498</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0.446</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Blackpool</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8.3</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£406.16</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£436.76</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£404.35</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£351.96</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£443.05</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0.482</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0.510</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Bolton</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6.1</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£422.29</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£436.76</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£443.91</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£405.74</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£480.34</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0.563</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0.596</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0.534</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Bournemouth</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26.4</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£507.85</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£481.33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£590.04</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£528.31</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£669.87</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0.411</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0.435</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0.389</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Bracknell Forest</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16.7</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£589.07</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£505.64</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£658.20</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£571.43</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£744.97</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0.388</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0.411</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0.368</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Bradford</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19.6</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£424.68</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£415.23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£487.57</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£413.67</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£546.67</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0.600</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0.635</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0.568</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Brent</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48.0</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£529.16</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£750.23</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£578.82</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£933.62</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1.083</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0.821</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0.927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Brighton and Hove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7.4</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£577.63</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£505.64</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£576.85</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£502.38</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£661.08</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0.574</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0.607</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0.543</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435026" w:rsidP="00A82EE9">
            <w:pPr>
              <w:spacing w:after="0" w:line="240" w:lineRule="auto"/>
              <w:rPr>
                <w:b w:val="0"/>
                <w:color w:val="auto"/>
                <w:sz w:val="20"/>
                <w:szCs w:val="20"/>
              </w:rPr>
            </w:pPr>
            <w:r w:rsidRPr="00FB0421">
              <w:rPr>
                <w:b w:val="0"/>
                <w:color w:val="auto"/>
                <w:sz w:val="20"/>
                <w:szCs w:val="20"/>
              </w:rPr>
              <w:t>Bristol</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27.5</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£562.48</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£481.33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£536.20</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£485.36</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£599.36</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0.527</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0.558</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0.500</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Bromley</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41.3</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£570.60</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£672.28</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£557.58</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£790.62</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0.310</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0.377</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0.337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Buckinghamshire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22.4</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£572.62</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£505.64</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£693.73</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£585.72</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£815.62</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0.429</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0.454</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0.406</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Bury</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22.6</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£533.80</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£436.76</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£437.98</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£388.14</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£485.35</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0.442</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0.468</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0.418</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Calderdale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29.3</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£413.89</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£415.23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£444.76</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£404.93</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£494.47</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0.594</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0.629</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0.562</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Cambridgeshire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22.0</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£421.09</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£518.73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£553.27</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£465.07</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£642.41</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0.586</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0.620</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0.555</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Camden</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42.9</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£595.89</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£814.85</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£676.79</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£1,017.42</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0.852</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0.821</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0.807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Central Bedfordshire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31.0</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£528.33</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£518.73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£570.74</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£489.51</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£661.01</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0.709</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0.751</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0.672</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lastRenderedPageBreak/>
              <w:t>Cheshire East</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9.6</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£460.76</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£436.76</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£569.30</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£472.76</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£664.84</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0.458</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0.485</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0.434</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Cheshire West &amp; Chester</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1.7</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£461.82</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£436.76</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£493.07</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£417.61</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£572.51</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0.614</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0.650</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0.581</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Cornwall &amp; Scilly Isles</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41.6</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£411.98</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£481.33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£535.67</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£419.69</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£599.94</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0.537</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0.568</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0.509</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Coventry</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14.0</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£487.90</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£449.48</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£480.96</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£448.28</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£514.49</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0.559</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0.592</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0.529</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Croydon</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20.4</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£506.62</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£601.37</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£521.19</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£697.90</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0.503</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0.533</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0.477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Cumbria</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27.4</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£518.55</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£436.76</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£481.08</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£431.12</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£533.80</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0.380</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0.402</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0.360</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Darlington</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31.8</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£434.53</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£454.15</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£423.56</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£383.98</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£474.86</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0.620</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0.656</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0.587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Derby</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26.7</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£432.42</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£435.10</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£432.43</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£382.95</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£479.01</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0.622</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0.658</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0.589</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Derbyshire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17.8</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£465.27</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£435.10</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£425.92</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£372.42</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£489.80</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0.485</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0.514</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0.460</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Devon</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9.4</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£462.60</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£481.33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£511.06</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£442.03</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£589.94</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0.606</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0.642</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0.574</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Doncaster</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34.8</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£474.56</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£415.23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£439.10</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£420.57</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£458.31</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0.517</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0.547</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0.490</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Dorset</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19.7</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£516.96</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£481.33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£610.81</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£537.10</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£690.60</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0.361</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0.382</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0.342</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Dudley</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21.1</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£449.85</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£449.48</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£437.21</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£403.70</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£465.23</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0.563</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0.597</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0.534</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Durham</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27.7</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£481.43</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£454.15</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£485.12</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£404.85</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£493.97</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0.589</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0.624</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0.558</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Ealing</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31.0</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£731.96</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£629.68</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£566.02</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£707.95</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0.745</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0.789</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0.706</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East Riding of Yorkshire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19.2</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£391.77</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£415.23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£436.03</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£374.83</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£510.95</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0.566</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0.599</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0.536</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East Sussex</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16.2</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£426.75</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£505.64</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£541.88</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£454.29</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£625.67</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0.448</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0.475</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0.425</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Enfield</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19.5</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£528.44</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£603.38</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£556.01</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£639.50</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0.596</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0.632</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0.565</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Essex</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17.6</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£578.10</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£518.73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£549.27</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£477.61</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£627.16</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0.540</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0.571</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0.511</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Gateshead</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38.7</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£441.11</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£454.15</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£448.18</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£414.32</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£479.09</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0.762</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0.806</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0.721</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Gloucestershire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13.5</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£481.03</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£481.33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£571.16</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£462.71</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£675.60</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0.547</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0.579</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0.518</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Greenwich</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31.6</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£592.77</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£636.98</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£601.07</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£668.76</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0.649</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0.687</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0.615</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Hackney</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50.0</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£579.75</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£600.27</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£532.84</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£667.70</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1.652</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0.821</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0.927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proofErr w:type="spellStart"/>
            <w:r w:rsidRPr="00FB0421">
              <w:rPr>
                <w:b w:val="0"/>
                <w:color w:val="auto"/>
                <w:sz w:val="20"/>
                <w:szCs w:val="20"/>
              </w:rPr>
              <w:t>Halton</w:t>
            </w:r>
            <w:proofErr w:type="spellEnd"/>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28.6</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£403.13</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£436.76</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£406.98</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£362.69</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£451.28</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0.558</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0.590</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0.528</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Hammersmith and Fulham</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50.0</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£593.37</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£801.27</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£724.68</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£877.87</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0.642</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0.679</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0.608</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Hampshire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14.7</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£447.80</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£505.64</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£609.58</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£525.45</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£702.95</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0.423</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0.448</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0.401</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Haringey</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9.1</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£557.42</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£664.74</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£580.57</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£728.23</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0.698</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0.739</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0.661</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Harrow</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29.6</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£585.62</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£642.40</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£567.70</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£730.12</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0.580</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0.614</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0.550</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lastRenderedPageBreak/>
              <w:t>Hartlepool</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20.0</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£460.14</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£454.15</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£411.19</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£383.72</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£434.50</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0.611</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0.646</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0.578</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Havering</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23.7</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£541.19</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£597.79</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£534.12</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£665.15</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0.586</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0.620</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0.555</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435026" w:rsidP="00A82EE9">
            <w:pPr>
              <w:spacing w:after="0" w:line="240" w:lineRule="auto"/>
              <w:rPr>
                <w:b w:val="0"/>
                <w:color w:val="auto"/>
                <w:sz w:val="20"/>
                <w:szCs w:val="20"/>
              </w:rPr>
            </w:pPr>
            <w:r w:rsidRPr="00FB0421">
              <w:rPr>
                <w:b w:val="0"/>
                <w:color w:val="auto"/>
                <w:sz w:val="20"/>
                <w:szCs w:val="20"/>
              </w:rPr>
              <w:t>Herefordshire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30.2</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£526.57</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£449.48</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£498.44</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£436.30</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£568.16</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0.535</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0.566</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0.507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Hertfordshire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27.4</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£565.67</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£518.73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£627.15</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£547.12</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£711.77</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0.577</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0.611</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0.546</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Hillingdon</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18.5</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£634.70</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£627.42</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£552.95</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£723.44</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0.507</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0.537</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0.480</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Hounslow</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16.7</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£619.38</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£819.17</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£625.43</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£756.26</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0.616</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0.653</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0.584</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Isle of Wight</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13.8</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£397.29</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£505.64</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£524.18</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£472.54</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£578.03</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0.538</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0.569</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0.510</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Islington</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62.5</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£609.95</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£670.33</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£664.24</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£676.42</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1.054</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0.821</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0.927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Kensington and Chelsea</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33.3</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£675.99</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£819.96</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£759.47</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£856.33</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0.418</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0.443</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0.396</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Kent</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11.8</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£453.55</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£505.64</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£542.06</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£479.31</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£612.84</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0.532</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0.563</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0.504</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435026" w:rsidP="00A82EE9">
            <w:pPr>
              <w:spacing w:after="0" w:line="240" w:lineRule="auto"/>
              <w:rPr>
                <w:b w:val="0"/>
                <w:color w:val="auto"/>
                <w:sz w:val="20"/>
                <w:szCs w:val="20"/>
              </w:rPr>
            </w:pPr>
            <w:r w:rsidRPr="00FB0421">
              <w:rPr>
                <w:b w:val="0"/>
                <w:color w:val="auto"/>
                <w:sz w:val="20"/>
                <w:szCs w:val="20"/>
              </w:rPr>
              <w:t>Kingston upon Hull</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14.0</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£395.85</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£415.23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£413.16</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£359.88</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£457.91</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0.776</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0.821</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0.735</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Kingston upon Thames</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16.0</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£630.13</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£685.48</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£572.55</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£826.50</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0.404</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0.427</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0.382</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Kirklees</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10.6</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£422.91</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£415.23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£455.53</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£388.00</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£520.51</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0.559</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0.592</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0.530</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proofErr w:type="spellStart"/>
            <w:r w:rsidRPr="00FB0421">
              <w:rPr>
                <w:b w:val="0"/>
                <w:color w:val="auto"/>
                <w:sz w:val="20"/>
                <w:szCs w:val="20"/>
              </w:rPr>
              <w:t>Knowsley</w:t>
            </w:r>
            <w:proofErr w:type="spellEnd"/>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15.0</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£418.14</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£436.76</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£417.37</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£389.22</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£458.87</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0.755</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0.800</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0.716</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Lambeth</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25.0</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£626.73</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£546.04</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£508.94</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£586.65</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1.166</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0.821</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0.927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Lancashire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17.2</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£436.83</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£436.76</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£453.81</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£391.25</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£506.60</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0.498</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0.527</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0.472</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Leeds</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27.2</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£336.94</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£415.23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£506.05</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£460.34</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£555.79</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0.622</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0.659</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0.589</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Leicester</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19.6</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£395.86</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£435.10</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£469.64</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£377.15</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£571.48</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0.637</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0.674</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0.603</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Leicestershire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27.2</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£415.68</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£435.10</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£486.93</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£431.81</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£546.18</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0.487</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0.516</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0.461</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Lewisham</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13.6</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£582.11</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£607.42</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£530.24</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£678.77</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1.064</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0.821</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0.927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Lincolnshire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18.6</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£452.36</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£435.10</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£459.23</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£382.31</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£536.51</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0.548</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0.580</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0.519</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Liverpool</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32.8</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£337.38</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£436.76</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£403.41</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£361.24</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£458.33</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0.758</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0.803</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0.718</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Luton</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21.1</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£490.93</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£518.73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£519.65</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£461.65</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£576.92</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0.594</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0.629</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0.563</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Manchester</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16.7</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£422.40</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£436.76</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£453.02</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£399.37</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£512.98</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0.621</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0.658</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0.589</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Medway</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2.8</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£458.53</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£505.64</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£535.09</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£477.60</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£597.16</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0.624</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0.661</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0.591</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Merton</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38.5</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£529.41</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£706.51</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£593.47</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£792.95</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0.515</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0.545</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0.488</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Middlesbrough</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48.3</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£458.57</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£454.15</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£430.52</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£376.44</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£489.27</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0.541</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0.573</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0.512</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Milton Keynes</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23.3</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£514.16</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£505.64</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£642.31</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£516.16</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£760.05</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0.455</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0.482</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0.431</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lastRenderedPageBreak/>
              <w:t>Newcastle upon Tyne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27.5</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£447.54</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£454.15</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£443.81</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£391.44</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£495.40</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0.613</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0.649</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0.581</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Newham</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77.8</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£552.62</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£633.17</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£572.91</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£693.44</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0.856</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0.821</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0.811</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Norfolk</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25.9</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£389.57</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£518.73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£490.02</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£412.24</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£547.62</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0.469</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0.497</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0.445</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North East Lincolnshire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7.1</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£402.08</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£415.23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£415.32</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£367.23</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£461.17</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0.631</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0.668</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0.598</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North Lincolnshire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7.5</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£423.72</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£415.23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£403.61</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£358.10</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£440.70</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0.415</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0.439</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0.393</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North Somerset</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34.5</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£482.24</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£481.33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£498.33</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£441.76</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£574.04</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0.474</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0.502</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0.449</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North Tyneside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24.3</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£413.64</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£454.15</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£429.10</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£398.51</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£460.53</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0.351</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0.377</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0.337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North Yorkshire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12.4</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£422.32</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£415.23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£536.27</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£458.45</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£621.79</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0.344</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0.377</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0.337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Northamptonshire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9.6</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£450.84</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£435.10</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£488.13</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£416.97</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£562.50</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0.566</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0.599</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0.536</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Northumberland</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20.3</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£479.65</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£454.15</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£455.43</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£424.60</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£483.80</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0.599</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0.634</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Nottingham</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14.6</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£382.42</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£435.10</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£409.95</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£382.21</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£447.49</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0.590</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0.625</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0.559</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Nottinghamshire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17.0</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£418.87</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£435.10</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£436.05</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£385.96</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£489.61</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0.498</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0.528</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0.472</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Oldham</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12.8</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£369.23</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£436.76</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£453.79</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£391.50</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£501.20</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0.979</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0.821</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0.927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Oxfordshire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3.0</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£615.58</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£505.64</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£730.59</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£632.23</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£846.75</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0.428</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0.453</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0.406</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Peterborough</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18.8</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£430.44</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£518.73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£571.39</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£509.13</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£634.17</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0.727</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0.770</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0.689</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Plymouth</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10.6</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£441.77</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£481.33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£431.39</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£365.92</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£488.42</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0.732</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0.775</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0.693</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Poole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16.2</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£588.12</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£481.33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£648.98</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£563.29</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£721.05</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0.356</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0.377</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0.337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Portsmouth</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£453.53</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£505.64</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£516.53</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£453.63</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£589.36</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0.947</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0.821</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0.897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Reading</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26.7</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£585.57</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£505.64</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£668.65</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£524.53</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£776.46</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0.437</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0.463</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0.414</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Redbridge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21.2</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£597.43</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£610.16</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£546.33</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£674.05</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0.664</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0.703</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0.629</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Redcar and Cleveland</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19.2</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£370.31</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£454.15</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£436.75</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£392.89</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£483.65</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0.792</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0.821</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0.750</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Richmond upon Thames</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17.6</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£625.20</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£709.56</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£632.33</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£786.78</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0.531</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0.562</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0.503</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Rochdale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10.0</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£414.69</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£436.76</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£406.56</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£365.24</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£438.64</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0.609</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0.645</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0.577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Rotherham</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22.2</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£466.91</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£415.23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£410.76</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£359.98</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£473.87</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0.616</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0.652</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0.583</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Rutland</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£268.30</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£435.10</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£616.11</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£552.74</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£687.01</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0.280</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0.377</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0.337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Salford</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11.1</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£438.95</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£436.76</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£435.60</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£369.87</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£493.30</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0.678</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0.717</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0.642</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Sandwell</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21.2</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£451.79</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£449.48</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£434.02</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£381.18</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£487.39</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0.726</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0.768</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0.687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Sefton</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19.8</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£444.64</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£436.76</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£458.83</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£423.41</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£502.45</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0.567</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0.600</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lastRenderedPageBreak/>
              <w:t>Sheffield</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10.0</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£430.53</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£415.23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£483.79</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£385.28</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£527.34</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0.680</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0.720</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0.644</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Shropshire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13.3</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£428.14</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£449.48</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£486.33</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£433.42</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£547.32</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0.450</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0.476</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0.426</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Slough</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37.5</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£416.43</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£505.64</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£568.62</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£517.02</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£620.22</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0.882</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0.821</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0.836</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Solihull</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25.0</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£447.70</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£449.48</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£455.94</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£434.41</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£477.46</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0.540</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0.572</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0.511</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Somerset</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41.8</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£478.53</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£481.33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£526.13</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£458.09</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£592.26</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0.506</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0.536</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0.479</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South Gloucestershire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27.8</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£606.20</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£481.33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£552.05</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£474.52</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£623.29</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0.546</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0.579</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0.518</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South Tyneside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18.5</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£429.63</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£454.15</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£447.96</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£427.83</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£468.08</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0.572</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0.606</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0.542</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Southampton</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16.2</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£401.04</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£505.64</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£483.19</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£427.63</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£537.64</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0.563</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0.596</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0.533</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Southend-on-Sea</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13.8</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£526.89</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£518.73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£514.81</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£445.23</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£585.00</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0.540</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0.572</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0.511</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Southwark</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50.0</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£636.10</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£588.67</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£534.07</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£601.25</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1.202</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0.821</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0.927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St. Helens</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21.7</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£433.35</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£436.76</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£419.95</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£404.49</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£445.31</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0.701</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0.742</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0.664</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Staffordshire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26.6</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£410.62</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£449.48</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£472.34</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£396.73</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£577.98</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0.598</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0.633</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0.566</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Stockport</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11.1</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£432.71</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£436.76</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£483.63</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£428.96</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£536.59</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0.541</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0.573</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0.512</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proofErr w:type="spellStart"/>
            <w:r w:rsidRPr="00FB0421">
              <w:rPr>
                <w:b w:val="0"/>
                <w:color w:val="auto"/>
                <w:sz w:val="20"/>
                <w:szCs w:val="20"/>
              </w:rPr>
              <w:t>Stockton-on-Tees</w:t>
            </w:r>
            <w:proofErr w:type="spellEnd"/>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40.0</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£453.83</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£454.15</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£434.40</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£397.15</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£480.24</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0.581</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0.615</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0.551</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Stoke-on-Trent</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23.3</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£422.49</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£449.48</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£461.38</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£407.93</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£523.88</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0.651</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0.689</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0.617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Suffolk</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15.6</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£599.41</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£518.73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£565.83</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£474.76</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£663.60</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0.461</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0.488</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0.436</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Sunderland</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31.5</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£456.89</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£454.15</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£430.69</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£404.21</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£455.02</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0.643</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0.681</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0.609</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Surrey</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26.5</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£600.31</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£505.64</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£710.46</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£590.38</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£840.65</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0.422</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0.447</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0.400</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Sutton</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25.7</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£553.86</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£629.09</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£559.02</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£727.58</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0.488</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0.517</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0.462</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Swindon</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38.1</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£519.84</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£481.33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£569.42</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£481.76</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£666.77</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0.540</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0.572</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0.512</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Tameside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32.5</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£461.06</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£436.76</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£415.06</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£378.45</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£448.55</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0.861</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0.821</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0.815</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Telford and Wrekin</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£468.43</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£449.48</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£479.75</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£422.96</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£524.78</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0.614</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0.650</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0.582</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Thurrock</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16.7</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£527.48</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£518.73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£474.35</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£406.24</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£555.20</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0.744</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0.787</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0.704</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Torbay</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14.8</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£396.82</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£481.33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£444.15</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£377.61</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£505.01</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0.565</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0.599</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0.536</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Tower Hamlets</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16.7</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£544.67</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£635.55</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£607.60</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£663.51</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0.938</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0.821</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0.889</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Trafford</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31.4</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£426.79</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£436.76</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£518.55</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£472.61</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£559.40</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0.522</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0.553</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0.495</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Wakefield</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9.5</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£430.34</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£415.23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£436.15</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£394.82</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£491.48</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0.694</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0.734</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0.657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Walsall</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2.7</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£443.89</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£449.48</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£443.55</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£385.53</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£509.68</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0.445</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0.472</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0.422</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Waltham Forest</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52.2</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£578.41</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£746.44</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£599.50</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£892.63</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0.427</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0.452</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0.404</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proofErr w:type="spellStart"/>
            <w:r w:rsidRPr="00FB0421">
              <w:rPr>
                <w:b w:val="0"/>
                <w:color w:val="auto"/>
                <w:sz w:val="20"/>
                <w:szCs w:val="20"/>
              </w:rPr>
              <w:t>Wandsworth</w:t>
            </w:r>
            <w:proofErr w:type="spellEnd"/>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14.3</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£687.27</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£798.86</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£663.28</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£942.24</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0.637</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0.675</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0.604</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lastRenderedPageBreak/>
              <w:t>Warrington</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20.7</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£443.18</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£436.76</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£504.72</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£392.77</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£508.11</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0.596</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0.631</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0.564</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Warwickshire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13.8</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£437.15</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£449.48</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£552.23</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£487.81</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£602.76</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0.462</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0.489</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0.438</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West Berkshire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30.0</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£485.69</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£505.64</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£636.14</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£528.06</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£744.22</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0.426</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0.451</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0.404</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West Sussex</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32.3</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£581.09</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£505.64</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£592.07</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£497.03</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£692.70</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0.393</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0.416</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0.372</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Westminster</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33.3</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£659.12</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£591.13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£658.86</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£955.28</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£860.43</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1.151</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0.821</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0.927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Wigan</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10.6</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£440.94</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£436.76</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£418.34</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£362.57</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£480.80</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0.638</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0.675</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0.604</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Wiltshire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25.8</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£496.40</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£481.33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£604.25</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£517.66</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£688.52</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0.476</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0.504</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0.451</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Windsor and Maidenhead</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7.4</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£541.21</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£505.64</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£777.53</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£607.33</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£947.48</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0.386</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0.409</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0.366</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Wirral</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28.1</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£516.99</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£436.76</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£490.96</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£452.57</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£528.16</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0.546</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0.579</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0.518</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Wokingham</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15.0</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£575.46</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£505.64</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£778.77</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£670.55</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£853.46</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0.262</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0.377</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0.337</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Wolverhampton</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34.9</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£438.80</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£449.48</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£426.26</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£401.90</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£448.43</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0.691</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0.731</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0.654</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Worcestershire</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9.9</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£481.92</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£449.48</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£536.27</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£483.20</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£610.39</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0.547</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0.579</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0.518</w:t>
            </w:r>
          </w:p>
        </w:tc>
      </w:tr>
      <w:tr w:rsidR="009D068F" w:rsidRPr="009D068F" w:rsidTr="002A7493">
        <w:trPr>
          <w:trHeight w:val="300"/>
        </w:trPr>
        <w:tc>
          <w:tcPr>
            <w:cnfStyle w:val="001000000000" w:firstRow="0" w:lastRow="0" w:firstColumn="1" w:lastColumn="0" w:oddVBand="0" w:evenVBand="0" w:oddHBand="0" w:evenHBand="0" w:firstRowFirstColumn="0" w:firstRowLastColumn="0" w:lastRowFirstColumn="0" w:lastRowLastColumn="0"/>
            <w:tcW w:w="2031" w:type="dxa"/>
            <w:noWrap/>
            <w:hideMark/>
          </w:tcPr>
          <w:p w:rsidR="009D068F" w:rsidRPr="00FB0421" w:rsidRDefault="009D068F" w:rsidP="00A82EE9">
            <w:pPr>
              <w:spacing w:after="0" w:line="240" w:lineRule="auto"/>
              <w:rPr>
                <w:b w:val="0"/>
                <w:color w:val="auto"/>
                <w:sz w:val="20"/>
                <w:szCs w:val="20"/>
              </w:rPr>
            </w:pPr>
            <w:r w:rsidRPr="00FB0421">
              <w:rPr>
                <w:b w:val="0"/>
                <w:color w:val="auto"/>
                <w:sz w:val="20"/>
                <w:szCs w:val="20"/>
              </w:rPr>
              <w:t>York</w:t>
            </w:r>
          </w:p>
        </w:tc>
        <w:tc>
          <w:tcPr>
            <w:tcW w:w="139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w:t>
            </w:r>
          </w:p>
        </w:tc>
        <w:tc>
          <w:tcPr>
            <w:tcW w:w="1103"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£421.54</w:t>
            </w:r>
          </w:p>
        </w:tc>
        <w:tc>
          <w:tcPr>
            <w:tcW w:w="112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£415.23</w:t>
            </w:r>
          </w:p>
        </w:tc>
        <w:tc>
          <w:tcPr>
            <w:tcW w:w="113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£549.03</w:t>
            </w:r>
          </w:p>
        </w:tc>
        <w:tc>
          <w:tcPr>
            <w:tcW w:w="1278"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£521.98</w:t>
            </w:r>
          </w:p>
        </w:tc>
        <w:tc>
          <w:tcPr>
            <w:tcW w:w="1275"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£634.94</w:t>
            </w:r>
          </w:p>
        </w:tc>
        <w:tc>
          <w:tcPr>
            <w:tcW w:w="1419"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0.396</w:t>
            </w:r>
          </w:p>
        </w:tc>
        <w:tc>
          <w:tcPr>
            <w:tcW w:w="156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0.419</w:t>
            </w:r>
          </w:p>
        </w:tc>
        <w:tc>
          <w:tcPr>
            <w:tcW w:w="1620" w:type="dxa"/>
            <w:noWrap/>
            <w:hideMark/>
          </w:tcPr>
          <w:p w:rsidR="009D068F" w:rsidRPr="00FB0421" w:rsidRDefault="009D068F"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0.375</w:t>
            </w:r>
          </w:p>
        </w:tc>
      </w:tr>
    </w:tbl>
    <w:p w:rsidR="0006746D" w:rsidRDefault="00CF7B91" w:rsidP="0006746D">
      <w:pPr>
        <w:rPr>
          <w:sz w:val="24"/>
          <w:szCs w:val="24"/>
        </w:rPr>
      </w:pPr>
      <w:r>
        <w:rPr>
          <w:sz w:val="24"/>
          <w:szCs w:val="24"/>
        </w:rPr>
        <w:t xml:space="preserve"> </w:t>
      </w:r>
    </w:p>
    <w:p w:rsidR="00CF7B91" w:rsidRDefault="00CF7B91" w:rsidP="0006746D">
      <w:pPr>
        <w:rPr>
          <w:sz w:val="24"/>
          <w:szCs w:val="24"/>
        </w:rPr>
      </w:pPr>
    </w:p>
    <w:p w:rsidR="00CF7B91" w:rsidRDefault="00CF7B91" w:rsidP="0006746D">
      <w:pPr>
        <w:rPr>
          <w:sz w:val="24"/>
          <w:szCs w:val="24"/>
        </w:rPr>
      </w:pPr>
    </w:p>
    <w:p w:rsidR="00CF7B91" w:rsidRDefault="00CF7B91" w:rsidP="0006746D">
      <w:pPr>
        <w:rPr>
          <w:sz w:val="24"/>
          <w:szCs w:val="24"/>
        </w:rPr>
      </w:pPr>
    </w:p>
    <w:p w:rsidR="00CF7B91" w:rsidRDefault="00CF7B91" w:rsidP="0006746D">
      <w:pPr>
        <w:rPr>
          <w:sz w:val="24"/>
          <w:szCs w:val="24"/>
        </w:rPr>
      </w:pPr>
    </w:p>
    <w:p w:rsidR="00CF7B91" w:rsidRDefault="00CF7B91" w:rsidP="0006746D">
      <w:pPr>
        <w:rPr>
          <w:sz w:val="24"/>
          <w:szCs w:val="24"/>
        </w:rPr>
      </w:pPr>
    </w:p>
    <w:p w:rsidR="00CF7B91" w:rsidRPr="0006746D" w:rsidRDefault="00CF7B91" w:rsidP="0006746D">
      <w:pPr>
        <w:rPr>
          <w:sz w:val="24"/>
          <w:szCs w:val="24"/>
        </w:rPr>
        <w:sectPr w:rsidR="00CF7B91" w:rsidRPr="0006746D" w:rsidSect="00CF7B91">
          <w:pgSz w:w="16838" w:h="11906" w:orient="landscape"/>
          <w:pgMar w:top="1440" w:right="1440" w:bottom="1440" w:left="1440" w:header="709" w:footer="709" w:gutter="0"/>
          <w:cols w:space="708"/>
          <w:docGrid w:linePitch="360"/>
        </w:sectPr>
      </w:pPr>
    </w:p>
    <w:p w:rsidR="00753D89" w:rsidRPr="00624FA8" w:rsidRDefault="00624FA8" w:rsidP="00624FA8">
      <w:pPr>
        <w:spacing w:after="0"/>
        <w:rPr>
          <w:b/>
          <w:sz w:val="24"/>
          <w:szCs w:val="24"/>
        </w:rPr>
      </w:pPr>
      <w:r w:rsidRPr="00A82EE9">
        <w:rPr>
          <w:sz w:val="24"/>
          <w:szCs w:val="24"/>
        </w:rPr>
        <w:lastRenderedPageBreak/>
        <w:t>T</w:t>
      </w:r>
      <w:r w:rsidR="00155CE1">
        <w:rPr>
          <w:sz w:val="24"/>
          <w:szCs w:val="24"/>
        </w:rPr>
        <w:t>able A3</w:t>
      </w:r>
      <w:r w:rsidR="00753D89">
        <w:rPr>
          <w:sz w:val="24"/>
          <w:szCs w:val="24"/>
        </w:rPr>
        <w:t>: LA-level input data for estimating average self-funding prices, 2010</w:t>
      </w:r>
    </w:p>
    <w:tbl>
      <w:tblPr>
        <w:tblStyle w:val="ListTable6Colorful"/>
        <w:tblW w:w="0" w:type="auto"/>
        <w:tblLook w:val="06A0" w:firstRow="1" w:lastRow="0" w:firstColumn="1" w:lastColumn="0" w:noHBand="1" w:noVBand="1"/>
      </w:tblPr>
      <w:tblGrid>
        <w:gridCol w:w="2204"/>
        <w:gridCol w:w="1428"/>
        <w:gridCol w:w="1130"/>
        <w:gridCol w:w="1124"/>
        <w:gridCol w:w="1194"/>
        <w:gridCol w:w="1098"/>
        <w:gridCol w:w="1194"/>
        <w:gridCol w:w="1396"/>
        <w:gridCol w:w="1560"/>
        <w:gridCol w:w="1620"/>
      </w:tblGrid>
      <w:tr w:rsidR="00753D89" w:rsidRPr="0006746D" w:rsidTr="002A749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color w:val="auto"/>
                <w:sz w:val="20"/>
                <w:szCs w:val="20"/>
              </w:rPr>
            </w:pPr>
            <w:r w:rsidRPr="00FB0421">
              <w:rPr>
                <w:color w:val="auto"/>
                <w:sz w:val="20"/>
                <w:szCs w:val="20"/>
              </w:rPr>
              <w:t>LA</w:t>
            </w:r>
          </w:p>
        </w:tc>
        <w:tc>
          <w:tcPr>
            <w:tcW w:w="1428" w:type="dxa"/>
            <w:noWrap/>
            <w:hideMark/>
          </w:tcPr>
          <w:p w:rsidR="00753D89" w:rsidRPr="00FB0421" w:rsidRDefault="00753D89" w:rsidP="00A82EE9">
            <w:pPr>
              <w:spacing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Price data missing (%)</w:t>
            </w:r>
          </w:p>
        </w:tc>
        <w:tc>
          <w:tcPr>
            <w:tcW w:w="1130" w:type="dxa"/>
            <w:noWrap/>
            <w:hideMark/>
          </w:tcPr>
          <w:p w:rsidR="00753D89" w:rsidRPr="00FB0421" w:rsidRDefault="00753D89" w:rsidP="00A82EE9">
            <w:pPr>
              <w:spacing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LA cost</w:t>
            </w:r>
          </w:p>
        </w:tc>
        <w:tc>
          <w:tcPr>
            <w:tcW w:w="1124" w:type="dxa"/>
            <w:noWrap/>
            <w:hideMark/>
          </w:tcPr>
          <w:p w:rsidR="00753D89" w:rsidRPr="00FB0421" w:rsidRDefault="00753D89" w:rsidP="00A82EE9">
            <w:pPr>
              <w:spacing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Reg. LA Cost</w:t>
            </w:r>
          </w:p>
        </w:tc>
        <w:tc>
          <w:tcPr>
            <w:tcW w:w="1194" w:type="dxa"/>
            <w:noWrap/>
            <w:hideMark/>
          </w:tcPr>
          <w:p w:rsidR="00753D89" w:rsidRPr="00FB0421" w:rsidRDefault="00753D89" w:rsidP="00A82EE9">
            <w:pPr>
              <w:spacing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Avg. price</w:t>
            </w:r>
          </w:p>
        </w:tc>
        <w:tc>
          <w:tcPr>
            <w:tcW w:w="1098" w:type="dxa"/>
            <w:noWrap/>
            <w:hideMark/>
          </w:tcPr>
          <w:p w:rsidR="00753D89" w:rsidRPr="00FB0421" w:rsidRDefault="00753D89" w:rsidP="00A82EE9">
            <w:pPr>
              <w:spacing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Avg. min. price</w:t>
            </w:r>
          </w:p>
        </w:tc>
        <w:tc>
          <w:tcPr>
            <w:tcW w:w="1194" w:type="dxa"/>
            <w:noWrap/>
            <w:hideMark/>
          </w:tcPr>
          <w:p w:rsidR="00753D89" w:rsidRPr="00FB0421" w:rsidRDefault="00753D89" w:rsidP="00A82EE9">
            <w:pPr>
              <w:spacing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Avg. max. price</w:t>
            </w:r>
          </w:p>
        </w:tc>
        <w:tc>
          <w:tcPr>
            <w:tcW w:w="1396" w:type="dxa"/>
            <w:noWrap/>
            <w:hideMark/>
          </w:tcPr>
          <w:p w:rsidR="00753D89" w:rsidRPr="00FB0421" w:rsidRDefault="00753D89" w:rsidP="00A82EE9">
            <w:pPr>
              <w:spacing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LA-funded proportion</w:t>
            </w:r>
          </w:p>
        </w:tc>
        <w:tc>
          <w:tcPr>
            <w:tcW w:w="1560" w:type="dxa"/>
            <w:noWrap/>
            <w:hideMark/>
          </w:tcPr>
          <w:p w:rsidR="00753D89" w:rsidRPr="00FB0421" w:rsidRDefault="00753D89" w:rsidP="00A82EE9">
            <w:pPr>
              <w:spacing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 xml:space="preserve">LA-funded proportion (w/ 85% </w:t>
            </w:r>
            <w:proofErr w:type="spellStart"/>
            <w:r w:rsidRPr="00FB0421">
              <w:rPr>
                <w:color w:val="auto"/>
                <w:sz w:val="20"/>
                <w:szCs w:val="20"/>
              </w:rPr>
              <w:t>occ</w:t>
            </w:r>
            <w:proofErr w:type="spellEnd"/>
            <w:r w:rsidRPr="00FB0421">
              <w:rPr>
                <w:color w:val="auto"/>
                <w:sz w:val="20"/>
                <w:szCs w:val="20"/>
              </w:rPr>
              <w:t>)</w:t>
            </w:r>
          </w:p>
        </w:tc>
        <w:tc>
          <w:tcPr>
            <w:tcW w:w="1620" w:type="dxa"/>
            <w:noWrap/>
            <w:hideMark/>
          </w:tcPr>
          <w:p w:rsidR="00753D89" w:rsidRPr="00FB0421" w:rsidRDefault="00753D89" w:rsidP="00A82EE9">
            <w:pPr>
              <w:spacing w:after="0" w:line="240" w:lineRule="auto"/>
              <w:cnfStyle w:val="100000000000" w:firstRow="1"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 xml:space="preserve">LA-funded proportion (w/ 95% </w:t>
            </w:r>
            <w:proofErr w:type="spellStart"/>
            <w:r w:rsidRPr="00FB0421">
              <w:rPr>
                <w:color w:val="auto"/>
                <w:sz w:val="20"/>
                <w:szCs w:val="20"/>
              </w:rPr>
              <w:t>occ</w:t>
            </w:r>
            <w:proofErr w:type="spellEnd"/>
            <w:r w:rsidRPr="00FB0421">
              <w:rPr>
                <w:color w:val="auto"/>
                <w:sz w:val="20"/>
                <w:szCs w:val="20"/>
              </w:rPr>
              <w:t>)</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Barking and Dagenham</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9.1</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£503.35</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£809.44</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£663.32</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£955.56</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0.517</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0.547</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0.489</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Barnet</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1.8</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£617.31</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£733.18</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£671.32</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£794.38</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0.544</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0.576</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0.516</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Barnsley</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8.5</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£458.70</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£450.66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£442.42</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£370.51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£502.51</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0.590</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0.625</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0.559</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Bath and North East Somerset</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11.1</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£503.30</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£505.13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£651.09</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£552.22</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£756.58</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0.408</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0.432</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0.386</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Bedford</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2.7</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£530.99</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£523.92</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£595.03</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£568.08</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£629.75</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0.542</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0.574</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0.514</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Bexley</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6.7</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£622.96</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£693.23</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£652.02</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£776.20</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0.681</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0.721</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0.645</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Birmingham</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7.8</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£550.21</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£493.67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£535.98</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£450.14</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£611.32</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0.568</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0.602</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0.539</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 xml:space="preserve">Blackburn with </w:t>
            </w:r>
            <w:proofErr w:type="spellStart"/>
            <w:r w:rsidRPr="00FB0421">
              <w:rPr>
                <w:b w:val="0"/>
                <w:color w:val="auto"/>
                <w:sz w:val="20"/>
                <w:szCs w:val="20"/>
              </w:rPr>
              <w:t>Darwen</w:t>
            </w:r>
            <w:proofErr w:type="spellEnd"/>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£461.48</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£453.77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£431.63</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£376.24</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£503.31</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0.520</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0.551</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0.493</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Blackpool</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£403.41</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£453.77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£419.54</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£366.94</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£475.37</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0.492</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0.521</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0.466</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Bolton</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£424.93</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£453.77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£474.10</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£400.95</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£544.89</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0.487</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0.515</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0.461</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Bournemouth</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2.9</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£520.65</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£505.13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£642.64</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£575.55</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£714.00</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0.388</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0.411</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0.368</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Bracknell Forest</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7.7</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£565.03</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£539.41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£703.00</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£561.83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£848.02</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0.413</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0.437</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0.391</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Bradford</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£498.08</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£450.66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£551.46</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£500.33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£605.59</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0.446</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0.472</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0.422</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Brent</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£790.61</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£773.59</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£591.89</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£963.77</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0.500</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0.530</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0.474</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Brighton and Hove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3.1</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£554.46</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£539.41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£613.08</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£535.51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£691.16</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0.592</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0.627</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0.561</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435026" w:rsidP="00A82EE9">
            <w:pPr>
              <w:spacing w:after="0" w:line="240" w:lineRule="auto"/>
              <w:rPr>
                <w:b w:val="0"/>
                <w:color w:val="auto"/>
                <w:sz w:val="20"/>
                <w:szCs w:val="20"/>
              </w:rPr>
            </w:pPr>
            <w:r w:rsidRPr="00FB0421">
              <w:rPr>
                <w:b w:val="0"/>
                <w:color w:val="auto"/>
                <w:sz w:val="20"/>
                <w:szCs w:val="20"/>
              </w:rPr>
              <w:t>Bristol</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£554.06</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£505.13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£618.22</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£527.92</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£715.49</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0.433</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0.458</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0.410</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Bromley</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8.3</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£611.53</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£757.35</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£705.51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£829.00</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0.475</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0.503</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0.450</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Buckinghamshire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£631.51</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£539.41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£733.77</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£667.72</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£859.30</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0.411</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0.435</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0.390</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Bury</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6.7</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£423.63</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£453.77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£483.15</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£408.81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£549.64</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0.481</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0.509</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0.456</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Calderdale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7.3</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£394.15</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£450.66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£482.48</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£452.36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£521.86</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0.442</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0.468</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0.419</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Cambridgeshire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£479.95</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£523.92</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£624.16</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£548.16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£720.40</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0.526</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0.556</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0.498</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Camden</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£657.54</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£1,023.05</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£680.94</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£1,365.16</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0.486</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0.515</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0.460</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Central Bedfordshire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8.8</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£545.48</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£523.92</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£617.25</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£529.48</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£721.52</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0.663</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0.701</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0.628</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Cheshire East</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£439.50</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£453.77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£604.61</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£493.53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£718.77</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0.435</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0.461</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0.412</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Cheshire West &amp; Chester</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3.4</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£483.85</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£453.77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£552.32</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£465.51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£645.08</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0.568</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0.601</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0.538</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lastRenderedPageBreak/>
              <w:t>Cornwall &amp; Scilly Isles</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13.1</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£412.26</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£505.13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£570.86</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£473.85</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£620.29</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0.404</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0.428</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0.383</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Coventry</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£461.21</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£493.67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£553.44</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£508.70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£603.31</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0.509</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0.539</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0.482</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Croydon</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14.3</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£494.45</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£695.70</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£642.17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£768.81</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0.386</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0.409</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0.366</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Cumbria</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9.4</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£511.00</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£453.77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£521.44</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£483.39</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£561.09</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0.338</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0.357</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0.320</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Darlington</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16.7</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£481.18</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£504.70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£468.61</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£423.40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£529.93</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0.548</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0.580</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0.519</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Derby</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6.8</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£437.78</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£444.29</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£483.34</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£435.86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£527.61</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0.555</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0.588</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0.526</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Derbyshire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3.3</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£440.40</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£444.29</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£493.93</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£408.21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£586.61</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0.376</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0.398</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0.356</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Devon</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1.6</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£522.67</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£505.13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£562.90</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£492.89</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£647.86</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0.342</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0.362</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0.324</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Doncaster</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2.1</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£421.75</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£450.66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£462.01</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£418.03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£507.71</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0.454</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0.481</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0.430</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Dorset</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2.6</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£583.92</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£505.13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£653.59</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£598.25</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£713.00</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0.296</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0.351</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0.314</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Dudley</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£464.89</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£493.67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£450.54</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£392.92</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£511.54</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0.589</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0.623</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0.558</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Durham</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£539.81</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£504.70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£511.86</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£440.82</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£547.03</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0.561</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0.594</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0.531</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Ealing</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6.7</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£578.41</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£703.83</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£629.88</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£793.96</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0.525</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0.556</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0.497</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East Riding of Yorkshire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£424.92</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£450.66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£474.50</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£425.83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£527.88</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0.584</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0.618</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0.553</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East Sussex</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1.4</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£564.70</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£539.41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£627.09</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£547.57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£711.62</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0.382</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0.404</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0.361</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Enfield</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£566.29</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£714.70</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£637.59</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£769.40</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0.606</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0.642</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0.574</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Essex</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3.3</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£571.13</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£523.92</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£622.05</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£539.21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£709.20</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0.460</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0.487</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0.436</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Gateshead</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13.9</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£543.99</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£504.70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£499.43</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£445.18</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£552.46</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0.603</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0.639</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0.572</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Gloucestershire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1.6</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£466.72</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£505.13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£688.23</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£608.85</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£777.60</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0.487</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0.515</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0.461</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Greenwich</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£640.37</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£777.95</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£643.33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£794.29</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0.635</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0.672</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0.601</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Hackney</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£631.70</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£686.04</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£630.56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£686.04</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0.667</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0.706</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0.632</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proofErr w:type="spellStart"/>
            <w:r w:rsidRPr="00FB0421">
              <w:rPr>
                <w:b w:val="0"/>
                <w:color w:val="auto"/>
                <w:sz w:val="20"/>
                <w:szCs w:val="20"/>
              </w:rPr>
              <w:t>Halton</w:t>
            </w:r>
            <w:proofErr w:type="spellEnd"/>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£401.50</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£453.77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£488.33</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£418.77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£567.45</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0.329</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0.351</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0.314</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Hammersmith and Fulham</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£626.53</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£856.19</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£758.05</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£945.83</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0.487</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0.516</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0.462</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Hampshire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3.4</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£465.25</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£539.41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£679.60</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£592.20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£750.20</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0.395</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0.419</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0.375</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Haringey</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£549.77</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£765.74</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£596.99</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£935.39</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0.474</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0.502</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0.449</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Harrow</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3.7</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£596.96</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£698.90</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£710.96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£749.61</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0.430</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0.455</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0.407</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Hartlepool</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£445.79</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£504.70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£464.64</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£436.60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£498.35</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0.561</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0.594</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0.532</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Havering</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£557.88</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£648.62</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£597.57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£723.78</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0.485</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0.513</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0.459</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435026" w:rsidP="00A82EE9">
            <w:pPr>
              <w:spacing w:after="0" w:line="240" w:lineRule="auto"/>
              <w:rPr>
                <w:b w:val="0"/>
                <w:color w:val="auto"/>
                <w:sz w:val="20"/>
                <w:szCs w:val="20"/>
              </w:rPr>
            </w:pPr>
            <w:r w:rsidRPr="00FB0421">
              <w:rPr>
                <w:b w:val="0"/>
                <w:color w:val="auto"/>
                <w:sz w:val="20"/>
                <w:szCs w:val="20"/>
              </w:rPr>
              <w:t>Herefordshire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16.3</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£539.25</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£493.67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£559.54</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£515.00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£611.09</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0.470</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0.498</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0.446</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lastRenderedPageBreak/>
              <w:t>Hertfordshire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£597.84</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£523.92</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£704.87</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£622.59</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£788.98</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0.540</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0.572</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0.512</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Hillingdon</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11.1</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£598.61</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£718.77</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£658.20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£825.92</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0.456</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0.483</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0.432</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Hounslow</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£653.25</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£847.62</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£709.15</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£961.77</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0.481</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0.509</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0.456</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Isle of Wight</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1.6</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£452.77</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£539.41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£546.73</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£484.32</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£610.94</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0.473</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0.501</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0.448</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Islington</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37.5</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£586.43</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£990.24</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£789.81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£815.90</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0.868</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0.792</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0.709</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Kensington and Chelsea</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33.3</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£802.51</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£846.32</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£805.55</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£887.09</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0.193</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0.351</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0.314</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Kent</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1.9</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£471.74</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£539.41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£612.21</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£530.92</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£707.57</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0.486</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0.515</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0.460</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435026" w:rsidP="00A82EE9">
            <w:pPr>
              <w:spacing w:after="0" w:line="240" w:lineRule="auto"/>
              <w:rPr>
                <w:b w:val="0"/>
                <w:color w:val="auto"/>
                <w:sz w:val="20"/>
                <w:szCs w:val="20"/>
              </w:rPr>
            </w:pPr>
            <w:r w:rsidRPr="00FB0421">
              <w:rPr>
                <w:b w:val="0"/>
                <w:color w:val="auto"/>
                <w:sz w:val="20"/>
                <w:szCs w:val="20"/>
              </w:rPr>
              <w:t>Kingston upon Hull</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£418.34</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£450.66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£424.79</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£383.57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£475.74</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0.685</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0.725</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0.649</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Kingston upon Thames</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15.4</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£610.81</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£755.87</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£667.50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£838.84</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0.395</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0.419</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0.375</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Kirklees</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£451.01</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£450.66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£527.80</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£426.08</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£634.67</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0.467</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0.495</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0.443</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proofErr w:type="spellStart"/>
            <w:r w:rsidRPr="00FB0421">
              <w:rPr>
                <w:b w:val="0"/>
                <w:color w:val="auto"/>
                <w:sz w:val="20"/>
                <w:szCs w:val="20"/>
              </w:rPr>
              <w:t>Knowsley</w:t>
            </w:r>
            <w:proofErr w:type="spellEnd"/>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£433.27</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£453.77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£511.02</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£461.76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£560.29</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0.790</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0.792</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0.709</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Lambeth</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£648.24</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£699.97</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£683.39</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£716.55</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1.106</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0.792</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0.709</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Lancashire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£473.72</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£453.77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£508.84</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£442.93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£568.59</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0.493</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0.522</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0.467</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Leeds</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8.2</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£467.23</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£450.66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£579.73</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£535.63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£626.66</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0.432</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0.458</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0.410</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Leicester</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£384.20</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£444.29</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£498.26</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£456.47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£567.83</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0.480</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0.508</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0.455</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Leicestershire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£406.15</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£444.29</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£531.45</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£450.00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£612.36</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0.433</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0.459</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0.411</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Lewisham</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7.7</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£594.33</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£660.66</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£605.47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£719.42</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0.748</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0.792</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0.709</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Lincolnshire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2.6</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£439.93</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£444.29</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£485.65</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£405.18</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£567.86</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0.528</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0.559</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0.500</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Liverpool</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8.2</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£370.53</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£453.77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£459.07</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£388.65</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£531.01</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0.654</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0.692</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0.620</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Luton</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16.7</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£532.66</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£523.92</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£644.96</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£593.64</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£696.58</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0.564</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0.597</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0.535</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Manchester</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8.7</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£425.57</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£453.77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£475.73</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£407.20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£556.69</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0.535</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0.566</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0.507</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Medway</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£454.01</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£539.41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£617.29</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£571.32</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£660.53</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0.738</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0.781</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0.699</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Merton</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£552.92</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£833.99</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£711.51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£936.41</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0.362</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0.383</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0.343</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Middlesbrough</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6.5</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£510.58</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£504.70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£466.94</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£436.45</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£496.31</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0.475</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0.503</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0.450</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Milton Keynes</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3.4</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£497.76</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£539.41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£728.77</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£656.57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£814.48</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0.457</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0.484</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0.433</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Newcastle upon Tyne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£487.29</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£504.70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£469.82</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£434.40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£514.55</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0.565</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0.598</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0.535</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Newham</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£580.50</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£624.47</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£584.38</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£654.41</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0.739</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0.782</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0.700</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Norfolk</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£422.43</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£523.92</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£566.22</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£480.99</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£665.86</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0.460</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0.488</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0.436</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North East Lincolnshire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2.2</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£522.23</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£450.66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£442.12</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£398.33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£491.92</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0.464</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0.491</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0.440</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North Lincolnshire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2.5</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£400.06</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£450.66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£427.55</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£371.10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£487.63</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0.478</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0.506</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0.453</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lastRenderedPageBreak/>
              <w:t>North Somerset</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£427.26</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£505.13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£577.00</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£536.18</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£628.15</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0.465</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0.492</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0.440</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North Tyneside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2.7</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£482.33</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£504.70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£479.94</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£433.80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£532.25</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0.393</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0.416</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0.372</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North Yorkshire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£463.78</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£450.66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£570.31</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£496.00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£664.33</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0.306</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0.351</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0.314</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Northamptonshire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2.5</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£515.50</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£444.29</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£541.24</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£462.87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£625.66</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0.615</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0.651</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0.582</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Northumberland</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1.3</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£502.74</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£504.70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£485.98</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£453.57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£520.19</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0.542</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0.574</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0.514</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Nottingham</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2.5</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£425.19</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£444.29</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£461.84</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£376.14</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£533.25</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0.534</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0.565</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0.505</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Nottinghamshire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2.4</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£431.45</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£444.29</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£495.43</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£429.63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£567.95</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0.453</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0.480</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0.429</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Oldham</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£435.76</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£453.77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£445.87</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£374.18</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£524.48</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0.554</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0.586</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0.525</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Oxfordshire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£765.87</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£539.41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£789.67</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£702.23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£881.60</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0.369</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0.391</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0.350</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Peterborough</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11.8</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£468.99</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£523.92</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£640.33</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£542.99</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£731.67</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0.326</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0.351</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0.314</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Plymouth</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1.7</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£475.69</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£505.13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£538.05</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£426.75</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£599.50</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0.453</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0.479</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0.429</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Poole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£634.28</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£505.13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£685.82</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£574.73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£740.22</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0.353</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0.374</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0.335</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Portsmouth</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13.0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£456.63</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£539.41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£582.08</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£504.97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£667.64</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0.558</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0.591</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0.529</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Reading</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12.5</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£566.71</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£539.41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£771.82</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£555.40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£805.47</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0.469</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0.497</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0.445</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Redbridge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£604.01</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£699.94</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£652.56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£769.23</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0.567</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0.600</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0.537</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Redcar and Cleveland</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12.9</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£517.09</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£504.70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£524.47</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£490.85</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£561.49</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0.659</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0.698</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0.624</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Richmond upon Thames</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23.5</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£644.93</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£786.94</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£715.56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£858.66</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0.416</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0.441</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0.395</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Rochdale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2.4</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£421.26</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£453.77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£448.31</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£369.83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£530.63</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0.547</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0.579</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0.518</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Rotherham</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2.9</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£436.33</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£450.66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£433.77</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£363.32</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£504.13</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0.636</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0.673</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0.603</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Rutland</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£469.07</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£444.29</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£604.91</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£546.22</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£663.59</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0.352</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0.373</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0.334</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Salford</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£474.32</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£453.77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£436.53</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£369.08</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£503.08</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0.574</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0.608</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0.544</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Sandwell</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£501.32</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£493.67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£539.65</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£449.35</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£627.58</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0.722</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0.765</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0.684</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Sefton</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£519.24</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£453.77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£512.56</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£450.60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£576.02</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0.550</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0.583</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0.521</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Sheffield</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3.7</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£457.54</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£450.66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£487.36</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£400.34</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£583.21</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0.504</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0.534</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0.478</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Shropshire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£480.34</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£493.67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£539.99</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£494.41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£603.89</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0.411</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0.435</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0.389</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Slough</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£523.11</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£539.41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£748.90</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£681.54</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£837.10</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0.563</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0.596</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0.533</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Solihull</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10.7</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£484.68</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£493.67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£592.58</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£559.15</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£641.85</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0.331</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0.351</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0.314</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Somerset</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£503.84</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£505.13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£582.83</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£513.22</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£671.04</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0.459</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0.486</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0.435</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South Gloucestershire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11.9</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£579.06</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£505.13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£578.20</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£528.81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£631.37</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0.461</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0.489</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0.437</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South Tyneside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£495.53</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£504.70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£485.51</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£435.04</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£535.98</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0.717</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0.759</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0.680</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lastRenderedPageBreak/>
              <w:t>Southampton</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£413.39</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£539.41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£568.03</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£467.99</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£687.22</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0.488</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0.517</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0.462</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Southend-on-Sea</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1.5</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£483.37</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£523.92</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£560.05</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£487.46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£633.67</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0.550</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0.582</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0.521</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Southwark</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£684.49</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£629.49</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£561.65</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£697.33</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0.978</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0.792</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0.709</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St. Helens</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£448.35</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£453.77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£514.70</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£464.46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£563.46</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0.446</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0.473</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0.423</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Staffordshire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11.0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£512.32</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£493.67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£497.29</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£407.18</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£598.00</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0.520</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0.550</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0.492</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Stockport</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£444.11</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£453.77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£506.16</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£455.89</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£562.88</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0.401</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0.425</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0.380</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proofErr w:type="spellStart"/>
            <w:r w:rsidRPr="00FB0421">
              <w:rPr>
                <w:b w:val="0"/>
                <w:color w:val="auto"/>
                <w:sz w:val="20"/>
                <w:szCs w:val="20"/>
              </w:rPr>
              <w:t>Stockton-on-Tees</w:t>
            </w:r>
            <w:proofErr w:type="spellEnd"/>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£440.74</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£504.70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£473.08</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£439.87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£512.33</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0.524</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0.555</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0.497</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Stoke-on-Trent</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22.9</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£448.35</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£493.67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£543.80</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£462.54</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£613.95</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0.479</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0.507</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0.454</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Suffolk</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2.8</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£478.06</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£523.92</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£663.45</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£592.50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£732.51</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0.410</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0.434</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0.388</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Sunderland</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1.8</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£512.24</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£504.70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£469.08</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£431.59</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£515.66</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0.564</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0.597</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0.534</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Surrey</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£618.14</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£539.41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£784.49</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£690.35</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£887.20</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0.347</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0.367</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0.328</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Sutton</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15.8</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£588.09</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£653.57</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£614.14</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£704.10</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0.414</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0.439</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0.392</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Swindon</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9.1</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£512.42</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£505.13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£644.73</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£585.89</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£703.27</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0.550</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0.583</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0.522</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Tameside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2.3</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£462.82</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£453.77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£441.83</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£415.64</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£471.38</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0.701</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0.743</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0.664</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Telford and Wrekin</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£482.71</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£493.67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£534.60</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£466.36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£593.82</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0.536</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0.567</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0.507</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Thurrock</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£561.15</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£523.92</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£517.75</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£491.04</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£553.51</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1.075</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0.792</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0.709</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Torbay</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1.3</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£440.65</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£505.13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£485.74</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£406.86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£575.27</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0.360</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0.381</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0.341</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Tower Hamlets</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£561.18</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£675.28</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£606.08</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£724.99</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0.759</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0.804</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0.709</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Trafford</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8.1</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£440.84</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£453.77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£577.25</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£524.10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£630.40</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0.438</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0.464</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0.415</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Wakefield</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£435.96</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£450.66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£473.62</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£413.27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£552.55</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0.518</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0.548</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0.491</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Walsall</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£552.36</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£493.67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£461.01</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£398.07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£521.43</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0.593</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0.628</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0.562</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Waltham Forest</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12.0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£590.57</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£752.92</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£619.54</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£696.38</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0.402</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0.425</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0.381</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proofErr w:type="spellStart"/>
            <w:r w:rsidRPr="00FB0421">
              <w:rPr>
                <w:b w:val="0"/>
                <w:color w:val="auto"/>
                <w:sz w:val="20"/>
                <w:szCs w:val="20"/>
              </w:rPr>
              <w:t>Wandsworth</w:t>
            </w:r>
            <w:proofErr w:type="spellEnd"/>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£658.32</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£860.67</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£748.55</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£994.30</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0.638</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0.675</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0.604</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Warrington</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10.7</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£494.06</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£453.77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£535.62</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£423.80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£628.61</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0.519</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0.550</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0.492</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Warwickshire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£479.81</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£493.67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£618.26</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£542.15</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£675.21</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0.363</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0.385</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0.344</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West Berkshire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£471.78</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£539.41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£766.86</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£726.23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£838.61</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0.460</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0.487</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0.436</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West Sussex</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£568.15</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£539.41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£664.18</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£581.19</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£753.38</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0.345</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0.365</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0.327</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Westminster</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£767.22</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£609.26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£546.59</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£546.59</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£692.27</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1.107</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0.792</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0.709</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Wigan</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£461.00</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£453.77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£485.56</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£425.75</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£560.55</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0.625</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0.662</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0.592</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Wiltshire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£595.61</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£505.13</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£718.00</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£646.81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£792.02</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0.494</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0.524</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0.468</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lastRenderedPageBreak/>
              <w:t>Windsor and Maidenhead</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7.4</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£540.73</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£539.41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£848.42</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£703.58</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£1,026.62</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0.328</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0.351</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0.314</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Wirral</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11.6</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£457.76</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£453.77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£520.82</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£480.57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£576.01</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0.496</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0.526</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0.470</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Wokingham</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£640.88</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£539.41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£817.63</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£704.61</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£852.75</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0.320</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0.351</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0.314</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Wolverhampton</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17.0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£465.39</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£493.67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£474.88</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£420.15</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£526.94</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0.442</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0.468</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0.419</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Worcestershire</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4.8</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£432.94</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£493.67</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£549.58</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£491.40</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£627.07</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0.482</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0.510</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0.456</w:t>
            </w:r>
          </w:p>
        </w:tc>
      </w:tr>
      <w:tr w:rsidR="00753D89" w:rsidRPr="0006746D" w:rsidTr="002A7493">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rsidR="00753D89" w:rsidRPr="00FB0421" w:rsidRDefault="00753D89" w:rsidP="00A82EE9">
            <w:pPr>
              <w:spacing w:after="0" w:line="240" w:lineRule="auto"/>
              <w:rPr>
                <w:b w:val="0"/>
                <w:color w:val="auto"/>
                <w:sz w:val="20"/>
                <w:szCs w:val="20"/>
              </w:rPr>
            </w:pPr>
            <w:r w:rsidRPr="00FB0421">
              <w:rPr>
                <w:b w:val="0"/>
                <w:color w:val="auto"/>
                <w:sz w:val="20"/>
                <w:szCs w:val="20"/>
              </w:rPr>
              <w:t>York</w:t>
            </w:r>
          </w:p>
        </w:tc>
        <w:tc>
          <w:tcPr>
            <w:tcW w:w="142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0.0</w:t>
            </w:r>
          </w:p>
        </w:tc>
        <w:tc>
          <w:tcPr>
            <w:tcW w:w="113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£467.76</w:t>
            </w:r>
          </w:p>
        </w:tc>
        <w:tc>
          <w:tcPr>
            <w:tcW w:w="112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£450.66</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£637.54</w:t>
            </w:r>
          </w:p>
        </w:tc>
        <w:tc>
          <w:tcPr>
            <w:tcW w:w="1098"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£577.48</w:t>
            </w:r>
          </w:p>
        </w:tc>
        <w:tc>
          <w:tcPr>
            <w:tcW w:w="1194"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£701.04</w:t>
            </w:r>
          </w:p>
        </w:tc>
        <w:tc>
          <w:tcPr>
            <w:tcW w:w="1396"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0.445</w:t>
            </w:r>
          </w:p>
        </w:tc>
        <w:tc>
          <w:tcPr>
            <w:tcW w:w="156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0.471</w:t>
            </w:r>
          </w:p>
        </w:tc>
        <w:tc>
          <w:tcPr>
            <w:tcW w:w="1620" w:type="dxa"/>
            <w:noWrap/>
            <w:hideMark/>
          </w:tcPr>
          <w:p w:rsidR="00753D89" w:rsidRPr="00FB0421" w:rsidRDefault="00753D89" w:rsidP="00A82EE9">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FB0421">
              <w:rPr>
                <w:color w:val="auto"/>
                <w:sz w:val="20"/>
                <w:szCs w:val="20"/>
              </w:rPr>
              <w:t>0.421</w:t>
            </w:r>
          </w:p>
        </w:tc>
      </w:tr>
    </w:tbl>
    <w:p w:rsidR="00753D89" w:rsidRDefault="00CF7B91" w:rsidP="008605E0">
      <w:pPr>
        <w:spacing w:after="0"/>
        <w:rPr>
          <w:b/>
          <w:sz w:val="24"/>
          <w:szCs w:val="24"/>
        </w:rPr>
      </w:pPr>
      <w:r>
        <w:rPr>
          <w:b/>
          <w:sz w:val="24"/>
          <w:szCs w:val="24"/>
        </w:rPr>
        <w:t xml:space="preserve"> </w:t>
      </w:r>
    </w:p>
    <w:p w:rsidR="00CF7B91" w:rsidRDefault="00CF7B91" w:rsidP="008605E0">
      <w:pPr>
        <w:spacing w:after="0"/>
        <w:rPr>
          <w:b/>
          <w:sz w:val="24"/>
          <w:szCs w:val="24"/>
        </w:rPr>
      </w:pPr>
    </w:p>
    <w:p w:rsidR="00CF7B91" w:rsidRDefault="00CF7B91" w:rsidP="008605E0">
      <w:pPr>
        <w:spacing w:after="0"/>
        <w:rPr>
          <w:b/>
          <w:sz w:val="24"/>
          <w:szCs w:val="24"/>
        </w:rPr>
        <w:sectPr w:rsidR="00CF7B91" w:rsidSect="00CF7B91">
          <w:pgSz w:w="16838" w:h="11906" w:orient="landscape"/>
          <w:pgMar w:top="1440" w:right="1440" w:bottom="1440" w:left="1440" w:header="709" w:footer="709" w:gutter="0"/>
          <w:cols w:space="708"/>
          <w:docGrid w:linePitch="360"/>
        </w:sectPr>
      </w:pPr>
    </w:p>
    <w:p w:rsidR="008605E0" w:rsidRPr="00B55B04" w:rsidRDefault="00CF7B91" w:rsidP="008605E0">
      <w:pPr>
        <w:spacing w:after="0"/>
        <w:rPr>
          <w:b/>
          <w:sz w:val="24"/>
          <w:szCs w:val="24"/>
        </w:rPr>
      </w:pPr>
      <w:r>
        <w:rPr>
          <w:b/>
          <w:sz w:val="24"/>
          <w:szCs w:val="24"/>
        </w:rPr>
        <w:lastRenderedPageBreak/>
        <w:t>Table A4</w:t>
      </w:r>
      <w:r w:rsidR="008605E0">
        <w:rPr>
          <w:b/>
          <w:sz w:val="24"/>
          <w:szCs w:val="24"/>
        </w:rPr>
        <w:t>: Estimated average (weekly) self-funded resident fees</w:t>
      </w:r>
    </w:p>
    <w:tbl>
      <w:tblPr>
        <w:tblStyle w:val="ListTable6Colorful"/>
        <w:tblW w:w="8222" w:type="dxa"/>
        <w:tblLayout w:type="fixed"/>
        <w:tblLook w:val="06A0" w:firstRow="1" w:lastRow="0" w:firstColumn="1" w:lastColumn="0" w:noHBand="1" w:noVBand="1"/>
      </w:tblPr>
      <w:tblGrid>
        <w:gridCol w:w="2410"/>
        <w:gridCol w:w="1453"/>
        <w:gridCol w:w="1453"/>
        <w:gridCol w:w="1453"/>
        <w:gridCol w:w="1453"/>
      </w:tblGrid>
      <w:tr w:rsidR="008605E0" w:rsidRPr="00B55B04" w:rsidTr="002A7493">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color w:val="auto"/>
                <w:sz w:val="20"/>
                <w:szCs w:val="20"/>
              </w:rPr>
            </w:pPr>
            <w:r w:rsidRPr="002A7CB7">
              <w:rPr>
                <w:color w:val="auto"/>
                <w:sz w:val="20"/>
                <w:szCs w:val="20"/>
              </w:rPr>
              <w:t>Local Authority</w:t>
            </w:r>
          </w:p>
        </w:tc>
        <w:tc>
          <w:tcPr>
            <w:tcW w:w="2906" w:type="dxa"/>
            <w:gridSpan w:val="2"/>
            <w:noWrap/>
            <w:hideMark/>
          </w:tcPr>
          <w:p w:rsidR="008605E0" w:rsidRPr="002A7CB7" w:rsidRDefault="008605E0" w:rsidP="008605E0">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2A7CB7">
              <w:rPr>
                <w:color w:val="auto"/>
                <w:sz w:val="20"/>
                <w:szCs w:val="20"/>
              </w:rPr>
              <w:t>2008</w:t>
            </w:r>
          </w:p>
          <w:p w:rsidR="008605E0" w:rsidRPr="002A7CB7" w:rsidRDefault="008605E0" w:rsidP="008605E0">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Basic                  Adjusted</w:t>
            </w:r>
            <w:r>
              <w:rPr>
                <w:color w:val="auto"/>
                <w:sz w:val="20"/>
                <w:szCs w:val="20"/>
              </w:rPr>
              <w:t xml:space="preserve"> </w:t>
            </w:r>
          </w:p>
        </w:tc>
        <w:tc>
          <w:tcPr>
            <w:tcW w:w="2906" w:type="dxa"/>
            <w:gridSpan w:val="2"/>
            <w:noWrap/>
            <w:hideMark/>
          </w:tcPr>
          <w:p w:rsidR="008605E0" w:rsidRPr="002A7CB7" w:rsidRDefault="008605E0" w:rsidP="008605E0">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2A7CB7">
              <w:rPr>
                <w:color w:val="auto"/>
                <w:sz w:val="20"/>
                <w:szCs w:val="20"/>
              </w:rPr>
              <w:t>2010</w:t>
            </w:r>
          </w:p>
          <w:p w:rsidR="008605E0" w:rsidRPr="002A7CB7" w:rsidRDefault="008605E0" w:rsidP="008605E0">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Basic                  Adjusted</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Barking and Dagenham</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£649.09</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£404.31</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£1,136.51</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£1,023.34</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Barnet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£832.90</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£815.99</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£871.65</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£881.28</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Barnsley</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£300.60</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£450.38</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£418.97</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£430.56</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Bath and North East Somerset</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£620.61</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£687.71</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£752.83</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£747.99</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Bedford</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£559.97</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£541.30</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£670.89</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£679.26</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Bexley</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£505.47</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£457.06</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£843.26</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£872.51</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Birmingham</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£559.72</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£477.24</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£517.24</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£591.72</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 xml:space="preserve">Blackburn with </w:t>
            </w:r>
            <w:proofErr w:type="spellStart"/>
            <w:r w:rsidRPr="002A7CB7">
              <w:rPr>
                <w:b w:val="0"/>
                <w:color w:val="auto"/>
                <w:sz w:val="20"/>
                <w:szCs w:val="20"/>
              </w:rPr>
              <w:t>Darwen</w:t>
            </w:r>
            <w:proofErr w:type="spellEnd"/>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£382.11</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£424.41</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£399.25</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£407.62</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Blackpool</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£402.66</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£374.20</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£435.15</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£386.38</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Bolton</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£471.79</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£453.12</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£520.73</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£493.38</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Bournemouth</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£647.35</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£616.63</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£720.04</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£729.88</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Bracknell Forest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£702.11</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£611.54</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£799.94</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£817.94</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Bradford</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£581.72</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£471.64</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£594.41</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£632.57</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Brent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N/A</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N/A</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£756.54</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£903.12</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Brighton and Hove</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£575.80</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£672.64</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£698.24</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£720.11</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Bristol, City of</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£506.86</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£572.38</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£667.15</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£704.46</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Bromley</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£717.99</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£675.92</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£889.32</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£891.38</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Buckinghamshire</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£784.53</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£808.29</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£805.20</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£869.55</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Bury</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£362.21</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£517.55</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£538.28</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£510.37</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Calderdale</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£489.88</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£523.54</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£552.47</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£507.70</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Cambridgeshire</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£740.20</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£570.64</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£783.88</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£735.18</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Camden</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£2,077.98</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£2,118.79</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£1,368.65</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£1,414.31</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Central Bedfordshire</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£674.14</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£603.77</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£758.12</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£800.45</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Cheshire East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£661.16</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£681.47</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£731.83</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£720.84</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Cheshire West &amp; Chester</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£542.68</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£582.46</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£642.30</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£681.84</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Cornwall &amp; Scilly Isles</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£679.05</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£615.36</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£678.29</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£625.84</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Coventry</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£472.17</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£467.41</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£648.96</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£615.35</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Croydon</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£697.35</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£548.09</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£822.40</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£683.08</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Cumbria</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£458.12</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£614.41</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£526.76</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£555.93</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Darlington</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£405.70</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£448.32</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£453.35</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£475.16</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Derby</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£432.46</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£476.54</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£540.28</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£532.14</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Derbyshire</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£388.83</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£591.07</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£526.21</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£523.86</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Devon</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£585.70</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£556.85</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£583.80</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£592.90</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Doncaster</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£401.20</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£473.59</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£495.51</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£471.46</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Dorset</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£663.83</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£741.25</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£682.93</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£710.50</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Dudley</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£420.89</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£482.24</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£430.00</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£388.80</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Durham</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£490.41</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£363.62</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£476.18</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£521.00</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Ealing</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£331.16</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£678.94</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£842.25</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£808.21</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East Riding of Yorkshire</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£493.78</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£573.16</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£544.13</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£507.99</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East Sussex</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£635.39</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£752.10</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£665.57</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£681.18</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Enfield</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£714.16</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£565.79</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£943.25</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£877.08</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Essex</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£515.46</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£601.91</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£665.43</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£705.63</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lastRenderedPageBreak/>
              <w:t>Gateshead</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£470.77</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£372.92</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£431.65</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£517.08</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Gloucestershire</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£679.78</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£615.10</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£898.10</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£861.71</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Greenwich</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£718.82</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£512.94</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£1,016.89</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£1,070.94</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Hackney</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N/A</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N/A</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£794.96</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£970.20</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proofErr w:type="spellStart"/>
            <w:r w:rsidRPr="002A7CB7">
              <w:rPr>
                <w:b w:val="0"/>
                <w:color w:val="auto"/>
                <w:sz w:val="20"/>
                <w:szCs w:val="20"/>
              </w:rPr>
              <w:t>Halton</w:t>
            </w:r>
            <w:proofErr w:type="spellEnd"/>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£411.84</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£439.84</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£530.85</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£408.02</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Hammersmith and Fulham</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£1,173.51</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£1,056.81</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£1,074.50</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£1,090.92</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Hampshire</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£728.11</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£871.47</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£819.81</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£771.30</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Haringey</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£912.70</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£834.81</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£960.18</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£906.62</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Harrow</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£720.85</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£664.07</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£775.69</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£766.43</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Hartlepool</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£334.44</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£402.01</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£488.77</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£413.37</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Havering</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£677.81</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£521.04</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£733.96</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£685.65</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Herefordshire, County of</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£466.09</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£663.64</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£577.56</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£724.61</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Hertfordshire</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£710.93</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£653.53</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£830.75</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£917.70</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Hillingdon</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£619.94</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£589.32</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£819.56</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£737.52</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Hounslow</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£1,140.10</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£662.73</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£1,027.72</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£1,068.49</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Isle of Wight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£671.86</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£545.40</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£630.95</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£553.29</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Islington</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N/A</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N/A</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£3,643.15</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£1,700.13</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Kensington and Chelsea</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£923.47</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£1,222.57</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£856.82</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£1,464.92</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Kent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£642.58</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£621.30</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£745.01</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£681.04</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Kingston upon Hull, City of</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£473.01</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£211.45</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£438.82</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£368.60</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Kingston upon Thames</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£722.95</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£686.66</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£850.75</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£871.80</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Kirklees</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£496.89</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£524.73</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£595.14</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£595.45</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proofErr w:type="spellStart"/>
            <w:r w:rsidRPr="002A7CB7">
              <w:rPr>
                <w:b w:val="0"/>
                <w:color w:val="auto"/>
                <w:sz w:val="20"/>
                <w:szCs w:val="20"/>
              </w:rPr>
              <w:t>Knowsley</w:t>
            </w:r>
            <w:proofErr w:type="spellEnd"/>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£414.99</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£373.98</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£803.82</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£798.23</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Lambeth</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N/A</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N/A</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N/A</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N/A</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Lancashire</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£470.66</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£603.38</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£542.92</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£562.29</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Leeds</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£784.40</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£509.41</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£665.45</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£678.08</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Leicester</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£599.05</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£451.70</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£603.46</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£548.03</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Leicestershire</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£554.56</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£607.50</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£627.29</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£598.12</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Lewisham</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N/A</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N/A</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£857.46</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£953.27</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Lincolnshire</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£467.57</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£507.60</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£536.74</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£531.87</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Liverpool</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£610.21</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£213.09</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£626.42</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£469.11</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Luton</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£561.69</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£433.71</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£790.35</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£614.06</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Manchester</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£503.25</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£431.84</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£533.39</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£500.98</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Medway</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£662.07</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£583.94</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£1,076.48</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£836.32</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Merton</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£894.68</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£733.30</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£993.17</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£961.27</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Middlesbrough</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£397.47</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£395.46</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£427.45</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£432.76</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Milton Keynes</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£749.49</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£531.89</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£923.12</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£888.08</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Newcastle upon Tyne</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£437.92</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£459.14</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£447.12</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£424.52</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Newham</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£1,111.48</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£269.51</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£748.65</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£719.86</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Norfolk</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£578.91</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£599.49</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£688.95</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£602.32</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North East Lincolnshire</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£437.98</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£415.48</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£372.79</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£434.74</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North Lincolnshire</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£389.37</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£395.39</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£452.68</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£406.41</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North Somerset</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£512.84</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£627.37</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£706.90</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£639.35</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North Tyneside</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£437.46</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£496.43</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£478.40</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£463.94</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North Yorkshire</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£596.12</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£841.47</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£617.18</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£650.56</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lastRenderedPageBreak/>
              <w:t>Northamptonshire</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£536.69</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£557.18</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£582.31</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£695.89</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Northumberland</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£419.30</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£523.85</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£466.12</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£463.80</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Nottingham</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£449.57</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£406.65</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£503.76</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£481.92</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Nottinghamshire</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£453.12</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£562.85</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£548.46</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£537.82</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Oldham</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£4,311.29</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-£794.43</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£458.43</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£436.08</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Oxfordshire</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£816.67</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£898.96</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£803.59</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£936.06</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Peterborough</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£947.53</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£351.90</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£723.07</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£493.28</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Plymouth</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£403.08</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£426.51</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£589.59</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£565.26</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Poole</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£682.63</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£650.86</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£713.96</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£784.49</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Portsmouth</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£1,639.15</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£710.61</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£740.41</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£654.27</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Reading</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£733.13</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£573.78</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£953.28</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£718.44</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Redbridge</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£635.36</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£577.22</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£825.59</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£818.71</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Redcar and Cleveland</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£689.22</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£396.52</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£538.70</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£562.53</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Richmond upon Thames</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£805.11</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£916.87</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£888.30</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£1,063.58</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Rochdale</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£393.88</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£431.34</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£480.92</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£441.72</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Rotherham</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£320.77</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£473.87</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£429.30</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£404.27</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Rutland</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£751.09</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£626.76</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£678.76</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£692.23</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Salford</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£428.55</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£420.37</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£385.52</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£413.27</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Sandwell</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£387.06</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£341.36</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£639.28</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£659.18</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Sefton</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£477.42</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£527.09</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£504.38</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£584.46</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Sheffield</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£597.03</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£416.46</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£517.71</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£524.71</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Shropshire</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£533.90</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£648.60</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£581.60</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£572.30</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Slough</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£1,710.92</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£912.87</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£1,039.61</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£1,018.63</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Solihull</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£465.60</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£662.90</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£645.98</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£600.35</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Somerset</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£574.85</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£623.91</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£649.94</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£648.85</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South Gloucestershire</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£486.82</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£596.33</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£577.46</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£688.56</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South Tyneside</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£472.46</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£417.25</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£460.10</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£436.83</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Southampton</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£588.82</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£473.40</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£715.47</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£595.32</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Southend-on-Sea</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£500.63</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£539.33</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£653.66</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£604.16</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Southwark</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N/A</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N/A</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-£1,766.99</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£1,182.96</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St. Helens</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£388.52</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£463.78</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£568.22</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£563.85</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Staffordshire</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£564.00</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£483.50</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£481.01</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£625.36</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Stockport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£543.62</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£596.07</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£547.74</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£541.27</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proofErr w:type="spellStart"/>
            <w:r w:rsidRPr="002A7CB7">
              <w:rPr>
                <w:b w:val="0"/>
                <w:color w:val="auto"/>
                <w:sz w:val="20"/>
                <w:szCs w:val="20"/>
              </w:rPr>
              <w:t>Stockton-on-Tees</w:t>
            </w:r>
            <w:proofErr w:type="spellEnd"/>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£407.44</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£446.85</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£508.72</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£438.22</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Stoke-on-Trent</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£533.92</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£318.96</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£631.52</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£393.22</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Suffolk</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£537.15</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£610.15</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£792.09</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£760.27</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Sunderland</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£383.55</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£349.79</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£413.24</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£422.99</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Surrey</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£790.95</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£1,074.68</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£872.78</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£914.56</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Sutton</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£700.80</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£568.70</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£699.88</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£774.11</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Swindon</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£627.64</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£497.44</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£806.75</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£815.68</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Tameside</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£131.25</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£261.88</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£392.56</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£413.81</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Telford and Wrekin</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£497.77</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£527.94</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£594.46</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£581.82</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Thurrock</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£320.32</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£514.77</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N/A</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N/A</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Torbay</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£505.69</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£527.65</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£511.12</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£474.83</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Tower Hamlets</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£2,020.41</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£1,271.14</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£1,035.00</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£962.47</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Trafford</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£618.82</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£685.37</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£683.56</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£673.49</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lastRenderedPageBreak/>
              <w:t>Wakefield</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£449.29</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£483.50</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£514.08</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£498.29</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Walsall</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£443.28</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£438.79</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£327.82</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£413.39</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Waltham Forest</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£871.52</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£519.04</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£861.96</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£608.82</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proofErr w:type="spellStart"/>
            <w:r w:rsidRPr="002A7CB7">
              <w:rPr>
                <w:b w:val="0"/>
                <w:color w:val="auto"/>
                <w:sz w:val="20"/>
                <w:szCs w:val="20"/>
              </w:rPr>
              <w:t>Wandsworth</w:t>
            </w:r>
            <w:proofErr w:type="spellEnd"/>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£994.78</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£895.01</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£1,216.65</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£1,302.95</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Warrington</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£595.37</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£561.65</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£580.51</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£690.63</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Warwickshire</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£651.09</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£648.48</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£697.32</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£689.41</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West Berkshire</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£747.91</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£672.41</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£1,018.51</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£960.84</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West Sussex</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£599.18</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£939.46</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£714.76</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£729.91</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Westminster</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N/A</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N/A</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N/A</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N/A</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Wigan</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£378.56</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£404.51</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£526.48</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£538.54</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Wiltshire</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£702.35</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£686.70</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£837.71</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£926.21</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Windsor and Maidenhead</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£926.26</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£948.64</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£998.52</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£887.66</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Wirral</w:t>
            </w:r>
            <w:r>
              <w:rPr>
                <w:b w:val="0"/>
                <w:color w:val="auto"/>
                <w:sz w:val="20"/>
                <w:szCs w:val="20"/>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£459.60</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£526.95</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£582.99</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£642.05</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Wokingham</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£850.98</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£684.72</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£900.87</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£831.81</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Wolverhampton</w:t>
            </w:r>
            <w:r>
              <w:rPr>
                <w:b w:val="0"/>
                <w:color w:val="auto"/>
                <w:sz w:val="20"/>
                <w:szCs w:val="20"/>
              </w:rPr>
              <w:t>*</w:t>
            </w:r>
            <w:r w:rsidRPr="00F73F47">
              <w:rPr>
                <w:b w:val="0"/>
                <w:color w:val="auto"/>
                <w:sz w:val="20"/>
                <w:szCs w:val="20"/>
                <w:vertAlign w:val="superscript"/>
              </w:rPr>
              <w:t>+</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£398.23</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£405.98</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£482.41</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£547.21</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sidRPr="002A7CB7">
              <w:rPr>
                <w:b w:val="0"/>
                <w:color w:val="auto"/>
                <w:sz w:val="20"/>
                <w:szCs w:val="20"/>
              </w:rPr>
              <w:t>Worcestershire</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£601.89</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£641.05</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£658.01</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£601.56</w:t>
            </w:r>
          </w:p>
        </w:tc>
      </w:tr>
      <w:tr w:rsidR="008605E0" w:rsidRPr="00B55B04" w:rsidTr="002A749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8605E0" w:rsidRPr="002A7CB7" w:rsidRDefault="008605E0" w:rsidP="008605E0">
            <w:pPr>
              <w:spacing w:after="0" w:line="240" w:lineRule="auto"/>
              <w:rPr>
                <w:b w:val="0"/>
                <w:color w:val="auto"/>
                <w:sz w:val="20"/>
                <w:szCs w:val="20"/>
              </w:rPr>
            </w:pPr>
            <w:r>
              <w:rPr>
                <w:b w:val="0"/>
                <w:color w:val="auto"/>
                <w:sz w:val="20"/>
                <w:szCs w:val="20"/>
              </w:rPr>
              <w:t>York</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£632.51</w:t>
            </w:r>
          </w:p>
        </w:tc>
        <w:tc>
          <w:tcPr>
            <w:tcW w:w="1453" w:type="dxa"/>
            <w:noWrap/>
            <w:hideMark/>
          </w:tcPr>
          <w:p w:rsidR="008605E0" w:rsidRPr="009E4D12"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E4D12">
              <w:rPr>
                <w:color w:val="auto"/>
                <w:sz w:val="20"/>
                <w:szCs w:val="20"/>
              </w:rPr>
              <w:t>£636.64</w:t>
            </w:r>
          </w:p>
        </w:tc>
        <w:tc>
          <w:tcPr>
            <w:tcW w:w="1453" w:type="dxa"/>
            <w:noWrap/>
            <w:hideMark/>
          </w:tcPr>
          <w:p w:rsidR="008605E0" w:rsidRPr="002A7CB7"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7CB7">
              <w:rPr>
                <w:color w:val="auto"/>
                <w:sz w:val="20"/>
                <w:szCs w:val="20"/>
              </w:rPr>
              <w:t>£773.59</w:t>
            </w:r>
          </w:p>
        </w:tc>
        <w:tc>
          <w:tcPr>
            <w:tcW w:w="1453" w:type="dxa"/>
            <w:noWrap/>
            <w:hideMark/>
          </w:tcPr>
          <w:p w:rsidR="008605E0" w:rsidRPr="00363EAF" w:rsidRDefault="008605E0" w:rsidP="008605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63EAF">
              <w:rPr>
                <w:color w:val="auto"/>
                <w:sz w:val="20"/>
                <w:szCs w:val="20"/>
              </w:rPr>
              <w:t>£787.29</w:t>
            </w:r>
          </w:p>
        </w:tc>
      </w:tr>
    </w:tbl>
    <w:p w:rsidR="008605E0" w:rsidRDefault="008605E0" w:rsidP="008605E0">
      <w:pPr>
        <w:spacing w:after="0"/>
        <w:rPr>
          <w:sz w:val="20"/>
          <w:szCs w:val="20"/>
        </w:rPr>
      </w:pPr>
      <w:r w:rsidRPr="00D771D9">
        <w:rPr>
          <w:sz w:val="20"/>
          <w:szCs w:val="20"/>
        </w:rPr>
        <w:t>N/A indicates that the proportion of LA-funded resi</w:t>
      </w:r>
      <w:r>
        <w:rPr>
          <w:sz w:val="20"/>
          <w:szCs w:val="20"/>
        </w:rPr>
        <w:t xml:space="preserve">dents in the LA was estimated to be </w:t>
      </w:r>
      <w:r w:rsidRPr="00D771D9">
        <w:rPr>
          <w:sz w:val="20"/>
          <w:szCs w:val="20"/>
        </w:rPr>
        <w:t>over 1, and therefore no self-funded price was estimated as there is unlikely to be a self-funded market in these LAs.</w:t>
      </w:r>
    </w:p>
    <w:p w:rsidR="008605E0" w:rsidRDefault="008605E0" w:rsidP="008605E0">
      <w:pPr>
        <w:spacing w:after="0"/>
        <w:rPr>
          <w:sz w:val="20"/>
          <w:szCs w:val="20"/>
        </w:rPr>
      </w:pPr>
      <w:r w:rsidRPr="00F73F47">
        <w:rPr>
          <w:sz w:val="20"/>
          <w:szCs w:val="20"/>
        </w:rPr>
        <w:t>*</w:t>
      </w:r>
      <w:r>
        <w:rPr>
          <w:sz w:val="20"/>
          <w:szCs w:val="20"/>
        </w:rPr>
        <w:t xml:space="preserve"> </w:t>
      </w:r>
      <w:r w:rsidRPr="00F73F47">
        <w:rPr>
          <w:sz w:val="20"/>
          <w:szCs w:val="20"/>
        </w:rPr>
        <w:t>i</w:t>
      </w:r>
      <w:r>
        <w:rPr>
          <w:sz w:val="20"/>
          <w:szCs w:val="20"/>
        </w:rPr>
        <w:t>ndicates that the adjusted average fees gap was estimated using multiple imputation for 2008 and therefore less confidence can be attached to the estimated average self-funded price shown.</w:t>
      </w:r>
    </w:p>
    <w:p w:rsidR="008605E0" w:rsidRPr="00F73F47" w:rsidRDefault="008605E0" w:rsidP="008605E0">
      <w:pPr>
        <w:spacing w:after="0"/>
        <w:rPr>
          <w:sz w:val="20"/>
          <w:szCs w:val="20"/>
        </w:rPr>
      </w:pPr>
      <w:r w:rsidRPr="00F73F47">
        <w:rPr>
          <w:sz w:val="20"/>
          <w:szCs w:val="20"/>
          <w:vertAlign w:val="superscript"/>
        </w:rPr>
        <w:t>+</w:t>
      </w:r>
      <w:r>
        <w:rPr>
          <w:sz w:val="20"/>
          <w:szCs w:val="20"/>
        </w:rPr>
        <w:t xml:space="preserve"> indicates that the adjusted average fees gap was estimated using multiple imputation for 2010 and therefore less confidence can be attached to the estimated average self-funded price shown.</w:t>
      </w:r>
    </w:p>
    <w:p w:rsidR="008605E0" w:rsidRDefault="008605E0" w:rsidP="008605E0"/>
    <w:p w:rsidR="008605E0" w:rsidRDefault="008605E0" w:rsidP="008605E0"/>
    <w:p w:rsidR="00865244" w:rsidRDefault="00865244" w:rsidP="008605E0"/>
    <w:p w:rsidR="00865244" w:rsidRDefault="00865244" w:rsidP="008605E0"/>
    <w:p w:rsidR="00865244" w:rsidRDefault="00865244" w:rsidP="008605E0"/>
    <w:p w:rsidR="00865244" w:rsidRDefault="00865244" w:rsidP="008605E0"/>
    <w:p w:rsidR="00865244" w:rsidRDefault="00865244" w:rsidP="008605E0"/>
    <w:p w:rsidR="00865244" w:rsidRDefault="00865244" w:rsidP="008605E0"/>
    <w:p w:rsidR="00865244" w:rsidRDefault="00865244" w:rsidP="008605E0"/>
    <w:p w:rsidR="00865244" w:rsidRDefault="00865244" w:rsidP="008605E0"/>
    <w:p w:rsidR="00865244" w:rsidRDefault="00865244" w:rsidP="008605E0"/>
    <w:p w:rsidR="00865244" w:rsidRDefault="00865244" w:rsidP="008605E0"/>
    <w:p w:rsidR="00865244" w:rsidRDefault="00865244" w:rsidP="008605E0"/>
    <w:p w:rsidR="008605E0" w:rsidRPr="008B6612" w:rsidRDefault="00CF7B91" w:rsidP="008605E0">
      <w:pPr>
        <w:spacing w:after="0"/>
        <w:rPr>
          <w:b/>
          <w:sz w:val="24"/>
        </w:rPr>
      </w:pPr>
      <w:r>
        <w:rPr>
          <w:b/>
          <w:sz w:val="24"/>
        </w:rPr>
        <w:lastRenderedPageBreak/>
        <w:t>Table A5</w:t>
      </w:r>
      <w:r w:rsidR="008605E0" w:rsidRPr="008B6612">
        <w:rPr>
          <w:b/>
          <w:sz w:val="24"/>
        </w:rPr>
        <w:t>: Overall means of estimated average self-funder price</w:t>
      </w:r>
    </w:p>
    <w:tbl>
      <w:tblPr>
        <w:tblStyle w:val="ListTable6Colorful"/>
        <w:tblW w:w="0" w:type="auto"/>
        <w:tblLook w:val="06A0" w:firstRow="1" w:lastRow="0" w:firstColumn="1" w:lastColumn="0" w:noHBand="1" w:noVBand="1"/>
      </w:tblPr>
      <w:tblGrid>
        <w:gridCol w:w="2254"/>
        <w:gridCol w:w="2254"/>
        <w:gridCol w:w="2254"/>
      </w:tblGrid>
      <w:tr w:rsidR="008605E0" w:rsidTr="002A74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605E0" w:rsidRPr="008B6612" w:rsidRDefault="008605E0" w:rsidP="008605E0">
            <w:pPr>
              <w:spacing w:after="0" w:line="240" w:lineRule="auto"/>
              <w:rPr>
                <w:sz w:val="20"/>
              </w:rPr>
            </w:pPr>
            <w:r w:rsidRPr="008B6612">
              <w:rPr>
                <w:sz w:val="20"/>
              </w:rPr>
              <w:t>Estimation</w:t>
            </w:r>
          </w:p>
        </w:tc>
        <w:tc>
          <w:tcPr>
            <w:tcW w:w="2254" w:type="dxa"/>
          </w:tcPr>
          <w:p w:rsidR="008605E0" w:rsidRPr="008B6612" w:rsidRDefault="008605E0" w:rsidP="008605E0">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8B6612">
              <w:rPr>
                <w:sz w:val="20"/>
              </w:rPr>
              <w:t>Mean price</w:t>
            </w:r>
          </w:p>
        </w:tc>
        <w:tc>
          <w:tcPr>
            <w:tcW w:w="2254" w:type="dxa"/>
          </w:tcPr>
          <w:p w:rsidR="008605E0" w:rsidRPr="008B6612" w:rsidRDefault="008605E0" w:rsidP="008605E0">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8B6612">
              <w:rPr>
                <w:sz w:val="20"/>
              </w:rPr>
              <w:t>S.D.</w:t>
            </w:r>
          </w:p>
        </w:tc>
      </w:tr>
      <w:tr w:rsidR="008605E0" w:rsidTr="002A7493">
        <w:tc>
          <w:tcPr>
            <w:cnfStyle w:val="001000000000" w:firstRow="0" w:lastRow="0" w:firstColumn="1" w:lastColumn="0" w:oddVBand="0" w:evenVBand="0" w:oddHBand="0" w:evenHBand="0" w:firstRowFirstColumn="0" w:firstRowLastColumn="0" w:lastRowFirstColumn="0" w:lastRowLastColumn="0"/>
            <w:tcW w:w="2254" w:type="dxa"/>
          </w:tcPr>
          <w:p w:rsidR="008605E0" w:rsidRPr="008B6612" w:rsidRDefault="008605E0" w:rsidP="008605E0">
            <w:pPr>
              <w:spacing w:after="0" w:line="240" w:lineRule="auto"/>
              <w:rPr>
                <w:sz w:val="20"/>
              </w:rPr>
            </w:pPr>
            <w:r w:rsidRPr="008B6612">
              <w:rPr>
                <w:sz w:val="20"/>
              </w:rPr>
              <w:t>Basic</w:t>
            </w:r>
          </w:p>
        </w:tc>
        <w:tc>
          <w:tcPr>
            <w:tcW w:w="2254" w:type="dxa"/>
          </w:tcPr>
          <w:p w:rsidR="008605E0" w:rsidRPr="008B6612" w:rsidRDefault="008605E0" w:rsidP="008605E0">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8B6612">
              <w:rPr>
                <w:sz w:val="20"/>
              </w:rPr>
              <w:t>£663.13</w:t>
            </w:r>
            <w:r w:rsidRPr="008B6612">
              <w:rPr>
                <w:sz w:val="20"/>
                <w:vertAlign w:val="superscript"/>
              </w:rPr>
              <w:t>NS</w:t>
            </w:r>
          </w:p>
        </w:tc>
        <w:tc>
          <w:tcPr>
            <w:tcW w:w="2254" w:type="dxa"/>
          </w:tcPr>
          <w:p w:rsidR="008605E0" w:rsidRPr="008B6612" w:rsidRDefault="008605E0" w:rsidP="008605E0">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8B6612">
              <w:rPr>
                <w:sz w:val="20"/>
              </w:rPr>
              <w:t>£392.35</w:t>
            </w:r>
          </w:p>
        </w:tc>
      </w:tr>
      <w:tr w:rsidR="008605E0" w:rsidTr="002A7493">
        <w:tc>
          <w:tcPr>
            <w:cnfStyle w:val="001000000000" w:firstRow="0" w:lastRow="0" w:firstColumn="1" w:lastColumn="0" w:oddVBand="0" w:evenVBand="0" w:oddHBand="0" w:evenHBand="0" w:firstRowFirstColumn="0" w:firstRowLastColumn="0" w:lastRowFirstColumn="0" w:lastRowLastColumn="0"/>
            <w:tcW w:w="2254" w:type="dxa"/>
          </w:tcPr>
          <w:p w:rsidR="008605E0" w:rsidRPr="008B6612" w:rsidRDefault="008605E0" w:rsidP="008605E0">
            <w:pPr>
              <w:spacing w:after="0" w:line="240" w:lineRule="auto"/>
              <w:rPr>
                <w:sz w:val="20"/>
              </w:rPr>
            </w:pPr>
            <w:r w:rsidRPr="008B6612">
              <w:rPr>
                <w:sz w:val="20"/>
              </w:rPr>
              <w:t>Adjusted</w:t>
            </w:r>
          </w:p>
        </w:tc>
        <w:tc>
          <w:tcPr>
            <w:tcW w:w="2254" w:type="dxa"/>
          </w:tcPr>
          <w:p w:rsidR="008605E0" w:rsidRPr="008B6612" w:rsidRDefault="008605E0" w:rsidP="008605E0">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8B6612">
              <w:rPr>
                <w:sz w:val="20"/>
              </w:rPr>
              <w:t>£629.53</w:t>
            </w:r>
          </w:p>
        </w:tc>
        <w:tc>
          <w:tcPr>
            <w:tcW w:w="2254" w:type="dxa"/>
          </w:tcPr>
          <w:p w:rsidR="008605E0" w:rsidRPr="008B6612" w:rsidRDefault="008605E0" w:rsidP="008605E0">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8B6612">
              <w:rPr>
                <w:sz w:val="20"/>
              </w:rPr>
              <w:t>£242.17</w:t>
            </w:r>
          </w:p>
        </w:tc>
      </w:tr>
      <w:tr w:rsidR="008605E0" w:rsidTr="002A7493">
        <w:tc>
          <w:tcPr>
            <w:cnfStyle w:val="001000000000" w:firstRow="0" w:lastRow="0" w:firstColumn="1" w:lastColumn="0" w:oddVBand="0" w:evenVBand="0" w:oddHBand="0" w:evenHBand="0" w:firstRowFirstColumn="0" w:firstRowLastColumn="0" w:lastRowFirstColumn="0" w:lastRowLastColumn="0"/>
            <w:tcW w:w="2254" w:type="dxa"/>
          </w:tcPr>
          <w:p w:rsidR="008605E0" w:rsidRPr="008B6612" w:rsidRDefault="008605E0" w:rsidP="008605E0">
            <w:pPr>
              <w:spacing w:after="0" w:line="240" w:lineRule="auto"/>
              <w:rPr>
                <w:sz w:val="20"/>
              </w:rPr>
            </w:pPr>
            <w:r w:rsidRPr="008B6612">
              <w:rPr>
                <w:sz w:val="20"/>
              </w:rPr>
              <w:t>Adjusted (85% Occ.)</w:t>
            </w:r>
          </w:p>
        </w:tc>
        <w:tc>
          <w:tcPr>
            <w:tcW w:w="2254" w:type="dxa"/>
          </w:tcPr>
          <w:p w:rsidR="008605E0" w:rsidRPr="008B6612" w:rsidRDefault="008605E0" w:rsidP="008605E0">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8B6612">
              <w:rPr>
                <w:sz w:val="20"/>
              </w:rPr>
              <w:t>£638.95**</w:t>
            </w:r>
          </w:p>
        </w:tc>
        <w:tc>
          <w:tcPr>
            <w:tcW w:w="2254" w:type="dxa"/>
          </w:tcPr>
          <w:p w:rsidR="008605E0" w:rsidRPr="008B6612" w:rsidRDefault="008605E0" w:rsidP="008605E0">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8B6612">
              <w:rPr>
                <w:sz w:val="20"/>
              </w:rPr>
              <w:t>£234.05</w:t>
            </w:r>
          </w:p>
        </w:tc>
      </w:tr>
      <w:tr w:rsidR="008605E0" w:rsidTr="002A7493">
        <w:tc>
          <w:tcPr>
            <w:cnfStyle w:val="001000000000" w:firstRow="0" w:lastRow="0" w:firstColumn="1" w:lastColumn="0" w:oddVBand="0" w:evenVBand="0" w:oddHBand="0" w:evenHBand="0" w:firstRowFirstColumn="0" w:firstRowLastColumn="0" w:lastRowFirstColumn="0" w:lastRowLastColumn="0"/>
            <w:tcW w:w="2254" w:type="dxa"/>
          </w:tcPr>
          <w:p w:rsidR="008605E0" w:rsidRPr="008B6612" w:rsidRDefault="008605E0" w:rsidP="008605E0">
            <w:pPr>
              <w:spacing w:after="0" w:line="240" w:lineRule="auto"/>
              <w:rPr>
                <w:sz w:val="20"/>
              </w:rPr>
            </w:pPr>
            <w:r w:rsidRPr="008B6612">
              <w:rPr>
                <w:sz w:val="20"/>
              </w:rPr>
              <w:t>Adjusted (95% Occ.)</w:t>
            </w:r>
          </w:p>
        </w:tc>
        <w:tc>
          <w:tcPr>
            <w:tcW w:w="2254" w:type="dxa"/>
          </w:tcPr>
          <w:p w:rsidR="008605E0" w:rsidRPr="008B6612" w:rsidRDefault="008605E0" w:rsidP="008605E0">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8B6612">
              <w:rPr>
                <w:sz w:val="20"/>
              </w:rPr>
              <w:t>£623.03*</w:t>
            </w:r>
          </w:p>
        </w:tc>
        <w:tc>
          <w:tcPr>
            <w:tcW w:w="2254" w:type="dxa"/>
          </w:tcPr>
          <w:p w:rsidR="008605E0" w:rsidRPr="008B6612" w:rsidRDefault="008605E0" w:rsidP="008605E0">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8B6612">
              <w:rPr>
                <w:sz w:val="20"/>
              </w:rPr>
              <w:t>£208.57</w:t>
            </w:r>
          </w:p>
        </w:tc>
      </w:tr>
      <w:tr w:rsidR="008605E0" w:rsidTr="002A7493">
        <w:tc>
          <w:tcPr>
            <w:cnfStyle w:val="001000000000" w:firstRow="0" w:lastRow="0" w:firstColumn="1" w:lastColumn="0" w:oddVBand="0" w:evenVBand="0" w:oddHBand="0" w:evenHBand="0" w:firstRowFirstColumn="0" w:firstRowLastColumn="0" w:lastRowFirstColumn="0" w:lastRowLastColumn="0"/>
            <w:tcW w:w="2254" w:type="dxa"/>
          </w:tcPr>
          <w:p w:rsidR="008605E0" w:rsidRPr="008B6612" w:rsidRDefault="008605E0" w:rsidP="008605E0">
            <w:pPr>
              <w:spacing w:after="0" w:line="240" w:lineRule="auto"/>
              <w:rPr>
                <w:sz w:val="20"/>
              </w:rPr>
            </w:pPr>
            <w:r w:rsidRPr="008B6612">
              <w:rPr>
                <w:sz w:val="20"/>
              </w:rPr>
              <w:t>Adjusted (min/max)</w:t>
            </w:r>
          </w:p>
        </w:tc>
        <w:tc>
          <w:tcPr>
            <w:tcW w:w="2254" w:type="dxa"/>
          </w:tcPr>
          <w:p w:rsidR="008605E0" w:rsidRPr="008B6612" w:rsidRDefault="008605E0" w:rsidP="008605E0">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8B6612">
              <w:rPr>
                <w:sz w:val="20"/>
              </w:rPr>
              <w:t>£609.22**</w:t>
            </w:r>
          </w:p>
        </w:tc>
        <w:tc>
          <w:tcPr>
            <w:tcW w:w="2254" w:type="dxa"/>
          </w:tcPr>
          <w:p w:rsidR="008605E0" w:rsidRPr="008B6612" w:rsidRDefault="008605E0" w:rsidP="008605E0">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8B6612">
              <w:rPr>
                <w:sz w:val="20"/>
              </w:rPr>
              <w:t>£252.13</w:t>
            </w:r>
          </w:p>
        </w:tc>
      </w:tr>
    </w:tbl>
    <w:p w:rsidR="007C5DD2" w:rsidRDefault="008605E0">
      <w:r w:rsidRPr="008B6612">
        <w:rPr>
          <w:sz w:val="20"/>
        </w:rPr>
        <w:t>NS, *, **, and *** indicate no significance or significance at the 10%, 5%, and 1% level, respectively</w:t>
      </w:r>
      <w:r>
        <w:rPr>
          <w:sz w:val="20"/>
        </w:rPr>
        <w:t>,</w:t>
      </w:r>
      <w:r w:rsidRPr="008B6612">
        <w:rPr>
          <w:sz w:val="20"/>
        </w:rPr>
        <w:t xml:space="preserve"> in a test of the equality of means between the relevant estimated self-funder price and the </w:t>
      </w:r>
      <w:r>
        <w:rPr>
          <w:sz w:val="20"/>
        </w:rPr>
        <w:t xml:space="preserve">estimated </w:t>
      </w:r>
      <w:r w:rsidRPr="008B6612">
        <w:rPr>
          <w:sz w:val="20"/>
        </w:rPr>
        <w:t>adjusted self-funder price.</w:t>
      </w:r>
    </w:p>
    <w:sectPr w:rsidR="007C5DD2" w:rsidSect="00CF7B91">
      <w:pgSz w:w="11906" w:h="16838"/>
      <w:pgMar w:top="1440" w:right="226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F8F" w:rsidRDefault="00C37F8F" w:rsidP="008605E0">
      <w:pPr>
        <w:spacing w:after="0" w:line="240" w:lineRule="auto"/>
      </w:pPr>
      <w:r>
        <w:separator/>
      </w:r>
    </w:p>
  </w:endnote>
  <w:endnote w:type="continuationSeparator" w:id="0">
    <w:p w:rsidR="00C37F8F" w:rsidRDefault="00C37F8F" w:rsidP="00860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F8F" w:rsidRDefault="00C37F8F" w:rsidP="008605E0">
      <w:pPr>
        <w:spacing w:after="0" w:line="240" w:lineRule="auto"/>
      </w:pPr>
      <w:r>
        <w:separator/>
      </w:r>
    </w:p>
  </w:footnote>
  <w:footnote w:type="continuationSeparator" w:id="0">
    <w:p w:rsidR="00C37F8F" w:rsidRDefault="00C37F8F" w:rsidP="008605E0">
      <w:pPr>
        <w:spacing w:after="0" w:line="240" w:lineRule="auto"/>
      </w:pPr>
      <w:r>
        <w:continuationSeparator/>
      </w:r>
    </w:p>
  </w:footnote>
  <w:footnote w:id="1">
    <w:p w:rsidR="00C37F8F" w:rsidRDefault="00C37F8F" w:rsidP="008605E0">
      <w:pPr>
        <w:pStyle w:val="FootnoteText"/>
      </w:pPr>
      <w:r>
        <w:rPr>
          <w:rStyle w:val="FootnoteReference"/>
        </w:rPr>
        <w:footnoteRef/>
      </w:r>
      <w:r>
        <w:t xml:space="preserve"> In </w:t>
      </w:r>
      <w:r w:rsidRPr="00B706A0">
        <w:t>two cases (Manchester and East Sussex)</w:t>
      </w:r>
      <w:r>
        <w:t xml:space="preserve"> data on resident numbers and costs</w:t>
      </w:r>
      <w:r w:rsidRPr="00B706A0">
        <w:t xml:space="preserve"> for 2010-11</w:t>
      </w:r>
      <w:r>
        <w:t xml:space="preserve"> are used</w:t>
      </w:r>
      <w:r w:rsidRPr="00B706A0">
        <w:t xml:space="preserve"> due to there being no reported average cost for an LA-funded resident for 2009-10</w:t>
      </w:r>
      <w:r>
        <w:t>.</w:t>
      </w:r>
    </w:p>
  </w:footnote>
  <w:footnote w:id="2">
    <w:p w:rsidR="00C37F8F" w:rsidRDefault="00C37F8F" w:rsidP="008605E0">
      <w:pPr>
        <w:pStyle w:val="FootnoteText"/>
      </w:pPr>
      <w:r>
        <w:rPr>
          <w:rStyle w:val="FootnoteReference"/>
        </w:rPr>
        <w:footnoteRef/>
      </w:r>
      <w:r>
        <w:t xml:space="preserve"> </w:t>
      </w:r>
      <w:r w:rsidRPr="00B706A0">
        <w:t xml:space="preserve">We use </w:t>
      </w:r>
      <w:r>
        <w:t>2007/08 and 2009/</w:t>
      </w:r>
      <w:r w:rsidRPr="00B706A0">
        <w:t xml:space="preserve">10 </w:t>
      </w:r>
      <w:r>
        <w:t>(rather than 2008/09 and 2010/11) resident number and cost data</w:t>
      </w:r>
      <w:r w:rsidRPr="00B706A0">
        <w:t xml:space="preserve"> as the date of collection for costs is the 31st March of each f</w:t>
      </w:r>
      <w:r>
        <w:t>inancial year and so this</w:t>
      </w:r>
      <w:r w:rsidRPr="00B706A0">
        <w:t xml:space="preserve"> data is closest to our price data</w:t>
      </w:r>
      <w:r>
        <w:t>.</w:t>
      </w:r>
    </w:p>
  </w:footnote>
  <w:footnote w:id="3">
    <w:p w:rsidR="00C37F8F" w:rsidRDefault="00C37F8F" w:rsidP="008605E0">
      <w:pPr>
        <w:pStyle w:val="FootnoteText"/>
      </w:pPr>
      <w:r>
        <w:rPr>
          <w:rStyle w:val="FootnoteReference"/>
        </w:rPr>
        <w:footnoteRef/>
      </w:r>
      <w:r>
        <w:t xml:space="preserve"> Hence, we assume that out-of-area placements remained constant over the period 2008-2010. </w:t>
      </w:r>
    </w:p>
  </w:footnote>
  <w:footnote w:id="4">
    <w:p w:rsidR="00C37F8F" w:rsidRDefault="00C37F8F" w:rsidP="008605E0">
      <w:pPr>
        <w:pStyle w:val="FootnoteText"/>
      </w:pPr>
      <w:r>
        <w:rPr>
          <w:rStyle w:val="FootnoteReference"/>
        </w:rPr>
        <w:footnoteRef/>
      </w:r>
      <w:r>
        <w:t xml:space="preserve"> Note that this does not allow for the small proportion of residents that are funded by the NHS. </w:t>
      </w:r>
      <w:r w:rsidRPr="00110684">
        <w:t xml:space="preserve">However, this problem </w:t>
      </w:r>
      <w:r>
        <w:t>is</w:t>
      </w:r>
      <w:r w:rsidRPr="00110684">
        <w:t xml:space="preserve"> mitigated somewhat by varying the occupancy rate (although the issue of how wholly NHS-funded places affects the reported prices by care homes in the price data remains). </w:t>
      </w:r>
      <w:r>
        <w:t>In analysis not presented in the paper, we find that a</w:t>
      </w:r>
      <w:r w:rsidRPr="00110684">
        <w:t>djusting the occupancy rate to 100% does not markedly change the estimated self-</w:t>
      </w:r>
      <w:r>
        <w:t>pay price for a LA.</w:t>
      </w:r>
    </w:p>
  </w:footnote>
  <w:footnote w:id="5">
    <w:p w:rsidR="00C37F8F" w:rsidRDefault="00C37F8F" w:rsidP="008605E0">
      <w:pPr>
        <w:pStyle w:val="FootnoteText"/>
      </w:pPr>
      <w:r>
        <w:rPr>
          <w:rStyle w:val="FootnoteReference"/>
        </w:rPr>
        <w:footnoteRef/>
      </w:r>
      <w:r>
        <w:t xml:space="preserve"> Therefore, the average cost per LA resident will differ from those found in council-level unit cost reports.</w:t>
      </w:r>
    </w:p>
  </w:footnote>
  <w:footnote w:id="6">
    <w:p w:rsidR="00C37F8F" w:rsidRDefault="00C37F8F" w:rsidP="0016651B">
      <w:pPr>
        <w:pStyle w:val="FootnoteText"/>
      </w:pPr>
      <w:r>
        <w:rPr>
          <w:rStyle w:val="FootnoteReference"/>
        </w:rPr>
        <w:footnoteRef/>
      </w:r>
      <w:r>
        <w:t xml:space="preserve"> The log of</w:t>
      </w:r>
      <w:r w:rsidRPr="002E064D">
        <w:t xml:space="preserve"> LA</w:t>
      </w:r>
      <w:r>
        <w:t xml:space="preserve"> average</w:t>
      </w:r>
      <w:r w:rsidRPr="002E064D">
        <w:t xml:space="preserve"> price </w:t>
      </w:r>
      <w:r>
        <w:t xml:space="preserve">was regressed </w:t>
      </w:r>
      <w:r w:rsidRPr="002E064D">
        <w:t>on the log of costs, the proportion of self-funders (assuming a 90% occupancy rate), and the log of average house price. This is estimated for all LAs within the 5</w:t>
      </w:r>
      <w:r w:rsidRPr="002E064D">
        <w:rPr>
          <w:vertAlign w:val="superscript"/>
        </w:rPr>
        <w:t>th</w:t>
      </w:r>
      <w:r w:rsidRPr="002E064D">
        <w:t xml:space="preserve"> and 95</w:t>
      </w:r>
      <w:r w:rsidRPr="002E064D">
        <w:rPr>
          <w:vertAlign w:val="superscript"/>
        </w:rPr>
        <w:t>th</w:t>
      </w:r>
      <w:r w:rsidRPr="002E064D">
        <w:t xml:space="preserve"> percentiles of the distribution of the proportion of self-funders and that have more than 80% of care homes with care home price data</w:t>
      </w:r>
      <w:r>
        <w:t>.</w:t>
      </w:r>
    </w:p>
  </w:footnote>
  <w:footnote w:id="7">
    <w:p w:rsidR="00C37F8F" w:rsidRDefault="00C37F8F" w:rsidP="0016651B">
      <w:pPr>
        <w:pStyle w:val="FootnoteText"/>
      </w:pPr>
      <w:r>
        <w:rPr>
          <w:rStyle w:val="FootnoteReference"/>
        </w:rPr>
        <w:footnoteRef/>
      </w:r>
      <w:r>
        <w:t xml:space="preserve"> This final stage of adjusting the price is not included in the empirical analysis of the fees gap because of the use of multiple imputation for missing fees gaps. As such, the adjusted price here differs from that used to estimate the average fees gap for LAs. The differences in the two estimated adjusted prices are minor (those presented here are 2.2% lower on average than the adjusted price used in the main empirical analysis), but a test of equality is rejected at the 10% level. Using this adjusted price in the initial, non-imputed, fees gap analysis does not markedly affect the results found.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3864"/>
    <w:multiLevelType w:val="hybridMultilevel"/>
    <w:tmpl w:val="516ACCC0"/>
    <w:lvl w:ilvl="0" w:tplc="5C30159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E0BD1"/>
    <w:multiLevelType w:val="hybridMultilevel"/>
    <w:tmpl w:val="CEFE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B54C2C"/>
    <w:multiLevelType w:val="hybridMultilevel"/>
    <w:tmpl w:val="AB72A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C22079"/>
    <w:multiLevelType w:val="hybridMultilevel"/>
    <w:tmpl w:val="8458A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C9254B"/>
    <w:multiLevelType w:val="hybridMultilevel"/>
    <w:tmpl w:val="3AFA142E"/>
    <w:lvl w:ilvl="0" w:tplc="6EC6252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74DA9"/>
    <w:multiLevelType w:val="hybridMultilevel"/>
    <w:tmpl w:val="0AC6A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2623F4"/>
    <w:multiLevelType w:val="hybridMultilevel"/>
    <w:tmpl w:val="B67AE14E"/>
    <w:lvl w:ilvl="0" w:tplc="06CC0CA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672C9E"/>
    <w:multiLevelType w:val="multilevel"/>
    <w:tmpl w:val="8ADA3E6C"/>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7DB34C4"/>
    <w:multiLevelType w:val="hybridMultilevel"/>
    <w:tmpl w:val="6882A5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D5727E"/>
    <w:multiLevelType w:val="multilevel"/>
    <w:tmpl w:val="4A32C9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7"/>
  </w:num>
  <w:num w:numId="3">
    <w:abstractNumId w:val="3"/>
  </w:num>
  <w:num w:numId="4">
    <w:abstractNumId w:val="8"/>
  </w:num>
  <w:num w:numId="5">
    <w:abstractNumId w:val="1"/>
  </w:num>
  <w:num w:numId="6">
    <w:abstractNumId w:val="5"/>
  </w:num>
  <w:num w:numId="7">
    <w:abstractNumId w:val="6"/>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E0"/>
    <w:rsid w:val="0000595B"/>
    <w:rsid w:val="0001141D"/>
    <w:rsid w:val="00013199"/>
    <w:rsid w:val="00013C3D"/>
    <w:rsid w:val="00016A5D"/>
    <w:rsid w:val="00030B15"/>
    <w:rsid w:val="00045935"/>
    <w:rsid w:val="00053568"/>
    <w:rsid w:val="00053890"/>
    <w:rsid w:val="00054B3B"/>
    <w:rsid w:val="00056311"/>
    <w:rsid w:val="00056F80"/>
    <w:rsid w:val="000570B5"/>
    <w:rsid w:val="0006746D"/>
    <w:rsid w:val="000732AA"/>
    <w:rsid w:val="00076FFE"/>
    <w:rsid w:val="000770CC"/>
    <w:rsid w:val="000941A6"/>
    <w:rsid w:val="00095521"/>
    <w:rsid w:val="000B00A8"/>
    <w:rsid w:val="000B6C32"/>
    <w:rsid w:val="000B6F51"/>
    <w:rsid w:val="000C3847"/>
    <w:rsid w:val="000C3A5A"/>
    <w:rsid w:val="000C3EDA"/>
    <w:rsid w:val="000C4A92"/>
    <w:rsid w:val="000C639F"/>
    <w:rsid w:val="000D5556"/>
    <w:rsid w:val="000F0A32"/>
    <w:rsid w:val="000F47ED"/>
    <w:rsid w:val="00102E1D"/>
    <w:rsid w:val="00103DF7"/>
    <w:rsid w:val="00104E44"/>
    <w:rsid w:val="0010562E"/>
    <w:rsid w:val="00115E3D"/>
    <w:rsid w:val="00141C00"/>
    <w:rsid w:val="00145D2F"/>
    <w:rsid w:val="00155CE1"/>
    <w:rsid w:val="0016651B"/>
    <w:rsid w:val="001802AE"/>
    <w:rsid w:val="001904EA"/>
    <w:rsid w:val="001907C1"/>
    <w:rsid w:val="00192D0A"/>
    <w:rsid w:val="001959AC"/>
    <w:rsid w:val="001978AB"/>
    <w:rsid w:val="001A13EF"/>
    <w:rsid w:val="001A4931"/>
    <w:rsid w:val="001A6CDB"/>
    <w:rsid w:val="001C156E"/>
    <w:rsid w:val="001E2323"/>
    <w:rsid w:val="001E2A9A"/>
    <w:rsid w:val="001E4E24"/>
    <w:rsid w:val="001E5A8B"/>
    <w:rsid w:val="001E6D8A"/>
    <w:rsid w:val="001F02D4"/>
    <w:rsid w:val="00206533"/>
    <w:rsid w:val="00207C9E"/>
    <w:rsid w:val="00214A43"/>
    <w:rsid w:val="0022027F"/>
    <w:rsid w:val="00220F45"/>
    <w:rsid w:val="00223E1C"/>
    <w:rsid w:val="00223E2C"/>
    <w:rsid w:val="00230EFB"/>
    <w:rsid w:val="002318B4"/>
    <w:rsid w:val="00235D11"/>
    <w:rsid w:val="00236ABB"/>
    <w:rsid w:val="00254964"/>
    <w:rsid w:val="002618E1"/>
    <w:rsid w:val="0026264A"/>
    <w:rsid w:val="00263AF2"/>
    <w:rsid w:val="002839C6"/>
    <w:rsid w:val="002933A8"/>
    <w:rsid w:val="002A4997"/>
    <w:rsid w:val="002A5037"/>
    <w:rsid w:val="002A7493"/>
    <w:rsid w:val="002B1AF3"/>
    <w:rsid w:val="002B36D3"/>
    <w:rsid w:val="002B47A2"/>
    <w:rsid w:val="002C0036"/>
    <w:rsid w:val="002C1AEF"/>
    <w:rsid w:val="002C4919"/>
    <w:rsid w:val="002C7A6A"/>
    <w:rsid w:val="002D3219"/>
    <w:rsid w:val="002D3F82"/>
    <w:rsid w:val="002E03B2"/>
    <w:rsid w:val="002E6160"/>
    <w:rsid w:val="002E6380"/>
    <w:rsid w:val="002F0DC2"/>
    <w:rsid w:val="002F440E"/>
    <w:rsid w:val="002F68ED"/>
    <w:rsid w:val="002F7ACD"/>
    <w:rsid w:val="00302C51"/>
    <w:rsid w:val="003065AA"/>
    <w:rsid w:val="003229F4"/>
    <w:rsid w:val="00323780"/>
    <w:rsid w:val="003256D2"/>
    <w:rsid w:val="00326C30"/>
    <w:rsid w:val="00331E9D"/>
    <w:rsid w:val="0034252D"/>
    <w:rsid w:val="00356FCB"/>
    <w:rsid w:val="003575AC"/>
    <w:rsid w:val="00370FED"/>
    <w:rsid w:val="00371454"/>
    <w:rsid w:val="0037789F"/>
    <w:rsid w:val="0037794F"/>
    <w:rsid w:val="00383EF6"/>
    <w:rsid w:val="0038685A"/>
    <w:rsid w:val="00390D17"/>
    <w:rsid w:val="003A59C4"/>
    <w:rsid w:val="003A6675"/>
    <w:rsid w:val="003A6D22"/>
    <w:rsid w:val="003B2728"/>
    <w:rsid w:val="003E0800"/>
    <w:rsid w:val="004065C9"/>
    <w:rsid w:val="0041165F"/>
    <w:rsid w:val="00413F19"/>
    <w:rsid w:val="0041698E"/>
    <w:rsid w:val="00435026"/>
    <w:rsid w:val="0044668A"/>
    <w:rsid w:val="00452AD4"/>
    <w:rsid w:val="004567BE"/>
    <w:rsid w:val="00460531"/>
    <w:rsid w:val="0046064C"/>
    <w:rsid w:val="004709FB"/>
    <w:rsid w:val="00473303"/>
    <w:rsid w:val="004809D5"/>
    <w:rsid w:val="004841F0"/>
    <w:rsid w:val="00491FF3"/>
    <w:rsid w:val="0049698D"/>
    <w:rsid w:val="004A15E2"/>
    <w:rsid w:val="004A6021"/>
    <w:rsid w:val="004B0A54"/>
    <w:rsid w:val="004B5160"/>
    <w:rsid w:val="004B52C2"/>
    <w:rsid w:val="004C4521"/>
    <w:rsid w:val="004C506D"/>
    <w:rsid w:val="004C7365"/>
    <w:rsid w:val="004E4EE5"/>
    <w:rsid w:val="004F501A"/>
    <w:rsid w:val="005050D2"/>
    <w:rsid w:val="00512C66"/>
    <w:rsid w:val="00516674"/>
    <w:rsid w:val="00517678"/>
    <w:rsid w:val="00522BFD"/>
    <w:rsid w:val="00526411"/>
    <w:rsid w:val="00527C4E"/>
    <w:rsid w:val="00530B6E"/>
    <w:rsid w:val="005316BE"/>
    <w:rsid w:val="005331EF"/>
    <w:rsid w:val="005335F0"/>
    <w:rsid w:val="00536213"/>
    <w:rsid w:val="0054173D"/>
    <w:rsid w:val="00545B23"/>
    <w:rsid w:val="005465E3"/>
    <w:rsid w:val="00550125"/>
    <w:rsid w:val="005520C1"/>
    <w:rsid w:val="00553D97"/>
    <w:rsid w:val="00564EA4"/>
    <w:rsid w:val="005713B1"/>
    <w:rsid w:val="00591F6D"/>
    <w:rsid w:val="005A30FB"/>
    <w:rsid w:val="005A69F1"/>
    <w:rsid w:val="005A6FA8"/>
    <w:rsid w:val="005B4DED"/>
    <w:rsid w:val="005E08A7"/>
    <w:rsid w:val="005E57B4"/>
    <w:rsid w:val="005F6F67"/>
    <w:rsid w:val="00605777"/>
    <w:rsid w:val="00606BB7"/>
    <w:rsid w:val="00607D83"/>
    <w:rsid w:val="00613337"/>
    <w:rsid w:val="006228C1"/>
    <w:rsid w:val="006236F5"/>
    <w:rsid w:val="0062466D"/>
    <w:rsid w:val="00624FA8"/>
    <w:rsid w:val="006321CA"/>
    <w:rsid w:val="00637D9F"/>
    <w:rsid w:val="00660D77"/>
    <w:rsid w:val="00662E77"/>
    <w:rsid w:val="00670237"/>
    <w:rsid w:val="00680B9B"/>
    <w:rsid w:val="00683C09"/>
    <w:rsid w:val="00696FCE"/>
    <w:rsid w:val="006A0F7D"/>
    <w:rsid w:val="006A2318"/>
    <w:rsid w:val="006A40F4"/>
    <w:rsid w:val="006A4F75"/>
    <w:rsid w:val="006B0328"/>
    <w:rsid w:val="006B5775"/>
    <w:rsid w:val="006B6BF0"/>
    <w:rsid w:val="006C292D"/>
    <w:rsid w:val="006D3351"/>
    <w:rsid w:val="006D610E"/>
    <w:rsid w:val="006D62E0"/>
    <w:rsid w:val="006E1B5E"/>
    <w:rsid w:val="006E327C"/>
    <w:rsid w:val="006F390E"/>
    <w:rsid w:val="006F72A9"/>
    <w:rsid w:val="006F7D84"/>
    <w:rsid w:val="0070129B"/>
    <w:rsid w:val="00701A78"/>
    <w:rsid w:val="0070681F"/>
    <w:rsid w:val="0070769B"/>
    <w:rsid w:val="00711BE6"/>
    <w:rsid w:val="00715157"/>
    <w:rsid w:val="00717456"/>
    <w:rsid w:val="00721A9F"/>
    <w:rsid w:val="00724113"/>
    <w:rsid w:val="0072523A"/>
    <w:rsid w:val="00733B11"/>
    <w:rsid w:val="007360BD"/>
    <w:rsid w:val="0073742C"/>
    <w:rsid w:val="00737F38"/>
    <w:rsid w:val="00740C08"/>
    <w:rsid w:val="00745515"/>
    <w:rsid w:val="0074605A"/>
    <w:rsid w:val="00753D89"/>
    <w:rsid w:val="00757924"/>
    <w:rsid w:val="00761180"/>
    <w:rsid w:val="007633E0"/>
    <w:rsid w:val="0076611A"/>
    <w:rsid w:val="0078652E"/>
    <w:rsid w:val="00786F17"/>
    <w:rsid w:val="007926FF"/>
    <w:rsid w:val="007948B3"/>
    <w:rsid w:val="00795F88"/>
    <w:rsid w:val="00796C65"/>
    <w:rsid w:val="007A00E1"/>
    <w:rsid w:val="007A5F65"/>
    <w:rsid w:val="007B4D47"/>
    <w:rsid w:val="007C0A1C"/>
    <w:rsid w:val="007C2F5B"/>
    <w:rsid w:val="007C5DD2"/>
    <w:rsid w:val="007C62DC"/>
    <w:rsid w:val="007D3D0A"/>
    <w:rsid w:val="007D435F"/>
    <w:rsid w:val="007D61E2"/>
    <w:rsid w:val="007F31E9"/>
    <w:rsid w:val="0080088A"/>
    <w:rsid w:val="00802EAC"/>
    <w:rsid w:val="00803A2A"/>
    <w:rsid w:val="00812B95"/>
    <w:rsid w:val="00813475"/>
    <w:rsid w:val="0081436D"/>
    <w:rsid w:val="0083364A"/>
    <w:rsid w:val="0084247D"/>
    <w:rsid w:val="008605E0"/>
    <w:rsid w:val="00861B32"/>
    <w:rsid w:val="008639E2"/>
    <w:rsid w:val="00865244"/>
    <w:rsid w:val="008718B8"/>
    <w:rsid w:val="00872AC7"/>
    <w:rsid w:val="00874FC3"/>
    <w:rsid w:val="008760C0"/>
    <w:rsid w:val="0088171D"/>
    <w:rsid w:val="00891C2B"/>
    <w:rsid w:val="008A1C1D"/>
    <w:rsid w:val="008A33E3"/>
    <w:rsid w:val="008A34F5"/>
    <w:rsid w:val="008A4E1F"/>
    <w:rsid w:val="008A79AB"/>
    <w:rsid w:val="008B4370"/>
    <w:rsid w:val="008B682B"/>
    <w:rsid w:val="008C0055"/>
    <w:rsid w:val="008C1D91"/>
    <w:rsid w:val="008C402C"/>
    <w:rsid w:val="008C4F06"/>
    <w:rsid w:val="008C7191"/>
    <w:rsid w:val="008C744A"/>
    <w:rsid w:val="008D0B91"/>
    <w:rsid w:val="008D3F15"/>
    <w:rsid w:val="008D539C"/>
    <w:rsid w:val="008D6BFB"/>
    <w:rsid w:val="008F0269"/>
    <w:rsid w:val="008F7CDF"/>
    <w:rsid w:val="00903461"/>
    <w:rsid w:val="0091242F"/>
    <w:rsid w:val="009152EA"/>
    <w:rsid w:val="0091580E"/>
    <w:rsid w:val="00916F4D"/>
    <w:rsid w:val="00917B9D"/>
    <w:rsid w:val="009202EF"/>
    <w:rsid w:val="00922568"/>
    <w:rsid w:val="00925683"/>
    <w:rsid w:val="00946831"/>
    <w:rsid w:val="00953A6C"/>
    <w:rsid w:val="00953CF9"/>
    <w:rsid w:val="00954871"/>
    <w:rsid w:val="00960F19"/>
    <w:rsid w:val="00975AF7"/>
    <w:rsid w:val="009857F7"/>
    <w:rsid w:val="00994151"/>
    <w:rsid w:val="0099558E"/>
    <w:rsid w:val="009A0168"/>
    <w:rsid w:val="009A293F"/>
    <w:rsid w:val="009A5E71"/>
    <w:rsid w:val="009A6B3E"/>
    <w:rsid w:val="009C1A33"/>
    <w:rsid w:val="009C21A8"/>
    <w:rsid w:val="009C7595"/>
    <w:rsid w:val="009C7E4C"/>
    <w:rsid w:val="009D068F"/>
    <w:rsid w:val="009D0818"/>
    <w:rsid w:val="009D0C00"/>
    <w:rsid w:val="009D5B32"/>
    <w:rsid w:val="009F391E"/>
    <w:rsid w:val="009F47FD"/>
    <w:rsid w:val="009F4C28"/>
    <w:rsid w:val="009F629E"/>
    <w:rsid w:val="00A00B0C"/>
    <w:rsid w:val="00A0133B"/>
    <w:rsid w:val="00A03C23"/>
    <w:rsid w:val="00A1152A"/>
    <w:rsid w:val="00A116F8"/>
    <w:rsid w:val="00A14E2F"/>
    <w:rsid w:val="00A21358"/>
    <w:rsid w:val="00A24347"/>
    <w:rsid w:val="00A2624D"/>
    <w:rsid w:val="00A37C3A"/>
    <w:rsid w:val="00A43627"/>
    <w:rsid w:val="00A46E0E"/>
    <w:rsid w:val="00A478F6"/>
    <w:rsid w:val="00A541AB"/>
    <w:rsid w:val="00A55080"/>
    <w:rsid w:val="00A6467C"/>
    <w:rsid w:val="00A70E5B"/>
    <w:rsid w:val="00A72163"/>
    <w:rsid w:val="00A765DA"/>
    <w:rsid w:val="00A801AE"/>
    <w:rsid w:val="00A81216"/>
    <w:rsid w:val="00A82EE9"/>
    <w:rsid w:val="00A842D5"/>
    <w:rsid w:val="00A873CF"/>
    <w:rsid w:val="00AA24D8"/>
    <w:rsid w:val="00AA7B1A"/>
    <w:rsid w:val="00AB1715"/>
    <w:rsid w:val="00AC2FA5"/>
    <w:rsid w:val="00AC4BB6"/>
    <w:rsid w:val="00AE561B"/>
    <w:rsid w:val="00AE77E9"/>
    <w:rsid w:val="00AF3090"/>
    <w:rsid w:val="00B01EAB"/>
    <w:rsid w:val="00B059B5"/>
    <w:rsid w:val="00B07EC8"/>
    <w:rsid w:val="00B10188"/>
    <w:rsid w:val="00B12938"/>
    <w:rsid w:val="00B12D63"/>
    <w:rsid w:val="00B22457"/>
    <w:rsid w:val="00B3221C"/>
    <w:rsid w:val="00B34FCD"/>
    <w:rsid w:val="00B36141"/>
    <w:rsid w:val="00B3740D"/>
    <w:rsid w:val="00B432FB"/>
    <w:rsid w:val="00B510D8"/>
    <w:rsid w:val="00B53BF8"/>
    <w:rsid w:val="00B62BB1"/>
    <w:rsid w:val="00B65A96"/>
    <w:rsid w:val="00B700EF"/>
    <w:rsid w:val="00B835C4"/>
    <w:rsid w:val="00B876CD"/>
    <w:rsid w:val="00B9419D"/>
    <w:rsid w:val="00B950EF"/>
    <w:rsid w:val="00BA3FB0"/>
    <w:rsid w:val="00BB1391"/>
    <w:rsid w:val="00BB2057"/>
    <w:rsid w:val="00BD5AF3"/>
    <w:rsid w:val="00BD5B6D"/>
    <w:rsid w:val="00BD6A72"/>
    <w:rsid w:val="00BD6C80"/>
    <w:rsid w:val="00BE1822"/>
    <w:rsid w:val="00BE4A05"/>
    <w:rsid w:val="00BE4C3D"/>
    <w:rsid w:val="00BE7B3C"/>
    <w:rsid w:val="00BF1949"/>
    <w:rsid w:val="00BF3405"/>
    <w:rsid w:val="00BF4941"/>
    <w:rsid w:val="00C05D58"/>
    <w:rsid w:val="00C238C2"/>
    <w:rsid w:val="00C312E2"/>
    <w:rsid w:val="00C357B9"/>
    <w:rsid w:val="00C37090"/>
    <w:rsid w:val="00C3793F"/>
    <w:rsid w:val="00C37F8F"/>
    <w:rsid w:val="00C40E9B"/>
    <w:rsid w:val="00C440D3"/>
    <w:rsid w:val="00C47A8A"/>
    <w:rsid w:val="00C56466"/>
    <w:rsid w:val="00C7211F"/>
    <w:rsid w:val="00C85BF8"/>
    <w:rsid w:val="00C863C5"/>
    <w:rsid w:val="00C867E9"/>
    <w:rsid w:val="00C938BC"/>
    <w:rsid w:val="00CB016C"/>
    <w:rsid w:val="00CB21E6"/>
    <w:rsid w:val="00CC12BB"/>
    <w:rsid w:val="00CC6CDF"/>
    <w:rsid w:val="00CD2DF0"/>
    <w:rsid w:val="00CD7B3C"/>
    <w:rsid w:val="00CE0EC3"/>
    <w:rsid w:val="00CF09FC"/>
    <w:rsid w:val="00CF7B91"/>
    <w:rsid w:val="00D05B8E"/>
    <w:rsid w:val="00D05C27"/>
    <w:rsid w:val="00D22F2D"/>
    <w:rsid w:val="00D23FFF"/>
    <w:rsid w:val="00D2492E"/>
    <w:rsid w:val="00D266F5"/>
    <w:rsid w:val="00D42028"/>
    <w:rsid w:val="00D47B21"/>
    <w:rsid w:val="00D47D9B"/>
    <w:rsid w:val="00D65C08"/>
    <w:rsid w:val="00D678D3"/>
    <w:rsid w:val="00D735D4"/>
    <w:rsid w:val="00D86D67"/>
    <w:rsid w:val="00D9044B"/>
    <w:rsid w:val="00D90E44"/>
    <w:rsid w:val="00D911E7"/>
    <w:rsid w:val="00DA1DF3"/>
    <w:rsid w:val="00DA2F1C"/>
    <w:rsid w:val="00DA62DE"/>
    <w:rsid w:val="00DB0EEF"/>
    <w:rsid w:val="00DB1EFD"/>
    <w:rsid w:val="00DB33EA"/>
    <w:rsid w:val="00DB6125"/>
    <w:rsid w:val="00DB6F03"/>
    <w:rsid w:val="00DB770A"/>
    <w:rsid w:val="00DC09CA"/>
    <w:rsid w:val="00DC3AD2"/>
    <w:rsid w:val="00DD43AD"/>
    <w:rsid w:val="00DE1269"/>
    <w:rsid w:val="00DE66F1"/>
    <w:rsid w:val="00DF2BC6"/>
    <w:rsid w:val="00E10CCE"/>
    <w:rsid w:val="00E15FF3"/>
    <w:rsid w:val="00E22F9B"/>
    <w:rsid w:val="00E2497D"/>
    <w:rsid w:val="00E25FF9"/>
    <w:rsid w:val="00E2733E"/>
    <w:rsid w:val="00E30329"/>
    <w:rsid w:val="00E34D90"/>
    <w:rsid w:val="00E3772F"/>
    <w:rsid w:val="00E505C1"/>
    <w:rsid w:val="00E517B7"/>
    <w:rsid w:val="00E5698B"/>
    <w:rsid w:val="00E6361B"/>
    <w:rsid w:val="00E647BC"/>
    <w:rsid w:val="00E661AD"/>
    <w:rsid w:val="00E834CD"/>
    <w:rsid w:val="00E91146"/>
    <w:rsid w:val="00E933D8"/>
    <w:rsid w:val="00E97AE8"/>
    <w:rsid w:val="00EA2FE2"/>
    <w:rsid w:val="00EA79B2"/>
    <w:rsid w:val="00EC56BF"/>
    <w:rsid w:val="00ED0F11"/>
    <w:rsid w:val="00EF2AC2"/>
    <w:rsid w:val="00EF5E06"/>
    <w:rsid w:val="00F215CC"/>
    <w:rsid w:val="00F2204A"/>
    <w:rsid w:val="00F276E6"/>
    <w:rsid w:val="00F27A2E"/>
    <w:rsid w:val="00F308DF"/>
    <w:rsid w:val="00F32E0C"/>
    <w:rsid w:val="00F3418E"/>
    <w:rsid w:val="00F43EE6"/>
    <w:rsid w:val="00F62FB0"/>
    <w:rsid w:val="00F653A2"/>
    <w:rsid w:val="00F738AB"/>
    <w:rsid w:val="00F751DF"/>
    <w:rsid w:val="00F76153"/>
    <w:rsid w:val="00F807C1"/>
    <w:rsid w:val="00F85FB6"/>
    <w:rsid w:val="00F94101"/>
    <w:rsid w:val="00F96F77"/>
    <w:rsid w:val="00F97966"/>
    <w:rsid w:val="00FA28EE"/>
    <w:rsid w:val="00FA43F6"/>
    <w:rsid w:val="00FA469F"/>
    <w:rsid w:val="00FA5B91"/>
    <w:rsid w:val="00FB0421"/>
    <w:rsid w:val="00FB1355"/>
    <w:rsid w:val="00FB2660"/>
    <w:rsid w:val="00FB31E6"/>
    <w:rsid w:val="00FB7121"/>
    <w:rsid w:val="00FC49CB"/>
    <w:rsid w:val="00FD04FD"/>
    <w:rsid w:val="00FD2CE5"/>
    <w:rsid w:val="00FE2E1C"/>
    <w:rsid w:val="00FE4BF9"/>
    <w:rsid w:val="00FE746F"/>
    <w:rsid w:val="00FF1B27"/>
    <w:rsid w:val="00FF47BB"/>
    <w:rsid w:val="00FF7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C8C05-5CF1-4EFD-B600-060BC6D7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605E0"/>
    <w:pPr>
      <w:spacing w:after="0" w:line="240" w:lineRule="auto"/>
    </w:pPr>
    <w:rPr>
      <w:sz w:val="20"/>
      <w:szCs w:val="20"/>
    </w:rPr>
  </w:style>
  <w:style w:type="character" w:customStyle="1" w:styleId="FootnoteTextChar">
    <w:name w:val="Footnote Text Char"/>
    <w:basedOn w:val="DefaultParagraphFont"/>
    <w:link w:val="FootnoteText"/>
    <w:uiPriority w:val="99"/>
    <w:rsid w:val="008605E0"/>
    <w:rPr>
      <w:sz w:val="20"/>
      <w:szCs w:val="20"/>
    </w:rPr>
  </w:style>
  <w:style w:type="character" w:styleId="FootnoteReference">
    <w:name w:val="footnote reference"/>
    <w:basedOn w:val="DefaultParagraphFont"/>
    <w:uiPriority w:val="99"/>
    <w:semiHidden/>
    <w:unhideWhenUsed/>
    <w:rsid w:val="008605E0"/>
    <w:rPr>
      <w:vertAlign w:val="superscript"/>
    </w:rPr>
  </w:style>
  <w:style w:type="paragraph" w:styleId="BalloonText">
    <w:name w:val="Balloon Text"/>
    <w:basedOn w:val="Normal"/>
    <w:link w:val="BalloonTextChar"/>
    <w:uiPriority w:val="99"/>
    <w:semiHidden/>
    <w:unhideWhenUsed/>
    <w:rsid w:val="00860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5E0"/>
    <w:rPr>
      <w:rFonts w:ascii="Tahoma" w:hAnsi="Tahoma" w:cs="Tahoma"/>
      <w:sz w:val="16"/>
      <w:szCs w:val="16"/>
    </w:rPr>
  </w:style>
  <w:style w:type="character" w:styleId="PlaceholderText">
    <w:name w:val="Placeholder Text"/>
    <w:basedOn w:val="DefaultParagraphFont"/>
    <w:uiPriority w:val="99"/>
    <w:semiHidden/>
    <w:rsid w:val="008605E0"/>
    <w:rPr>
      <w:color w:val="808080"/>
    </w:rPr>
  </w:style>
  <w:style w:type="table" w:styleId="TableGrid">
    <w:name w:val="Table Grid"/>
    <w:basedOn w:val="TableNormal"/>
    <w:uiPriority w:val="39"/>
    <w:rsid w:val="00860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8605E0"/>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ListParagraph">
    <w:name w:val="List Paragraph"/>
    <w:basedOn w:val="Normal"/>
    <w:uiPriority w:val="34"/>
    <w:qFormat/>
    <w:rsid w:val="008605E0"/>
    <w:pPr>
      <w:ind w:left="720"/>
      <w:contextualSpacing/>
    </w:pPr>
  </w:style>
  <w:style w:type="table" w:styleId="ListTable1Light-Accent5">
    <w:name w:val="List Table 1 Light Accent 5"/>
    <w:basedOn w:val="TableNormal"/>
    <w:uiPriority w:val="46"/>
    <w:rsid w:val="008605E0"/>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1">
    <w:name w:val="List Table 1 Light Accent 1"/>
    <w:basedOn w:val="TableNormal"/>
    <w:uiPriority w:val="46"/>
    <w:rsid w:val="008605E0"/>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8605E0"/>
    <w:rPr>
      <w:color w:val="0563C1" w:themeColor="hyperlink"/>
      <w:u w:val="single"/>
    </w:rPr>
  </w:style>
  <w:style w:type="character" w:styleId="FollowedHyperlink">
    <w:name w:val="FollowedHyperlink"/>
    <w:basedOn w:val="DefaultParagraphFont"/>
    <w:uiPriority w:val="99"/>
    <w:semiHidden/>
    <w:unhideWhenUsed/>
    <w:rsid w:val="008605E0"/>
    <w:rPr>
      <w:color w:val="954F72"/>
      <w:u w:val="single"/>
    </w:rPr>
  </w:style>
  <w:style w:type="paragraph" w:customStyle="1" w:styleId="Underlinepagewidth">
    <w:name w:val="Underline page width"/>
    <w:basedOn w:val="Normal"/>
    <w:qFormat/>
    <w:rsid w:val="008605E0"/>
    <w:pPr>
      <w:pBdr>
        <w:bottom w:val="single" w:sz="4" w:space="1" w:color="FFFFFF" w:themeColor="background1"/>
      </w:pBdr>
      <w:spacing w:line="480" w:lineRule="auto"/>
    </w:pPr>
    <w:rPr>
      <w:rFonts w:ascii="Gill Sans MT" w:hAnsi="Gill Sans MT"/>
      <w:color w:val="FFFFFF" w:themeColor="background1"/>
      <w:sz w:val="20"/>
      <w:szCs w:val="18"/>
    </w:rPr>
  </w:style>
  <w:style w:type="paragraph" w:customStyle="1" w:styleId="Covertitle">
    <w:name w:val="Cover title"/>
    <w:basedOn w:val="Normal"/>
    <w:qFormat/>
    <w:rsid w:val="008605E0"/>
    <w:pPr>
      <w:spacing w:line="480" w:lineRule="auto"/>
    </w:pPr>
    <w:rPr>
      <w:b/>
      <w:color w:val="228EA6"/>
      <w:sz w:val="56"/>
    </w:rPr>
  </w:style>
  <w:style w:type="paragraph" w:styleId="Header">
    <w:name w:val="header"/>
    <w:basedOn w:val="Normal"/>
    <w:link w:val="HeaderChar"/>
    <w:uiPriority w:val="99"/>
    <w:unhideWhenUsed/>
    <w:rsid w:val="00860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5E0"/>
  </w:style>
  <w:style w:type="paragraph" w:styleId="Footer">
    <w:name w:val="footer"/>
    <w:basedOn w:val="Normal"/>
    <w:link w:val="FooterChar"/>
    <w:uiPriority w:val="99"/>
    <w:unhideWhenUsed/>
    <w:rsid w:val="00860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5E0"/>
  </w:style>
  <w:style w:type="table" w:styleId="GridTable6Colorful-Accent1">
    <w:name w:val="Grid Table 6 Colorful Accent 1"/>
    <w:basedOn w:val="TableNormal"/>
    <w:uiPriority w:val="51"/>
    <w:rsid w:val="008605E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1">
    <w:name w:val="List Table 2 Accent 1"/>
    <w:basedOn w:val="TableNormal"/>
    <w:uiPriority w:val="47"/>
    <w:rsid w:val="008605E0"/>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8605E0"/>
    <w:rPr>
      <w:sz w:val="16"/>
      <w:szCs w:val="16"/>
    </w:rPr>
  </w:style>
  <w:style w:type="paragraph" w:styleId="CommentText">
    <w:name w:val="annotation text"/>
    <w:basedOn w:val="Normal"/>
    <w:link w:val="CommentTextChar"/>
    <w:uiPriority w:val="99"/>
    <w:semiHidden/>
    <w:unhideWhenUsed/>
    <w:rsid w:val="008605E0"/>
    <w:pPr>
      <w:spacing w:line="240" w:lineRule="auto"/>
    </w:pPr>
    <w:rPr>
      <w:sz w:val="20"/>
      <w:szCs w:val="20"/>
    </w:rPr>
  </w:style>
  <w:style w:type="character" w:customStyle="1" w:styleId="CommentTextChar">
    <w:name w:val="Comment Text Char"/>
    <w:basedOn w:val="DefaultParagraphFont"/>
    <w:link w:val="CommentText"/>
    <w:uiPriority w:val="99"/>
    <w:semiHidden/>
    <w:rsid w:val="008605E0"/>
    <w:rPr>
      <w:sz w:val="20"/>
      <w:szCs w:val="20"/>
    </w:rPr>
  </w:style>
  <w:style w:type="paragraph" w:styleId="CommentSubject">
    <w:name w:val="annotation subject"/>
    <w:basedOn w:val="CommentText"/>
    <w:next w:val="CommentText"/>
    <w:link w:val="CommentSubjectChar"/>
    <w:uiPriority w:val="99"/>
    <w:semiHidden/>
    <w:unhideWhenUsed/>
    <w:rsid w:val="008605E0"/>
    <w:rPr>
      <w:b/>
      <w:bCs/>
    </w:rPr>
  </w:style>
  <w:style w:type="character" w:customStyle="1" w:styleId="CommentSubjectChar">
    <w:name w:val="Comment Subject Char"/>
    <w:basedOn w:val="CommentTextChar"/>
    <w:link w:val="CommentSubject"/>
    <w:uiPriority w:val="99"/>
    <w:semiHidden/>
    <w:rsid w:val="008605E0"/>
    <w:rPr>
      <w:b/>
      <w:bCs/>
      <w:sz w:val="20"/>
      <w:szCs w:val="20"/>
    </w:rPr>
  </w:style>
  <w:style w:type="paragraph" w:customStyle="1" w:styleId="msonormal0">
    <w:name w:val="msonormal"/>
    <w:basedOn w:val="Normal"/>
    <w:rsid w:val="0006746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115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2A749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9008">
      <w:bodyDiv w:val="1"/>
      <w:marLeft w:val="0"/>
      <w:marRight w:val="0"/>
      <w:marTop w:val="0"/>
      <w:marBottom w:val="0"/>
      <w:divBdr>
        <w:top w:val="none" w:sz="0" w:space="0" w:color="auto"/>
        <w:left w:val="none" w:sz="0" w:space="0" w:color="auto"/>
        <w:bottom w:val="none" w:sz="0" w:space="0" w:color="auto"/>
        <w:right w:val="none" w:sz="0" w:space="0" w:color="auto"/>
      </w:divBdr>
    </w:div>
    <w:div w:id="1165585723">
      <w:bodyDiv w:val="1"/>
      <w:marLeft w:val="0"/>
      <w:marRight w:val="0"/>
      <w:marTop w:val="0"/>
      <w:marBottom w:val="0"/>
      <w:divBdr>
        <w:top w:val="none" w:sz="0" w:space="0" w:color="auto"/>
        <w:left w:val="none" w:sz="0" w:space="0" w:color="auto"/>
        <w:bottom w:val="none" w:sz="0" w:space="0" w:color="auto"/>
        <w:right w:val="none" w:sz="0" w:space="0" w:color="auto"/>
      </w:divBdr>
    </w:div>
    <w:div w:id="187180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5612</Words>
  <Characters>31989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Allan</dc:creator>
  <cp:keywords/>
  <dc:description/>
  <cp:lastModifiedBy>Stephen Allan</cp:lastModifiedBy>
  <cp:revision>2</cp:revision>
  <dcterms:created xsi:type="dcterms:W3CDTF">2019-12-16T12:13:00Z</dcterms:created>
  <dcterms:modified xsi:type="dcterms:W3CDTF">2019-12-16T12:13:00Z</dcterms:modified>
</cp:coreProperties>
</file>