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sz w:val="21"/>
          <w:szCs w:val="21"/>
          <w:lang w:val="en-US" w:eastAsia="en-US"/>
        </w:rPr>
      </w:pPr>
    </w:p>
    <w:p>
      <w:pPr>
        <w:spacing w:after="120" w:line="240" w:lineRule="auto"/>
        <w:ind w:left="-425" w:firstLine="1145"/>
        <w:jc w:val="center"/>
        <w:rPr>
          <w:rFonts w:ascii="Times New Roman" w:hAnsi="Times New Roman" w:eastAsia="Times New Roman" w:cs="Times New Roman"/>
          <w:b/>
          <w:lang w:val="en-US" w:eastAsia="en-US"/>
        </w:rPr>
      </w:pPr>
    </w:p>
    <w:p>
      <w:pPr>
        <w:spacing w:after="120" w:line="240" w:lineRule="auto"/>
        <w:ind w:left="-425" w:firstLine="1145"/>
        <w:jc w:val="center"/>
        <w:rPr>
          <w:rFonts w:ascii="Times New Roman" w:hAnsi="Times New Roman" w:eastAsia="Times New Roman" w:cs="Times New Roman"/>
          <w:b/>
          <w:lang w:val="en-US" w:eastAsia="en-US"/>
        </w:rPr>
      </w:pPr>
    </w:p>
    <w:p>
      <w:pPr>
        <w:spacing w:after="120" w:line="240" w:lineRule="auto"/>
        <w:ind w:left="-425" w:firstLine="1145"/>
        <w:jc w:val="center"/>
        <w:rPr>
          <w:rFonts w:ascii="Times New Roman" w:hAnsi="Times New Roman" w:eastAsia="Times New Roman" w:cs="Times New Roman"/>
          <w:b/>
          <w:lang w:val="en-US" w:eastAsia="en-US"/>
        </w:rPr>
      </w:pPr>
    </w:p>
    <w:p>
      <w:pPr>
        <w:spacing w:after="120" w:line="240" w:lineRule="auto"/>
        <w:ind w:left="284"/>
        <w:rPr>
          <w:rFonts w:asciiTheme="majorBidi" w:hAnsiTheme="majorBidi" w:cstheme="majorBidi"/>
        </w:rPr>
      </w:pPr>
    </w:p>
    <w:p>
      <w:pPr>
        <w:spacing w:after="120" w:line="240" w:lineRule="auto"/>
        <w:ind w:left="-425" w:firstLine="1145"/>
        <w:rPr>
          <w:rFonts w:eastAsia="Times New Roman" w:asciiTheme="majorBidi" w:hAnsiTheme="majorBidi" w:cstheme="majorBidi"/>
          <w:b/>
          <w:sz w:val="20"/>
          <w:szCs w:val="20"/>
          <w:lang w:val="en-US" w:eastAsia="en-US"/>
        </w:rPr>
      </w:pPr>
    </w:p>
    <w:p>
      <w:pPr>
        <w:spacing w:after="120" w:line="240" w:lineRule="auto"/>
        <w:ind w:left="-425" w:firstLine="1145"/>
        <w:rPr>
          <w:rFonts w:eastAsia="Times New Roman" w:asciiTheme="majorBidi" w:hAnsiTheme="majorBidi" w:cstheme="majorBidi"/>
          <w:b/>
          <w:sz w:val="20"/>
          <w:szCs w:val="20"/>
          <w:lang w:val="en-US" w:eastAsia="en-US"/>
        </w:rPr>
      </w:pPr>
    </w:p>
    <w:p>
      <w:pPr>
        <w:spacing w:after="120" w:line="240" w:lineRule="auto"/>
        <w:ind w:left="-425" w:firstLine="1145"/>
        <w:rPr>
          <w:rFonts w:eastAsia="Times New Roman" w:asciiTheme="majorBidi" w:hAnsiTheme="majorBidi" w:cstheme="majorBidi"/>
          <w:b/>
          <w:sz w:val="20"/>
          <w:szCs w:val="20"/>
          <w:lang w:val="en-US" w:eastAsia="en-US"/>
        </w:rPr>
      </w:pPr>
    </w:p>
    <w:p>
      <w:pPr>
        <w:spacing w:after="120" w:line="240" w:lineRule="auto"/>
        <w:ind w:left="-425" w:firstLine="1145"/>
        <w:rPr>
          <w:rFonts w:eastAsia="Times New Roman" w:asciiTheme="majorBidi" w:hAnsiTheme="majorBidi" w:cstheme="majorBidi"/>
          <w:b/>
          <w:sz w:val="20"/>
          <w:szCs w:val="20"/>
          <w:lang w:val="en-US" w:eastAsia="en-US"/>
        </w:rPr>
      </w:pPr>
    </w:p>
    <w:p>
      <w:pPr>
        <w:tabs>
          <w:tab w:val="left" w:pos="4950"/>
        </w:tabs>
        <w:spacing w:after="120" w:line="240" w:lineRule="auto"/>
        <w:ind w:left="-425" w:firstLine="1145"/>
        <w:rPr>
          <w:rFonts w:eastAsia="Times New Roman" w:asciiTheme="majorBidi" w:hAnsiTheme="majorBidi" w:cstheme="majorBidi"/>
          <w:b/>
          <w:sz w:val="20"/>
          <w:szCs w:val="20"/>
          <w:lang w:val="en-US" w:eastAsia="en-US"/>
        </w:rPr>
      </w:pPr>
      <w:r>
        <w:rPr>
          <w:rFonts w:eastAsia="Times New Roman" w:asciiTheme="majorBidi" w:hAnsiTheme="majorBidi" w:cstheme="majorBidi"/>
          <w:b/>
          <w:sz w:val="20"/>
          <w:szCs w:val="20"/>
          <w:lang w:val="en-US" w:eastAsia="en-US"/>
        </w:rPr>
        <w:tab/>
      </w:r>
    </w:p>
    <w:p>
      <w:pPr>
        <w:spacing w:after="120" w:line="240" w:lineRule="auto"/>
        <w:ind w:left="-425" w:firstLine="1145"/>
        <w:rPr>
          <w:rFonts w:eastAsia="Times New Roman" w:asciiTheme="majorBidi" w:hAnsiTheme="majorBidi" w:cstheme="majorBidi"/>
          <w:b/>
          <w:sz w:val="20"/>
          <w:szCs w:val="20"/>
          <w:lang w:val="en-US" w:eastAsia="en-US"/>
        </w:rPr>
      </w:pPr>
    </w:p>
    <w:p>
      <w:pPr>
        <w:spacing w:after="120" w:line="240" w:lineRule="auto"/>
        <w:ind w:left="-425" w:firstLine="1145"/>
        <w:rPr>
          <w:rFonts w:eastAsia="Times New Roman" w:asciiTheme="majorBidi" w:hAnsiTheme="majorBidi" w:cstheme="majorBidi"/>
          <w:b/>
          <w:sz w:val="20"/>
          <w:szCs w:val="20"/>
          <w:lang w:val="en-US" w:eastAsia="en-US"/>
        </w:rPr>
      </w:pPr>
    </w:p>
    <w:p>
      <w:pPr>
        <w:keepNext w:val="0"/>
        <w:keepLines w:val="0"/>
        <w:pageBreakBefore w:val="0"/>
        <w:widowControl/>
        <w:kinsoku/>
        <w:wordWrap/>
        <w:overflowPunct/>
        <w:topLinePunct w:val="0"/>
        <w:autoSpaceDE/>
        <w:autoSpaceDN/>
        <w:bidi w:val="0"/>
        <w:adjustRightInd/>
        <w:snapToGrid/>
        <w:spacing w:after="0" w:line="240" w:lineRule="auto"/>
        <w:ind w:left="539" w:leftChars="245" w:right="0" w:rightChars="0" w:firstLine="0" w:firstLineChars="0"/>
        <w:jc w:val="left"/>
        <w:textAlignment w:val="auto"/>
        <w:outlineLvl w:val="9"/>
        <w:rPr>
          <w:rFonts w:asciiTheme="majorBidi" w:hAnsiTheme="majorBidi" w:cstheme="majorBidi"/>
          <w:sz w:val="22"/>
        </w:rPr>
      </w:pPr>
      <w:r>
        <w:rPr>
          <w:rFonts w:eastAsia="Times New Roman" w:asciiTheme="majorBidi" w:hAnsiTheme="majorBidi" w:cstheme="majorBidi"/>
          <w:b/>
          <w:sz w:val="22"/>
          <w:szCs w:val="22"/>
          <w:lang w:val="en-AU" w:eastAsia="en-US"/>
        </w:rPr>
        <w:t xml:space="preserve">Supplementary </w:t>
      </w:r>
      <w:r>
        <w:rPr>
          <w:rFonts w:eastAsia="Times New Roman" w:asciiTheme="majorBidi" w:hAnsiTheme="majorBidi" w:cstheme="majorBidi"/>
          <w:b/>
          <w:sz w:val="22"/>
          <w:szCs w:val="22"/>
          <w:lang w:val="en-US" w:eastAsia="en-US"/>
        </w:rPr>
        <w:t xml:space="preserve">Table </w:t>
      </w:r>
      <w:r>
        <w:rPr>
          <w:rFonts w:eastAsia="Times New Roman" w:asciiTheme="majorBidi" w:hAnsiTheme="majorBidi" w:cstheme="majorBidi"/>
          <w:b/>
          <w:sz w:val="22"/>
          <w:szCs w:val="22"/>
          <w:lang w:val="en-AU" w:eastAsia="en-US"/>
        </w:rPr>
        <w:t>6</w:t>
      </w:r>
      <w:r>
        <w:rPr>
          <w:rFonts w:eastAsia="Times New Roman" w:asciiTheme="majorBidi" w:hAnsiTheme="majorBidi" w:cstheme="majorBidi"/>
          <w:b/>
          <w:sz w:val="22"/>
          <w:szCs w:val="22"/>
          <w:lang w:val="en-US" w:eastAsia="en-US"/>
        </w:rPr>
        <w:t xml:space="preserve">.  </w:t>
      </w:r>
      <w:r>
        <w:rPr>
          <w:rFonts w:asciiTheme="majorBidi" w:hAnsiTheme="majorBidi" w:cstheme="majorBidi"/>
          <w:sz w:val="22"/>
        </w:rPr>
        <w:t>Arguments in support of prioritising those with a pre-existing illness or disability</w:t>
      </w:r>
    </w:p>
    <w:p>
      <w:pPr>
        <w:keepNext w:val="0"/>
        <w:keepLines w:val="0"/>
        <w:pageBreakBefore w:val="0"/>
        <w:widowControl/>
        <w:kinsoku/>
        <w:wordWrap/>
        <w:overflowPunct/>
        <w:topLinePunct w:val="0"/>
        <w:autoSpaceDE/>
        <w:autoSpaceDN/>
        <w:bidi w:val="0"/>
        <w:adjustRightInd/>
        <w:snapToGrid/>
        <w:spacing w:after="0" w:line="240" w:lineRule="auto"/>
        <w:ind w:left="539" w:leftChars="245" w:right="0" w:rightChars="0" w:firstLine="0" w:firstLineChars="0"/>
        <w:jc w:val="left"/>
        <w:textAlignment w:val="auto"/>
        <w:outlineLvl w:val="9"/>
        <w:rPr>
          <w:rFonts w:asciiTheme="majorBidi" w:hAnsiTheme="majorBidi" w:cstheme="majorBidi"/>
          <w:sz w:val="22"/>
        </w:rPr>
      </w:pPr>
      <w:r>
        <w:rPr>
          <w:rFonts w:asciiTheme="majorBidi" w:hAnsiTheme="majorBidi" w:cstheme="majorBidi"/>
          <w:sz w:val="22"/>
        </w:rPr>
        <w:t xml:space="preserve">(group B) </w:t>
      </w:r>
      <w:r>
        <w:rPr>
          <w:rFonts w:asciiTheme="majorBidi" w:hAnsiTheme="majorBidi" w:cstheme="majorBidi"/>
          <w:i w:val="0"/>
          <w:iCs w:val="0"/>
          <w:sz w:val="22"/>
          <w:lang w:val="en-AU"/>
        </w:rPr>
        <w:t>and</w:t>
      </w:r>
      <w:r>
        <w:rPr>
          <w:rFonts w:asciiTheme="majorBidi" w:hAnsiTheme="majorBidi" w:cstheme="majorBidi"/>
          <w:sz w:val="22"/>
        </w:rPr>
        <w:t xml:space="preserve"> </w:t>
      </w:r>
      <w:r>
        <w:rPr>
          <w:rFonts w:asciiTheme="majorBidi" w:hAnsiTheme="majorBidi" w:cstheme="majorBidi"/>
          <w:sz w:val="22"/>
          <w:lang w:val="en-AU"/>
        </w:rPr>
        <w:t>dividing</w:t>
      </w:r>
      <w:r>
        <w:rPr>
          <w:rFonts w:asciiTheme="majorBidi" w:hAnsiTheme="majorBidi" w:cstheme="majorBidi"/>
          <w:sz w:val="22"/>
        </w:rPr>
        <w:t xml:space="preserve"> the budget </w:t>
      </w:r>
      <w:r>
        <w:rPr>
          <w:rFonts w:asciiTheme="majorBidi" w:hAnsiTheme="majorBidi" w:cstheme="majorBidi"/>
          <w:sz w:val="22"/>
          <w:lang w:val="en-AU"/>
        </w:rPr>
        <w:t xml:space="preserve">equally </w:t>
      </w:r>
      <w:r>
        <w:rPr>
          <w:rFonts w:asciiTheme="majorBidi" w:hAnsiTheme="majorBidi" w:cstheme="majorBidi"/>
          <w:sz w:val="22"/>
        </w:rPr>
        <w:t>between this group and another group that will be left chronically</w:t>
      </w:r>
    </w:p>
    <w:p>
      <w:pPr>
        <w:keepNext w:val="0"/>
        <w:keepLines w:val="0"/>
        <w:pageBreakBefore w:val="0"/>
        <w:widowControl/>
        <w:kinsoku/>
        <w:wordWrap/>
        <w:overflowPunct/>
        <w:topLinePunct w:val="0"/>
        <w:autoSpaceDE/>
        <w:autoSpaceDN/>
        <w:bidi w:val="0"/>
        <w:adjustRightInd/>
        <w:snapToGrid/>
        <w:spacing w:after="0" w:line="240" w:lineRule="auto"/>
        <w:ind w:left="539" w:leftChars="245" w:right="0" w:rightChars="0" w:firstLine="0" w:firstLineChars="0"/>
        <w:jc w:val="left"/>
        <w:textAlignment w:val="auto"/>
        <w:outlineLvl w:val="9"/>
        <w:rPr>
          <w:rFonts w:asciiTheme="majorBidi" w:hAnsiTheme="majorBidi" w:cstheme="majorBidi"/>
          <w:sz w:val="22"/>
        </w:rPr>
      </w:pPr>
      <w:r>
        <w:rPr>
          <w:rFonts w:asciiTheme="majorBidi" w:hAnsiTheme="majorBidi" w:cstheme="majorBidi"/>
          <w:sz w:val="22"/>
        </w:rPr>
        <w:t>ill/disabled after treatment (group C)</w:t>
      </w:r>
      <w:r>
        <w:rPr>
          <w:rFonts w:asciiTheme="majorBidi" w:hAnsiTheme="majorBidi" w:cstheme="majorBidi"/>
          <w:sz w:val="22"/>
          <w:lang w:val="en-AU"/>
        </w:rPr>
        <w:t>, by questionnaire version</w:t>
      </w:r>
      <w:r>
        <w:rPr>
          <w:rFonts w:asciiTheme="majorBidi" w:hAnsiTheme="majorBidi" w:cstheme="majorBidi"/>
          <w:sz w:val="22"/>
        </w:rPr>
        <w:t>: P</w:t>
      </w:r>
      <w:r>
        <w:rPr>
          <w:rFonts w:asciiTheme="majorBidi" w:hAnsiTheme="majorBidi" w:cstheme="majorBidi"/>
          <w:sz w:val="22"/>
          <w:lang w:val="en-AU"/>
        </w:rPr>
        <w:t>ercentage</w:t>
      </w:r>
      <w:r>
        <w:rPr>
          <w:rFonts w:asciiTheme="majorBidi" w:hAnsiTheme="majorBidi" w:cstheme="majorBidi"/>
          <w:sz w:val="22"/>
        </w:rPr>
        <w:t>s agreeing and 95% confidence</w:t>
      </w:r>
    </w:p>
    <w:p>
      <w:pPr>
        <w:spacing w:after="120" w:line="240" w:lineRule="auto"/>
        <w:ind w:left="539" w:leftChars="245" w:firstLine="0" w:firstLineChars="0"/>
        <w:rPr>
          <w:rFonts w:eastAsia="Times New Roman" w:asciiTheme="majorBidi" w:hAnsiTheme="majorBidi" w:cstheme="majorBidi"/>
          <w:b/>
          <w:sz w:val="22"/>
          <w:szCs w:val="22"/>
          <w:lang w:val="en-US" w:eastAsia="en-US"/>
        </w:rPr>
      </w:pPr>
      <w:r>
        <w:rPr>
          <w:rFonts w:asciiTheme="majorBidi" w:hAnsiTheme="majorBidi" w:cstheme="majorBidi"/>
          <w:sz w:val="22"/>
        </w:rPr>
        <w:t>intervals.</w:t>
      </w:r>
    </w:p>
    <w:tbl>
      <w:tblPr>
        <w:tblStyle w:val="7"/>
        <w:tblW w:w="10055" w:type="dxa"/>
        <w:jc w:val="center"/>
        <w:tblInd w:w="-4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2"/>
        <w:gridCol w:w="1274"/>
        <w:gridCol w:w="12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522" w:type="dxa"/>
            <w:vMerge w:val="restart"/>
            <w:tcBorders>
              <w:top w:val="double" w:color="auto" w:sz="12" w:space="0"/>
              <w:left w:val="nil"/>
              <w:right w:val="nil"/>
            </w:tcBorders>
            <w:vAlign w:val="center"/>
          </w:tcPr>
          <w:p>
            <w:pPr>
              <w:spacing w:after="0" w:line="240" w:lineRule="auto"/>
              <w:ind w:right="-284"/>
              <w:jc w:val="both"/>
              <w:rPr>
                <w:rFonts w:hint="default" w:ascii="Times New Roman" w:hAnsi="Times New Roman" w:cs="Times New Roman"/>
                <w:sz w:val="22"/>
                <w:szCs w:val="22"/>
                <w:lang w:val="en-AU"/>
              </w:rPr>
            </w:pPr>
            <w:r>
              <w:rPr>
                <w:rFonts w:hint="default" w:ascii="Times New Roman" w:hAnsi="Times New Roman" w:cs="Times New Roman"/>
                <w:sz w:val="22"/>
                <w:szCs w:val="22"/>
                <w:lang w:val="en-AU"/>
              </w:rPr>
              <w:t>Arguments comparing groups B and C (Scenario 2)</w:t>
            </w:r>
          </w:p>
        </w:tc>
        <w:tc>
          <w:tcPr>
            <w:tcW w:w="2549" w:type="dxa"/>
            <w:gridSpan w:val="2"/>
            <w:tcBorders>
              <w:top w:val="double" w:color="auto" w:sz="12" w:space="0"/>
              <w:left w:val="nil"/>
              <w:bottom w:val="nil"/>
              <w:right w:val="nil"/>
            </w:tcBorders>
            <w:shd w:val="clear" w:color="auto" w:fill="auto"/>
            <w:vAlign w:val="center"/>
          </w:tcPr>
          <w:p>
            <w:pPr>
              <w:spacing w:after="0" w:line="240" w:lineRule="auto"/>
              <w:jc w:val="center"/>
              <w:rPr>
                <w:rFonts w:hint="default" w:ascii="Times New Roman" w:hAnsi="Times New Roman" w:cs="Times New Roman"/>
                <w:sz w:val="22"/>
                <w:szCs w:val="22"/>
                <w:lang w:val="en-AU"/>
              </w:rPr>
            </w:pPr>
            <w:r>
              <w:rPr>
                <w:rFonts w:hint="default" w:ascii="Times New Roman" w:hAnsi="Times New Roman" w:cs="Times New Roman"/>
                <w:sz w:val="22"/>
                <w:szCs w:val="22"/>
                <w:lang w:val="en-AU"/>
              </w:rPr>
              <w:t>Percentage scoring the argument 5-7 (persuasive)</w:t>
            </w:r>
          </w:p>
        </w:tc>
        <w:tc>
          <w:tcPr>
            <w:tcW w:w="1984" w:type="dxa"/>
            <w:vMerge w:val="restart"/>
            <w:tcBorders>
              <w:top w:val="double" w:color="auto" w:sz="12" w:space="0"/>
              <w:left w:val="nil"/>
              <w:right w:val="nil"/>
            </w:tcBorders>
            <w:shd w:val="clear" w:color="auto" w:fill="auto"/>
            <w:vAlign w:val="center"/>
          </w:tcPr>
          <w:p>
            <w:pPr>
              <w:spacing w:after="0" w:line="240" w:lineRule="auto"/>
              <w:jc w:val="center"/>
              <w:rPr>
                <w:rFonts w:hint="default" w:ascii="Times New Roman" w:hAnsi="Times New Roman" w:cs="Times New Roman"/>
                <w:sz w:val="22"/>
                <w:szCs w:val="22"/>
                <w:lang w:val="en-AU"/>
              </w:rPr>
            </w:pPr>
            <w:r>
              <w:rPr>
                <w:rFonts w:hint="default" w:ascii="Times New Roman" w:hAnsi="Times New Roman" w:cs="Times New Roman"/>
                <w:sz w:val="22"/>
                <w:szCs w:val="22"/>
                <w:lang w:val="en-AU"/>
              </w:rPr>
              <w:t>Diff(V1-V2)</w:t>
            </w:r>
          </w:p>
          <w:p>
            <w:pPr>
              <w:spacing w:after="0" w:line="240" w:lineRule="auto"/>
              <w:jc w:val="center"/>
              <w:rPr>
                <w:rFonts w:hint="default" w:ascii="Times New Roman" w:hAnsi="Times New Roman" w:cs="Times New Roman"/>
                <w:sz w:val="22"/>
                <w:szCs w:val="22"/>
                <w:lang w:val="en-AU"/>
              </w:rPr>
            </w:pPr>
            <w:r>
              <w:rPr>
                <w:rFonts w:hint="default" w:ascii="Times New Roman" w:hAnsi="Times New Roman" w:cs="Times New Roman"/>
                <w:sz w:val="22"/>
                <w:szCs w:val="22"/>
                <w:lang w:val="en-AU"/>
              </w:rPr>
              <w:t>(95% 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522" w:type="dxa"/>
            <w:vMerge w:val="continue"/>
            <w:tcBorders>
              <w:left w:val="nil"/>
              <w:right w:val="nil"/>
            </w:tcBorders>
            <w:vAlign w:val="center"/>
          </w:tcPr>
          <w:p>
            <w:pPr>
              <w:spacing w:after="0" w:line="240" w:lineRule="auto"/>
              <w:jc w:val="center"/>
              <w:rPr>
                <w:rFonts w:hint="default" w:ascii="Times New Roman" w:hAnsi="Times New Roman" w:cs="Times New Roman"/>
              </w:rPr>
            </w:pPr>
          </w:p>
        </w:tc>
        <w:tc>
          <w:tcPr>
            <w:tcW w:w="1274" w:type="dxa"/>
            <w:tcBorders>
              <w:top w:val="nil"/>
              <w:left w:val="nil"/>
              <w:right w:val="nil"/>
            </w:tcBorders>
            <w:shd w:val="clear" w:color="auto" w:fill="auto"/>
            <w:vAlign w:val="center"/>
          </w:tcPr>
          <w:p>
            <w:pPr>
              <w:spacing w:after="0" w:line="240" w:lineRule="auto"/>
              <w:jc w:val="center"/>
              <w:rPr>
                <w:rFonts w:hint="default" w:ascii="Times New Roman" w:hAnsi="Times New Roman" w:cs="Times New Roman"/>
                <w:lang w:val="en-AU"/>
              </w:rPr>
            </w:pPr>
            <w:r>
              <w:rPr>
                <w:rFonts w:hint="default" w:ascii="Times New Roman" w:hAnsi="Times New Roman" w:cs="Times New Roman"/>
                <w:lang w:val="en-AU"/>
              </w:rPr>
              <w:t>V1 (</w:t>
            </w:r>
            <w:r>
              <w:rPr>
                <w:rFonts w:hint="default" w:ascii="Times New Roman" w:hAnsi="Times New Roman" w:cs="Times New Roman"/>
                <w:i/>
                <w:iCs/>
                <w:lang w:val="en-AU"/>
              </w:rPr>
              <w:t>n</w:t>
            </w:r>
            <w:r>
              <w:rPr>
                <w:rFonts w:hint="default" w:ascii="Times New Roman" w:hAnsi="Times New Roman" w:cs="Times New Roman"/>
                <w:lang w:val="en-AU"/>
              </w:rPr>
              <w:t xml:space="preserve"> = 34)</w:t>
            </w:r>
          </w:p>
        </w:tc>
        <w:tc>
          <w:tcPr>
            <w:tcW w:w="1275" w:type="dxa"/>
            <w:tcBorders>
              <w:top w:val="nil"/>
              <w:left w:val="nil"/>
              <w:right w:val="nil"/>
            </w:tcBorders>
            <w:shd w:val="clear" w:color="auto" w:fill="auto"/>
            <w:vAlign w:val="center"/>
          </w:tcPr>
          <w:p>
            <w:pPr>
              <w:spacing w:after="0" w:line="240" w:lineRule="auto"/>
              <w:jc w:val="center"/>
              <w:rPr>
                <w:rFonts w:hint="default" w:ascii="Times New Roman" w:hAnsi="Times New Roman" w:cs="Times New Roman"/>
                <w:sz w:val="22"/>
                <w:szCs w:val="22"/>
                <w:lang w:val="en-AU"/>
              </w:rPr>
            </w:pPr>
            <w:r>
              <w:rPr>
                <w:rFonts w:hint="default" w:ascii="Times New Roman" w:hAnsi="Times New Roman" w:cs="Times New Roman"/>
                <w:sz w:val="22"/>
                <w:szCs w:val="22"/>
                <w:lang w:val="en-AU"/>
              </w:rPr>
              <w:t>V2 (</w:t>
            </w:r>
            <w:r>
              <w:rPr>
                <w:rFonts w:hint="default" w:ascii="Times New Roman" w:hAnsi="Times New Roman" w:cs="Times New Roman"/>
                <w:i/>
                <w:iCs/>
                <w:sz w:val="22"/>
                <w:szCs w:val="22"/>
                <w:lang w:val="en-AU"/>
              </w:rPr>
              <w:t>n</w:t>
            </w:r>
            <w:r>
              <w:rPr>
                <w:rFonts w:hint="default" w:ascii="Times New Roman" w:hAnsi="Times New Roman" w:cs="Times New Roman"/>
                <w:sz w:val="22"/>
                <w:szCs w:val="22"/>
                <w:lang w:val="en-AU"/>
              </w:rPr>
              <w:t xml:space="preserve"> = 32)</w:t>
            </w:r>
          </w:p>
        </w:tc>
        <w:tc>
          <w:tcPr>
            <w:tcW w:w="1984" w:type="dxa"/>
            <w:vMerge w:val="continue"/>
            <w:tcBorders>
              <w:left w:val="nil"/>
              <w:bottom w:val="single" w:color="auto" w:sz="12" w:space="0"/>
              <w:right w:val="nil"/>
            </w:tcBorders>
            <w:shd w:val="clear" w:color="auto" w:fill="auto"/>
            <w:vAlign w:val="center"/>
          </w:tcPr>
          <w:p>
            <w:pPr>
              <w:spacing w:after="0" w:line="240" w:lineRule="auto"/>
              <w:jc w:val="center"/>
              <w:rPr>
                <w:rFonts w:hint="default" w:ascii="Times New Roman" w:hAnsi="Times New Roman" w:cs="Times New Roman"/>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2" w:type="dxa"/>
            <w:tcBorders>
              <w:top w:val="single" w:color="auto" w:sz="12" w:space="0"/>
              <w:left w:val="nil"/>
              <w:bottom w:val="nil"/>
              <w:right w:val="nil"/>
            </w:tcBorders>
            <w:vAlign w:val="center"/>
          </w:tcPr>
          <w:p>
            <w:pPr>
              <w:spacing w:after="0" w:line="240" w:lineRule="auto"/>
              <w:jc w:val="left"/>
              <w:rPr>
                <w:rFonts w:hint="default" w:ascii="Times New Roman" w:hAnsi="Times New Roman" w:cs="Times New Roman"/>
                <w:sz w:val="22"/>
                <w:szCs w:val="22"/>
                <w:lang w:val="en-AU"/>
              </w:rPr>
            </w:pPr>
            <w:r>
              <w:rPr>
                <w:rFonts w:hint="default" w:ascii="Times New Roman" w:hAnsi="Times New Roman" w:cs="Times New Roman"/>
                <w:i/>
                <w:iCs/>
                <w:sz w:val="22"/>
                <w:szCs w:val="22"/>
                <w:lang w:val="en-AU"/>
              </w:rPr>
              <w:t>Argument in favour of g</w:t>
            </w:r>
            <w:bookmarkStart w:id="0" w:name="_GoBack"/>
            <w:bookmarkEnd w:id="0"/>
            <w:r>
              <w:rPr>
                <w:rFonts w:hint="default" w:ascii="Times New Roman" w:hAnsi="Times New Roman" w:cs="Times New Roman"/>
                <w:i/>
                <w:iCs/>
                <w:sz w:val="22"/>
                <w:szCs w:val="22"/>
                <w:lang w:val="en-AU"/>
              </w:rPr>
              <w:t>roup B</w:t>
            </w:r>
          </w:p>
        </w:tc>
        <w:tc>
          <w:tcPr>
            <w:tcW w:w="1274" w:type="dxa"/>
            <w:tcBorders>
              <w:top w:val="single" w:color="auto" w:sz="12" w:space="0"/>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US" w:eastAsia="en-US"/>
              </w:rPr>
            </w:pPr>
          </w:p>
        </w:tc>
        <w:tc>
          <w:tcPr>
            <w:tcW w:w="1275" w:type="dxa"/>
            <w:tcBorders>
              <w:top w:val="single" w:color="auto" w:sz="12" w:space="0"/>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US" w:eastAsia="en-US"/>
              </w:rPr>
            </w:pPr>
          </w:p>
        </w:tc>
        <w:tc>
          <w:tcPr>
            <w:tcW w:w="1984" w:type="dxa"/>
            <w:tcBorders>
              <w:top w:val="single" w:color="auto" w:sz="12" w:space="0"/>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22" w:type="dxa"/>
            <w:tcBorders>
              <w:top w:val="nil"/>
              <w:left w:val="nil"/>
              <w:bottom w:val="nil"/>
              <w:right w:val="nil"/>
            </w:tcBorders>
            <w:vAlign w:val="center"/>
          </w:tcPr>
          <w:p>
            <w:pPr>
              <w:spacing w:after="0" w:line="240" w:lineRule="auto"/>
              <w:ind w:left="220" w:leftChars="100" w:firstLine="0" w:firstLineChars="0"/>
              <w:jc w:val="left"/>
              <w:rPr>
                <w:rFonts w:hint="default" w:ascii="Times New Roman" w:hAnsi="Times New Roman" w:cs="Times New Roman"/>
                <w:sz w:val="22"/>
                <w:szCs w:val="22"/>
                <w:lang w:val="en-AU"/>
              </w:rPr>
            </w:pPr>
            <w:r>
              <w:rPr>
                <w:rFonts w:hint="default" w:ascii="Times New Roman" w:hAnsi="Times New Roman" w:cs="Times New Roman"/>
                <w:sz w:val="22"/>
                <w:szCs w:val="22"/>
                <w:lang w:val="en-AU"/>
              </w:rPr>
              <w:t>(r)  Group B will be returned to what is ‘normal health’ for them - what they are used to.</w:t>
            </w:r>
          </w:p>
        </w:tc>
        <w:tc>
          <w:tcPr>
            <w:tcW w:w="1274"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0.18</w:t>
            </w:r>
          </w:p>
        </w:tc>
        <w:tc>
          <w:tcPr>
            <w:tcW w:w="1275"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0.44</w:t>
            </w:r>
          </w:p>
        </w:tc>
        <w:tc>
          <w:tcPr>
            <w:tcW w:w="1984"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0.261</w:t>
            </w:r>
          </w:p>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(0.0175 to 0.4714)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5522" w:type="dxa"/>
            <w:tcBorders>
              <w:top w:val="nil"/>
              <w:left w:val="nil"/>
              <w:bottom w:val="nil"/>
              <w:right w:val="nil"/>
            </w:tcBorders>
            <w:vAlign w:val="center"/>
          </w:tcPr>
          <w:p>
            <w:pPr>
              <w:spacing w:after="0" w:line="240" w:lineRule="auto"/>
              <w:jc w:val="left"/>
              <w:rPr>
                <w:rFonts w:hint="default" w:ascii="Times New Roman" w:hAnsi="Times New Roman" w:cs="Times New Roman"/>
                <w:sz w:val="22"/>
                <w:szCs w:val="22"/>
                <w:lang w:val="en-AU"/>
              </w:rPr>
            </w:pPr>
            <w:r>
              <w:rPr>
                <w:rFonts w:hint="default" w:ascii="Times New Roman" w:hAnsi="Times New Roman" w:cs="Times New Roman"/>
                <w:i/>
                <w:iCs/>
                <w:sz w:val="22"/>
                <w:szCs w:val="22"/>
                <w:lang w:val="en-AU"/>
              </w:rPr>
              <w:t>Arguments in favour of equal division</w:t>
            </w:r>
          </w:p>
        </w:tc>
        <w:tc>
          <w:tcPr>
            <w:tcW w:w="1274"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US" w:eastAsia="en-US"/>
              </w:rPr>
            </w:pPr>
          </w:p>
        </w:tc>
        <w:tc>
          <w:tcPr>
            <w:tcW w:w="1275"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US" w:eastAsia="en-US"/>
              </w:rPr>
            </w:pPr>
          </w:p>
        </w:tc>
        <w:tc>
          <w:tcPr>
            <w:tcW w:w="1984"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5522" w:type="dxa"/>
            <w:tcBorders>
              <w:top w:val="nil"/>
              <w:left w:val="nil"/>
              <w:bottom w:val="nil"/>
              <w:right w:val="nil"/>
            </w:tcBorders>
            <w:vAlign w:val="center"/>
          </w:tcPr>
          <w:p>
            <w:pPr>
              <w:spacing w:after="0" w:line="240" w:lineRule="auto"/>
              <w:ind w:left="220" w:leftChars="100" w:firstLine="0" w:firstLineChars="0"/>
              <w:jc w:val="left"/>
              <w:rPr>
                <w:rFonts w:hint="default" w:ascii="Times New Roman" w:hAnsi="Times New Roman" w:cs="Times New Roman"/>
                <w:sz w:val="22"/>
                <w:szCs w:val="22"/>
                <w:lang w:val="en-AU"/>
              </w:rPr>
            </w:pPr>
            <w:r>
              <w:rPr>
                <w:rFonts w:hint="default" w:ascii="Times New Roman" w:hAnsi="Times New Roman" w:cs="Times New Roman"/>
                <w:sz w:val="22"/>
                <w:szCs w:val="22"/>
                <w:lang w:val="en-AU"/>
              </w:rPr>
              <w:t>(s)  In both groups, treatment will prevent people from dying and allow them to live for another 55 years with a quality of life at 55% of full health. Therefore both groups should be treated equally.</w:t>
            </w:r>
          </w:p>
        </w:tc>
        <w:tc>
          <w:tcPr>
            <w:tcW w:w="1274"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0.91</w:t>
            </w:r>
          </w:p>
        </w:tc>
        <w:tc>
          <w:tcPr>
            <w:tcW w:w="1275"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0.91</w:t>
            </w:r>
          </w:p>
        </w:tc>
        <w:tc>
          <w:tcPr>
            <w:tcW w:w="1984" w:type="dxa"/>
            <w:tcBorders>
              <w:top w:val="nil"/>
              <w:left w:val="nil"/>
              <w:bottom w:val="nil"/>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0.0055</w:t>
            </w:r>
          </w:p>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(-0.1687 to 0.1856)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5522" w:type="dxa"/>
            <w:tcBorders>
              <w:top w:val="nil"/>
              <w:left w:val="nil"/>
              <w:bottom w:val="double" w:color="auto" w:sz="12" w:space="0"/>
              <w:right w:val="nil"/>
            </w:tcBorders>
            <w:vAlign w:val="center"/>
          </w:tcPr>
          <w:p>
            <w:pPr>
              <w:spacing w:after="0" w:line="240" w:lineRule="auto"/>
              <w:ind w:left="220" w:leftChars="100" w:firstLine="0" w:firstLineChars="0"/>
              <w:jc w:val="left"/>
              <w:rPr>
                <w:rFonts w:hint="default" w:ascii="Times New Roman" w:hAnsi="Times New Roman" w:cs="Times New Roman"/>
                <w:sz w:val="22"/>
                <w:szCs w:val="22"/>
                <w:lang w:val="en-AU"/>
              </w:rPr>
            </w:pPr>
            <w:r>
              <w:rPr>
                <w:rFonts w:hint="default" w:ascii="Times New Roman" w:hAnsi="Times New Roman" w:cs="Times New Roman"/>
                <w:sz w:val="22"/>
                <w:szCs w:val="22"/>
                <w:lang w:val="en-AU"/>
              </w:rPr>
              <w:t>(t)  The past cannot be changed. We should focus on preventing present and future suffering. Since present and future suffering is the same for the two groups they should be treated equally.</w:t>
            </w:r>
          </w:p>
        </w:tc>
        <w:tc>
          <w:tcPr>
            <w:tcW w:w="1274" w:type="dxa"/>
            <w:tcBorders>
              <w:top w:val="nil"/>
              <w:left w:val="nil"/>
              <w:bottom w:val="double" w:color="auto" w:sz="12" w:space="0"/>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0.91</w:t>
            </w:r>
          </w:p>
        </w:tc>
        <w:tc>
          <w:tcPr>
            <w:tcW w:w="1275" w:type="dxa"/>
            <w:tcBorders>
              <w:top w:val="nil"/>
              <w:left w:val="nil"/>
              <w:bottom w:val="double" w:color="auto" w:sz="12" w:space="0"/>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0.91</w:t>
            </w:r>
          </w:p>
        </w:tc>
        <w:tc>
          <w:tcPr>
            <w:tcW w:w="1984" w:type="dxa"/>
            <w:tcBorders>
              <w:top w:val="nil"/>
              <w:left w:val="nil"/>
              <w:bottom w:val="double" w:color="auto" w:sz="12" w:space="0"/>
              <w:right w:val="nil"/>
            </w:tcBorders>
            <w:shd w:val="clear" w:color="auto" w:fill="auto"/>
            <w:vAlign w:val="center"/>
          </w:tcPr>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0.0055</w:t>
            </w:r>
          </w:p>
          <w:p>
            <w:pPr>
              <w:spacing w:after="0" w:line="240" w:lineRule="auto"/>
              <w:jc w:val="center"/>
              <w:rPr>
                <w:rFonts w:hint="default" w:ascii="Times New Roman" w:hAnsi="Times New Roman" w:eastAsia="Times New Roman" w:cs="Times New Roman"/>
                <w:sz w:val="22"/>
                <w:szCs w:val="22"/>
                <w:lang w:val="en-AU" w:eastAsia="en-US"/>
              </w:rPr>
            </w:pPr>
            <w:r>
              <w:rPr>
                <w:rFonts w:hint="default" w:ascii="Times New Roman" w:hAnsi="Times New Roman" w:eastAsia="Times New Roman" w:cs="Times New Roman"/>
                <w:sz w:val="22"/>
                <w:szCs w:val="22"/>
                <w:lang w:val="en-AU" w:eastAsia="en-US"/>
              </w:rPr>
              <w:t>(-0.1687 to 0.1856)</w:t>
            </w:r>
          </w:p>
        </w:tc>
      </w:tr>
    </w:tbl>
    <w:p>
      <w:pPr>
        <w:spacing w:after="120" w:line="240" w:lineRule="auto"/>
        <w:rPr>
          <w:rFonts w:asciiTheme="majorBidi" w:hAnsiTheme="majorBidi" w:cstheme="majorBidi"/>
        </w:rPr>
      </w:pPr>
    </w:p>
    <w:p>
      <w:pPr>
        <w:spacing w:after="0" w:line="240" w:lineRule="auto"/>
        <w:rPr>
          <w:rFonts w:asciiTheme="majorBidi" w:hAnsiTheme="majorBidi" w:cstheme="majorBidi"/>
        </w:rPr>
      </w:pPr>
    </w:p>
    <w:sectPr>
      <w:pgSz w:w="11906" w:h="16838"/>
      <w:pgMar w:top="1440" w:right="510" w:bottom="1440" w:left="426"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5sps5xt8tar06edw0av0vp3svfapfxrdsx0&quot;&gt;Main-NEW-2014&lt;record-ids&gt;&lt;item&gt;1187&lt;/item&gt;&lt;item&gt;1535&lt;/item&gt;&lt;item&gt;3428&lt;/item&gt;&lt;item&gt;3589&lt;/item&gt;&lt;/record-ids&gt;&lt;/item&gt;&lt;/Libraries&gt;"/>
  </w:docVars>
  <w:rsids>
    <w:rsidRoot w:val="000C2F5A"/>
    <w:rsid w:val="000027DF"/>
    <w:rsid w:val="00007061"/>
    <w:rsid w:val="00014A61"/>
    <w:rsid w:val="00014F90"/>
    <w:rsid w:val="0002150A"/>
    <w:rsid w:val="0003588F"/>
    <w:rsid w:val="000361A9"/>
    <w:rsid w:val="00040E26"/>
    <w:rsid w:val="000429F8"/>
    <w:rsid w:val="00042EE7"/>
    <w:rsid w:val="00043146"/>
    <w:rsid w:val="00043DAA"/>
    <w:rsid w:val="00044F04"/>
    <w:rsid w:val="000506DD"/>
    <w:rsid w:val="00051FBB"/>
    <w:rsid w:val="000545B8"/>
    <w:rsid w:val="00066B8D"/>
    <w:rsid w:val="00071095"/>
    <w:rsid w:val="00072A5B"/>
    <w:rsid w:val="00072DDE"/>
    <w:rsid w:val="00074395"/>
    <w:rsid w:val="000766A6"/>
    <w:rsid w:val="00080D36"/>
    <w:rsid w:val="00080E64"/>
    <w:rsid w:val="000849A0"/>
    <w:rsid w:val="000932CD"/>
    <w:rsid w:val="00093606"/>
    <w:rsid w:val="00093952"/>
    <w:rsid w:val="00094EE2"/>
    <w:rsid w:val="000A114B"/>
    <w:rsid w:val="000A21C5"/>
    <w:rsid w:val="000A66CC"/>
    <w:rsid w:val="000B60ED"/>
    <w:rsid w:val="000B7E64"/>
    <w:rsid w:val="000C2F5A"/>
    <w:rsid w:val="000C32BA"/>
    <w:rsid w:val="000C5480"/>
    <w:rsid w:val="000C7F87"/>
    <w:rsid w:val="000D2200"/>
    <w:rsid w:val="000D3B5B"/>
    <w:rsid w:val="000D4A25"/>
    <w:rsid w:val="000E3FA2"/>
    <w:rsid w:val="000E4476"/>
    <w:rsid w:val="000E6A9C"/>
    <w:rsid w:val="000F3F20"/>
    <w:rsid w:val="00100E5C"/>
    <w:rsid w:val="00103461"/>
    <w:rsid w:val="001047F9"/>
    <w:rsid w:val="00104B1D"/>
    <w:rsid w:val="00110688"/>
    <w:rsid w:val="001113B6"/>
    <w:rsid w:val="001138B5"/>
    <w:rsid w:val="00126858"/>
    <w:rsid w:val="00127BBA"/>
    <w:rsid w:val="0013324D"/>
    <w:rsid w:val="00140F88"/>
    <w:rsid w:val="001410AC"/>
    <w:rsid w:val="00142B23"/>
    <w:rsid w:val="001464AE"/>
    <w:rsid w:val="00151D7E"/>
    <w:rsid w:val="00154531"/>
    <w:rsid w:val="00155ACD"/>
    <w:rsid w:val="00157711"/>
    <w:rsid w:val="00162610"/>
    <w:rsid w:val="0017155B"/>
    <w:rsid w:val="00172C5B"/>
    <w:rsid w:val="00174B81"/>
    <w:rsid w:val="00184F57"/>
    <w:rsid w:val="00185D45"/>
    <w:rsid w:val="001A0C19"/>
    <w:rsid w:val="001A169E"/>
    <w:rsid w:val="001A45DF"/>
    <w:rsid w:val="001A5E4D"/>
    <w:rsid w:val="001B0E07"/>
    <w:rsid w:val="001B2564"/>
    <w:rsid w:val="001B3BF0"/>
    <w:rsid w:val="001B4CE0"/>
    <w:rsid w:val="001C2570"/>
    <w:rsid w:val="001C2726"/>
    <w:rsid w:val="001D01CD"/>
    <w:rsid w:val="001D5EC9"/>
    <w:rsid w:val="001E4D2F"/>
    <w:rsid w:val="001F7643"/>
    <w:rsid w:val="002036A0"/>
    <w:rsid w:val="00204852"/>
    <w:rsid w:val="0020645F"/>
    <w:rsid w:val="0020796F"/>
    <w:rsid w:val="002119A8"/>
    <w:rsid w:val="002146C4"/>
    <w:rsid w:val="00215868"/>
    <w:rsid w:val="00216156"/>
    <w:rsid w:val="002165E8"/>
    <w:rsid w:val="002247C4"/>
    <w:rsid w:val="002316E2"/>
    <w:rsid w:val="0023272B"/>
    <w:rsid w:val="00235B58"/>
    <w:rsid w:val="002361F2"/>
    <w:rsid w:val="00237985"/>
    <w:rsid w:val="002435FE"/>
    <w:rsid w:val="00245C1B"/>
    <w:rsid w:val="0024735D"/>
    <w:rsid w:val="002478A9"/>
    <w:rsid w:val="00250C5D"/>
    <w:rsid w:val="002511F6"/>
    <w:rsid w:val="00261F72"/>
    <w:rsid w:val="00276D23"/>
    <w:rsid w:val="002807B5"/>
    <w:rsid w:val="00282BF6"/>
    <w:rsid w:val="00282C2C"/>
    <w:rsid w:val="00285748"/>
    <w:rsid w:val="00290B4D"/>
    <w:rsid w:val="00295270"/>
    <w:rsid w:val="002A00C6"/>
    <w:rsid w:val="002A05D4"/>
    <w:rsid w:val="002A3AC0"/>
    <w:rsid w:val="002A67AC"/>
    <w:rsid w:val="002B5058"/>
    <w:rsid w:val="002B5298"/>
    <w:rsid w:val="002C2BBE"/>
    <w:rsid w:val="002D0924"/>
    <w:rsid w:val="002D376B"/>
    <w:rsid w:val="002D3F4C"/>
    <w:rsid w:val="002D4076"/>
    <w:rsid w:val="002D71D7"/>
    <w:rsid w:val="002F1395"/>
    <w:rsid w:val="002F2F3B"/>
    <w:rsid w:val="002F556C"/>
    <w:rsid w:val="0030282B"/>
    <w:rsid w:val="00302D02"/>
    <w:rsid w:val="003033C1"/>
    <w:rsid w:val="00304690"/>
    <w:rsid w:val="00304AC4"/>
    <w:rsid w:val="00307A79"/>
    <w:rsid w:val="0031559D"/>
    <w:rsid w:val="003167F1"/>
    <w:rsid w:val="00317E65"/>
    <w:rsid w:val="00320881"/>
    <w:rsid w:val="00323D1D"/>
    <w:rsid w:val="003257A0"/>
    <w:rsid w:val="00325C14"/>
    <w:rsid w:val="003371D8"/>
    <w:rsid w:val="0034156E"/>
    <w:rsid w:val="003473B1"/>
    <w:rsid w:val="003561A6"/>
    <w:rsid w:val="00362BC9"/>
    <w:rsid w:val="003730FC"/>
    <w:rsid w:val="00373327"/>
    <w:rsid w:val="00374A20"/>
    <w:rsid w:val="003750D1"/>
    <w:rsid w:val="00381B88"/>
    <w:rsid w:val="00382E6F"/>
    <w:rsid w:val="003A04D1"/>
    <w:rsid w:val="003C1429"/>
    <w:rsid w:val="003C1AB3"/>
    <w:rsid w:val="003C3E34"/>
    <w:rsid w:val="003C6466"/>
    <w:rsid w:val="003D6A32"/>
    <w:rsid w:val="003D79B8"/>
    <w:rsid w:val="003E4D4B"/>
    <w:rsid w:val="003E669D"/>
    <w:rsid w:val="003E6FD4"/>
    <w:rsid w:val="003F1BC8"/>
    <w:rsid w:val="003F4DB9"/>
    <w:rsid w:val="003F4F26"/>
    <w:rsid w:val="003F70BC"/>
    <w:rsid w:val="00406EB9"/>
    <w:rsid w:val="004074BF"/>
    <w:rsid w:val="004147C4"/>
    <w:rsid w:val="0042557B"/>
    <w:rsid w:val="00436179"/>
    <w:rsid w:val="004375DA"/>
    <w:rsid w:val="00440C33"/>
    <w:rsid w:val="0044518C"/>
    <w:rsid w:val="00447011"/>
    <w:rsid w:val="00451E53"/>
    <w:rsid w:val="00452E15"/>
    <w:rsid w:val="00454A42"/>
    <w:rsid w:val="00456A06"/>
    <w:rsid w:val="00460D7E"/>
    <w:rsid w:val="00466B63"/>
    <w:rsid w:val="0047267B"/>
    <w:rsid w:val="00473575"/>
    <w:rsid w:val="00475676"/>
    <w:rsid w:val="004777C6"/>
    <w:rsid w:val="00477904"/>
    <w:rsid w:val="00487C59"/>
    <w:rsid w:val="00490731"/>
    <w:rsid w:val="00491FEB"/>
    <w:rsid w:val="0049459F"/>
    <w:rsid w:val="00497EE5"/>
    <w:rsid w:val="004A113B"/>
    <w:rsid w:val="004B1FBC"/>
    <w:rsid w:val="004B2AAA"/>
    <w:rsid w:val="004B2B90"/>
    <w:rsid w:val="004B30EA"/>
    <w:rsid w:val="004C3EDA"/>
    <w:rsid w:val="004C57B0"/>
    <w:rsid w:val="004C5847"/>
    <w:rsid w:val="004C6B67"/>
    <w:rsid w:val="004D06C6"/>
    <w:rsid w:val="004D3F51"/>
    <w:rsid w:val="004D5865"/>
    <w:rsid w:val="004E1A0B"/>
    <w:rsid w:val="004E1F85"/>
    <w:rsid w:val="004E4332"/>
    <w:rsid w:val="004F2EC2"/>
    <w:rsid w:val="004F7454"/>
    <w:rsid w:val="00501701"/>
    <w:rsid w:val="005075AE"/>
    <w:rsid w:val="00511D7A"/>
    <w:rsid w:val="00515231"/>
    <w:rsid w:val="005210B6"/>
    <w:rsid w:val="00521D91"/>
    <w:rsid w:val="005230C0"/>
    <w:rsid w:val="00531091"/>
    <w:rsid w:val="00533E6F"/>
    <w:rsid w:val="00541AD2"/>
    <w:rsid w:val="00551814"/>
    <w:rsid w:val="005556A5"/>
    <w:rsid w:val="00555AA9"/>
    <w:rsid w:val="00560DBD"/>
    <w:rsid w:val="00561057"/>
    <w:rsid w:val="005635BE"/>
    <w:rsid w:val="0056632B"/>
    <w:rsid w:val="00576680"/>
    <w:rsid w:val="0058258E"/>
    <w:rsid w:val="005915AC"/>
    <w:rsid w:val="0059639C"/>
    <w:rsid w:val="005A4F07"/>
    <w:rsid w:val="005A50CF"/>
    <w:rsid w:val="005A51E7"/>
    <w:rsid w:val="005B042A"/>
    <w:rsid w:val="005B2553"/>
    <w:rsid w:val="005B4291"/>
    <w:rsid w:val="005B7CCC"/>
    <w:rsid w:val="005C130A"/>
    <w:rsid w:val="005C626A"/>
    <w:rsid w:val="005D39A4"/>
    <w:rsid w:val="005D7288"/>
    <w:rsid w:val="005E035E"/>
    <w:rsid w:val="005F59BE"/>
    <w:rsid w:val="005F6DC7"/>
    <w:rsid w:val="005F72B0"/>
    <w:rsid w:val="00602F14"/>
    <w:rsid w:val="00606E4F"/>
    <w:rsid w:val="00607CC8"/>
    <w:rsid w:val="00615F8D"/>
    <w:rsid w:val="00622133"/>
    <w:rsid w:val="00626048"/>
    <w:rsid w:val="00627E2E"/>
    <w:rsid w:val="00630FBF"/>
    <w:rsid w:val="00633FD7"/>
    <w:rsid w:val="006429C3"/>
    <w:rsid w:val="00643107"/>
    <w:rsid w:val="00643567"/>
    <w:rsid w:val="00644C2F"/>
    <w:rsid w:val="00647F42"/>
    <w:rsid w:val="006518E8"/>
    <w:rsid w:val="00657466"/>
    <w:rsid w:val="00665953"/>
    <w:rsid w:val="00666709"/>
    <w:rsid w:val="0067332B"/>
    <w:rsid w:val="006742B1"/>
    <w:rsid w:val="00675656"/>
    <w:rsid w:val="00682B7E"/>
    <w:rsid w:val="00695C6F"/>
    <w:rsid w:val="00697293"/>
    <w:rsid w:val="006A23CC"/>
    <w:rsid w:val="006A328C"/>
    <w:rsid w:val="006A7DA7"/>
    <w:rsid w:val="006B0154"/>
    <w:rsid w:val="006B2D01"/>
    <w:rsid w:val="006B3897"/>
    <w:rsid w:val="006B3B0E"/>
    <w:rsid w:val="006B713B"/>
    <w:rsid w:val="006C2A78"/>
    <w:rsid w:val="006C40B5"/>
    <w:rsid w:val="006D1216"/>
    <w:rsid w:val="006D65B3"/>
    <w:rsid w:val="006E0E0B"/>
    <w:rsid w:val="006E3FF1"/>
    <w:rsid w:val="006E4F2A"/>
    <w:rsid w:val="006E6BFE"/>
    <w:rsid w:val="006E7EE7"/>
    <w:rsid w:val="006F3FC2"/>
    <w:rsid w:val="006F6352"/>
    <w:rsid w:val="006F754A"/>
    <w:rsid w:val="006F788B"/>
    <w:rsid w:val="007013CC"/>
    <w:rsid w:val="007034D2"/>
    <w:rsid w:val="00715D18"/>
    <w:rsid w:val="00716EED"/>
    <w:rsid w:val="0072115B"/>
    <w:rsid w:val="00721699"/>
    <w:rsid w:val="00722571"/>
    <w:rsid w:val="0072430B"/>
    <w:rsid w:val="00727E2E"/>
    <w:rsid w:val="0073005B"/>
    <w:rsid w:val="0073491D"/>
    <w:rsid w:val="00741B37"/>
    <w:rsid w:val="00745A51"/>
    <w:rsid w:val="00745E98"/>
    <w:rsid w:val="007475F2"/>
    <w:rsid w:val="007526B6"/>
    <w:rsid w:val="00757E85"/>
    <w:rsid w:val="007629BA"/>
    <w:rsid w:val="007646E7"/>
    <w:rsid w:val="0076493B"/>
    <w:rsid w:val="00765987"/>
    <w:rsid w:val="00771297"/>
    <w:rsid w:val="007713E3"/>
    <w:rsid w:val="00774015"/>
    <w:rsid w:val="00775F0A"/>
    <w:rsid w:val="00776C1B"/>
    <w:rsid w:val="00780CD5"/>
    <w:rsid w:val="00782166"/>
    <w:rsid w:val="007831BF"/>
    <w:rsid w:val="00785B2D"/>
    <w:rsid w:val="00786E5A"/>
    <w:rsid w:val="00787F70"/>
    <w:rsid w:val="007A265F"/>
    <w:rsid w:val="007A73D9"/>
    <w:rsid w:val="007A79CE"/>
    <w:rsid w:val="007C3DBA"/>
    <w:rsid w:val="007C69D2"/>
    <w:rsid w:val="007C70FE"/>
    <w:rsid w:val="007C71EA"/>
    <w:rsid w:val="007D4E13"/>
    <w:rsid w:val="007D57BC"/>
    <w:rsid w:val="007E1502"/>
    <w:rsid w:val="007E32D6"/>
    <w:rsid w:val="007F2BE1"/>
    <w:rsid w:val="007F3298"/>
    <w:rsid w:val="007F6D4C"/>
    <w:rsid w:val="0080039A"/>
    <w:rsid w:val="00801943"/>
    <w:rsid w:val="00810744"/>
    <w:rsid w:val="008201BA"/>
    <w:rsid w:val="00826D25"/>
    <w:rsid w:val="0083135A"/>
    <w:rsid w:val="00835BAF"/>
    <w:rsid w:val="00835E5D"/>
    <w:rsid w:val="008455DF"/>
    <w:rsid w:val="0085191B"/>
    <w:rsid w:val="008560DB"/>
    <w:rsid w:val="00856D26"/>
    <w:rsid w:val="00860829"/>
    <w:rsid w:val="00861693"/>
    <w:rsid w:val="008630D5"/>
    <w:rsid w:val="008670FF"/>
    <w:rsid w:val="0086784C"/>
    <w:rsid w:val="0087401E"/>
    <w:rsid w:val="0089245F"/>
    <w:rsid w:val="00894817"/>
    <w:rsid w:val="00895D9D"/>
    <w:rsid w:val="008A615B"/>
    <w:rsid w:val="008A76EE"/>
    <w:rsid w:val="008B38CF"/>
    <w:rsid w:val="008B4859"/>
    <w:rsid w:val="008C03C4"/>
    <w:rsid w:val="008C2BCE"/>
    <w:rsid w:val="008C5164"/>
    <w:rsid w:val="008D3203"/>
    <w:rsid w:val="008E1912"/>
    <w:rsid w:val="008E4E83"/>
    <w:rsid w:val="009030DC"/>
    <w:rsid w:val="00907054"/>
    <w:rsid w:val="00922D5D"/>
    <w:rsid w:val="00947286"/>
    <w:rsid w:val="00947804"/>
    <w:rsid w:val="0096091E"/>
    <w:rsid w:val="00961786"/>
    <w:rsid w:val="00965A1E"/>
    <w:rsid w:val="009669F1"/>
    <w:rsid w:val="00970360"/>
    <w:rsid w:val="00970DBA"/>
    <w:rsid w:val="00971CD9"/>
    <w:rsid w:val="00973C3F"/>
    <w:rsid w:val="00977010"/>
    <w:rsid w:val="00980F18"/>
    <w:rsid w:val="00982F37"/>
    <w:rsid w:val="009831BC"/>
    <w:rsid w:val="0098797D"/>
    <w:rsid w:val="009940BE"/>
    <w:rsid w:val="009A44C5"/>
    <w:rsid w:val="009B6823"/>
    <w:rsid w:val="009C07FC"/>
    <w:rsid w:val="009C166C"/>
    <w:rsid w:val="009C18E5"/>
    <w:rsid w:val="009D0B08"/>
    <w:rsid w:val="009D1DF5"/>
    <w:rsid w:val="009D2B6A"/>
    <w:rsid w:val="009D4869"/>
    <w:rsid w:val="009D4E6D"/>
    <w:rsid w:val="009D623F"/>
    <w:rsid w:val="009D7A1A"/>
    <w:rsid w:val="009E0AEC"/>
    <w:rsid w:val="009E1EA5"/>
    <w:rsid w:val="009F02A5"/>
    <w:rsid w:val="009F2459"/>
    <w:rsid w:val="009F2573"/>
    <w:rsid w:val="009F26C7"/>
    <w:rsid w:val="00A032B8"/>
    <w:rsid w:val="00A05638"/>
    <w:rsid w:val="00A07253"/>
    <w:rsid w:val="00A07C4E"/>
    <w:rsid w:val="00A136B3"/>
    <w:rsid w:val="00A209FD"/>
    <w:rsid w:val="00A20C44"/>
    <w:rsid w:val="00A224D5"/>
    <w:rsid w:val="00A23CE5"/>
    <w:rsid w:val="00A25DEA"/>
    <w:rsid w:val="00A26C6A"/>
    <w:rsid w:val="00A314A9"/>
    <w:rsid w:val="00A422B8"/>
    <w:rsid w:val="00A42660"/>
    <w:rsid w:val="00A426EE"/>
    <w:rsid w:val="00A43827"/>
    <w:rsid w:val="00A524CA"/>
    <w:rsid w:val="00A616EC"/>
    <w:rsid w:val="00A657EE"/>
    <w:rsid w:val="00A72CAB"/>
    <w:rsid w:val="00A80087"/>
    <w:rsid w:val="00A85107"/>
    <w:rsid w:val="00A86B3E"/>
    <w:rsid w:val="00A90690"/>
    <w:rsid w:val="00A920C9"/>
    <w:rsid w:val="00AA1BF8"/>
    <w:rsid w:val="00AA524D"/>
    <w:rsid w:val="00AA795A"/>
    <w:rsid w:val="00AC4776"/>
    <w:rsid w:val="00AC71F6"/>
    <w:rsid w:val="00AC7B08"/>
    <w:rsid w:val="00AD0919"/>
    <w:rsid w:val="00AD09A7"/>
    <w:rsid w:val="00AD2408"/>
    <w:rsid w:val="00AD4F0D"/>
    <w:rsid w:val="00AD708E"/>
    <w:rsid w:val="00AE62E8"/>
    <w:rsid w:val="00AF756A"/>
    <w:rsid w:val="00B01569"/>
    <w:rsid w:val="00B0482D"/>
    <w:rsid w:val="00B06B9A"/>
    <w:rsid w:val="00B12034"/>
    <w:rsid w:val="00B134CC"/>
    <w:rsid w:val="00B14FAF"/>
    <w:rsid w:val="00B25E22"/>
    <w:rsid w:val="00B27430"/>
    <w:rsid w:val="00B27672"/>
    <w:rsid w:val="00B326D5"/>
    <w:rsid w:val="00B329E2"/>
    <w:rsid w:val="00B32E96"/>
    <w:rsid w:val="00B4444F"/>
    <w:rsid w:val="00B46569"/>
    <w:rsid w:val="00B4721F"/>
    <w:rsid w:val="00B47CD0"/>
    <w:rsid w:val="00B62CC1"/>
    <w:rsid w:val="00B642B4"/>
    <w:rsid w:val="00B6666F"/>
    <w:rsid w:val="00B668DA"/>
    <w:rsid w:val="00B66960"/>
    <w:rsid w:val="00B727E8"/>
    <w:rsid w:val="00B76012"/>
    <w:rsid w:val="00B77C35"/>
    <w:rsid w:val="00B901FD"/>
    <w:rsid w:val="00B90A7B"/>
    <w:rsid w:val="00BA6412"/>
    <w:rsid w:val="00BB6A72"/>
    <w:rsid w:val="00BC2E80"/>
    <w:rsid w:val="00BC6A70"/>
    <w:rsid w:val="00BC73F0"/>
    <w:rsid w:val="00BC7566"/>
    <w:rsid w:val="00BD37BC"/>
    <w:rsid w:val="00BD6815"/>
    <w:rsid w:val="00BD6FA8"/>
    <w:rsid w:val="00BE1E72"/>
    <w:rsid w:val="00BE798D"/>
    <w:rsid w:val="00BF0411"/>
    <w:rsid w:val="00BF2527"/>
    <w:rsid w:val="00BF347B"/>
    <w:rsid w:val="00BF389A"/>
    <w:rsid w:val="00BF5270"/>
    <w:rsid w:val="00C05424"/>
    <w:rsid w:val="00C12EEF"/>
    <w:rsid w:val="00C13859"/>
    <w:rsid w:val="00C22EF3"/>
    <w:rsid w:val="00C30C49"/>
    <w:rsid w:val="00C45B9B"/>
    <w:rsid w:val="00C5041D"/>
    <w:rsid w:val="00C63D25"/>
    <w:rsid w:val="00C665B5"/>
    <w:rsid w:val="00C72AAE"/>
    <w:rsid w:val="00C77C32"/>
    <w:rsid w:val="00C803EF"/>
    <w:rsid w:val="00C81C49"/>
    <w:rsid w:val="00C83780"/>
    <w:rsid w:val="00C852B0"/>
    <w:rsid w:val="00CA5A5F"/>
    <w:rsid w:val="00CA5ECC"/>
    <w:rsid w:val="00CB0368"/>
    <w:rsid w:val="00CB469B"/>
    <w:rsid w:val="00CB504E"/>
    <w:rsid w:val="00CC0078"/>
    <w:rsid w:val="00CC6100"/>
    <w:rsid w:val="00CC7EFD"/>
    <w:rsid w:val="00CD06F8"/>
    <w:rsid w:val="00CD21BB"/>
    <w:rsid w:val="00CD3C25"/>
    <w:rsid w:val="00CD3EFE"/>
    <w:rsid w:val="00CD4489"/>
    <w:rsid w:val="00CE1CC4"/>
    <w:rsid w:val="00D069B1"/>
    <w:rsid w:val="00D1485B"/>
    <w:rsid w:val="00D178A2"/>
    <w:rsid w:val="00D21202"/>
    <w:rsid w:val="00D21258"/>
    <w:rsid w:val="00D230A0"/>
    <w:rsid w:val="00D246E3"/>
    <w:rsid w:val="00D37805"/>
    <w:rsid w:val="00D436A4"/>
    <w:rsid w:val="00D46A5B"/>
    <w:rsid w:val="00D51820"/>
    <w:rsid w:val="00D67B03"/>
    <w:rsid w:val="00D708B4"/>
    <w:rsid w:val="00D712FD"/>
    <w:rsid w:val="00D73F56"/>
    <w:rsid w:val="00D84F10"/>
    <w:rsid w:val="00D95D41"/>
    <w:rsid w:val="00D95F4A"/>
    <w:rsid w:val="00DA294A"/>
    <w:rsid w:val="00DA29D5"/>
    <w:rsid w:val="00DA3846"/>
    <w:rsid w:val="00DA4A71"/>
    <w:rsid w:val="00DA60FA"/>
    <w:rsid w:val="00DB2913"/>
    <w:rsid w:val="00DC02C1"/>
    <w:rsid w:val="00DC186F"/>
    <w:rsid w:val="00DC2359"/>
    <w:rsid w:val="00DC7916"/>
    <w:rsid w:val="00DD1595"/>
    <w:rsid w:val="00DE59EA"/>
    <w:rsid w:val="00DF3389"/>
    <w:rsid w:val="00DF7985"/>
    <w:rsid w:val="00E00E50"/>
    <w:rsid w:val="00E069A9"/>
    <w:rsid w:val="00E06EF7"/>
    <w:rsid w:val="00E1004E"/>
    <w:rsid w:val="00E11010"/>
    <w:rsid w:val="00E14D4A"/>
    <w:rsid w:val="00E157B8"/>
    <w:rsid w:val="00E219A3"/>
    <w:rsid w:val="00E22DE2"/>
    <w:rsid w:val="00E24226"/>
    <w:rsid w:val="00E25759"/>
    <w:rsid w:val="00E26148"/>
    <w:rsid w:val="00E35D21"/>
    <w:rsid w:val="00E44386"/>
    <w:rsid w:val="00E47FC5"/>
    <w:rsid w:val="00E53E21"/>
    <w:rsid w:val="00E55671"/>
    <w:rsid w:val="00E56C37"/>
    <w:rsid w:val="00E57FA4"/>
    <w:rsid w:val="00E661EE"/>
    <w:rsid w:val="00E73694"/>
    <w:rsid w:val="00E737C2"/>
    <w:rsid w:val="00E73FD9"/>
    <w:rsid w:val="00E803DD"/>
    <w:rsid w:val="00E83CD6"/>
    <w:rsid w:val="00E87805"/>
    <w:rsid w:val="00E93D5F"/>
    <w:rsid w:val="00EA26E8"/>
    <w:rsid w:val="00EA5D29"/>
    <w:rsid w:val="00EA6D54"/>
    <w:rsid w:val="00EB1DB8"/>
    <w:rsid w:val="00EB2A9B"/>
    <w:rsid w:val="00ED7292"/>
    <w:rsid w:val="00EE1A85"/>
    <w:rsid w:val="00EE2561"/>
    <w:rsid w:val="00EE5CA8"/>
    <w:rsid w:val="00EF2778"/>
    <w:rsid w:val="00EF77B0"/>
    <w:rsid w:val="00F0043C"/>
    <w:rsid w:val="00F004EA"/>
    <w:rsid w:val="00F02CCA"/>
    <w:rsid w:val="00F02D78"/>
    <w:rsid w:val="00F05BBE"/>
    <w:rsid w:val="00F120E0"/>
    <w:rsid w:val="00F14E42"/>
    <w:rsid w:val="00F1671B"/>
    <w:rsid w:val="00F17C62"/>
    <w:rsid w:val="00F243C4"/>
    <w:rsid w:val="00F30C9B"/>
    <w:rsid w:val="00F41675"/>
    <w:rsid w:val="00F42FA3"/>
    <w:rsid w:val="00F51A83"/>
    <w:rsid w:val="00F550B5"/>
    <w:rsid w:val="00F5724A"/>
    <w:rsid w:val="00F57C6F"/>
    <w:rsid w:val="00F61FB3"/>
    <w:rsid w:val="00F62C4A"/>
    <w:rsid w:val="00F75C6D"/>
    <w:rsid w:val="00F80681"/>
    <w:rsid w:val="00F96999"/>
    <w:rsid w:val="00F9760A"/>
    <w:rsid w:val="00FB3AF0"/>
    <w:rsid w:val="00FC3666"/>
    <w:rsid w:val="00FD5D54"/>
    <w:rsid w:val="00FE221D"/>
    <w:rsid w:val="00FE287C"/>
    <w:rsid w:val="00FE2CA2"/>
    <w:rsid w:val="00FF2A13"/>
    <w:rsid w:val="00FF3E43"/>
    <w:rsid w:val="00FF46CB"/>
    <w:rsid w:val="00FF753A"/>
    <w:rsid w:val="30C908C5"/>
    <w:rsid w:val="329F48E9"/>
    <w:rsid w:val="3A4B1AD0"/>
    <w:rsid w:val="3C57062B"/>
    <w:rsid w:val="49D71B37"/>
    <w:rsid w:val="4B995918"/>
    <w:rsid w:val="53126189"/>
    <w:rsid w:val="5C7E0AD1"/>
    <w:rsid w:val="66551CA1"/>
    <w:rsid w:val="674E711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AU" w:eastAsia="zh-CN"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after="0" w:line="240" w:lineRule="auto"/>
    </w:pPr>
    <w:rPr>
      <w:rFonts w:ascii="Tahoma" w:hAnsi="Tahoma" w:cs="Tahoma"/>
      <w:sz w:val="16"/>
      <w:szCs w:val="16"/>
    </w:rPr>
  </w:style>
  <w:style w:type="paragraph" w:styleId="3">
    <w:name w:val="footer"/>
    <w:basedOn w:val="1"/>
    <w:link w:val="8"/>
    <w:uiPriority w:val="99"/>
    <w:pPr>
      <w:tabs>
        <w:tab w:val="center" w:pos="4153"/>
        <w:tab w:val="right" w:pos="8306"/>
      </w:tabs>
      <w:spacing w:after="0" w:line="240" w:lineRule="auto"/>
    </w:pPr>
    <w:rPr>
      <w:rFonts w:ascii="Times New Roman" w:hAnsi="Times New Roman" w:eastAsia="Times New Roman" w:cs="Times New Roman"/>
      <w:sz w:val="24"/>
      <w:szCs w:val="24"/>
      <w:lang w:val="zh-CN" w:eastAsia="zh-CN"/>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oter Char"/>
    <w:basedOn w:val="4"/>
    <w:link w:val="3"/>
    <w:qFormat/>
    <w:uiPriority w:val="99"/>
    <w:rPr>
      <w:rFonts w:ascii="Times New Roman" w:hAnsi="Times New Roman" w:eastAsia="Times New Roman" w:cs="Times New Roman"/>
      <w:sz w:val="24"/>
      <w:szCs w:val="24"/>
      <w:lang w:val="zh-CN" w:eastAsia="zh-CN"/>
    </w:rPr>
  </w:style>
  <w:style w:type="character" w:customStyle="1" w:styleId="9">
    <w:name w:val="Balloon Text Char"/>
    <w:basedOn w:val="4"/>
    <w:link w:val="2"/>
    <w:semiHidden/>
    <w:qFormat/>
    <w:uiPriority w:val="99"/>
    <w:rPr>
      <w:rFonts w:ascii="Tahoma" w:hAnsi="Tahoma" w:cs="Tahoma"/>
      <w:sz w:val="16"/>
      <w:szCs w:val="16"/>
    </w:rPr>
  </w:style>
  <w:style w:type="paragraph" w:customStyle="1"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Monash University</Company>
  <Pages>1</Pages>
  <Words>117</Words>
  <Characters>671</Characters>
  <Lines>5</Lines>
  <Paragraphs>1</Paragraphs>
  <ScaleCrop>false</ScaleCrop>
  <LinksUpToDate>false</LinksUpToDate>
  <CharactersWithSpaces>787</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2017-06-16T05:55:00Z</dcterms:created>
  <dc:creator>John Mckie</dc:creator>
  <cp:lastModifiedBy>j-r-m</cp:lastModifiedBy>
  <cp:lastPrinted>2016-04-19T04:19:00Z</cp:lastPrinted>
  <dcterms:modified xsi:type="dcterms:W3CDTF">2018-04-01T04:52:06Z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