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30487" w14:textId="7B14D478" w:rsidR="004F0202" w:rsidRDefault="004F0202" w:rsidP="006514E6">
      <w:pPr>
        <w:rPr>
          <w:rFonts w:ascii="Cambria" w:hAnsi="Cambria"/>
          <w:b/>
          <w:bCs/>
        </w:rPr>
      </w:pPr>
      <w:r>
        <w:rPr>
          <w:rFonts w:ascii="Cambria" w:hAnsi="Cambria"/>
          <w:b/>
          <w:bCs/>
        </w:rPr>
        <w:t>Appendix</w:t>
      </w:r>
    </w:p>
    <w:p w14:paraId="7AA4C171" w14:textId="12D182BE" w:rsidR="006514E6" w:rsidRPr="004F0202" w:rsidRDefault="004F0202" w:rsidP="006514E6">
      <w:r>
        <w:rPr>
          <w:rFonts w:ascii="Cambria" w:hAnsi="Cambria"/>
          <w:b/>
          <w:bCs/>
        </w:rPr>
        <w:t>D</w:t>
      </w:r>
      <w:r w:rsidR="006A4152" w:rsidRPr="006A4152">
        <w:rPr>
          <w:rFonts w:ascii="Cambria" w:hAnsi="Cambria"/>
          <w:b/>
          <w:bCs/>
        </w:rPr>
        <w:t xml:space="preserve">escription of Automated Text Analysis </w:t>
      </w:r>
    </w:p>
    <w:p w14:paraId="1D9DF434" w14:textId="5EF16CE2" w:rsidR="006514E6" w:rsidRDefault="00F61D60" w:rsidP="006514E6">
      <w:pPr>
        <w:rPr>
          <w:rFonts w:ascii="Cambria" w:hAnsi="Cambria"/>
        </w:rPr>
      </w:pPr>
      <w:r>
        <w:rPr>
          <w:rFonts w:ascii="Cambria" w:hAnsi="Cambria"/>
        </w:rPr>
        <w:t xml:space="preserve">Data analyses were conducted using </w:t>
      </w:r>
      <w:proofErr w:type="spellStart"/>
      <w:r w:rsidR="006514E6">
        <w:rPr>
          <w:rFonts w:ascii="Cambria" w:hAnsi="Cambria"/>
        </w:rPr>
        <w:t>WordStat</w:t>
      </w:r>
      <w:proofErr w:type="spellEnd"/>
      <w:r w:rsidR="006514E6">
        <w:rPr>
          <w:rFonts w:ascii="Cambria" w:hAnsi="Cambria"/>
        </w:rPr>
        <w:t>, an automated text analysis program that allowed us to examine key frames in the text. Consistent with common practices in the field of automated text analysis (</w:t>
      </w:r>
      <w:r w:rsidR="006514E6" w:rsidRPr="007C3625">
        <w:rPr>
          <w:rFonts w:ascii="Cambria" w:hAnsi="Cambria"/>
        </w:rPr>
        <w:t xml:space="preserve">see </w:t>
      </w:r>
      <w:r w:rsidR="007C3625">
        <w:rPr>
          <w:rFonts w:ascii="Cambria" w:hAnsi="Cambria"/>
        </w:rPr>
        <w:t xml:space="preserve">Wallace </w:t>
      </w:r>
      <w:r w:rsidR="006514E6" w:rsidRPr="007C3625">
        <w:rPr>
          <w:rFonts w:ascii="Cambria" w:hAnsi="Cambria"/>
        </w:rPr>
        <w:t>2018</w:t>
      </w:r>
      <w:r w:rsidR="00EF53A1" w:rsidRPr="007C3625">
        <w:rPr>
          <w:rFonts w:ascii="Cambria" w:hAnsi="Cambria"/>
        </w:rPr>
        <w:t xml:space="preserve">; </w:t>
      </w:r>
      <w:r w:rsidR="007C3625">
        <w:rPr>
          <w:rFonts w:ascii="Cambria" w:hAnsi="Cambria"/>
        </w:rPr>
        <w:t>Wallace and Goodyear-Grant 2020</w:t>
      </w:r>
      <w:r w:rsidR="006514E6">
        <w:rPr>
          <w:rFonts w:ascii="Cambria" w:hAnsi="Cambria"/>
        </w:rPr>
        <w:t xml:space="preserve">), we began by extracting the most common words and phrases utilized in the news sample and, using </w:t>
      </w:r>
      <w:proofErr w:type="spellStart"/>
      <w:r w:rsidR="006514E6">
        <w:rPr>
          <w:rFonts w:ascii="Cambria" w:hAnsi="Cambria"/>
        </w:rPr>
        <w:t>WordStat’s</w:t>
      </w:r>
      <w:proofErr w:type="spellEnd"/>
      <w:r w:rsidR="006514E6">
        <w:rPr>
          <w:rFonts w:ascii="Cambria" w:hAnsi="Cambria"/>
        </w:rPr>
        <w:t xml:space="preserve"> dendrogram function, explored the co-occurrences of such terms across the articles under study. </w:t>
      </w:r>
      <w:r w:rsidR="004F0202">
        <w:rPr>
          <w:rFonts w:ascii="Cambria" w:hAnsi="Cambria"/>
        </w:rPr>
        <w:t>T</w:t>
      </w:r>
      <w:r w:rsidR="00EF53A1">
        <w:rPr>
          <w:rFonts w:ascii="Cambria" w:hAnsi="Cambria"/>
        </w:rPr>
        <w:t xml:space="preserve">his function of the program uses Jaccard’s coefficient to determine the co-occurrence of keywords in each article in the sample, which highlights the core underlying themes in the corpus. </w:t>
      </w:r>
      <w:r w:rsidR="006514E6">
        <w:rPr>
          <w:rFonts w:ascii="Cambria" w:hAnsi="Cambria"/>
        </w:rPr>
        <w:t xml:space="preserve">We identified four core </w:t>
      </w:r>
      <w:r>
        <w:rPr>
          <w:rFonts w:ascii="Cambria" w:hAnsi="Cambria"/>
        </w:rPr>
        <w:t xml:space="preserve">themes </w:t>
      </w:r>
      <w:r w:rsidR="006514E6">
        <w:rPr>
          <w:rFonts w:ascii="Cambria" w:hAnsi="Cambria"/>
        </w:rPr>
        <w:t xml:space="preserve">pertaining to child care in the </w:t>
      </w:r>
      <w:r>
        <w:rPr>
          <w:rFonts w:ascii="Cambria" w:hAnsi="Cambria"/>
        </w:rPr>
        <w:t>coverage</w:t>
      </w:r>
      <w:r w:rsidR="006514E6">
        <w:rPr>
          <w:rFonts w:ascii="Cambria" w:hAnsi="Cambria"/>
        </w:rPr>
        <w:t>, and further fleshed out the four dictionaries by adding related terms</w:t>
      </w:r>
      <w:r w:rsidR="00EF53A1">
        <w:rPr>
          <w:rFonts w:ascii="Cambria" w:hAnsi="Cambria"/>
        </w:rPr>
        <w:t xml:space="preserve">, as well as </w:t>
      </w:r>
      <w:r w:rsidR="006514E6">
        <w:rPr>
          <w:rFonts w:ascii="Cambria" w:hAnsi="Cambria"/>
        </w:rPr>
        <w:t xml:space="preserve">inclusion or exclusion rules to ensure only the intended use of keywords were retrieved by the dictionaries. </w:t>
      </w:r>
      <w:r w:rsidR="00EF53A1">
        <w:rPr>
          <w:rFonts w:ascii="Cambria" w:hAnsi="Cambria"/>
        </w:rPr>
        <w:t>This meant, for example, in the economic dictionary that we only included references to recovery (“recover*”) that mentioned the economy (“</w:t>
      </w:r>
      <w:proofErr w:type="spellStart"/>
      <w:r w:rsidR="00EF53A1">
        <w:rPr>
          <w:rFonts w:ascii="Cambria" w:hAnsi="Cambria"/>
        </w:rPr>
        <w:t>econom</w:t>
      </w:r>
      <w:proofErr w:type="spellEnd"/>
      <w:r w:rsidR="00EF53A1">
        <w:rPr>
          <w:rFonts w:ascii="Cambria" w:hAnsi="Cambria"/>
        </w:rPr>
        <w:t>*”)</w:t>
      </w:r>
      <w:r w:rsidR="008333B7">
        <w:rPr>
          <w:rFonts w:ascii="Cambria" w:hAnsi="Cambria"/>
        </w:rPr>
        <w:t xml:space="preserve"> in the same sentence</w:t>
      </w:r>
      <w:r w:rsidR="00EF53A1">
        <w:rPr>
          <w:rFonts w:ascii="Cambria" w:hAnsi="Cambria"/>
        </w:rPr>
        <w:t xml:space="preserve">, to ensure that the dictionary did not count references to patients recovering from the virus. </w:t>
      </w:r>
    </w:p>
    <w:p w14:paraId="13D45429" w14:textId="2CF2A6C5" w:rsidR="00EF53A1" w:rsidRDefault="00EF53A1" w:rsidP="00EF53A1">
      <w:pPr>
        <w:rPr>
          <w:rFonts w:ascii="Cambria" w:hAnsi="Cambria"/>
        </w:rPr>
      </w:pPr>
      <w:r w:rsidRPr="00EF53A1">
        <w:rPr>
          <w:rFonts w:ascii="Cambria" w:hAnsi="Cambria"/>
        </w:rPr>
        <w:t xml:space="preserve">Although automated coding is generally very </w:t>
      </w:r>
      <w:r w:rsidR="00C661A3">
        <w:rPr>
          <w:rFonts w:ascii="Cambria" w:hAnsi="Cambria"/>
        </w:rPr>
        <w:t xml:space="preserve">efficient and </w:t>
      </w:r>
      <w:r w:rsidRPr="00EF53A1">
        <w:rPr>
          <w:rFonts w:ascii="Cambria" w:hAnsi="Cambria"/>
        </w:rPr>
        <w:t xml:space="preserve">effective, it is still important to manually </w:t>
      </w:r>
      <w:r w:rsidR="00F61D60">
        <w:rPr>
          <w:rFonts w:ascii="Cambria" w:hAnsi="Cambria"/>
        </w:rPr>
        <w:t>validate</w:t>
      </w:r>
      <w:r w:rsidRPr="00EF53A1">
        <w:rPr>
          <w:rFonts w:ascii="Cambria" w:hAnsi="Cambria"/>
        </w:rPr>
        <w:t xml:space="preserve"> results. As such, we checked each dictionary term using the Keyword in Context function and looked at 20% of paragraphs wher</w:t>
      </w:r>
      <w:r>
        <w:rPr>
          <w:rFonts w:ascii="Cambria" w:hAnsi="Cambria"/>
        </w:rPr>
        <w:t xml:space="preserve">e the </w:t>
      </w:r>
      <w:r w:rsidRPr="00EF53A1">
        <w:rPr>
          <w:rFonts w:ascii="Cambria" w:hAnsi="Cambria"/>
        </w:rPr>
        <w:t>term w</w:t>
      </w:r>
      <w:r>
        <w:rPr>
          <w:rFonts w:ascii="Cambria" w:hAnsi="Cambria"/>
        </w:rPr>
        <w:t>as</w:t>
      </w:r>
      <w:r w:rsidRPr="00EF53A1">
        <w:rPr>
          <w:rFonts w:ascii="Cambria" w:hAnsi="Cambria"/>
        </w:rPr>
        <w:t xml:space="preserve"> mentioned to ensure that the context, interpretation, and meaning were correct. Similarly, following from common practices in the field of automated content analysis (e</w:t>
      </w:r>
      <w:r w:rsidR="00F85811">
        <w:rPr>
          <w:rFonts w:ascii="Cambria" w:hAnsi="Cambria"/>
        </w:rPr>
        <w:t>.g.,</w:t>
      </w:r>
      <w:r w:rsidRPr="00EF53A1">
        <w:rPr>
          <w:rFonts w:ascii="Cambria" w:hAnsi="Cambria"/>
        </w:rPr>
        <w:t xml:space="preserve"> </w:t>
      </w:r>
      <w:r w:rsidRPr="00F85811">
        <w:rPr>
          <w:rFonts w:ascii="Cambria" w:hAnsi="Cambria"/>
        </w:rPr>
        <w:t xml:space="preserve">Lawlor and Tolley 2017; </w:t>
      </w:r>
      <w:r w:rsidR="007C3625" w:rsidRPr="00F85811">
        <w:rPr>
          <w:rFonts w:ascii="Cambria" w:hAnsi="Cambria"/>
        </w:rPr>
        <w:t xml:space="preserve">Wallace </w:t>
      </w:r>
      <w:r w:rsidRPr="00F85811">
        <w:rPr>
          <w:rFonts w:ascii="Cambria" w:hAnsi="Cambria"/>
        </w:rPr>
        <w:t xml:space="preserve">2018; </w:t>
      </w:r>
      <w:r w:rsidR="007C3625" w:rsidRPr="00F85811">
        <w:rPr>
          <w:rFonts w:ascii="Cambria" w:hAnsi="Cambria"/>
        </w:rPr>
        <w:t xml:space="preserve">Wallace and Goodyear-Grant </w:t>
      </w:r>
      <w:r w:rsidR="007C3625">
        <w:rPr>
          <w:rFonts w:ascii="Cambria" w:hAnsi="Cambria"/>
        </w:rPr>
        <w:t>2020</w:t>
      </w:r>
      <w:r w:rsidRPr="00EF53A1">
        <w:rPr>
          <w:rFonts w:ascii="Cambria" w:hAnsi="Cambria"/>
        </w:rPr>
        <w:t xml:space="preserve">), we analyzed a random sample of </w:t>
      </w:r>
      <w:r>
        <w:rPr>
          <w:rFonts w:ascii="Cambria" w:hAnsi="Cambria"/>
        </w:rPr>
        <w:t>20</w:t>
      </w:r>
      <w:r w:rsidRPr="00EF53A1">
        <w:rPr>
          <w:rFonts w:ascii="Cambria" w:hAnsi="Cambria"/>
        </w:rPr>
        <w:t>% of the articles</w:t>
      </w:r>
      <w:r>
        <w:rPr>
          <w:rFonts w:ascii="Cambria" w:hAnsi="Cambria"/>
        </w:rPr>
        <w:t xml:space="preserve"> in</w:t>
      </w:r>
      <w:r w:rsidRPr="00EF53A1">
        <w:rPr>
          <w:rFonts w:ascii="Cambria" w:hAnsi="Cambria"/>
        </w:rPr>
        <w:t xml:space="preserve"> the corpus and conducted a manual check to ensure that the coding of the terms in our dictionaries were correct. Errors were corrected and capture-specific rules applied throughout this iterative process until there was at least </w:t>
      </w:r>
      <w:r>
        <w:rPr>
          <w:rFonts w:ascii="Cambria" w:hAnsi="Cambria"/>
        </w:rPr>
        <w:t>90</w:t>
      </w:r>
      <w:r w:rsidRPr="00EF53A1">
        <w:rPr>
          <w:rFonts w:ascii="Cambria" w:hAnsi="Cambria"/>
        </w:rPr>
        <w:t xml:space="preserve">% agreement between automated and manual coding </w:t>
      </w:r>
      <w:r w:rsidR="008333B7">
        <w:rPr>
          <w:rFonts w:ascii="Cambria" w:hAnsi="Cambria"/>
        </w:rPr>
        <w:t>results</w:t>
      </w:r>
      <w:r w:rsidRPr="00EF53A1">
        <w:rPr>
          <w:rFonts w:ascii="Cambria" w:hAnsi="Cambria"/>
        </w:rPr>
        <w:t xml:space="preserve">. </w:t>
      </w:r>
      <w:r>
        <w:rPr>
          <w:rFonts w:ascii="Cambria" w:hAnsi="Cambria"/>
        </w:rPr>
        <w:t xml:space="preserve"> </w:t>
      </w:r>
    </w:p>
    <w:p w14:paraId="47BC34C6" w14:textId="22A192D1" w:rsidR="00EA5DDD" w:rsidRPr="00EF53A1" w:rsidRDefault="00EA5DDD" w:rsidP="00EF53A1">
      <w:pPr>
        <w:rPr>
          <w:rFonts w:ascii="Cambria" w:hAnsi="Cambria"/>
        </w:rPr>
      </w:pPr>
      <w:r>
        <w:rPr>
          <w:rFonts w:ascii="Cambria" w:hAnsi="Cambria"/>
        </w:rPr>
        <w:t>In terms of independent variables, we analyzed the trends in coverage over the timeline and in accordance with the journalists’ gender. The researchers determined the journalists’ gender by searching for journalists’ biographies or portfolios online, deriving their gender from their chosen pronouns. Articles that did not list authors, or where the authors’ biograph</w:t>
      </w:r>
      <w:r w:rsidR="008333B7">
        <w:rPr>
          <w:rFonts w:ascii="Cambria" w:hAnsi="Cambria"/>
        </w:rPr>
        <w:t>ies</w:t>
      </w:r>
      <w:r>
        <w:rPr>
          <w:rFonts w:ascii="Cambria" w:hAnsi="Cambria"/>
        </w:rPr>
        <w:t xml:space="preserve"> could not be found, were excluded from this portion of the analysis. Articles that we</w:t>
      </w:r>
      <w:r w:rsidR="003025FF">
        <w:rPr>
          <w:rFonts w:ascii="Cambria" w:hAnsi="Cambria"/>
        </w:rPr>
        <w:t>re</w:t>
      </w:r>
      <w:r>
        <w:rPr>
          <w:rFonts w:ascii="Cambria" w:hAnsi="Cambria"/>
        </w:rPr>
        <w:t xml:space="preserve"> cowritten by multiple journalists that included at least one female journalist were categorized under women journalists. While this is not a perfect measure that accounts for the diversity of sex and gender</w:t>
      </w:r>
      <w:r w:rsidR="00F85811">
        <w:rPr>
          <w:rFonts w:ascii="Cambria" w:hAnsi="Cambria"/>
        </w:rPr>
        <w:t>—</w:t>
      </w:r>
      <w:r>
        <w:rPr>
          <w:rFonts w:ascii="Cambria" w:hAnsi="Cambria"/>
        </w:rPr>
        <w:t>and the ways that i</w:t>
      </w:r>
      <w:r w:rsidR="008E040A">
        <w:rPr>
          <w:rFonts w:ascii="Cambria" w:hAnsi="Cambria"/>
        </w:rPr>
        <w:t>t could affect one’s positionality in relation to child</w:t>
      </w:r>
      <w:r w:rsidR="00F85811">
        <w:rPr>
          <w:rFonts w:ascii="Cambria" w:hAnsi="Cambria"/>
        </w:rPr>
        <w:t xml:space="preserve"> </w:t>
      </w:r>
      <w:r w:rsidR="008E040A">
        <w:rPr>
          <w:rFonts w:ascii="Cambria" w:hAnsi="Cambria"/>
        </w:rPr>
        <w:t>care and family policy</w:t>
      </w:r>
      <w:r w:rsidR="00F85811">
        <w:rPr>
          <w:rFonts w:ascii="Cambria" w:hAnsi="Cambria"/>
        </w:rPr>
        <w:t>—</w:t>
      </w:r>
      <w:r>
        <w:rPr>
          <w:rFonts w:ascii="Cambria" w:hAnsi="Cambria"/>
        </w:rPr>
        <w:t xml:space="preserve">our goal here was to assess if journalists </w:t>
      </w:r>
      <w:r w:rsidR="003025FF">
        <w:rPr>
          <w:rFonts w:ascii="Cambria" w:hAnsi="Cambria"/>
        </w:rPr>
        <w:t>who</w:t>
      </w:r>
      <w:r>
        <w:rPr>
          <w:rFonts w:ascii="Cambria" w:hAnsi="Cambria"/>
        </w:rPr>
        <w:t xml:space="preserve"> identified as women offered a different account of </w:t>
      </w:r>
      <w:r w:rsidR="004F0202">
        <w:rPr>
          <w:rFonts w:ascii="Cambria" w:hAnsi="Cambria"/>
        </w:rPr>
        <w:t>child</w:t>
      </w:r>
      <w:r w:rsidR="00F85811">
        <w:rPr>
          <w:rFonts w:ascii="Cambria" w:hAnsi="Cambria"/>
        </w:rPr>
        <w:t xml:space="preserve"> </w:t>
      </w:r>
      <w:r w:rsidR="004F0202">
        <w:rPr>
          <w:rFonts w:ascii="Cambria" w:hAnsi="Cambria"/>
        </w:rPr>
        <w:t>care</w:t>
      </w:r>
      <w:r w:rsidR="008E040A">
        <w:rPr>
          <w:rFonts w:ascii="Cambria" w:hAnsi="Cambria"/>
        </w:rPr>
        <w:t xml:space="preserve"> than</w:t>
      </w:r>
      <w:r w:rsidR="003025FF">
        <w:rPr>
          <w:rFonts w:ascii="Cambria" w:hAnsi="Cambria"/>
        </w:rPr>
        <w:t xml:space="preserve"> their men</w:t>
      </w:r>
      <w:r w:rsidR="008E040A">
        <w:rPr>
          <w:rFonts w:ascii="Cambria" w:hAnsi="Cambria"/>
        </w:rPr>
        <w:t xml:space="preserve"> colleagues. We view this as a starting point for future analyses that dig deeper into these more complex questions </w:t>
      </w:r>
      <w:r w:rsidR="004F0202">
        <w:rPr>
          <w:rFonts w:ascii="Cambria" w:hAnsi="Cambria"/>
        </w:rPr>
        <w:t>about critical actors and advocacy work in the area of child</w:t>
      </w:r>
      <w:r w:rsidR="00F85811">
        <w:rPr>
          <w:rFonts w:ascii="Cambria" w:hAnsi="Cambria"/>
        </w:rPr>
        <w:t xml:space="preserve"> </w:t>
      </w:r>
      <w:r w:rsidR="004F0202">
        <w:rPr>
          <w:rFonts w:ascii="Cambria" w:hAnsi="Cambria"/>
        </w:rPr>
        <w:t xml:space="preserve">care policy. </w:t>
      </w:r>
      <w:r w:rsidR="008E040A">
        <w:rPr>
          <w:rFonts w:ascii="Cambria" w:hAnsi="Cambria"/>
        </w:rPr>
        <w:t xml:space="preserve"> </w:t>
      </w:r>
    </w:p>
    <w:p w14:paraId="6B75754C" w14:textId="77777777" w:rsidR="00EF53A1" w:rsidRPr="007833BA" w:rsidRDefault="00EF53A1" w:rsidP="006514E6">
      <w:pPr>
        <w:rPr>
          <w:rFonts w:ascii="Cambria" w:hAnsi="Cambria"/>
        </w:rPr>
      </w:pPr>
    </w:p>
    <w:p w14:paraId="50D0F06F" w14:textId="759D972D" w:rsidR="006514E6" w:rsidRPr="009514F0" w:rsidRDefault="00505146" w:rsidP="009514F0">
      <w:pPr>
        <w:spacing w:line="240" w:lineRule="auto"/>
        <w:rPr>
          <w:rFonts w:ascii="Cambria" w:hAnsi="Cambria"/>
          <w:b/>
          <w:bCs/>
        </w:rPr>
      </w:pPr>
      <w:r w:rsidRPr="009514F0">
        <w:rPr>
          <w:rFonts w:ascii="Cambria" w:hAnsi="Cambria"/>
          <w:b/>
          <w:bCs/>
        </w:rPr>
        <w:t>References</w:t>
      </w:r>
    </w:p>
    <w:p w14:paraId="5270C30B" w14:textId="77777777" w:rsidR="009514F0" w:rsidRPr="009514F0" w:rsidRDefault="009514F0" w:rsidP="009514F0">
      <w:pPr>
        <w:spacing w:line="240" w:lineRule="auto"/>
        <w:ind w:left="720" w:hanging="720"/>
        <w:jc w:val="both"/>
        <w:rPr>
          <w:rFonts w:ascii="Cambria" w:hAnsi="Cambria"/>
          <w:color w:val="000000"/>
        </w:rPr>
      </w:pPr>
      <w:r w:rsidRPr="009514F0">
        <w:rPr>
          <w:rFonts w:ascii="Cambria" w:hAnsi="Cambria"/>
          <w:color w:val="000000"/>
        </w:rPr>
        <w:t xml:space="preserve">Lawlor, Andrea, and Erin Tolley. 2017. “Deciding Who’s Legitimate: News Media Framing of Immigrants and Refugees.” </w:t>
      </w:r>
      <w:r w:rsidRPr="009514F0">
        <w:rPr>
          <w:rFonts w:ascii="Cambria" w:hAnsi="Cambria"/>
          <w:i/>
          <w:iCs/>
          <w:color w:val="000000"/>
        </w:rPr>
        <w:t xml:space="preserve">International Journal of Communication </w:t>
      </w:r>
      <w:r w:rsidRPr="009514F0">
        <w:rPr>
          <w:rFonts w:ascii="Cambria" w:hAnsi="Cambria"/>
          <w:color w:val="000000"/>
        </w:rPr>
        <w:t>11: 25.  </w:t>
      </w:r>
    </w:p>
    <w:p w14:paraId="184C77F4" w14:textId="312A5937" w:rsidR="008E2C74" w:rsidRPr="009514F0" w:rsidRDefault="008E2C74" w:rsidP="009514F0">
      <w:pPr>
        <w:spacing w:line="240" w:lineRule="auto"/>
        <w:ind w:left="720" w:hanging="720"/>
        <w:rPr>
          <w:rFonts w:ascii="Cambria" w:hAnsi="Cambria"/>
          <w:color w:val="000000"/>
        </w:rPr>
      </w:pPr>
      <w:r w:rsidRPr="009514F0">
        <w:rPr>
          <w:rFonts w:ascii="Cambria" w:hAnsi="Cambria"/>
          <w:color w:val="000000"/>
          <w:sz w:val="24"/>
          <w:szCs w:val="24"/>
        </w:rPr>
        <w:t xml:space="preserve">Wallace, Rebecca. 2018. “Contextualizing the Crisis: The Framing of Syrian Refugees in Canadian Print Media.” </w:t>
      </w:r>
      <w:r w:rsidRPr="009514F0">
        <w:rPr>
          <w:rFonts w:ascii="Cambria" w:hAnsi="Cambria"/>
          <w:i/>
          <w:iCs/>
          <w:color w:val="000000"/>
          <w:sz w:val="24"/>
          <w:szCs w:val="24"/>
        </w:rPr>
        <w:t>Canadian Journal of Political Science</w:t>
      </w:r>
      <w:r w:rsidR="00B43610">
        <w:rPr>
          <w:rFonts w:ascii="Cambria" w:hAnsi="Cambria"/>
          <w:i/>
          <w:iCs/>
          <w:color w:val="000000"/>
          <w:sz w:val="24"/>
          <w:szCs w:val="24"/>
        </w:rPr>
        <w:t xml:space="preserve">/Revue </w:t>
      </w:r>
      <w:proofErr w:type="spellStart"/>
      <w:r w:rsidR="00B43610">
        <w:rPr>
          <w:rFonts w:ascii="Cambria" w:hAnsi="Cambria"/>
          <w:i/>
          <w:iCs/>
          <w:color w:val="000000"/>
          <w:sz w:val="24"/>
          <w:szCs w:val="24"/>
        </w:rPr>
        <w:t>canadienne</w:t>
      </w:r>
      <w:proofErr w:type="spellEnd"/>
      <w:r w:rsidR="00B43610">
        <w:rPr>
          <w:rFonts w:ascii="Cambria" w:hAnsi="Cambria"/>
          <w:i/>
          <w:iCs/>
          <w:color w:val="000000"/>
          <w:sz w:val="24"/>
          <w:szCs w:val="24"/>
        </w:rPr>
        <w:t xml:space="preserve"> de science politique</w:t>
      </w:r>
      <w:r w:rsidRPr="009514F0">
        <w:rPr>
          <w:rFonts w:ascii="Cambria" w:hAnsi="Cambria"/>
          <w:i/>
          <w:iCs/>
          <w:color w:val="000000"/>
          <w:sz w:val="24"/>
          <w:szCs w:val="24"/>
        </w:rPr>
        <w:t xml:space="preserve"> </w:t>
      </w:r>
      <w:r w:rsidRPr="009514F0">
        <w:rPr>
          <w:rFonts w:ascii="Cambria" w:hAnsi="Cambria"/>
          <w:color w:val="000000"/>
          <w:sz w:val="24"/>
          <w:szCs w:val="24"/>
        </w:rPr>
        <w:t>51</w:t>
      </w:r>
      <w:r w:rsidR="00B43610">
        <w:rPr>
          <w:rFonts w:ascii="Cambria" w:hAnsi="Cambria"/>
          <w:color w:val="000000"/>
          <w:sz w:val="24"/>
          <w:szCs w:val="24"/>
        </w:rPr>
        <w:t xml:space="preserve"> </w:t>
      </w:r>
      <w:r w:rsidRPr="009514F0">
        <w:rPr>
          <w:rFonts w:ascii="Cambria" w:hAnsi="Cambria"/>
          <w:color w:val="000000"/>
          <w:sz w:val="24"/>
          <w:szCs w:val="24"/>
        </w:rPr>
        <w:t>(2): 207</w:t>
      </w:r>
      <w:r w:rsidR="00B43610">
        <w:rPr>
          <w:rFonts w:ascii="Cambria" w:hAnsi="Cambria"/>
          <w:color w:val="000000"/>
          <w:sz w:val="24"/>
          <w:szCs w:val="24"/>
        </w:rPr>
        <w:t>–</w:t>
      </w:r>
      <w:r w:rsidRPr="009514F0">
        <w:rPr>
          <w:rFonts w:ascii="Cambria" w:hAnsi="Cambria"/>
          <w:color w:val="000000"/>
          <w:sz w:val="24"/>
          <w:szCs w:val="24"/>
        </w:rPr>
        <w:t>31.   </w:t>
      </w:r>
    </w:p>
    <w:p w14:paraId="15905B79" w14:textId="77777777" w:rsidR="00505146" w:rsidRPr="009514F0" w:rsidRDefault="00505146" w:rsidP="009514F0">
      <w:pPr>
        <w:pStyle w:val="dx-doi"/>
        <w:spacing w:before="0" w:beforeAutospacing="0" w:after="0" w:afterAutospacing="0"/>
        <w:ind w:left="720" w:hanging="720"/>
        <w:rPr>
          <w:rFonts w:ascii="Cambria" w:hAnsi="Cambria" w:cs="Arial"/>
          <w:color w:val="333333"/>
          <w:sz w:val="20"/>
          <w:szCs w:val="20"/>
        </w:rPr>
      </w:pPr>
      <w:r w:rsidRPr="009514F0">
        <w:rPr>
          <w:rFonts w:ascii="Cambria" w:hAnsi="Cambria"/>
        </w:rPr>
        <w:lastRenderedPageBreak/>
        <w:t xml:space="preserve">Wallace, Rebecca, and Elizabeth Goodyear-Grant. 2020. “Writing Gender Out or Working It Back In? Media Coverage of Child Benefits in Canada.” </w:t>
      </w:r>
      <w:r w:rsidRPr="009514F0">
        <w:rPr>
          <w:rFonts w:ascii="Cambria" w:hAnsi="Cambria"/>
          <w:i/>
          <w:iCs/>
        </w:rPr>
        <w:t>Journal of Women</w:t>
      </w:r>
      <w:r w:rsidRPr="009514F0">
        <w:rPr>
          <w:rFonts w:ascii="Cambria" w:hAnsi="Cambria"/>
          <w:iCs/>
        </w:rPr>
        <w:t>,</w:t>
      </w:r>
      <w:r w:rsidRPr="009514F0">
        <w:rPr>
          <w:rFonts w:ascii="Cambria" w:hAnsi="Cambria"/>
          <w:i/>
          <w:iCs/>
        </w:rPr>
        <w:t xml:space="preserve"> Politics &amp; Policy</w:t>
      </w:r>
      <w:r w:rsidRPr="009514F0">
        <w:rPr>
          <w:rFonts w:ascii="Cambria" w:hAnsi="Cambria"/>
          <w:iCs/>
        </w:rPr>
        <w:t xml:space="preserve">. Published online August 5. </w:t>
      </w:r>
      <w:hyperlink r:id="rId4" w:history="1">
        <w:r w:rsidRPr="009514F0">
          <w:rPr>
            <w:rStyle w:val="Hyperlink"/>
            <w:rFonts w:ascii="Cambria" w:hAnsi="Cambria"/>
            <w:color w:val="006DB4"/>
          </w:rPr>
          <w:t>https://doi.org/10.1080/1554477X.2020.1783932</w:t>
        </w:r>
      </w:hyperlink>
      <w:r w:rsidRPr="009514F0">
        <w:rPr>
          <w:rFonts w:ascii="Cambria" w:hAnsi="Cambria"/>
          <w:color w:val="333333"/>
        </w:rPr>
        <w:t>.</w:t>
      </w:r>
    </w:p>
    <w:p w14:paraId="39BD9A4D" w14:textId="77777777" w:rsidR="00505146" w:rsidRDefault="00505146"/>
    <w:sectPr w:rsidR="0050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E6"/>
    <w:rsid w:val="000D5C3D"/>
    <w:rsid w:val="003025FF"/>
    <w:rsid w:val="004136B7"/>
    <w:rsid w:val="004F0202"/>
    <w:rsid w:val="00505146"/>
    <w:rsid w:val="005B1B72"/>
    <w:rsid w:val="006313C3"/>
    <w:rsid w:val="006514E6"/>
    <w:rsid w:val="006A4152"/>
    <w:rsid w:val="006D5632"/>
    <w:rsid w:val="00763A68"/>
    <w:rsid w:val="007C3625"/>
    <w:rsid w:val="007F783D"/>
    <w:rsid w:val="00820DC7"/>
    <w:rsid w:val="008333B7"/>
    <w:rsid w:val="008E040A"/>
    <w:rsid w:val="008E2C74"/>
    <w:rsid w:val="009514F0"/>
    <w:rsid w:val="00A41C72"/>
    <w:rsid w:val="00B43610"/>
    <w:rsid w:val="00B841FC"/>
    <w:rsid w:val="00C661A3"/>
    <w:rsid w:val="00D872CC"/>
    <w:rsid w:val="00EA5DDD"/>
    <w:rsid w:val="00EF53A1"/>
    <w:rsid w:val="00F37A29"/>
    <w:rsid w:val="00F61D60"/>
    <w:rsid w:val="00F85811"/>
    <w:rsid w:val="00F9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ECF9"/>
  <w15:chartTrackingRefBased/>
  <w15:docId w15:val="{DA17B058-ECFD-4C08-9422-3B563EBF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D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D60"/>
    <w:rPr>
      <w:rFonts w:ascii="Times New Roman" w:hAnsi="Times New Roman" w:cs="Times New Roman"/>
      <w:sz w:val="18"/>
      <w:szCs w:val="18"/>
    </w:rPr>
  </w:style>
  <w:style w:type="character" w:styleId="Hyperlink">
    <w:name w:val="Hyperlink"/>
    <w:basedOn w:val="DefaultParagraphFont"/>
    <w:uiPriority w:val="99"/>
    <w:semiHidden/>
    <w:unhideWhenUsed/>
    <w:rsid w:val="00505146"/>
    <w:rPr>
      <w:color w:val="0563C1" w:themeColor="hyperlink"/>
      <w:u w:val="single"/>
    </w:rPr>
  </w:style>
  <w:style w:type="paragraph" w:customStyle="1" w:styleId="dx-doi">
    <w:name w:val="dx-doi"/>
    <w:basedOn w:val="Normal"/>
    <w:rsid w:val="005051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1076">
      <w:bodyDiv w:val="1"/>
      <w:marLeft w:val="0"/>
      <w:marRight w:val="0"/>
      <w:marTop w:val="0"/>
      <w:marBottom w:val="0"/>
      <w:divBdr>
        <w:top w:val="none" w:sz="0" w:space="0" w:color="auto"/>
        <w:left w:val="none" w:sz="0" w:space="0" w:color="auto"/>
        <w:bottom w:val="none" w:sz="0" w:space="0" w:color="auto"/>
        <w:right w:val="none" w:sz="0" w:space="0" w:color="auto"/>
      </w:divBdr>
    </w:div>
    <w:div w:id="970094612">
      <w:bodyDiv w:val="1"/>
      <w:marLeft w:val="0"/>
      <w:marRight w:val="0"/>
      <w:marTop w:val="0"/>
      <w:marBottom w:val="0"/>
      <w:divBdr>
        <w:top w:val="none" w:sz="0" w:space="0" w:color="auto"/>
        <w:left w:val="none" w:sz="0" w:space="0" w:color="auto"/>
        <w:bottom w:val="none" w:sz="0" w:space="0" w:color="auto"/>
        <w:right w:val="none" w:sz="0" w:space="0" w:color="auto"/>
      </w:divBdr>
    </w:div>
    <w:div w:id="13641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80/1554477X.2020.1783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Wallace</dc:creator>
  <cp:keywords/>
  <dc:description/>
  <cp:lastModifiedBy>Deborah Ring</cp:lastModifiedBy>
  <cp:revision>10</cp:revision>
  <dcterms:created xsi:type="dcterms:W3CDTF">2020-09-01T17:29:00Z</dcterms:created>
  <dcterms:modified xsi:type="dcterms:W3CDTF">2020-09-03T20:09:00Z</dcterms:modified>
</cp:coreProperties>
</file>