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9" w:rsidRPr="00175817" w:rsidRDefault="00175817" w:rsidP="0028335B">
      <w:pPr>
        <w:rPr>
          <w:rFonts w:ascii="Times New Roman" w:hAnsi="Times New Roman" w:cs="Times New Roman"/>
          <w:b/>
          <w:sz w:val="24"/>
          <w:szCs w:val="24"/>
        </w:rPr>
      </w:pPr>
      <w:r w:rsidRPr="00175817">
        <w:rPr>
          <w:rFonts w:ascii="Times New Roman" w:hAnsi="Times New Roman" w:cs="Times New Roman"/>
          <w:b/>
          <w:sz w:val="24"/>
          <w:szCs w:val="24"/>
        </w:rPr>
        <w:t>SUPPLEMETARY MATERIAL</w:t>
      </w:r>
    </w:p>
    <w:p w:rsidR="00175817" w:rsidRPr="0089153C" w:rsidRDefault="00175817" w:rsidP="00175817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Effect</w:t>
      </w:r>
      <w:r w:rsidRPr="0089153C">
        <w:rPr>
          <w:rFonts w:ascii="Times New Roman" w:hAnsi="Times New Roman"/>
          <w:b/>
          <w:sz w:val="24"/>
          <w:szCs w:val="24"/>
        </w:rPr>
        <w:t xml:space="preserve"> of bitter gourd (Cucurbitaceae) foliar constituents on development and reproduction of </w:t>
      </w:r>
      <w:r w:rsidRPr="0089153C">
        <w:rPr>
          <w:rFonts w:ascii="Times New Roman" w:hAnsi="Times New Roman"/>
          <w:b/>
          <w:i/>
          <w:sz w:val="24"/>
          <w:szCs w:val="24"/>
        </w:rPr>
        <w:t>Epilachna dodecastigma</w:t>
      </w:r>
      <w:r w:rsidRPr="0089153C">
        <w:rPr>
          <w:rFonts w:ascii="Times New Roman" w:hAnsi="Times New Roman"/>
          <w:b/>
          <w:sz w:val="24"/>
          <w:szCs w:val="24"/>
        </w:rPr>
        <w:t xml:space="preserve"> (Weid.) (Coleoptera: Coccinellidae)</w:t>
      </w:r>
    </w:p>
    <w:p w:rsidR="00175817" w:rsidRPr="0089153C" w:rsidRDefault="00175817" w:rsidP="0017581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9153C">
        <w:rPr>
          <w:rFonts w:ascii="Times New Roman" w:hAnsi="Times New Roman"/>
          <w:b/>
          <w:sz w:val="24"/>
          <w:szCs w:val="24"/>
        </w:rPr>
        <w:t>Nupur Sarkar, Abhishek Mukherjee and Anandamay Barik*</w:t>
      </w:r>
    </w:p>
    <w:p w:rsidR="00175817" w:rsidRPr="0089153C" w:rsidRDefault="00175817" w:rsidP="00175817">
      <w:pPr>
        <w:spacing w:line="480" w:lineRule="auto"/>
        <w:rPr>
          <w:rFonts w:ascii="Times New Roman" w:hAnsi="Times New Roman"/>
          <w:sz w:val="24"/>
          <w:szCs w:val="24"/>
        </w:rPr>
      </w:pPr>
      <w:r w:rsidRPr="0089153C">
        <w:rPr>
          <w:rFonts w:ascii="Times New Roman" w:hAnsi="Times New Roman"/>
          <w:sz w:val="24"/>
          <w:szCs w:val="24"/>
        </w:rPr>
        <w:t>Ecology Research Laboratory, Department of Zoology, The University of Burdwan, Burdwan – 713 104, West Bengal, India</w:t>
      </w:r>
    </w:p>
    <w:p w:rsidR="00175817" w:rsidRPr="0089153C" w:rsidRDefault="00175817" w:rsidP="00175817">
      <w:pPr>
        <w:spacing w:line="480" w:lineRule="auto"/>
        <w:rPr>
          <w:rFonts w:ascii="Times New Roman" w:hAnsi="Times New Roman"/>
          <w:sz w:val="24"/>
          <w:szCs w:val="24"/>
        </w:rPr>
      </w:pPr>
      <w:r w:rsidRPr="0089153C">
        <w:rPr>
          <w:rFonts w:ascii="Times New Roman" w:hAnsi="Times New Roman"/>
          <w:sz w:val="24"/>
          <w:szCs w:val="24"/>
        </w:rPr>
        <w:t xml:space="preserve">*e–mail: </w:t>
      </w:r>
      <w:hyperlink r:id="rId6" w:history="1">
        <w:r w:rsidRPr="0017581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anandamaybarik@yahoo.co.in</w:t>
        </w:r>
      </w:hyperlink>
      <w:r w:rsidRPr="0089153C">
        <w:rPr>
          <w:rFonts w:ascii="Times New Roman" w:hAnsi="Times New Roman"/>
          <w:sz w:val="24"/>
          <w:szCs w:val="24"/>
        </w:rPr>
        <w:t>; Tel.: 0342 2634200; Fax: 0342 2634200</w:t>
      </w: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175817" w:rsidRDefault="00175817" w:rsidP="0028335B">
      <w:pPr>
        <w:rPr>
          <w:rFonts w:ascii="Times New Roman" w:hAnsi="Times New Roman" w:cs="Times New Roman"/>
          <w:sz w:val="24"/>
          <w:szCs w:val="24"/>
        </w:rPr>
      </w:pPr>
    </w:p>
    <w:p w:rsidR="00C43F29" w:rsidRPr="00C43F29" w:rsidRDefault="00C43F29" w:rsidP="00C43F2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3C">
        <w:rPr>
          <w:rFonts w:ascii="Times New Roman" w:hAnsi="Times New Roman"/>
          <w:b/>
          <w:sz w:val="24"/>
          <w:szCs w:val="24"/>
        </w:rPr>
        <w:lastRenderedPageBreak/>
        <w:t>Results</w:t>
      </w:r>
    </w:p>
    <w:p w:rsidR="00C43F29" w:rsidRPr="0089153C" w:rsidRDefault="00C43F29" w:rsidP="00C43F29">
      <w:pPr>
        <w:spacing w:line="48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9153C">
        <w:rPr>
          <w:rFonts w:ascii="Times New Roman" w:eastAsia="Times New Roman" w:hAnsi="Times New Roman"/>
          <w:i/>
          <w:sz w:val="24"/>
          <w:szCs w:val="24"/>
        </w:rPr>
        <w:t>Food utilization efficiency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of first, second and third instar larvae of E. dodecastigma </w:t>
      </w:r>
    </w:p>
    <w:p w:rsidR="00C43F29" w:rsidRPr="0089153C" w:rsidRDefault="00C43F29" w:rsidP="00C43F2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9153C">
        <w:rPr>
          <w:rFonts w:ascii="Times New Roman" w:hAnsi="Times New Roman"/>
          <w:sz w:val="24"/>
          <w:szCs w:val="24"/>
        </w:rPr>
        <w:t xml:space="preserve">The data in </w:t>
      </w:r>
      <w:r>
        <w:rPr>
          <w:rFonts w:ascii="Times New Roman" w:hAnsi="Times New Roman"/>
          <w:sz w:val="24"/>
          <w:szCs w:val="24"/>
        </w:rPr>
        <w:t>Supplementary Table 1a</w:t>
      </w:r>
      <w:r w:rsidRPr="0089153C">
        <w:rPr>
          <w:rFonts w:ascii="Times New Roman" w:hAnsi="Times New Roman"/>
          <w:sz w:val="24"/>
          <w:szCs w:val="24"/>
        </w:rPr>
        <w:t xml:space="preserve"> provides food utilization efficiency measures of first instar larvae of </w:t>
      </w:r>
      <w:r w:rsidRPr="0089153C">
        <w:rPr>
          <w:rFonts w:ascii="Times New Roman" w:hAnsi="Times New Roman"/>
          <w:i/>
          <w:sz w:val="24"/>
          <w:szCs w:val="24"/>
        </w:rPr>
        <w:t>E. dodecastigma</w:t>
      </w:r>
      <w:r w:rsidRPr="0089153C">
        <w:rPr>
          <w:rFonts w:ascii="Times New Roman" w:hAnsi="Times New Roman"/>
          <w:sz w:val="24"/>
          <w:szCs w:val="24"/>
        </w:rPr>
        <w:t xml:space="preserve"> fed on three types of bitter gourd leaves. Greater values of GR were</w:t>
      </w:r>
      <w:r w:rsidR="00CB2344">
        <w:rPr>
          <w:rFonts w:ascii="Times New Roman" w:hAnsi="Times New Roman"/>
          <w:sz w:val="24"/>
          <w:szCs w:val="24"/>
        </w:rPr>
        <w:t xml:space="preserve"> recorded in insects reared on</w:t>
      </w:r>
      <w:r w:rsidRPr="0089153C">
        <w:rPr>
          <w:rFonts w:ascii="Times New Roman" w:hAnsi="Times New Roman"/>
          <w:sz w:val="24"/>
          <w:szCs w:val="24"/>
        </w:rPr>
        <w:t xml:space="preserve"> young and mature leaves and were significantly lower on senescent leaves. CR value </w:t>
      </w:r>
      <w:r w:rsidR="00CB2344">
        <w:rPr>
          <w:rFonts w:ascii="Times New Roman" w:hAnsi="Times New Roman"/>
          <w:sz w:val="24"/>
          <w:szCs w:val="24"/>
        </w:rPr>
        <w:t>was greatest in insects fed on</w:t>
      </w:r>
      <w:r w:rsidRPr="0089153C">
        <w:rPr>
          <w:rFonts w:ascii="Times New Roman" w:hAnsi="Times New Roman"/>
          <w:sz w:val="24"/>
          <w:szCs w:val="24"/>
        </w:rPr>
        <w:t xml:space="preserve"> mature leaves than young and senescent leaves. RGR values were</w:t>
      </w:r>
      <w:r w:rsidR="00CF032D">
        <w:rPr>
          <w:rFonts w:ascii="Times New Roman" w:hAnsi="Times New Roman"/>
          <w:sz w:val="24"/>
          <w:szCs w:val="24"/>
        </w:rPr>
        <w:t xml:space="preserve"> recorded comparatively higher o</w:t>
      </w:r>
      <w:r w:rsidRPr="0089153C">
        <w:rPr>
          <w:rFonts w:ascii="Times New Roman" w:hAnsi="Times New Roman"/>
          <w:sz w:val="24"/>
          <w:szCs w:val="24"/>
        </w:rPr>
        <w:t>n young and mature leaves than senescent leaves. There were no significant differences in CI when the insects we</w:t>
      </w:r>
      <w:r w:rsidR="00CB2344">
        <w:rPr>
          <w:rFonts w:ascii="Times New Roman" w:hAnsi="Times New Roman"/>
          <w:sz w:val="24"/>
          <w:szCs w:val="24"/>
        </w:rPr>
        <w:t>re fed on</w:t>
      </w:r>
      <w:r w:rsidRPr="0089153C">
        <w:rPr>
          <w:rFonts w:ascii="Times New Roman" w:hAnsi="Times New Roman"/>
          <w:sz w:val="24"/>
          <w:szCs w:val="24"/>
        </w:rPr>
        <w:t xml:space="preserve"> three types of leaves. The value of AD was almost same between all the treatments. ECI and ECD values </w:t>
      </w:r>
      <w:r w:rsidR="00CB2344">
        <w:rPr>
          <w:rFonts w:ascii="Times New Roman" w:hAnsi="Times New Roman"/>
          <w:sz w:val="24"/>
          <w:szCs w:val="24"/>
        </w:rPr>
        <w:t>were greater in insects fed on</w:t>
      </w:r>
      <w:r w:rsidR="00CF032D">
        <w:rPr>
          <w:rFonts w:ascii="Times New Roman" w:hAnsi="Times New Roman"/>
          <w:sz w:val="24"/>
          <w:szCs w:val="24"/>
        </w:rPr>
        <w:t xml:space="preserve"> young and mature leaves than</w:t>
      </w:r>
      <w:r w:rsidRPr="0089153C">
        <w:rPr>
          <w:rFonts w:ascii="Times New Roman" w:hAnsi="Times New Roman"/>
          <w:sz w:val="24"/>
          <w:szCs w:val="24"/>
        </w:rPr>
        <w:t xml:space="preserve"> senescent leaves. </w:t>
      </w:r>
      <w:r w:rsidR="00CB2344">
        <w:rPr>
          <w:rFonts w:ascii="Times New Roman" w:hAnsi="Times New Roman"/>
          <w:sz w:val="24"/>
          <w:szCs w:val="24"/>
        </w:rPr>
        <w:t>L</w:t>
      </w:r>
      <w:r w:rsidRPr="0089153C">
        <w:rPr>
          <w:rFonts w:ascii="Times New Roman" w:hAnsi="Times New Roman"/>
          <w:sz w:val="24"/>
          <w:szCs w:val="24"/>
        </w:rPr>
        <w:t>arv</w:t>
      </w:r>
      <w:r w:rsidR="00CF032D">
        <w:rPr>
          <w:rFonts w:ascii="Times New Roman" w:hAnsi="Times New Roman"/>
          <w:sz w:val="24"/>
          <w:szCs w:val="24"/>
        </w:rPr>
        <w:t>al survivability (LS) was best on mature leaves, least o</w:t>
      </w:r>
      <w:r w:rsidRPr="0089153C">
        <w:rPr>
          <w:rFonts w:ascii="Times New Roman" w:hAnsi="Times New Roman"/>
          <w:sz w:val="24"/>
          <w:szCs w:val="24"/>
        </w:rPr>
        <w:t>n sene</w:t>
      </w:r>
      <w:r w:rsidR="00CF032D">
        <w:rPr>
          <w:rFonts w:ascii="Times New Roman" w:hAnsi="Times New Roman"/>
          <w:sz w:val="24"/>
          <w:szCs w:val="24"/>
        </w:rPr>
        <w:t>scent leaves and intermediate o</w:t>
      </w:r>
      <w:r w:rsidRPr="0089153C">
        <w:rPr>
          <w:rFonts w:ascii="Times New Roman" w:hAnsi="Times New Roman"/>
          <w:sz w:val="24"/>
          <w:szCs w:val="24"/>
        </w:rPr>
        <w:t xml:space="preserve">n young leaves.   </w:t>
      </w:r>
    </w:p>
    <w:p w:rsidR="00C43F29" w:rsidRPr="0089153C" w:rsidRDefault="00C43F29" w:rsidP="00C43F2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Table 1b</w:t>
      </w:r>
      <w:r w:rsidRPr="0089153C">
        <w:rPr>
          <w:rFonts w:ascii="Times New Roman" w:hAnsi="Times New Roman"/>
          <w:sz w:val="24"/>
          <w:szCs w:val="24"/>
        </w:rPr>
        <w:t xml:space="preserve"> shows food utilization efficiency measures of second instar larvae of </w:t>
      </w:r>
      <w:r w:rsidRPr="0089153C">
        <w:rPr>
          <w:rFonts w:ascii="Times New Roman" w:hAnsi="Times New Roman"/>
          <w:i/>
          <w:sz w:val="24"/>
          <w:szCs w:val="24"/>
        </w:rPr>
        <w:t>E. dodecastigma</w:t>
      </w:r>
      <w:r>
        <w:rPr>
          <w:rFonts w:ascii="Times New Roman" w:hAnsi="Times New Roman"/>
          <w:sz w:val="24"/>
          <w:szCs w:val="24"/>
        </w:rPr>
        <w:t>.</w:t>
      </w:r>
      <w:r w:rsidRPr="0089153C">
        <w:rPr>
          <w:rFonts w:ascii="Times New Roman" w:hAnsi="Times New Roman"/>
          <w:sz w:val="24"/>
          <w:szCs w:val="24"/>
        </w:rPr>
        <w:t xml:space="preserve"> Higher GR values we</w:t>
      </w:r>
      <w:r w:rsidR="00CB2344">
        <w:rPr>
          <w:rFonts w:ascii="Times New Roman" w:hAnsi="Times New Roman"/>
          <w:sz w:val="24"/>
          <w:szCs w:val="24"/>
        </w:rPr>
        <w:t>re recorded for insects fed on</w:t>
      </w:r>
      <w:r w:rsidRPr="0089153C">
        <w:rPr>
          <w:rFonts w:ascii="Times New Roman" w:hAnsi="Times New Roman"/>
          <w:sz w:val="24"/>
          <w:szCs w:val="24"/>
        </w:rPr>
        <w:t xml:space="preserve"> you</w:t>
      </w:r>
      <w:r w:rsidR="00CB2344">
        <w:rPr>
          <w:rFonts w:ascii="Times New Roman" w:hAnsi="Times New Roman"/>
          <w:sz w:val="24"/>
          <w:szCs w:val="24"/>
        </w:rPr>
        <w:t>ng and mature leaves compared to</w:t>
      </w:r>
      <w:r w:rsidRPr="0089153C">
        <w:rPr>
          <w:rFonts w:ascii="Times New Roman" w:hAnsi="Times New Roman"/>
          <w:sz w:val="24"/>
          <w:szCs w:val="24"/>
        </w:rPr>
        <w:t xml:space="preserve"> senescent leaves. There were significant differences in CR between all </w:t>
      </w:r>
      <w:r w:rsidR="00CB2344">
        <w:rPr>
          <w:rFonts w:ascii="Times New Roman" w:hAnsi="Times New Roman"/>
          <w:sz w:val="24"/>
          <w:szCs w:val="24"/>
        </w:rPr>
        <w:t xml:space="preserve">the </w:t>
      </w:r>
      <w:r w:rsidRPr="0089153C">
        <w:rPr>
          <w:rFonts w:ascii="Times New Roman" w:hAnsi="Times New Roman"/>
          <w:sz w:val="24"/>
          <w:szCs w:val="24"/>
        </w:rPr>
        <w:t xml:space="preserve">treatments. CR value </w:t>
      </w:r>
      <w:r w:rsidR="00CB2344">
        <w:rPr>
          <w:rFonts w:ascii="Times New Roman" w:hAnsi="Times New Roman"/>
          <w:sz w:val="24"/>
          <w:szCs w:val="24"/>
        </w:rPr>
        <w:t>was greatest in insects fed on</w:t>
      </w:r>
      <w:r w:rsidRPr="0089153C">
        <w:rPr>
          <w:rFonts w:ascii="Times New Roman" w:hAnsi="Times New Roman"/>
          <w:sz w:val="24"/>
          <w:szCs w:val="24"/>
        </w:rPr>
        <w:t xml:space="preserve"> mature leaves followed by young and senescent bitter gourd lea</w:t>
      </w:r>
      <w:r w:rsidR="00CF032D">
        <w:rPr>
          <w:rFonts w:ascii="Times New Roman" w:hAnsi="Times New Roman"/>
          <w:sz w:val="24"/>
          <w:szCs w:val="24"/>
        </w:rPr>
        <w:t>ves. Lower RGR value was found o</w:t>
      </w:r>
      <w:r w:rsidRPr="0089153C">
        <w:rPr>
          <w:rFonts w:ascii="Times New Roman" w:hAnsi="Times New Roman"/>
          <w:sz w:val="24"/>
          <w:szCs w:val="24"/>
        </w:rPr>
        <w:t>n</w:t>
      </w:r>
      <w:r w:rsidR="00CF032D">
        <w:rPr>
          <w:rFonts w:ascii="Times New Roman" w:hAnsi="Times New Roman"/>
          <w:sz w:val="24"/>
          <w:szCs w:val="24"/>
        </w:rPr>
        <w:t xml:space="preserve"> senescent leaves than</w:t>
      </w:r>
      <w:r w:rsidRPr="0089153C">
        <w:rPr>
          <w:rFonts w:ascii="Times New Roman" w:hAnsi="Times New Roman"/>
          <w:sz w:val="24"/>
          <w:szCs w:val="24"/>
        </w:rPr>
        <w:t xml:space="preserve"> mature leaves. CI values were higher for in</w:t>
      </w:r>
      <w:r w:rsidR="003E2196">
        <w:rPr>
          <w:rFonts w:ascii="Times New Roman" w:hAnsi="Times New Roman"/>
          <w:sz w:val="24"/>
          <w:szCs w:val="24"/>
        </w:rPr>
        <w:t>sects fed</w:t>
      </w:r>
      <w:r w:rsidRPr="0089153C">
        <w:rPr>
          <w:rFonts w:ascii="Times New Roman" w:hAnsi="Times New Roman"/>
          <w:sz w:val="24"/>
          <w:szCs w:val="24"/>
        </w:rPr>
        <w:t xml:space="preserve"> on young and mature l</w:t>
      </w:r>
      <w:r w:rsidR="003E2196">
        <w:rPr>
          <w:rFonts w:ascii="Times New Roman" w:hAnsi="Times New Roman"/>
          <w:sz w:val="24"/>
          <w:szCs w:val="24"/>
        </w:rPr>
        <w:t>eaves, and lower for those fed</w:t>
      </w:r>
      <w:r w:rsidRPr="0089153C">
        <w:rPr>
          <w:rFonts w:ascii="Times New Roman" w:hAnsi="Times New Roman"/>
          <w:sz w:val="24"/>
          <w:szCs w:val="24"/>
        </w:rPr>
        <w:t xml:space="preserve"> </w:t>
      </w:r>
      <w:r w:rsidR="00CB2344">
        <w:rPr>
          <w:rFonts w:ascii="Times New Roman" w:hAnsi="Times New Roman"/>
          <w:sz w:val="24"/>
          <w:szCs w:val="24"/>
        </w:rPr>
        <w:t xml:space="preserve">on </w:t>
      </w:r>
      <w:r w:rsidRPr="0089153C">
        <w:rPr>
          <w:rFonts w:ascii="Times New Roman" w:hAnsi="Times New Roman"/>
          <w:sz w:val="24"/>
          <w:szCs w:val="24"/>
        </w:rPr>
        <w:t>senescent leaves. Based on the value of AD index, three types of leaves can be arranged in order of food quality as</w:t>
      </w:r>
      <w:r w:rsidR="00CB2344">
        <w:rPr>
          <w:rFonts w:ascii="Times New Roman" w:hAnsi="Times New Roman"/>
          <w:sz w:val="24"/>
          <w:szCs w:val="24"/>
        </w:rPr>
        <w:t xml:space="preserve"> mature, young</w:t>
      </w:r>
      <w:r w:rsidRPr="0089153C">
        <w:rPr>
          <w:rFonts w:ascii="Times New Roman" w:hAnsi="Times New Roman"/>
          <w:sz w:val="24"/>
          <w:szCs w:val="24"/>
        </w:rPr>
        <w:t xml:space="preserve"> and senescent leaves. ECI and ECD values were highest in young lea</w:t>
      </w:r>
      <w:r w:rsidR="00263621">
        <w:rPr>
          <w:rFonts w:ascii="Times New Roman" w:hAnsi="Times New Roman"/>
          <w:sz w:val="24"/>
          <w:szCs w:val="24"/>
        </w:rPr>
        <w:t>ves fed insects than those</w:t>
      </w:r>
      <w:r w:rsidR="00CD7ED8">
        <w:rPr>
          <w:rFonts w:ascii="Times New Roman" w:hAnsi="Times New Roman"/>
          <w:sz w:val="24"/>
          <w:szCs w:val="24"/>
        </w:rPr>
        <w:t xml:space="preserve"> fed on the other two types of</w:t>
      </w:r>
      <w:r w:rsidRPr="0089153C">
        <w:rPr>
          <w:rFonts w:ascii="Times New Roman" w:hAnsi="Times New Roman"/>
          <w:sz w:val="24"/>
          <w:szCs w:val="24"/>
        </w:rPr>
        <w:t xml:space="preserve"> bitter gourd leaves. LS wer</w:t>
      </w:r>
      <w:r w:rsidR="00CF032D">
        <w:rPr>
          <w:rFonts w:ascii="Times New Roman" w:hAnsi="Times New Roman"/>
          <w:sz w:val="24"/>
          <w:szCs w:val="24"/>
        </w:rPr>
        <w:t>e higher o</w:t>
      </w:r>
      <w:r w:rsidRPr="0089153C">
        <w:rPr>
          <w:rFonts w:ascii="Times New Roman" w:hAnsi="Times New Roman"/>
          <w:sz w:val="24"/>
          <w:szCs w:val="24"/>
        </w:rPr>
        <w:t xml:space="preserve">n young and mature leaves. </w:t>
      </w:r>
    </w:p>
    <w:p w:rsidR="00C43F29" w:rsidRPr="0089153C" w:rsidRDefault="00C43F29" w:rsidP="00C43F2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9153C">
        <w:rPr>
          <w:rFonts w:ascii="Times New Roman" w:hAnsi="Times New Roman"/>
          <w:sz w:val="24"/>
          <w:szCs w:val="24"/>
        </w:rPr>
        <w:t xml:space="preserve">Food utilization efficiency measures of third instar larvae of </w:t>
      </w:r>
      <w:r w:rsidRPr="0089153C">
        <w:rPr>
          <w:rFonts w:ascii="Times New Roman" w:hAnsi="Times New Roman"/>
          <w:i/>
          <w:sz w:val="24"/>
          <w:szCs w:val="24"/>
        </w:rPr>
        <w:t>E. dodecastigma</w:t>
      </w:r>
      <w:r w:rsidRPr="0089153C">
        <w:rPr>
          <w:rFonts w:ascii="Times New Roman" w:hAnsi="Times New Roman"/>
          <w:sz w:val="24"/>
          <w:szCs w:val="24"/>
        </w:rPr>
        <w:t xml:space="preserve"> are shown in </w:t>
      </w:r>
      <w:r>
        <w:rPr>
          <w:rFonts w:ascii="Times New Roman" w:hAnsi="Times New Roman"/>
          <w:sz w:val="24"/>
          <w:szCs w:val="24"/>
        </w:rPr>
        <w:t>Supplementary Table 1c</w:t>
      </w:r>
      <w:r w:rsidRPr="008915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89153C">
        <w:rPr>
          <w:rFonts w:ascii="Times New Roman" w:hAnsi="Times New Roman"/>
          <w:sz w:val="24"/>
          <w:szCs w:val="24"/>
        </w:rPr>
        <w:t xml:space="preserve">GR value </w:t>
      </w:r>
      <w:r w:rsidR="00CB2344">
        <w:rPr>
          <w:rFonts w:ascii="Times New Roman" w:hAnsi="Times New Roman"/>
          <w:sz w:val="24"/>
          <w:szCs w:val="24"/>
        </w:rPr>
        <w:t>was greatest in insects fed on</w:t>
      </w:r>
      <w:r w:rsidRPr="0089153C">
        <w:rPr>
          <w:rFonts w:ascii="Times New Roman" w:hAnsi="Times New Roman"/>
          <w:sz w:val="24"/>
          <w:szCs w:val="24"/>
        </w:rPr>
        <w:t xml:space="preserve"> mature leaves followed </w:t>
      </w:r>
      <w:r w:rsidRPr="0089153C">
        <w:rPr>
          <w:rFonts w:ascii="Times New Roman" w:hAnsi="Times New Roman"/>
          <w:sz w:val="24"/>
          <w:szCs w:val="24"/>
        </w:rPr>
        <w:lastRenderedPageBreak/>
        <w:t>by young and senescent leaves. Higher CR value was observed on insects fed on matur</w:t>
      </w:r>
      <w:r w:rsidR="00CB2344">
        <w:rPr>
          <w:rFonts w:ascii="Times New Roman" w:hAnsi="Times New Roman"/>
          <w:sz w:val="24"/>
          <w:szCs w:val="24"/>
        </w:rPr>
        <w:t>e leaves and least when fed on</w:t>
      </w:r>
      <w:r w:rsidRPr="0089153C">
        <w:rPr>
          <w:rFonts w:ascii="Times New Roman" w:hAnsi="Times New Roman"/>
          <w:sz w:val="24"/>
          <w:szCs w:val="24"/>
        </w:rPr>
        <w:t xml:space="preserve"> young and senescent leaves. The RGR was highest in insects </w:t>
      </w:r>
      <w:r w:rsidR="00CB2344">
        <w:rPr>
          <w:rFonts w:ascii="Times New Roman" w:hAnsi="Times New Roman"/>
          <w:sz w:val="24"/>
          <w:szCs w:val="24"/>
        </w:rPr>
        <w:t>reared on</w:t>
      </w:r>
      <w:r w:rsidRPr="0089153C">
        <w:rPr>
          <w:rFonts w:ascii="Times New Roman" w:hAnsi="Times New Roman"/>
          <w:sz w:val="24"/>
          <w:szCs w:val="24"/>
        </w:rPr>
        <w:t xml:space="preserve"> mature leaves followed by young and senescent leaves</w:t>
      </w:r>
      <w:r w:rsidR="005200BC">
        <w:rPr>
          <w:rFonts w:ascii="Times New Roman" w:hAnsi="Times New Roman"/>
          <w:sz w:val="24"/>
          <w:szCs w:val="24"/>
        </w:rPr>
        <w:t>. A lower</w:t>
      </w:r>
      <w:r w:rsidR="00CF032D">
        <w:rPr>
          <w:rFonts w:ascii="Times New Roman" w:hAnsi="Times New Roman"/>
          <w:sz w:val="24"/>
          <w:szCs w:val="24"/>
        </w:rPr>
        <w:t xml:space="preserve"> value of CI was observed o</w:t>
      </w:r>
      <w:r w:rsidR="005200BC">
        <w:rPr>
          <w:rFonts w:ascii="Times New Roman" w:hAnsi="Times New Roman"/>
          <w:sz w:val="24"/>
          <w:szCs w:val="24"/>
        </w:rPr>
        <w:t>n young</w:t>
      </w:r>
      <w:r w:rsidRPr="0089153C">
        <w:rPr>
          <w:rFonts w:ascii="Times New Roman" w:hAnsi="Times New Roman"/>
          <w:sz w:val="24"/>
          <w:szCs w:val="24"/>
        </w:rPr>
        <w:t xml:space="preserve"> leaves. Insects reared on mature and senescent leaves indicated higher val</w:t>
      </w:r>
      <w:r w:rsidR="00CF032D">
        <w:rPr>
          <w:rFonts w:ascii="Times New Roman" w:hAnsi="Times New Roman"/>
          <w:sz w:val="24"/>
          <w:szCs w:val="24"/>
        </w:rPr>
        <w:t>ue of AD, whereas it was lower o</w:t>
      </w:r>
      <w:r w:rsidRPr="0089153C">
        <w:rPr>
          <w:rFonts w:ascii="Times New Roman" w:hAnsi="Times New Roman"/>
          <w:sz w:val="24"/>
          <w:szCs w:val="24"/>
        </w:rPr>
        <w:t>n young leaves. Higher ECI and ECD values were evident on you</w:t>
      </w:r>
      <w:r w:rsidR="00CB2344">
        <w:rPr>
          <w:rFonts w:ascii="Times New Roman" w:hAnsi="Times New Roman"/>
          <w:sz w:val="24"/>
          <w:szCs w:val="24"/>
        </w:rPr>
        <w:t>ng and mature leaves compared to</w:t>
      </w:r>
      <w:r w:rsidRPr="0089153C">
        <w:rPr>
          <w:rFonts w:ascii="Times New Roman" w:hAnsi="Times New Roman"/>
          <w:sz w:val="24"/>
          <w:szCs w:val="24"/>
        </w:rPr>
        <w:t xml:space="preserve"> young leaves. Higher LS value</w:t>
      </w:r>
      <w:r w:rsidR="005200BC">
        <w:rPr>
          <w:rFonts w:ascii="Times New Roman" w:hAnsi="Times New Roman"/>
          <w:sz w:val="24"/>
          <w:szCs w:val="24"/>
        </w:rPr>
        <w:t>s were</w:t>
      </w:r>
      <w:r w:rsidRPr="0089153C">
        <w:rPr>
          <w:rFonts w:ascii="Times New Roman" w:hAnsi="Times New Roman"/>
          <w:sz w:val="24"/>
          <w:szCs w:val="24"/>
        </w:rPr>
        <w:t xml:space="preserve"> evident on young and mature leaves.</w:t>
      </w:r>
    </w:p>
    <w:p w:rsidR="00C43F29" w:rsidRDefault="00C43F29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F29" w:rsidRDefault="00C43F29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F29" w:rsidRDefault="00C43F29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F29" w:rsidRDefault="00C43F29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F29" w:rsidRDefault="00C43F29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F29" w:rsidRDefault="00C43F29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F29" w:rsidRDefault="00C43F29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F29" w:rsidRDefault="00C43F29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F29" w:rsidRDefault="00C43F29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E8B" w:rsidRDefault="00CD3E8B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E8B" w:rsidRDefault="00CD3E8B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E8B" w:rsidRDefault="00CD3E8B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E8B" w:rsidRDefault="00CD3E8B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E8B" w:rsidRDefault="00CD3E8B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E8B" w:rsidRDefault="00CD3E8B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E8B" w:rsidRDefault="00CD3E8B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E8B" w:rsidRDefault="00CD3E8B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817" w:rsidRPr="00C1635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Table 1a</w:t>
      </w:r>
      <w:r w:rsidRPr="006A2F80">
        <w:rPr>
          <w:rFonts w:ascii="Times New Roman" w:hAnsi="Times New Roman"/>
          <w:b/>
          <w:sz w:val="24"/>
          <w:szCs w:val="24"/>
        </w:rPr>
        <w:t>.</w:t>
      </w:r>
      <w:r w:rsidRPr="00C16357">
        <w:rPr>
          <w:rFonts w:ascii="Times New Roman" w:hAnsi="Times New Roman"/>
          <w:sz w:val="24"/>
          <w:szCs w:val="24"/>
        </w:rPr>
        <w:t xml:space="preserve"> Food utilization efficiency measures of first instar larva</w:t>
      </w:r>
      <w:r w:rsidR="00CB2344">
        <w:rPr>
          <w:rFonts w:ascii="Times New Roman" w:hAnsi="Times New Roman"/>
          <w:sz w:val="24"/>
          <w:szCs w:val="24"/>
        </w:rPr>
        <w:t>e</w:t>
      </w:r>
      <w:r w:rsidRPr="00C16357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i/>
          <w:iCs/>
          <w:sz w:val="24"/>
          <w:szCs w:val="24"/>
        </w:rPr>
        <w:t>Epilachna dodecastigma</w:t>
      </w:r>
      <w:r w:rsidRPr="00C163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6357">
        <w:rPr>
          <w:rFonts w:ascii="Times New Roman" w:hAnsi="Times New Roman"/>
          <w:sz w:val="24"/>
          <w:szCs w:val="24"/>
        </w:rPr>
        <w:t>reared on young</w:t>
      </w:r>
      <w:r>
        <w:rPr>
          <w:rFonts w:ascii="Times New Roman" w:hAnsi="Times New Roman"/>
          <w:sz w:val="24"/>
          <w:szCs w:val="24"/>
        </w:rPr>
        <w:t>, mature and senescent bitter gourd leaves</w:t>
      </w:r>
    </w:p>
    <w:tbl>
      <w:tblPr>
        <w:tblW w:w="891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16"/>
        <w:gridCol w:w="1701"/>
        <w:gridCol w:w="1669"/>
        <w:gridCol w:w="1701"/>
        <w:gridCol w:w="1166"/>
        <w:gridCol w:w="960"/>
      </w:tblGrid>
      <w:tr w:rsidR="00175817" w:rsidRPr="00014AD8" w:rsidTr="007D7BC6">
        <w:trPr>
          <w:trHeight w:val="300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Senescent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4928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2, 12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49289B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928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175817" w:rsidRPr="00014AD8" w:rsidTr="007D7BC6">
        <w:trPr>
          <w:trHeight w:val="300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 (mg/day)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 ± 0.00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0.04 ± 0.00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 ± 0.00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15.869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CR(mg/day)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0.34 ± 0.00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0.39 ± 0.01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 ± 0.01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RGR (mg/day)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0.27 ± 0.02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 ± 0.02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0.19 ± 0.01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175817" w:rsidRPr="00014AD8" w:rsidTr="007D7BC6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 (mg/day)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3.34 ± 0.04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3.52 ± 0.06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3.36 ± 0.07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0.093</w:t>
            </w:r>
          </w:p>
        </w:tc>
      </w:tr>
      <w:tr w:rsidR="00175817" w:rsidRPr="00014AD8" w:rsidTr="007D7BC6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 (%)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93.66 ± 0.59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94.10 ± 0.37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93.88 ± 0.54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0.832</w:t>
            </w:r>
          </w:p>
        </w:tc>
      </w:tr>
      <w:tr w:rsidR="00175817" w:rsidRPr="00014AD8" w:rsidTr="007D7BC6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ECI (%)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8.51 ± 0.88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9.30 ± 0.60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6.11 ± 0.11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175817" w:rsidRPr="00014AD8" w:rsidTr="007D7BC6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ECD (%)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7.96 ± 0.69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8.74 ± 0.53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5.73 ± 0.08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175817" w:rsidRPr="00014AD8" w:rsidTr="007D7BC6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LS (%)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17E1A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83.52 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175817" w:rsidRPr="00217E1A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87.88 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17E1A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73.33 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0.73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</w:tbl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B78C5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06B0F">
        <w:rPr>
          <w:rFonts w:ascii="Times New Roman" w:hAnsi="Times New Roman"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±</w:t>
      </w:r>
      <w:r w:rsidRPr="00B06B0F">
        <w:rPr>
          <w:rFonts w:ascii="Times New Roman" w:eastAsia="LucidaNewMath-Symbol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of 5</w:t>
      </w:r>
      <w:r w:rsidRPr="00B06B0F">
        <w:rPr>
          <w:rFonts w:ascii="Times New Roman" w:hAnsi="Times New Roman"/>
          <w:sz w:val="24"/>
          <w:szCs w:val="24"/>
        </w:rPr>
        <w:t xml:space="preserve"> observations. </w:t>
      </w:r>
      <w:r w:rsidRPr="00CF453D">
        <w:rPr>
          <w:rFonts w:ascii="Times New Roman" w:hAnsi="Times New Roman"/>
          <w:sz w:val="24"/>
          <w:szCs w:val="24"/>
        </w:rPr>
        <w:t>Within the row means followed by same letter(s) are not significantly different by</w:t>
      </w:r>
      <w:r>
        <w:rPr>
          <w:rFonts w:ascii="Times New Roman" w:hAnsi="Times New Roman"/>
          <w:sz w:val="24"/>
          <w:szCs w:val="24"/>
        </w:rPr>
        <w:t xml:space="preserve"> Tukey test. </w:t>
      </w:r>
    </w:p>
    <w:p w:rsidR="00175817" w:rsidRPr="00B06B0F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06B0F">
        <w:rPr>
          <w:rFonts w:ascii="Times New Roman" w:hAnsi="Times New Roman"/>
          <w:sz w:val="24"/>
          <w:szCs w:val="24"/>
        </w:rPr>
        <w:t>Food utilization efficiency measures: GR: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B0F">
        <w:rPr>
          <w:rFonts w:ascii="Times New Roman" w:hAnsi="Times New Roman"/>
          <w:sz w:val="24"/>
          <w:szCs w:val="24"/>
        </w:rPr>
        <w:t>Growth rate, CR: Consumption rate, RGR: Relative growth rate, CI: Consumption index, AD: Approximate digestibility, ECI: Efficiency of conversion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B0F">
        <w:rPr>
          <w:rFonts w:ascii="Times New Roman" w:hAnsi="Times New Roman"/>
          <w:sz w:val="24"/>
          <w:szCs w:val="24"/>
        </w:rPr>
        <w:t>ingested food, ECD: Efficiency of conversion of digested food, LS: Larval survivability.</w:t>
      </w:r>
    </w:p>
    <w:p w:rsidR="00175817" w:rsidRPr="00B06B0F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B2344" w:rsidRDefault="00CB2344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817" w:rsidRPr="008D592E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Table 1b</w:t>
      </w:r>
      <w:r w:rsidRPr="006A2F80">
        <w:rPr>
          <w:rFonts w:ascii="Times New Roman" w:hAnsi="Times New Roman"/>
          <w:b/>
          <w:sz w:val="24"/>
          <w:szCs w:val="24"/>
        </w:rPr>
        <w:t>.</w:t>
      </w:r>
      <w:r w:rsidRPr="00C16357">
        <w:rPr>
          <w:rFonts w:ascii="Times New Roman" w:hAnsi="Times New Roman"/>
          <w:sz w:val="24"/>
          <w:szCs w:val="24"/>
        </w:rPr>
        <w:t xml:space="preserve"> </w:t>
      </w:r>
      <w:r w:rsidRPr="008D592E">
        <w:rPr>
          <w:rFonts w:ascii="Times New Roman" w:hAnsi="Times New Roman"/>
          <w:sz w:val="24"/>
          <w:szCs w:val="24"/>
        </w:rPr>
        <w:t>Food utilization efficiency measures of second instar larva</w:t>
      </w:r>
      <w:r w:rsidR="00CB2344">
        <w:rPr>
          <w:rFonts w:ascii="Times New Roman" w:hAnsi="Times New Roman"/>
          <w:sz w:val="24"/>
          <w:szCs w:val="24"/>
        </w:rPr>
        <w:t>e</w:t>
      </w:r>
      <w:r w:rsidRPr="008D592E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i/>
          <w:iCs/>
          <w:sz w:val="24"/>
          <w:szCs w:val="24"/>
        </w:rPr>
        <w:t>Epilachna dodecastigma</w:t>
      </w:r>
      <w:r w:rsidRPr="008D592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592E">
        <w:rPr>
          <w:rFonts w:ascii="Times New Roman" w:hAnsi="Times New Roman"/>
          <w:sz w:val="24"/>
          <w:szCs w:val="24"/>
        </w:rPr>
        <w:t>reared on young</w:t>
      </w:r>
      <w:r>
        <w:rPr>
          <w:rFonts w:ascii="Times New Roman" w:hAnsi="Times New Roman"/>
          <w:sz w:val="24"/>
          <w:szCs w:val="24"/>
        </w:rPr>
        <w:t>, mature and senescent bitter gourd leaves</w:t>
      </w:r>
    </w:p>
    <w:tbl>
      <w:tblPr>
        <w:tblW w:w="905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58"/>
        <w:gridCol w:w="1701"/>
        <w:gridCol w:w="1843"/>
        <w:gridCol w:w="1559"/>
        <w:gridCol w:w="1134"/>
        <w:gridCol w:w="960"/>
      </w:tblGrid>
      <w:tr w:rsidR="00175817" w:rsidRPr="00014AD8" w:rsidTr="007D7BC6">
        <w:trPr>
          <w:trHeight w:val="307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Senescent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4928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2, 12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49289B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928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175817" w:rsidRPr="00014AD8" w:rsidTr="007D7BC6">
        <w:trPr>
          <w:trHeight w:val="23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817" w:rsidRPr="00014AD8" w:rsidTr="007D7BC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 (mg/day)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0.14 ± 0.01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0.16 ± 0.01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 ± 0.00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CR(mg/day)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4.48 ± 0.30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5.72 ±  0.36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2.84 ± 0.09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RGR (mg/day)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 ± 0.03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7F0C9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 ± 0.03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0.23 ± 0.01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175817" w:rsidRPr="00014AD8" w:rsidTr="007D7BC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 (mg/day)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9.91 ± 0.83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11.70 ± 0.92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7.96 ± 0.35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175817" w:rsidRPr="00014AD8" w:rsidTr="007D7BC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 (%)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89.37 ± 0.38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90.99 ± 0.30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85.56 ± 0.41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ECI (%)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3.06 ± 0.06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2.79 ± 0.04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2.84 ± 0.05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175817" w:rsidRPr="00014AD8" w:rsidTr="007D7BC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ECD (%)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3.42 ± 0.08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3.07 ± 0.05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3.32 ± 0.06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175817" w:rsidRPr="00014AD8" w:rsidTr="007D7BC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LS (%)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5817" w:rsidRPr="003F30C8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88.63 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5817" w:rsidRPr="003F30C8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85.95 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3.48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7F0C9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817" w:rsidRPr="0072183A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77.58 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0.016</w:t>
            </w:r>
          </w:p>
        </w:tc>
      </w:tr>
    </w:tbl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B78C5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06B0F">
        <w:rPr>
          <w:rFonts w:ascii="Times New Roman" w:hAnsi="Times New Roman"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±</w:t>
      </w:r>
      <w:r w:rsidRPr="00B06B0F">
        <w:rPr>
          <w:rFonts w:ascii="Times New Roman" w:eastAsia="LucidaNewMath-Symbol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of 5</w:t>
      </w:r>
      <w:r w:rsidRPr="00B06B0F">
        <w:rPr>
          <w:rFonts w:ascii="Times New Roman" w:hAnsi="Times New Roman"/>
          <w:sz w:val="24"/>
          <w:szCs w:val="24"/>
        </w:rPr>
        <w:t xml:space="preserve"> observations. </w:t>
      </w:r>
      <w:r w:rsidRPr="00CF453D">
        <w:rPr>
          <w:rFonts w:ascii="Times New Roman" w:hAnsi="Times New Roman"/>
          <w:sz w:val="24"/>
          <w:szCs w:val="24"/>
        </w:rPr>
        <w:t>Within the row means followed by same letter(s) are not significantly different by</w:t>
      </w:r>
      <w:r>
        <w:rPr>
          <w:rFonts w:ascii="Times New Roman" w:hAnsi="Times New Roman"/>
          <w:sz w:val="24"/>
          <w:szCs w:val="24"/>
        </w:rPr>
        <w:t xml:space="preserve"> Tukey test. </w:t>
      </w:r>
    </w:p>
    <w:p w:rsidR="00175817" w:rsidRPr="00B06B0F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06B0F">
        <w:rPr>
          <w:rFonts w:ascii="Times New Roman" w:hAnsi="Times New Roman"/>
          <w:sz w:val="24"/>
          <w:szCs w:val="24"/>
        </w:rPr>
        <w:t>Food utilization efficiency measures: GR: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B0F">
        <w:rPr>
          <w:rFonts w:ascii="Times New Roman" w:hAnsi="Times New Roman"/>
          <w:sz w:val="24"/>
          <w:szCs w:val="24"/>
        </w:rPr>
        <w:t>Growth rate, CR: Consumption rate, RGR: Relative growth rate, CI: Consumption index, AD: Approximate digestibility, ECI: Efficiency of conversion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B0F">
        <w:rPr>
          <w:rFonts w:ascii="Times New Roman" w:hAnsi="Times New Roman"/>
          <w:sz w:val="24"/>
          <w:szCs w:val="24"/>
        </w:rPr>
        <w:t>ingested food, ECD: Efficiency of conversion of digested food, LS: Larval survivability.</w:t>
      </w:r>
    </w:p>
    <w:p w:rsidR="00175817" w:rsidRPr="00B06B0F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75817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2668E" w:rsidRDefault="0012668E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817" w:rsidRPr="008D592E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Table 1c</w:t>
      </w:r>
      <w:r w:rsidRPr="006A2F80">
        <w:rPr>
          <w:rFonts w:ascii="Times New Roman" w:hAnsi="Times New Roman"/>
          <w:b/>
          <w:sz w:val="24"/>
          <w:szCs w:val="24"/>
        </w:rPr>
        <w:t>.</w:t>
      </w:r>
      <w:r w:rsidRPr="008D592E">
        <w:rPr>
          <w:rFonts w:ascii="Times New Roman" w:hAnsi="Times New Roman"/>
          <w:sz w:val="24"/>
          <w:szCs w:val="24"/>
        </w:rPr>
        <w:t xml:space="preserve"> Food utilization efficiency measures of third instar larva</w:t>
      </w:r>
      <w:r w:rsidR="00CB2344">
        <w:rPr>
          <w:rFonts w:ascii="Times New Roman" w:hAnsi="Times New Roman"/>
          <w:sz w:val="24"/>
          <w:szCs w:val="24"/>
        </w:rPr>
        <w:t>e</w:t>
      </w:r>
      <w:r w:rsidRPr="008D592E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i/>
          <w:iCs/>
          <w:sz w:val="24"/>
          <w:szCs w:val="24"/>
        </w:rPr>
        <w:t>Epilachna dodecastigma</w:t>
      </w:r>
      <w:r w:rsidRPr="008D592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592E">
        <w:rPr>
          <w:rFonts w:ascii="Times New Roman" w:hAnsi="Times New Roman"/>
          <w:sz w:val="24"/>
          <w:szCs w:val="24"/>
        </w:rPr>
        <w:t>reared on young</w:t>
      </w:r>
      <w:r>
        <w:rPr>
          <w:rFonts w:ascii="Times New Roman" w:hAnsi="Times New Roman"/>
          <w:sz w:val="24"/>
          <w:szCs w:val="24"/>
        </w:rPr>
        <w:t>, mature and senescent bitter gourd leaves</w:t>
      </w:r>
    </w:p>
    <w:tbl>
      <w:tblPr>
        <w:tblW w:w="919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000"/>
        <w:gridCol w:w="1654"/>
        <w:gridCol w:w="1748"/>
        <w:gridCol w:w="1748"/>
        <w:gridCol w:w="1087"/>
        <w:gridCol w:w="960"/>
      </w:tblGrid>
      <w:tr w:rsidR="00175817" w:rsidRPr="00014AD8" w:rsidTr="007D7BC6">
        <w:trPr>
          <w:trHeight w:val="399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Mature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Senescent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4928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2, 12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49289B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928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175817" w:rsidRPr="00014AD8" w:rsidTr="007D7BC6">
        <w:trPr>
          <w:trHeight w:val="138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817" w:rsidRPr="00014AD8" w:rsidTr="007D7BC6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 (mg/day)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 ± 0.04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 ± 0.05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 ± 0.02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CR(mg/day)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19.29 ± 0.32</w:t>
            </w:r>
            <w:r w:rsidRPr="00B4443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27.60 ± 0.93</w:t>
            </w:r>
            <w:r w:rsidRPr="00B4443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 ± 0.74</w:t>
            </w:r>
            <w:r w:rsidRPr="00B4443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RGR (mg/day)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0.22 ± 0.01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0.26 ± 0.01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 ± 0.01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 (mg/day)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7.83 ± 0.13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9.27 ± 0.31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8.68 ± 0.32</w:t>
            </w:r>
            <w:r w:rsidR="009270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175817" w:rsidRPr="00014AD8" w:rsidTr="007D7BC6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 (%)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81.39 ± 0.86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83.98 ± 0.35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85.23 ± 0.10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175817" w:rsidRPr="00014AD8" w:rsidTr="007D7BC6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ECI (%)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2.76 ± 0.16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2.83 ± 0.10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1.71 ± 0.04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ECD (%)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3.39 ± 0.23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3.37 ± 0.13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1.99 ± 0.05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0.0001</w:t>
            </w:r>
          </w:p>
        </w:tc>
      </w:tr>
      <w:tr w:rsidR="00175817" w:rsidRPr="00014AD8" w:rsidTr="007D7BC6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LS (%)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175817" w:rsidRPr="00E965C1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90.51 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E965C1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87.16 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2A64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175817" w:rsidRPr="00E965C1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78.93 </w:t>
            </w:r>
            <w:r w:rsidRPr="002D4F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5817" w:rsidRPr="002D4FF4" w:rsidRDefault="00175817" w:rsidP="007D7BC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0.015</w:t>
            </w:r>
          </w:p>
        </w:tc>
      </w:tr>
    </w:tbl>
    <w:p w:rsidR="00175817" w:rsidRPr="008D592E" w:rsidRDefault="00175817" w:rsidP="00175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B78C5" w:rsidRDefault="00175817" w:rsidP="00CB23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06B0F">
        <w:rPr>
          <w:rFonts w:ascii="Times New Roman" w:hAnsi="Times New Roman"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±</w:t>
      </w:r>
      <w:r w:rsidRPr="00B06B0F">
        <w:rPr>
          <w:rFonts w:ascii="Times New Roman" w:eastAsia="LucidaNewMath-Symbol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of 5</w:t>
      </w:r>
      <w:r w:rsidRPr="00B06B0F">
        <w:rPr>
          <w:rFonts w:ascii="Times New Roman" w:hAnsi="Times New Roman"/>
          <w:sz w:val="24"/>
          <w:szCs w:val="24"/>
        </w:rPr>
        <w:t xml:space="preserve"> observations. </w:t>
      </w:r>
      <w:r w:rsidRPr="00CF453D">
        <w:rPr>
          <w:rFonts w:ascii="Times New Roman" w:hAnsi="Times New Roman"/>
          <w:sz w:val="24"/>
          <w:szCs w:val="24"/>
        </w:rPr>
        <w:t>Within the row means followed by same letter(s) are not significantly different by</w:t>
      </w:r>
      <w:r>
        <w:rPr>
          <w:rFonts w:ascii="Times New Roman" w:hAnsi="Times New Roman"/>
          <w:sz w:val="24"/>
          <w:szCs w:val="24"/>
        </w:rPr>
        <w:t xml:space="preserve"> Tukey test. </w:t>
      </w:r>
    </w:p>
    <w:p w:rsidR="00175817" w:rsidRPr="00CB2344" w:rsidRDefault="00175817" w:rsidP="00CB23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06B0F">
        <w:rPr>
          <w:rFonts w:ascii="Times New Roman" w:hAnsi="Times New Roman"/>
          <w:sz w:val="24"/>
          <w:szCs w:val="24"/>
        </w:rPr>
        <w:t>Food utilization efficiency measures: GR: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B0F">
        <w:rPr>
          <w:rFonts w:ascii="Times New Roman" w:hAnsi="Times New Roman"/>
          <w:sz w:val="24"/>
          <w:szCs w:val="24"/>
        </w:rPr>
        <w:t>Growth rate, CR: Consumption rate, RGR: Relative growth rate, CI: Consumption index, AD: Approximate digestibility, ECI: Efficiency of conversion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B0F">
        <w:rPr>
          <w:rFonts w:ascii="Times New Roman" w:hAnsi="Times New Roman"/>
          <w:sz w:val="24"/>
          <w:szCs w:val="24"/>
        </w:rPr>
        <w:t>ingested food, ECD: Efficiency of conversion of digested food, LS: Larval survivability.</w:t>
      </w:r>
    </w:p>
    <w:sectPr w:rsidR="00175817" w:rsidRPr="00CB2344" w:rsidSect="003E2196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E3" w:rsidRDefault="007A7BE3" w:rsidP="007A7BE3">
      <w:pPr>
        <w:spacing w:after="0" w:line="240" w:lineRule="auto"/>
      </w:pPr>
      <w:r>
        <w:separator/>
      </w:r>
    </w:p>
  </w:endnote>
  <w:endnote w:type="continuationSeparator" w:id="1">
    <w:p w:rsidR="007A7BE3" w:rsidRDefault="007A7BE3" w:rsidP="007A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NewMath-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0622"/>
      <w:docPartObj>
        <w:docPartGallery w:val="Page Numbers (Bottom of Page)"/>
        <w:docPartUnique/>
      </w:docPartObj>
    </w:sdtPr>
    <w:sdtContent>
      <w:p w:rsidR="007A7BE3" w:rsidRDefault="00A0512B">
        <w:pPr>
          <w:pStyle w:val="Footer"/>
          <w:jc w:val="center"/>
        </w:pPr>
        <w:fldSimple w:instr=" PAGE   \* MERGEFORMAT ">
          <w:r w:rsidR="004F6B3C">
            <w:rPr>
              <w:noProof/>
            </w:rPr>
            <w:t>1</w:t>
          </w:r>
        </w:fldSimple>
      </w:p>
    </w:sdtContent>
  </w:sdt>
  <w:p w:rsidR="007A7BE3" w:rsidRDefault="007A7B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E3" w:rsidRDefault="007A7BE3" w:rsidP="007A7BE3">
      <w:pPr>
        <w:spacing w:after="0" w:line="240" w:lineRule="auto"/>
      </w:pPr>
      <w:r>
        <w:separator/>
      </w:r>
    </w:p>
  </w:footnote>
  <w:footnote w:type="continuationSeparator" w:id="1">
    <w:p w:rsidR="007A7BE3" w:rsidRDefault="007A7BE3" w:rsidP="007A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419"/>
    <w:rsid w:val="0012668E"/>
    <w:rsid w:val="00175817"/>
    <w:rsid w:val="002102CD"/>
    <w:rsid w:val="00263621"/>
    <w:rsid w:val="0028335B"/>
    <w:rsid w:val="002A64BB"/>
    <w:rsid w:val="003567A0"/>
    <w:rsid w:val="003E2196"/>
    <w:rsid w:val="004210D4"/>
    <w:rsid w:val="004B7727"/>
    <w:rsid w:val="004F6B3C"/>
    <w:rsid w:val="005200BC"/>
    <w:rsid w:val="005D5080"/>
    <w:rsid w:val="00615A73"/>
    <w:rsid w:val="00680C75"/>
    <w:rsid w:val="006A6B09"/>
    <w:rsid w:val="006B78C5"/>
    <w:rsid w:val="007A3A90"/>
    <w:rsid w:val="007A7BE3"/>
    <w:rsid w:val="007F0C9F"/>
    <w:rsid w:val="008B453E"/>
    <w:rsid w:val="008D6387"/>
    <w:rsid w:val="009270A0"/>
    <w:rsid w:val="00A0512B"/>
    <w:rsid w:val="00A44419"/>
    <w:rsid w:val="00AE4920"/>
    <w:rsid w:val="00B9411F"/>
    <w:rsid w:val="00BB0D24"/>
    <w:rsid w:val="00BD3D5A"/>
    <w:rsid w:val="00C43F29"/>
    <w:rsid w:val="00CB2344"/>
    <w:rsid w:val="00CD3E8B"/>
    <w:rsid w:val="00CD7ED8"/>
    <w:rsid w:val="00CF032D"/>
    <w:rsid w:val="00D01D1B"/>
    <w:rsid w:val="00E77A57"/>
    <w:rsid w:val="00E95FEB"/>
    <w:rsid w:val="00EC1958"/>
    <w:rsid w:val="00F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BE3"/>
  </w:style>
  <w:style w:type="paragraph" w:styleId="Footer">
    <w:name w:val="footer"/>
    <w:basedOn w:val="Normal"/>
    <w:link w:val="FooterChar"/>
    <w:uiPriority w:val="99"/>
    <w:unhideWhenUsed/>
    <w:rsid w:val="007A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E3"/>
  </w:style>
  <w:style w:type="character" w:styleId="LineNumber">
    <w:name w:val="line number"/>
    <w:basedOn w:val="DefaultParagraphFont"/>
    <w:uiPriority w:val="99"/>
    <w:semiHidden/>
    <w:unhideWhenUsed/>
    <w:rsid w:val="003E2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damaybarik@yahoo.co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</cp:lastModifiedBy>
  <cp:revision>31</cp:revision>
  <dcterms:created xsi:type="dcterms:W3CDTF">2016-04-06T04:46:00Z</dcterms:created>
  <dcterms:modified xsi:type="dcterms:W3CDTF">2016-04-11T10:28:00Z</dcterms:modified>
</cp:coreProperties>
</file>