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E0BDD" w14:textId="77777777" w:rsidR="00C113D0" w:rsidRPr="00491102" w:rsidRDefault="002F669B" w:rsidP="00491102">
      <w:pPr>
        <w:jc w:val="center"/>
        <w:rPr>
          <w:rFonts w:ascii="Times New Roman" w:hAnsi="Times New Roman" w:cs="Times New Roman"/>
          <w:b/>
          <w:sz w:val="24"/>
          <w:szCs w:val="24"/>
        </w:rPr>
      </w:pPr>
      <w:r w:rsidRPr="00491102">
        <w:rPr>
          <w:rFonts w:ascii="Times New Roman" w:hAnsi="Times New Roman" w:cs="Times New Roman"/>
          <w:b/>
          <w:sz w:val="24"/>
          <w:szCs w:val="24"/>
        </w:rPr>
        <w:t>Appendix I. Cost-Share Program Descriptions</w:t>
      </w:r>
    </w:p>
    <w:p w14:paraId="6C19F82C" w14:textId="77777777" w:rsidR="002F669B" w:rsidRPr="00491102" w:rsidRDefault="002F669B" w:rsidP="002F669B">
      <w:pPr>
        <w:suppressAutoHyphens/>
        <w:spacing w:line="480" w:lineRule="auto"/>
        <w:contextualSpacing/>
        <w:rPr>
          <w:rFonts w:ascii="Times New Roman" w:hAnsi="Times New Roman" w:cs="Times New Roman"/>
          <w:kern w:val="2"/>
          <w:sz w:val="24"/>
          <w:szCs w:val="24"/>
        </w:rPr>
      </w:pPr>
      <w:r w:rsidRPr="00491102">
        <w:rPr>
          <w:rFonts w:ascii="Times New Roman" w:hAnsi="Times New Roman" w:cs="Times New Roman"/>
          <w:kern w:val="2"/>
          <w:sz w:val="24"/>
          <w:szCs w:val="24"/>
        </w:rPr>
        <w:t xml:space="preserve">Cost-share programs differ in their payments, requirements, and maximum length of participation. The payment amount for most programs depends on the cover crop mixture used, and farmers are required to follow seeding guidelines set by the National Resources Conservation Service (NRCS). Moreover, programs typically have annual sign-up periods, as opposed to longer contracts. The Iowa Department of Agriculture and Land Stewardship (IDALS) is the main source of cost-share for farmers in the present analysis. Through IDALS, first-time cover crop users are eligible for $25 per acre and experienced cover crop users are eligible for $15 per acre. Federal funding is also available through the Environmental Quality Incentives Program, Conservation Stewardship Program, and Regional Conservation Partnership Program. </w:t>
      </w:r>
    </w:p>
    <w:p w14:paraId="3B52967D" w14:textId="77777777" w:rsidR="002F669B" w:rsidRPr="00491102" w:rsidRDefault="002F669B" w:rsidP="002F669B">
      <w:pPr>
        <w:spacing w:line="480" w:lineRule="auto"/>
        <w:ind w:firstLine="720"/>
        <w:rPr>
          <w:rFonts w:ascii="Times New Roman" w:hAnsi="Times New Roman" w:cs="Times New Roman"/>
          <w:sz w:val="24"/>
          <w:szCs w:val="24"/>
        </w:rPr>
      </w:pPr>
      <w:r w:rsidRPr="00491102">
        <w:rPr>
          <w:rFonts w:ascii="Times New Roman" w:hAnsi="Times New Roman" w:cs="Times New Roman"/>
          <w:sz w:val="24"/>
          <w:szCs w:val="24"/>
        </w:rPr>
        <w:t>The main sources of cost-share funding for farmers came from the Iowa Department of Agriculture and Land Stewardship (IDALS), Environmental Quality Incentives Program (EQIP), and Conservation Stewardship Program (CSP). While IDALS and EQIP funding are suitable for both new and experienced farmers, CSP is tailored for farmers already using conservation practices but looking to increase their conservation use.</w:t>
      </w:r>
    </w:p>
    <w:p w14:paraId="6A63FF77" w14:textId="77777777" w:rsidR="002F669B" w:rsidRPr="00491102" w:rsidRDefault="002F669B" w:rsidP="002F669B">
      <w:pPr>
        <w:spacing w:line="480" w:lineRule="auto"/>
        <w:rPr>
          <w:rFonts w:ascii="Times New Roman" w:hAnsi="Times New Roman" w:cs="Times New Roman"/>
          <w:b/>
          <w:sz w:val="24"/>
          <w:szCs w:val="24"/>
        </w:rPr>
      </w:pPr>
      <w:r w:rsidRPr="00491102">
        <w:rPr>
          <w:rFonts w:ascii="Times New Roman" w:hAnsi="Times New Roman" w:cs="Times New Roman"/>
          <w:b/>
          <w:sz w:val="24"/>
          <w:szCs w:val="24"/>
        </w:rPr>
        <w:t>Iowa Department of Agriculture and Land Stewardship</w:t>
      </w:r>
    </w:p>
    <w:p w14:paraId="194C7211"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 xml:space="preserve">First-time cover crop users are eligible for $25 per acre and continuing users are eligible for $15 per acre, on up to 160 acres subject to maintenance agreements through the Iowa Water Quality Initiative. </w:t>
      </w:r>
    </w:p>
    <w:p w14:paraId="24C0B6FE" w14:textId="77777777" w:rsidR="002F669B" w:rsidRPr="00491102" w:rsidRDefault="002F669B" w:rsidP="002F669B">
      <w:pPr>
        <w:spacing w:line="480" w:lineRule="auto"/>
        <w:rPr>
          <w:rFonts w:ascii="Times New Roman" w:hAnsi="Times New Roman" w:cs="Times New Roman"/>
          <w:b/>
          <w:sz w:val="24"/>
          <w:szCs w:val="24"/>
        </w:rPr>
      </w:pPr>
      <w:r w:rsidRPr="00491102">
        <w:rPr>
          <w:rFonts w:ascii="Times New Roman" w:hAnsi="Times New Roman" w:cs="Times New Roman"/>
          <w:b/>
          <w:sz w:val="24"/>
          <w:szCs w:val="24"/>
        </w:rPr>
        <w:t>Environmental Quality Incentive Program</w:t>
      </w:r>
    </w:p>
    <w:p w14:paraId="1038E653"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lastRenderedPageBreak/>
        <w:t xml:space="preserve">The farmer is paid up to three annual payments, with the payment amount differing by seed type. NRCS seeding requirements must be met. The farmer fills out an application for the adopted practice, and applications during the signup period are chosen using a ranking tool in which  points are assigned for different environmental benefits. </w:t>
      </w:r>
    </w:p>
    <w:p w14:paraId="71E8AC88" w14:textId="77777777" w:rsidR="002F669B" w:rsidRPr="00491102" w:rsidRDefault="002F669B" w:rsidP="002F669B">
      <w:pPr>
        <w:spacing w:line="480" w:lineRule="auto"/>
        <w:rPr>
          <w:rFonts w:ascii="Times New Roman" w:hAnsi="Times New Roman" w:cs="Times New Roman"/>
          <w:i/>
          <w:sz w:val="24"/>
          <w:szCs w:val="24"/>
        </w:rPr>
      </w:pPr>
      <w:r w:rsidRPr="00491102">
        <w:rPr>
          <w:rFonts w:ascii="Times New Roman" w:hAnsi="Times New Roman" w:cs="Times New Roman"/>
          <w:i/>
          <w:sz w:val="24"/>
          <w:szCs w:val="24"/>
        </w:rPr>
        <w:t xml:space="preserve">Chemical or Mechanical Kill Species </w:t>
      </w:r>
    </w:p>
    <w:p w14:paraId="062FC7F5"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A grass/legume/brassica cover crop or cover crop mix is planted within 30 days of the cash crop harvest. The cover crop is allowed to reach early to mid bloom before the cover crop is terminated prior to planting of the next crop. Termination is done with approved chemical or mechanical methods.</w:t>
      </w:r>
    </w:p>
    <w:p w14:paraId="7216C0DE"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Payment: $41.13/acre</w:t>
      </w:r>
    </w:p>
    <w:p w14:paraId="6DF1EDB2" w14:textId="77777777" w:rsidR="002F669B" w:rsidRPr="00491102" w:rsidRDefault="002F669B" w:rsidP="002F669B">
      <w:pPr>
        <w:spacing w:line="480" w:lineRule="auto"/>
        <w:rPr>
          <w:rFonts w:ascii="Times New Roman" w:hAnsi="Times New Roman" w:cs="Times New Roman"/>
          <w:i/>
          <w:sz w:val="24"/>
          <w:szCs w:val="24"/>
        </w:rPr>
      </w:pPr>
      <w:r w:rsidRPr="00491102">
        <w:rPr>
          <w:rFonts w:ascii="Times New Roman" w:hAnsi="Times New Roman" w:cs="Times New Roman"/>
          <w:i/>
          <w:sz w:val="24"/>
          <w:szCs w:val="24"/>
        </w:rPr>
        <w:t>Winterkill Species</w:t>
      </w:r>
    </w:p>
    <w:p w14:paraId="7538B8FA"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Small grain or small grain/brassica mix is planted within 30 days of the cash crop harvest. Seed is planted with no-till drill. The cover crop species winterkills.</w:t>
      </w:r>
    </w:p>
    <w:p w14:paraId="1C1D3DA4"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Payment: $30.15/acre</w:t>
      </w:r>
    </w:p>
    <w:p w14:paraId="28D288EF" w14:textId="77777777" w:rsidR="002F669B" w:rsidRPr="00491102" w:rsidRDefault="002F669B" w:rsidP="002F669B">
      <w:pPr>
        <w:spacing w:line="480" w:lineRule="auto"/>
        <w:rPr>
          <w:rFonts w:ascii="Times New Roman" w:hAnsi="Times New Roman" w:cs="Times New Roman"/>
          <w:b/>
          <w:sz w:val="24"/>
          <w:szCs w:val="24"/>
        </w:rPr>
      </w:pPr>
      <w:r w:rsidRPr="00491102">
        <w:rPr>
          <w:rFonts w:ascii="Times New Roman" w:hAnsi="Times New Roman" w:cs="Times New Roman"/>
          <w:b/>
          <w:sz w:val="24"/>
          <w:szCs w:val="24"/>
        </w:rPr>
        <w:t>Conservation Stewardship Program (CSP)</w:t>
      </w:r>
    </w:p>
    <w:p w14:paraId="2FDBEFD3"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 xml:space="preserve">The CSP gives farmers an annual payment in exchange for producing environmental benefits. Farmers work with their local NRCS agronomist to augment their conservation efforts in their crop rotation. The farmer fills out documentation of their ongoing practices and the application for the adopted practice. The NRCS reviews the application, and given the proposed changes estimates the environmental benefits using the Conservation Measurement Tool to assign conservation points. These points are used for ranking applications and determining payments. </w:t>
      </w:r>
      <w:r w:rsidRPr="00491102">
        <w:rPr>
          <w:rFonts w:ascii="Times New Roman" w:hAnsi="Times New Roman" w:cs="Times New Roman"/>
          <w:sz w:val="24"/>
          <w:szCs w:val="24"/>
        </w:rPr>
        <w:lastRenderedPageBreak/>
        <w:t>The CSP has enhancement activities that address various environmental aspects. The specific enhancements for cover crops on cropland and their purposes are discussed below:</w:t>
      </w:r>
    </w:p>
    <w:p w14:paraId="238C3191" w14:textId="77777777" w:rsidR="002F669B" w:rsidRPr="00491102" w:rsidRDefault="002F669B" w:rsidP="002F669B">
      <w:pPr>
        <w:spacing w:line="480" w:lineRule="auto"/>
        <w:rPr>
          <w:rFonts w:ascii="Times New Roman" w:hAnsi="Times New Roman" w:cs="Times New Roman"/>
          <w:i/>
          <w:sz w:val="24"/>
          <w:szCs w:val="24"/>
        </w:rPr>
      </w:pPr>
      <w:r w:rsidRPr="00491102">
        <w:rPr>
          <w:rFonts w:ascii="Times New Roman" w:hAnsi="Times New Roman" w:cs="Times New Roman"/>
          <w:i/>
          <w:sz w:val="24"/>
          <w:szCs w:val="24"/>
        </w:rPr>
        <w:t>ENR12</w:t>
      </w:r>
    </w:p>
    <w:p w14:paraId="54565F31"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 xml:space="preserve">Cover crops are used to reduce or replace synthetic nitrogen application. Legume cover crops are selected to credit at least 40 pounds of nitrogen per acre. The enhancement is considered to be adopted when the cover crop has been planted to achieve the credit. </w:t>
      </w:r>
    </w:p>
    <w:p w14:paraId="108EBAA3"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Documentation required:</w:t>
      </w:r>
    </w:p>
    <w:p w14:paraId="4E9ABEE7"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1.</w:t>
      </w:r>
      <w:r w:rsidRPr="00491102">
        <w:rPr>
          <w:rFonts w:ascii="Times New Roman" w:hAnsi="Times New Roman" w:cs="Times New Roman"/>
          <w:sz w:val="24"/>
          <w:szCs w:val="24"/>
        </w:rPr>
        <w:tab/>
        <w:t>Map of field where enhancement was applied</w:t>
      </w:r>
    </w:p>
    <w:p w14:paraId="219A8CE5"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2.</w:t>
      </w:r>
      <w:r w:rsidRPr="00491102">
        <w:rPr>
          <w:rFonts w:ascii="Times New Roman" w:hAnsi="Times New Roman" w:cs="Times New Roman"/>
          <w:sz w:val="24"/>
          <w:szCs w:val="24"/>
        </w:rPr>
        <w:tab/>
        <w:t>Type of cover crop planted</w:t>
      </w:r>
    </w:p>
    <w:p w14:paraId="411BF306"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3.</w:t>
      </w:r>
      <w:r w:rsidRPr="00491102">
        <w:rPr>
          <w:rFonts w:ascii="Times New Roman" w:hAnsi="Times New Roman" w:cs="Times New Roman"/>
          <w:sz w:val="24"/>
          <w:szCs w:val="24"/>
        </w:rPr>
        <w:tab/>
        <w:t>Calculations to estimate available nitrogen</w:t>
      </w:r>
    </w:p>
    <w:p w14:paraId="6847121B"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4.</w:t>
      </w:r>
      <w:r w:rsidRPr="00491102">
        <w:rPr>
          <w:rFonts w:ascii="Times New Roman" w:hAnsi="Times New Roman" w:cs="Times New Roman"/>
          <w:sz w:val="24"/>
          <w:szCs w:val="24"/>
        </w:rPr>
        <w:tab/>
        <w:t>Additional nitrogen application rate</w:t>
      </w:r>
    </w:p>
    <w:p w14:paraId="098E895A"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5.</w:t>
      </w:r>
      <w:r w:rsidRPr="00491102">
        <w:rPr>
          <w:rFonts w:ascii="Times New Roman" w:hAnsi="Times New Roman" w:cs="Times New Roman"/>
          <w:sz w:val="24"/>
          <w:szCs w:val="24"/>
        </w:rPr>
        <w:tab/>
        <w:t>Realistic yield goals</w:t>
      </w:r>
    </w:p>
    <w:p w14:paraId="3C37F89E" w14:textId="77777777" w:rsidR="002F669B" w:rsidRPr="00491102" w:rsidRDefault="002F669B" w:rsidP="002F669B">
      <w:pPr>
        <w:spacing w:line="480" w:lineRule="auto"/>
        <w:rPr>
          <w:rFonts w:ascii="Times New Roman" w:hAnsi="Times New Roman" w:cs="Times New Roman"/>
          <w:i/>
          <w:sz w:val="24"/>
          <w:szCs w:val="24"/>
        </w:rPr>
      </w:pPr>
      <w:r w:rsidRPr="00491102">
        <w:rPr>
          <w:rFonts w:ascii="Times New Roman" w:hAnsi="Times New Roman" w:cs="Times New Roman"/>
          <w:i/>
          <w:sz w:val="24"/>
          <w:szCs w:val="24"/>
        </w:rPr>
        <w:t>PLT20</w:t>
      </w:r>
    </w:p>
    <w:p w14:paraId="4A49A4B5"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Cover crops are used to suppress weed seed germination and add carbon to the carbon pool. The farmer seeds a high-residue cover crop between each crop in the rotation, excluding double-cropped acreage. The cover crop must be planted within date range determined by NRCS agronomist, following a seeding rate. Cereal grain cover crops must be top-dressed with nitrogen as determined by the NRCS. The cover crop must reach maturity level (growth stage) to ensure full soil coverage for 3 months. The cover crop can be terminated using chemical or non-chemical methods. The crop rotation must maintain a Soil Tillage Intensity Rating (STIR) less than 10 as determined with RUSTL2.</w:t>
      </w:r>
    </w:p>
    <w:p w14:paraId="06408F65"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lastRenderedPageBreak/>
        <w:t>Documentation required:</w:t>
      </w:r>
    </w:p>
    <w:p w14:paraId="75C9CEC9"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1.</w:t>
      </w:r>
      <w:r w:rsidRPr="00491102">
        <w:rPr>
          <w:rFonts w:ascii="Times New Roman" w:hAnsi="Times New Roman" w:cs="Times New Roman"/>
          <w:sz w:val="24"/>
          <w:szCs w:val="24"/>
        </w:rPr>
        <w:tab/>
        <w:t>Cover crop or cover crop mix, seeding rate, and date planted</w:t>
      </w:r>
    </w:p>
    <w:p w14:paraId="5A0EDE98"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2.</w:t>
      </w:r>
      <w:r w:rsidRPr="00491102">
        <w:rPr>
          <w:rFonts w:ascii="Times New Roman" w:hAnsi="Times New Roman" w:cs="Times New Roman"/>
          <w:sz w:val="24"/>
          <w:szCs w:val="24"/>
        </w:rPr>
        <w:tab/>
        <w:t>Nitrogen top-dress rate and date</w:t>
      </w:r>
    </w:p>
    <w:p w14:paraId="077E4484"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3.</w:t>
      </w:r>
      <w:r w:rsidRPr="00491102">
        <w:rPr>
          <w:rFonts w:ascii="Times New Roman" w:hAnsi="Times New Roman" w:cs="Times New Roman"/>
          <w:sz w:val="24"/>
          <w:szCs w:val="24"/>
        </w:rPr>
        <w:tab/>
        <w:t>Cover crop termination stage and termination method</w:t>
      </w:r>
    </w:p>
    <w:p w14:paraId="12172085" w14:textId="77777777" w:rsidR="002F669B" w:rsidRPr="00491102" w:rsidRDefault="002F669B" w:rsidP="002F669B">
      <w:pPr>
        <w:spacing w:line="480" w:lineRule="auto"/>
        <w:rPr>
          <w:rFonts w:ascii="Times New Roman" w:hAnsi="Times New Roman" w:cs="Times New Roman"/>
          <w:i/>
          <w:sz w:val="24"/>
          <w:szCs w:val="24"/>
        </w:rPr>
      </w:pPr>
      <w:r w:rsidRPr="00491102">
        <w:rPr>
          <w:rFonts w:ascii="Times New Roman" w:hAnsi="Times New Roman" w:cs="Times New Roman"/>
          <w:i/>
          <w:sz w:val="24"/>
          <w:szCs w:val="24"/>
        </w:rPr>
        <w:t>SQL04</w:t>
      </w:r>
    </w:p>
    <w:p w14:paraId="1C475A5F"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 xml:space="preserve">Use of multiple cover crop species or cultivars with different maturity dates, selected from the NRCS state-specific list. </w:t>
      </w:r>
    </w:p>
    <w:p w14:paraId="7862AFFF"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Documentation required:</w:t>
      </w:r>
    </w:p>
    <w:p w14:paraId="7D06C065"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1.</w:t>
      </w:r>
      <w:r w:rsidRPr="00491102">
        <w:rPr>
          <w:rFonts w:ascii="Times New Roman" w:hAnsi="Times New Roman" w:cs="Times New Roman"/>
          <w:sz w:val="24"/>
          <w:szCs w:val="24"/>
        </w:rPr>
        <w:tab/>
        <w:t>Cover crop species, date planted, and termination method and date</w:t>
      </w:r>
    </w:p>
    <w:p w14:paraId="070FDF27"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2.</w:t>
      </w:r>
      <w:r w:rsidRPr="00491102">
        <w:rPr>
          <w:rFonts w:ascii="Times New Roman" w:hAnsi="Times New Roman" w:cs="Times New Roman"/>
          <w:sz w:val="24"/>
          <w:szCs w:val="24"/>
        </w:rPr>
        <w:tab/>
        <w:t>Date and quantity of N fertilizer</w:t>
      </w:r>
    </w:p>
    <w:p w14:paraId="06F08369"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3.</w:t>
      </w:r>
      <w:r w:rsidRPr="00491102">
        <w:rPr>
          <w:rFonts w:ascii="Times New Roman" w:hAnsi="Times New Roman" w:cs="Times New Roman"/>
          <w:sz w:val="24"/>
          <w:szCs w:val="24"/>
        </w:rPr>
        <w:tab/>
        <w:t>Crop planted after cover crop and method</w:t>
      </w:r>
    </w:p>
    <w:p w14:paraId="53EDF503"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4.</w:t>
      </w:r>
      <w:r w:rsidRPr="00491102">
        <w:rPr>
          <w:rFonts w:ascii="Times New Roman" w:hAnsi="Times New Roman" w:cs="Times New Roman"/>
          <w:sz w:val="24"/>
          <w:szCs w:val="24"/>
        </w:rPr>
        <w:tab/>
        <w:t>Grazing plan (if applicable)</w:t>
      </w:r>
    </w:p>
    <w:p w14:paraId="6ADD51D3"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5.</w:t>
      </w:r>
      <w:r w:rsidRPr="00491102">
        <w:rPr>
          <w:rFonts w:ascii="Times New Roman" w:hAnsi="Times New Roman" w:cs="Times New Roman"/>
          <w:sz w:val="24"/>
          <w:szCs w:val="24"/>
        </w:rPr>
        <w:tab/>
        <w:t xml:space="preserve">Map of field </w:t>
      </w:r>
    </w:p>
    <w:p w14:paraId="4798EE68"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6.</w:t>
      </w:r>
      <w:r w:rsidRPr="00491102">
        <w:rPr>
          <w:rFonts w:ascii="Times New Roman" w:hAnsi="Times New Roman" w:cs="Times New Roman"/>
          <w:sz w:val="24"/>
          <w:szCs w:val="24"/>
        </w:rPr>
        <w:tab/>
        <w:t>Photos showing cover crop mixes</w:t>
      </w:r>
    </w:p>
    <w:p w14:paraId="50FEF534" w14:textId="77777777" w:rsidR="002F669B" w:rsidRPr="00491102" w:rsidRDefault="002F669B" w:rsidP="002F669B">
      <w:pPr>
        <w:spacing w:line="480" w:lineRule="auto"/>
        <w:rPr>
          <w:rFonts w:ascii="Times New Roman" w:hAnsi="Times New Roman" w:cs="Times New Roman"/>
          <w:i/>
          <w:sz w:val="24"/>
          <w:szCs w:val="24"/>
        </w:rPr>
      </w:pPr>
      <w:r w:rsidRPr="00491102">
        <w:rPr>
          <w:rFonts w:ascii="Times New Roman" w:hAnsi="Times New Roman" w:cs="Times New Roman"/>
          <w:i/>
          <w:sz w:val="24"/>
          <w:szCs w:val="24"/>
        </w:rPr>
        <w:t>SQL12</w:t>
      </w:r>
    </w:p>
    <w:p w14:paraId="6011BB88"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 xml:space="preserve">Use of cover crops during all non-crop production times for annual crops. The cover crops is planted as soon as feasible after harvest using seeding rates that achieve uniform stand and rapid ground coverage. Alternatively, it may be seeded into a standing crop if adequate to achieve an </w:t>
      </w:r>
      <w:r w:rsidRPr="00491102">
        <w:rPr>
          <w:rFonts w:ascii="Times New Roman" w:hAnsi="Times New Roman" w:cs="Times New Roman"/>
          <w:sz w:val="24"/>
          <w:szCs w:val="24"/>
        </w:rPr>
        <w:lastRenderedPageBreak/>
        <w:t>adequate crop stand. The cover crop cannot be harvested or grazed and each cover crop in the rotation must meet one of the following and two over the course of the rotation:</w:t>
      </w:r>
    </w:p>
    <w:p w14:paraId="235442F9"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1.</w:t>
      </w:r>
      <w:r w:rsidRPr="00491102">
        <w:rPr>
          <w:rFonts w:ascii="Times New Roman" w:hAnsi="Times New Roman" w:cs="Times New Roman"/>
          <w:sz w:val="24"/>
          <w:szCs w:val="24"/>
        </w:rPr>
        <w:tab/>
        <w:t>High biomass cover crop for erosion control and improved soil organic matter</w:t>
      </w:r>
    </w:p>
    <w:p w14:paraId="729A19E1"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2.</w:t>
      </w:r>
      <w:r w:rsidRPr="00491102">
        <w:rPr>
          <w:rFonts w:ascii="Times New Roman" w:hAnsi="Times New Roman" w:cs="Times New Roman"/>
          <w:sz w:val="24"/>
          <w:szCs w:val="24"/>
        </w:rPr>
        <w:tab/>
        <w:t>Legume cover crop for N fixation</w:t>
      </w:r>
    </w:p>
    <w:p w14:paraId="1CDFBB43"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3.</w:t>
      </w:r>
      <w:r w:rsidRPr="00491102">
        <w:rPr>
          <w:rFonts w:ascii="Times New Roman" w:hAnsi="Times New Roman" w:cs="Times New Roman"/>
          <w:sz w:val="24"/>
          <w:szCs w:val="24"/>
        </w:rPr>
        <w:tab/>
        <w:t>Non-legume with deep root system to capture or recycle residual nitrogen</w:t>
      </w:r>
    </w:p>
    <w:p w14:paraId="4E1FA9D1"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4.</w:t>
      </w:r>
      <w:r w:rsidRPr="00491102">
        <w:rPr>
          <w:rFonts w:ascii="Times New Roman" w:hAnsi="Times New Roman" w:cs="Times New Roman"/>
          <w:sz w:val="24"/>
          <w:szCs w:val="24"/>
        </w:rPr>
        <w:tab/>
        <w:t xml:space="preserve">Weed suppression </w:t>
      </w:r>
    </w:p>
    <w:p w14:paraId="2FC2A4C6"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5.</w:t>
      </w:r>
      <w:r w:rsidRPr="00491102">
        <w:rPr>
          <w:rFonts w:ascii="Times New Roman" w:hAnsi="Times New Roman" w:cs="Times New Roman"/>
          <w:sz w:val="24"/>
          <w:szCs w:val="24"/>
        </w:rPr>
        <w:tab/>
        <w:t>Biodiversity improvement to attract beneficial or trap damaging insects</w:t>
      </w:r>
    </w:p>
    <w:p w14:paraId="5937FE58"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Documentation:</w:t>
      </w:r>
    </w:p>
    <w:p w14:paraId="54255B92"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1.</w:t>
      </w:r>
      <w:r w:rsidRPr="00491102">
        <w:rPr>
          <w:rFonts w:ascii="Times New Roman" w:hAnsi="Times New Roman" w:cs="Times New Roman"/>
          <w:sz w:val="24"/>
          <w:szCs w:val="24"/>
        </w:rPr>
        <w:tab/>
        <w:t>Crop rotation records</w:t>
      </w:r>
    </w:p>
    <w:p w14:paraId="3836D591"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2.</w:t>
      </w:r>
      <w:r w:rsidRPr="00491102">
        <w:rPr>
          <w:rFonts w:ascii="Times New Roman" w:hAnsi="Times New Roman" w:cs="Times New Roman"/>
          <w:sz w:val="24"/>
          <w:szCs w:val="24"/>
        </w:rPr>
        <w:tab/>
        <w:t>Sequence and description of operations for each crop</w:t>
      </w:r>
    </w:p>
    <w:p w14:paraId="2AABFA3D" w14:textId="77777777" w:rsidR="002F669B" w:rsidRPr="00491102" w:rsidRDefault="002F669B" w:rsidP="002F669B">
      <w:pPr>
        <w:spacing w:line="480" w:lineRule="auto"/>
        <w:ind w:left="720" w:hanging="720"/>
        <w:rPr>
          <w:rFonts w:ascii="Times New Roman" w:hAnsi="Times New Roman" w:cs="Times New Roman"/>
          <w:sz w:val="24"/>
          <w:szCs w:val="24"/>
        </w:rPr>
      </w:pPr>
      <w:r w:rsidRPr="00491102">
        <w:rPr>
          <w:rFonts w:ascii="Times New Roman" w:hAnsi="Times New Roman" w:cs="Times New Roman"/>
          <w:sz w:val="24"/>
          <w:szCs w:val="24"/>
        </w:rPr>
        <w:t>3.</w:t>
      </w:r>
      <w:r w:rsidRPr="00491102">
        <w:rPr>
          <w:rFonts w:ascii="Times New Roman" w:hAnsi="Times New Roman" w:cs="Times New Roman"/>
          <w:sz w:val="24"/>
          <w:szCs w:val="24"/>
        </w:rPr>
        <w:tab/>
        <w:t>Photos of cover crop showing timing and method of establishment and extent of growth before termination</w:t>
      </w:r>
    </w:p>
    <w:p w14:paraId="22ABB27B"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4.</w:t>
      </w:r>
      <w:r w:rsidRPr="00491102">
        <w:rPr>
          <w:rFonts w:ascii="Times New Roman" w:hAnsi="Times New Roman" w:cs="Times New Roman"/>
          <w:sz w:val="24"/>
          <w:szCs w:val="24"/>
        </w:rPr>
        <w:tab/>
        <w:t>Seed and legume inoculant tags and receipts</w:t>
      </w:r>
    </w:p>
    <w:p w14:paraId="2FEAD4A1" w14:textId="77777777" w:rsidR="002F669B" w:rsidRPr="00491102" w:rsidRDefault="002F669B" w:rsidP="002F669B">
      <w:pPr>
        <w:spacing w:line="480" w:lineRule="auto"/>
        <w:rPr>
          <w:rFonts w:ascii="Times New Roman" w:hAnsi="Times New Roman" w:cs="Times New Roman"/>
          <w:i/>
          <w:sz w:val="24"/>
          <w:szCs w:val="24"/>
        </w:rPr>
      </w:pPr>
      <w:r w:rsidRPr="00491102">
        <w:rPr>
          <w:rFonts w:ascii="Times New Roman" w:hAnsi="Times New Roman" w:cs="Times New Roman"/>
          <w:i/>
          <w:sz w:val="24"/>
          <w:szCs w:val="24"/>
        </w:rPr>
        <w:t>WQL10</w:t>
      </w:r>
    </w:p>
    <w:p w14:paraId="5EEBE3F3"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Plant cover crops such as cereal rye, barley, forage radish, or sorghum sudan that scavenge residual nitrogen in the soil after harvest and supply nutrients to the subsequent crop.</w:t>
      </w:r>
    </w:p>
    <w:p w14:paraId="1A94DBB6"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Documentation:</w:t>
      </w:r>
    </w:p>
    <w:p w14:paraId="5BBDA750"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1.</w:t>
      </w:r>
      <w:r w:rsidRPr="00491102">
        <w:rPr>
          <w:rFonts w:ascii="Times New Roman" w:hAnsi="Times New Roman" w:cs="Times New Roman"/>
          <w:sz w:val="24"/>
          <w:szCs w:val="24"/>
        </w:rPr>
        <w:tab/>
        <w:t>Map of field</w:t>
      </w:r>
    </w:p>
    <w:p w14:paraId="15C88BDF"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2.</w:t>
      </w:r>
      <w:r w:rsidRPr="00491102">
        <w:rPr>
          <w:rFonts w:ascii="Times New Roman" w:hAnsi="Times New Roman" w:cs="Times New Roman"/>
          <w:sz w:val="24"/>
          <w:szCs w:val="24"/>
        </w:rPr>
        <w:tab/>
        <w:t>Cover crop species, planting date, and seeding rate</w:t>
      </w:r>
    </w:p>
    <w:p w14:paraId="49AA9B64"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lastRenderedPageBreak/>
        <w:t>3.</w:t>
      </w:r>
      <w:r w:rsidRPr="00491102">
        <w:rPr>
          <w:rFonts w:ascii="Times New Roman" w:hAnsi="Times New Roman" w:cs="Times New Roman"/>
          <w:sz w:val="24"/>
          <w:szCs w:val="24"/>
        </w:rPr>
        <w:tab/>
        <w:t>Annual crop planted</w:t>
      </w:r>
    </w:p>
    <w:p w14:paraId="311819B4"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4.</w:t>
      </w:r>
      <w:r w:rsidRPr="00491102">
        <w:rPr>
          <w:rFonts w:ascii="Times New Roman" w:hAnsi="Times New Roman" w:cs="Times New Roman"/>
          <w:sz w:val="24"/>
          <w:szCs w:val="24"/>
        </w:rPr>
        <w:tab/>
        <w:t>N application rate for annual crop and justification for increase or decrease of N rate</w:t>
      </w:r>
    </w:p>
    <w:p w14:paraId="049EE815"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5.</w:t>
      </w:r>
      <w:r w:rsidRPr="00491102">
        <w:rPr>
          <w:rFonts w:ascii="Times New Roman" w:hAnsi="Times New Roman" w:cs="Times New Roman"/>
          <w:sz w:val="24"/>
          <w:szCs w:val="24"/>
        </w:rPr>
        <w:tab/>
        <w:t>Treatment acres</w:t>
      </w:r>
    </w:p>
    <w:p w14:paraId="5F3A315D" w14:textId="77777777" w:rsidR="002F669B" w:rsidRPr="00491102" w:rsidRDefault="002F669B" w:rsidP="002F669B">
      <w:pPr>
        <w:spacing w:line="480" w:lineRule="auto"/>
        <w:rPr>
          <w:rFonts w:ascii="Times New Roman" w:hAnsi="Times New Roman" w:cs="Times New Roman"/>
          <w:i/>
          <w:sz w:val="24"/>
          <w:szCs w:val="24"/>
        </w:rPr>
      </w:pPr>
      <w:r w:rsidRPr="00491102">
        <w:rPr>
          <w:rFonts w:ascii="Times New Roman" w:hAnsi="Times New Roman" w:cs="Times New Roman"/>
          <w:i/>
          <w:sz w:val="24"/>
          <w:szCs w:val="24"/>
        </w:rPr>
        <w:t>WQL33</w:t>
      </w:r>
    </w:p>
    <w:p w14:paraId="56849E6A"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Terminate cover crop with non-chemical methods to reduce detrimental water quality impact from herbicides. Crop is killed by mowing, roller-crimping, undercutting, or weather kill</w:t>
      </w:r>
    </w:p>
    <w:p w14:paraId="38BE3C59"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 xml:space="preserve"> Documentation:</w:t>
      </w:r>
    </w:p>
    <w:p w14:paraId="751DF520"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1.</w:t>
      </w:r>
      <w:r w:rsidRPr="00491102">
        <w:rPr>
          <w:rFonts w:ascii="Times New Roman" w:hAnsi="Times New Roman" w:cs="Times New Roman"/>
          <w:sz w:val="24"/>
          <w:szCs w:val="24"/>
        </w:rPr>
        <w:tab/>
        <w:t>Cover crop, planting date, and termination date</w:t>
      </w:r>
    </w:p>
    <w:p w14:paraId="1951C1D1"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2.</w:t>
      </w:r>
      <w:r w:rsidRPr="00491102">
        <w:rPr>
          <w:rFonts w:ascii="Times New Roman" w:hAnsi="Times New Roman" w:cs="Times New Roman"/>
          <w:sz w:val="24"/>
          <w:szCs w:val="24"/>
        </w:rPr>
        <w:tab/>
        <w:t>Annual crop planted</w:t>
      </w:r>
    </w:p>
    <w:p w14:paraId="708525B2"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3.</w:t>
      </w:r>
      <w:r w:rsidRPr="00491102">
        <w:rPr>
          <w:rFonts w:ascii="Times New Roman" w:hAnsi="Times New Roman" w:cs="Times New Roman"/>
          <w:sz w:val="24"/>
          <w:szCs w:val="24"/>
        </w:rPr>
        <w:tab/>
        <w:t xml:space="preserve">N application rate and date </w:t>
      </w:r>
    </w:p>
    <w:p w14:paraId="3F041566"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4.</w:t>
      </w:r>
      <w:r w:rsidRPr="00491102">
        <w:rPr>
          <w:rFonts w:ascii="Times New Roman" w:hAnsi="Times New Roman" w:cs="Times New Roman"/>
          <w:sz w:val="24"/>
          <w:szCs w:val="24"/>
        </w:rPr>
        <w:tab/>
        <w:t>Cash crop and planting method</w:t>
      </w:r>
    </w:p>
    <w:p w14:paraId="1AB5CE16"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5.</w:t>
      </w:r>
      <w:r w:rsidRPr="00491102">
        <w:rPr>
          <w:rFonts w:ascii="Times New Roman" w:hAnsi="Times New Roman" w:cs="Times New Roman"/>
          <w:sz w:val="24"/>
          <w:szCs w:val="24"/>
        </w:rPr>
        <w:tab/>
        <w:t>Map of field</w:t>
      </w:r>
    </w:p>
    <w:p w14:paraId="4BAFE846" w14:textId="77777777" w:rsidR="002F669B" w:rsidRPr="00491102" w:rsidRDefault="002F669B" w:rsidP="002F669B">
      <w:pPr>
        <w:spacing w:line="480" w:lineRule="auto"/>
        <w:rPr>
          <w:rFonts w:ascii="Times New Roman" w:hAnsi="Times New Roman" w:cs="Times New Roman"/>
          <w:sz w:val="24"/>
          <w:szCs w:val="24"/>
        </w:rPr>
      </w:pPr>
      <w:r w:rsidRPr="00491102">
        <w:rPr>
          <w:rFonts w:ascii="Times New Roman" w:hAnsi="Times New Roman" w:cs="Times New Roman"/>
          <w:sz w:val="24"/>
          <w:szCs w:val="24"/>
        </w:rPr>
        <w:t>6.</w:t>
      </w:r>
      <w:r w:rsidRPr="00491102">
        <w:rPr>
          <w:rFonts w:ascii="Times New Roman" w:hAnsi="Times New Roman" w:cs="Times New Roman"/>
          <w:sz w:val="24"/>
          <w:szCs w:val="24"/>
        </w:rPr>
        <w:tab/>
        <w:t>Photos of fields showing roller-crimping (if applicable)</w:t>
      </w:r>
    </w:p>
    <w:p w14:paraId="366EADCE" w14:textId="77777777" w:rsidR="00C113D0" w:rsidRDefault="00C113D0">
      <w:r>
        <w:br w:type="page"/>
      </w:r>
    </w:p>
    <w:p w14:paraId="4F0E92A6" w14:textId="77777777" w:rsidR="00C113D0" w:rsidRDefault="00C113D0" w:rsidP="00491102">
      <w:pPr>
        <w:spacing w:line="480" w:lineRule="auto"/>
        <w:jc w:val="center"/>
        <w:rPr>
          <w:rFonts w:ascii="Times New Roman" w:hAnsi="Times New Roman"/>
          <w:b/>
        </w:rPr>
      </w:pPr>
      <w:r>
        <w:rPr>
          <w:rFonts w:ascii="Times New Roman" w:hAnsi="Times New Roman"/>
          <w:b/>
        </w:rPr>
        <w:lastRenderedPageBreak/>
        <w:t>Appendix II.</w:t>
      </w:r>
      <w:r w:rsidR="00491102">
        <w:rPr>
          <w:rFonts w:ascii="Times New Roman" w:hAnsi="Times New Roman"/>
          <w:b/>
        </w:rPr>
        <w:t xml:space="preserve"> Additional Figures</w:t>
      </w:r>
    </w:p>
    <w:p w14:paraId="7D1CC9D6" w14:textId="77777777" w:rsidR="00C113D0" w:rsidRDefault="00C113D0" w:rsidP="00C113D0">
      <w:pPr>
        <w:contextualSpacing/>
        <w:rPr>
          <w:rFonts w:ascii="Times New Roman" w:hAnsi="Times New Roman"/>
          <w:b/>
        </w:rPr>
      </w:pPr>
    </w:p>
    <w:p w14:paraId="54780749" w14:textId="77777777" w:rsidR="00B2319D" w:rsidRPr="00B2319D" w:rsidRDefault="00C113D0" w:rsidP="00C113D0">
      <w:pPr>
        <w:contextualSpacing/>
        <w:rPr>
          <w:rFonts w:ascii="Times New Roman" w:hAnsi="Times New Roman"/>
          <w:b/>
        </w:rPr>
      </w:pPr>
      <w:r w:rsidRPr="00222BB5">
        <w:rPr>
          <w:rFonts w:ascii="Courier New" w:hAnsi="Courier New" w:cs="Courier New"/>
          <w:noProof/>
          <w:sz w:val="18"/>
          <w:szCs w:val="20"/>
        </w:rPr>
        <w:drawing>
          <wp:inline distT="0" distB="0" distL="0" distR="0" wp14:anchorId="416A5396" wp14:editId="27156980">
            <wp:extent cx="5114925" cy="3752850"/>
            <wp:effectExtent l="0" t="0" r="0" b="0"/>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14925" cy="3752850"/>
                    </a:xfrm>
                    <a:prstGeom prst="rect">
                      <a:avLst/>
                    </a:prstGeom>
                    <a:noFill/>
                    <a:ln>
                      <a:noFill/>
                    </a:ln>
                  </pic:spPr>
                </pic:pic>
              </a:graphicData>
            </a:graphic>
          </wp:inline>
        </w:drawing>
      </w:r>
    </w:p>
    <w:p w14:paraId="1BBC4EC4" w14:textId="77777777" w:rsidR="00B2319D" w:rsidRDefault="00B2319D" w:rsidP="00C113D0">
      <w:pPr>
        <w:contextualSpacing/>
      </w:pPr>
    </w:p>
    <w:p w14:paraId="2226877A" w14:textId="77777777" w:rsidR="00B2319D" w:rsidRDefault="00B2319D" w:rsidP="00B2319D">
      <w:pPr>
        <w:spacing w:line="480" w:lineRule="auto"/>
        <w:contextualSpacing/>
        <w:rPr>
          <w:rFonts w:ascii="Times New Roman" w:hAnsi="Times New Roman"/>
          <w:b/>
        </w:rPr>
      </w:pPr>
      <w:r w:rsidRPr="00F17D0C">
        <w:rPr>
          <w:rFonts w:ascii="Times New Roman" w:hAnsi="Times New Roman"/>
          <w:b/>
        </w:rPr>
        <w:t>Figure 1. Bal</w:t>
      </w:r>
      <w:r>
        <w:rPr>
          <w:rFonts w:ascii="Times New Roman" w:hAnsi="Times New Roman"/>
          <w:b/>
        </w:rPr>
        <w:t>ance plot of control and treated observation propensity scores before and after m</w:t>
      </w:r>
      <w:r w:rsidRPr="00F17D0C">
        <w:rPr>
          <w:rFonts w:ascii="Times New Roman" w:hAnsi="Times New Roman"/>
          <w:b/>
        </w:rPr>
        <w:t>atching</w:t>
      </w:r>
    </w:p>
    <w:p w14:paraId="3B2817BB" w14:textId="77777777" w:rsidR="00B2319D" w:rsidRDefault="00B2319D" w:rsidP="00B2319D">
      <w:pPr>
        <w:tabs>
          <w:tab w:val="left" w:pos="1170"/>
        </w:tabs>
        <w:spacing w:line="480" w:lineRule="auto"/>
        <w:contextualSpacing/>
      </w:pPr>
    </w:p>
    <w:p w14:paraId="0C23348F" w14:textId="77777777" w:rsidR="00C113D0" w:rsidRPr="00B2319D" w:rsidRDefault="00C113D0" w:rsidP="00B2319D">
      <w:pPr>
        <w:spacing w:line="480" w:lineRule="auto"/>
        <w:contextualSpacing/>
        <w:rPr>
          <w:rFonts w:ascii="Times New Roman" w:hAnsi="Times New Roman"/>
          <w:b/>
        </w:rPr>
      </w:pPr>
      <w:r w:rsidRPr="00B2319D">
        <w:br w:type="page"/>
      </w:r>
      <w:r w:rsidR="00B2319D">
        <w:rPr>
          <w:rFonts w:ascii="Times New Roman" w:hAnsi="Times New Roman"/>
          <w:b/>
        </w:rPr>
        <w:lastRenderedPageBreak/>
        <w:t xml:space="preserve"> </w:t>
      </w:r>
      <w:r w:rsidRPr="00222BB5">
        <w:rPr>
          <w:rFonts w:ascii="Courier New" w:hAnsi="Courier New" w:cs="Courier New"/>
          <w:noProof/>
          <w:sz w:val="18"/>
          <w:szCs w:val="20"/>
        </w:rPr>
        <w:drawing>
          <wp:inline distT="0" distB="0" distL="0" distR="0" wp14:anchorId="7B7D1C54" wp14:editId="09B4B1A3">
            <wp:extent cx="5114925" cy="3752850"/>
            <wp:effectExtent l="0" t="0" r="0" b="0"/>
            <wp:docPr id="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4925" cy="3752850"/>
                    </a:xfrm>
                    <a:prstGeom prst="rect">
                      <a:avLst/>
                    </a:prstGeom>
                    <a:noFill/>
                    <a:ln>
                      <a:noFill/>
                    </a:ln>
                  </pic:spPr>
                </pic:pic>
              </a:graphicData>
            </a:graphic>
          </wp:inline>
        </w:drawing>
      </w:r>
    </w:p>
    <w:p w14:paraId="3DA3FA56" w14:textId="77777777" w:rsidR="00C113D0" w:rsidRDefault="00C113D0" w:rsidP="00C113D0">
      <w:pPr>
        <w:contextualSpacing/>
        <w:rPr>
          <w:rFonts w:ascii="Times New Roman" w:hAnsi="Times New Roman"/>
          <w:b/>
        </w:rPr>
      </w:pPr>
    </w:p>
    <w:p w14:paraId="56C78B69" w14:textId="77777777" w:rsidR="00B2319D" w:rsidRPr="007006FB" w:rsidRDefault="00B2319D" w:rsidP="00B2319D">
      <w:pPr>
        <w:spacing w:line="480" w:lineRule="auto"/>
        <w:contextualSpacing/>
        <w:rPr>
          <w:rFonts w:ascii="Times New Roman" w:hAnsi="Times New Roman" w:cs="Times New Roman"/>
          <w:b/>
          <w:sz w:val="24"/>
          <w:szCs w:val="24"/>
        </w:rPr>
      </w:pPr>
      <w:r w:rsidRPr="007006FB">
        <w:rPr>
          <w:rFonts w:ascii="Times New Roman" w:hAnsi="Times New Roman" w:cs="Times New Roman"/>
          <w:b/>
          <w:sz w:val="24"/>
          <w:szCs w:val="24"/>
        </w:rPr>
        <w:t>Figure 2. Density plot of distribution of treated and control observations before and after matching</w:t>
      </w:r>
    </w:p>
    <w:p w14:paraId="403C10A3" w14:textId="77777777" w:rsidR="00C113D0" w:rsidRPr="007006FB" w:rsidRDefault="00C113D0" w:rsidP="00C113D0">
      <w:pPr>
        <w:spacing w:line="480" w:lineRule="auto"/>
        <w:rPr>
          <w:rFonts w:ascii="Times New Roman" w:hAnsi="Times New Roman" w:cs="Times New Roman"/>
          <w:sz w:val="24"/>
          <w:szCs w:val="24"/>
        </w:rPr>
      </w:pPr>
    </w:p>
    <w:p w14:paraId="5B5720B8" w14:textId="77777777" w:rsidR="009E2CA4" w:rsidRPr="007006FB" w:rsidRDefault="009E2CA4">
      <w:pPr>
        <w:rPr>
          <w:rFonts w:ascii="Times New Roman" w:hAnsi="Times New Roman" w:cs="Times New Roman"/>
          <w:sz w:val="24"/>
          <w:szCs w:val="24"/>
        </w:rPr>
      </w:pPr>
    </w:p>
    <w:p w14:paraId="388F1513" w14:textId="77777777" w:rsidR="007006FB" w:rsidRPr="007006FB" w:rsidRDefault="007006FB">
      <w:pPr>
        <w:rPr>
          <w:rFonts w:ascii="Times New Roman" w:hAnsi="Times New Roman" w:cs="Times New Roman"/>
          <w:sz w:val="24"/>
          <w:szCs w:val="24"/>
        </w:rPr>
      </w:pPr>
    </w:p>
    <w:p w14:paraId="642858C2" w14:textId="77777777" w:rsidR="007006FB" w:rsidRPr="007006FB" w:rsidRDefault="007006FB">
      <w:pPr>
        <w:rPr>
          <w:rFonts w:ascii="Times New Roman" w:hAnsi="Times New Roman" w:cs="Times New Roman"/>
          <w:sz w:val="24"/>
          <w:szCs w:val="24"/>
        </w:rPr>
      </w:pPr>
    </w:p>
    <w:p w14:paraId="7AE20907" w14:textId="77777777" w:rsidR="007006FB" w:rsidRPr="007006FB" w:rsidRDefault="007006FB">
      <w:pPr>
        <w:rPr>
          <w:rFonts w:ascii="Times New Roman" w:hAnsi="Times New Roman" w:cs="Times New Roman"/>
          <w:sz w:val="24"/>
          <w:szCs w:val="24"/>
        </w:rPr>
      </w:pPr>
    </w:p>
    <w:p w14:paraId="4C8149BA" w14:textId="77777777" w:rsidR="007006FB" w:rsidRPr="007006FB" w:rsidRDefault="007006FB">
      <w:pPr>
        <w:rPr>
          <w:rFonts w:ascii="Times New Roman" w:hAnsi="Times New Roman" w:cs="Times New Roman"/>
          <w:sz w:val="24"/>
          <w:szCs w:val="24"/>
        </w:rPr>
      </w:pPr>
    </w:p>
    <w:p w14:paraId="16F64BE6" w14:textId="77777777" w:rsidR="007006FB" w:rsidRPr="007006FB" w:rsidRDefault="007006FB">
      <w:pPr>
        <w:rPr>
          <w:rFonts w:ascii="Times New Roman" w:hAnsi="Times New Roman" w:cs="Times New Roman"/>
          <w:sz w:val="24"/>
          <w:szCs w:val="24"/>
        </w:rPr>
      </w:pPr>
    </w:p>
    <w:p w14:paraId="01CA7C8B" w14:textId="77777777" w:rsidR="007006FB" w:rsidRPr="007006FB" w:rsidRDefault="007006FB">
      <w:pPr>
        <w:rPr>
          <w:rFonts w:ascii="Times New Roman" w:hAnsi="Times New Roman" w:cs="Times New Roman"/>
          <w:sz w:val="24"/>
          <w:szCs w:val="24"/>
        </w:rPr>
      </w:pPr>
    </w:p>
    <w:p w14:paraId="501886A2" w14:textId="77777777" w:rsidR="007006FB" w:rsidRPr="007006FB" w:rsidRDefault="007006FB">
      <w:pPr>
        <w:rPr>
          <w:rFonts w:ascii="Times New Roman" w:hAnsi="Times New Roman" w:cs="Times New Roman"/>
          <w:sz w:val="24"/>
          <w:szCs w:val="24"/>
        </w:rPr>
      </w:pPr>
    </w:p>
    <w:p w14:paraId="57F1E026" w14:textId="77777777" w:rsidR="007006FB" w:rsidRPr="007006FB" w:rsidRDefault="007006FB">
      <w:pPr>
        <w:rPr>
          <w:rFonts w:ascii="Times New Roman" w:hAnsi="Times New Roman" w:cs="Times New Roman"/>
          <w:sz w:val="24"/>
          <w:szCs w:val="24"/>
        </w:rPr>
      </w:pPr>
    </w:p>
    <w:p w14:paraId="753106D7" w14:textId="77777777" w:rsidR="007006FB" w:rsidRPr="007006FB" w:rsidRDefault="007006FB">
      <w:pPr>
        <w:rPr>
          <w:rFonts w:ascii="Times New Roman" w:hAnsi="Times New Roman" w:cs="Times New Roman"/>
          <w:sz w:val="24"/>
          <w:szCs w:val="24"/>
        </w:rPr>
      </w:pPr>
    </w:p>
    <w:p w14:paraId="74E05BAA" w14:textId="77777777" w:rsidR="007006FB" w:rsidRPr="007006FB" w:rsidRDefault="007006FB">
      <w:pPr>
        <w:rPr>
          <w:rFonts w:ascii="Times New Roman" w:hAnsi="Times New Roman" w:cs="Times New Roman"/>
          <w:sz w:val="24"/>
          <w:szCs w:val="24"/>
        </w:rPr>
      </w:pPr>
    </w:p>
    <w:p w14:paraId="5E2988CF" w14:textId="77777777" w:rsidR="007006FB" w:rsidRDefault="007006FB" w:rsidP="009148B4">
      <w:pPr>
        <w:rPr>
          <w:rFonts w:ascii="Times New Roman" w:hAnsi="Times New Roman" w:cs="Times New Roman"/>
          <w:b/>
          <w:sz w:val="24"/>
          <w:szCs w:val="24"/>
        </w:rPr>
      </w:pPr>
      <w:r>
        <w:rPr>
          <w:rFonts w:ascii="Times New Roman" w:hAnsi="Times New Roman" w:cs="Times New Roman"/>
          <w:b/>
          <w:sz w:val="24"/>
          <w:szCs w:val="24"/>
        </w:rPr>
        <w:t>Appendix III. Robustness Checks</w:t>
      </w:r>
    </w:p>
    <w:p w14:paraId="7A72575F" w14:textId="77777777" w:rsidR="009148B4" w:rsidRDefault="009148B4" w:rsidP="009148B4">
      <w:pPr>
        <w:suppressAutoHyphens/>
        <w:spacing w:line="480" w:lineRule="auto"/>
        <w:contextualSpacing/>
        <w:rPr>
          <w:rFonts w:ascii="Times New Roman" w:hAnsi="Times New Roman"/>
          <w:sz w:val="24"/>
        </w:rPr>
      </w:pPr>
    </w:p>
    <w:p w14:paraId="0F8EC01D" w14:textId="099C71B3" w:rsidR="009148B4" w:rsidRDefault="007006FB" w:rsidP="009148B4">
      <w:pPr>
        <w:suppressAutoHyphens/>
        <w:spacing w:line="480" w:lineRule="auto"/>
        <w:contextualSpacing/>
        <w:rPr>
          <w:rFonts w:ascii="Times New Roman" w:hAnsi="Times New Roman"/>
          <w:sz w:val="24"/>
        </w:rPr>
      </w:pPr>
      <w:r w:rsidRPr="007006FB">
        <w:rPr>
          <w:rFonts w:ascii="Times New Roman" w:hAnsi="Times New Roman"/>
          <w:sz w:val="24"/>
        </w:rPr>
        <w:t>We evaluate</w:t>
      </w:r>
      <w:r w:rsidR="005E67EC">
        <w:rPr>
          <w:rFonts w:ascii="Times New Roman" w:hAnsi="Times New Roman"/>
          <w:sz w:val="24"/>
        </w:rPr>
        <w:t>d</w:t>
      </w:r>
      <w:r w:rsidRPr="007006FB">
        <w:rPr>
          <w:rFonts w:ascii="Times New Roman" w:hAnsi="Times New Roman"/>
          <w:sz w:val="24"/>
        </w:rPr>
        <w:t xml:space="preserve"> the sensitivity of the results to matching specification by comparing the results from the selected model against those from 3 additional matching techniques totaling 30 additional models: (1) 13 nearest-neighbor models with alternative numbers of neighbors (1 through 8) and caliper sizes (0.05 to 0.20), (2) 10 propensity-score kernel-matching models with differing kernel types and bandwidths, and (3) 7 direct-matching models based on covariates with varying numbers of neighbors (1 through 7). Kernel matching, while still using the propensity score, differs from nearest-neighbor matching by matching each treated observation to a weighted average of all available controls, determined using a kernel estimator. We use Epanechnikov and Gaussian kernel types, with bandwidths ranging from 0.01 to 0.2 (Caliendo and Kopeinig 2008). Direct matching is based on the Euclidian distance between covariates instead of on a propensity score.</w:t>
      </w:r>
    </w:p>
    <w:p w14:paraId="726CE1E3" w14:textId="77777777" w:rsidR="009148B4" w:rsidRDefault="009148B4" w:rsidP="009148B4">
      <w:pPr>
        <w:suppressAutoHyphens/>
        <w:spacing w:line="480" w:lineRule="auto"/>
        <w:contextualSpacing/>
        <w:rPr>
          <w:rFonts w:ascii="Times New Roman" w:hAnsi="Times New Roman"/>
          <w:sz w:val="24"/>
        </w:rPr>
      </w:pPr>
    </w:p>
    <w:p w14:paraId="5622BAFF" w14:textId="5CDFD08C" w:rsidR="009148B4" w:rsidRPr="000F5AEA" w:rsidRDefault="009148B4" w:rsidP="009148B4">
      <w:pPr>
        <w:suppressAutoHyphens/>
        <w:spacing w:line="480" w:lineRule="auto"/>
        <w:contextualSpacing/>
        <w:rPr>
          <w:rFonts w:ascii="Times New Roman" w:hAnsi="Times New Roman"/>
          <w:sz w:val="24"/>
          <w:szCs w:val="24"/>
        </w:rPr>
      </w:pPr>
      <w:r w:rsidRPr="000F5AEA">
        <w:rPr>
          <w:rFonts w:ascii="Times New Roman" w:hAnsi="Times New Roman"/>
          <w:sz w:val="24"/>
          <w:szCs w:val="24"/>
        </w:rPr>
        <w:t>The table</w:t>
      </w:r>
      <w:r w:rsidR="00321F8F" w:rsidRPr="000F5AEA">
        <w:rPr>
          <w:rFonts w:ascii="Times New Roman" w:hAnsi="Times New Roman"/>
          <w:sz w:val="24"/>
          <w:szCs w:val="24"/>
        </w:rPr>
        <w:t xml:space="preserve"> summarizes the results from alternative matching specifications and provides a robustness check to the results from our selected model. Reducing the size of the caliper to ensure higher quality matches and changing the numbers of controls in the propensity-score nearest-neighbor models 2 through 13 do not substantially affect the results. In our preferred model (model 1), we control</w:t>
      </w:r>
      <w:r w:rsidR="005E67EC">
        <w:rPr>
          <w:rFonts w:ascii="Times New Roman" w:hAnsi="Times New Roman"/>
          <w:sz w:val="24"/>
          <w:szCs w:val="24"/>
        </w:rPr>
        <w:t>led</w:t>
      </w:r>
      <w:r w:rsidR="00321F8F" w:rsidRPr="000F5AEA">
        <w:rPr>
          <w:rFonts w:ascii="Times New Roman" w:hAnsi="Times New Roman"/>
          <w:sz w:val="24"/>
          <w:szCs w:val="24"/>
        </w:rPr>
        <w:t xml:space="preserve"> for past cover crop use. However, if some unobserved factor </w:t>
      </w:r>
      <w:r w:rsidR="0086571E">
        <w:rPr>
          <w:rFonts w:ascii="Times New Roman" w:hAnsi="Times New Roman"/>
          <w:sz w:val="24"/>
          <w:szCs w:val="24"/>
        </w:rPr>
        <w:t>drove</w:t>
      </w:r>
      <w:r w:rsidR="00321F8F" w:rsidRPr="000F5AEA">
        <w:rPr>
          <w:rFonts w:ascii="Times New Roman" w:hAnsi="Times New Roman"/>
          <w:sz w:val="24"/>
          <w:szCs w:val="24"/>
        </w:rPr>
        <w:t xml:space="preserve"> both participation in the cost-share program and past cover crop use, conditioning on past cover crop acreage </w:t>
      </w:r>
      <w:r w:rsidR="0086571E">
        <w:rPr>
          <w:rFonts w:ascii="Times New Roman" w:hAnsi="Times New Roman"/>
          <w:sz w:val="24"/>
          <w:szCs w:val="24"/>
        </w:rPr>
        <w:t>would</w:t>
      </w:r>
      <w:r w:rsidR="00321F8F" w:rsidRPr="000F5AEA">
        <w:rPr>
          <w:rFonts w:ascii="Times New Roman" w:hAnsi="Times New Roman"/>
          <w:sz w:val="24"/>
          <w:szCs w:val="24"/>
        </w:rPr>
        <w:t xml:space="preserve"> confound our results. Model 14 </w:t>
      </w:r>
      <w:r w:rsidR="0086571E">
        <w:rPr>
          <w:rFonts w:ascii="Times New Roman" w:hAnsi="Times New Roman"/>
          <w:sz w:val="24"/>
          <w:szCs w:val="24"/>
        </w:rPr>
        <w:t>was</w:t>
      </w:r>
      <w:r w:rsidR="00321F8F" w:rsidRPr="000F5AEA">
        <w:rPr>
          <w:rFonts w:ascii="Times New Roman" w:hAnsi="Times New Roman"/>
          <w:sz w:val="24"/>
          <w:szCs w:val="24"/>
        </w:rPr>
        <w:t xml:space="preserve"> specified with the same number of neighbors and caliper size as the preferred model but omitting 2012 cover crop use as an </w:t>
      </w:r>
      <w:r w:rsidR="00321F8F" w:rsidRPr="000F5AEA">
        <w:rPr>
          <w:rFonts w:ascii="Times New Roman" w:hAnsi="Times New Roman"/>
          <w:sz w:val="24"/>
          <w:szCs w:val="24"/>
        </w:rPr>
        <w:lastRenderedPageBreak/>
        <w:t>explanatory variable. The ATT estimate for model 14 is 19%, which lies within the 95% confidence interval of model 1.</w:t>
      </w:r>
    </w:p>
    <w:p w14:paraId="0D6CBA75" w14:textId="77777777" w:rsidR="009148B4" w:rsidRPr="000F5AEA" w:rsidRDefault="009148B4" w:rsidP="009148B4">
      <w:pPr>
        <w:spacing w:line="480" w:lineRule="auto"/>
        <w:contextualSpacing/>
        <w:rPr>
          <w:rFonts w:ascii="Times New Roman" w:hAnsi="Times New Roman"/>
          <w:sz w:val="24"/>
          <w:szCs w:val="24"/>
        </w:rPr>
      </w:pPr>
    </w:p>
    <w:p w14:paraId="1F39CA9C" w14:textId="30AF0EEF" w:rsidR="00321F8F" w:rsidRPr="000F5AEA" w:rsidRDefault="00321F8F" w:rsidP="009148B4">
      <w:pPr>
        <w:spacing w:line="480" w:lineRule="auto"/>
        <w:contextualSpacing/>
        <w:rPr>
          <w:rFonts w:ascii="Times New Roman" w:hAnsi="Times New Roman"/>
          <w:sz w:val="24"/>
          <w:szCs w:val="24"/>
        </w:rPr>
      </w:pPr>
      <w:r w:rsidRPr="000F5AEA">
        <w:rPr>
          <w:rFonts w:ascii="Times New Roman" w:hAnsi="Times New Roman"/>
          <w:sz w:val="24"/>
          <w:szCs w:val="24"/>
        </w:rPr>
        <w:t xml:space="preserve">Overall, the results from the 31 model specifications </w:t>
      </w:r>
      <w:r w:rsidR="0086571E">
        <w:rPr>
          <w:rFonts w:ascii="Times New Roman" w:hAnsi="Times New Roman"/>
          <w:sz w:val="24"/>
          <w:szCs w:val="24"/>
        </w:rPr>
        <w:t>are</w:t>
      </w:r>
      <w:r w:rsidRPr="000F5AEA">
        <w:rPr>
          <w:rFonts w:ascii="Times New Roman" w:hAnsi="Times New Roman"/>
          <w:sz w:val="24"/>
          <w:szCs w:val="24"/>
        </w:rPr>
        <w:t xml:space="preserve"> similar, with the estimated increase in cover crop acreage share due to cost-share payments ranging from 13 to 19 percentage points. </w:t>
      </w:r>
    </w:p>
    <w:p w14:paraId="071E8DAE" w14:textId="77777777" w:rsidR="00994384" w:rsidRPr="008E790D" w:rsidRDefault="00994384" w:rsidP="00994384">
      <w:pPr>
        <w:spacing w:line="480" w:lineRule="auto"/>
        <w:contextualSpacing/>
        <w:jc w:val="both"/>
        <w:rPr>
          <w:rFonts w:ascii="Times New Roman" w:hAnsi="Times New Roman"/>
          <w:b/>
          <w:kern w:val="2"/>
        </w:rPr>
      </w:pPr>
      <w:r>
        <w:rPr>
          <w:rFonts w:ascii="Times New Roman" w:hAnsi="Times New Roman"/>
          <w:b/>
          <w:kern w:val="2"/>
        </w:rPr>
        <w:t>Table: Robustness Checks</w:t>
      </w:r>
    </w:p>
    <w:tbl>
      <w:tblPr>
        <w:tblW w:w="9270" w:type="dxa"/>
        <w:tblLayout w:type="fixed"/>
        <w:tblLook w:val="04A0" w:firstRow="1" w:lastRow="0" w:firstColumn="1" w:lastColumn="0" w:noHBand="0" w:noVBand="1"/>
      </w:tblPr>
      <w:tblGrid>
        <w:gridCol w:w="1350"/>
        <w:gridCol w:w="1620"/>
        <w:gridCol w:w="1440"/>
        <w:gridCol w:w="1440"/>
        <w:gridCol w:w="2430"/>
        <w:gridCol w:w="990"/>
      </w:tblGrid>
      <w:tr w:rsidR="00994384" w:rsidRPr="008E790D" w14:paraId="7E661C44" w14:textId="77777777" w:rsidTr="00994384">
        <w:trPr>
          <w:trHeight w:val="300"/>
        </w:trPr>
        <w:tc>
          <w:tcPr>
            <w:tcW w:w="1350" w:type="dxa"/>
            <w:tcBorders>
              <w:top w:val="single" w:sz="12" w:space="0" w:color="auto"/>
              <w:left w:val="nil"/>
              <w:bottom w:val="nil"/>
              <w:right w:val="nil"/>
            </w:tcBorders>
          </w:tcPr>
          <w:p w14:paraId="3A2DF8DE" w14:textId="77777777" w:rsidR="00994384" w:rsidRPr="008E790D" w:rsidRDefault="00994384" w:rsidP="0009573B">
            <w:pPr>
              <w:spacing w:line="480" w:lineRule="auto"/>
              <w:contextualSpacing/>
              <w:jc w:val="both"/>
              <w:rPr>
                <w:rFonts w:ascii="Times New Roman" w:eastAsia="Times New Roman" w:hAnsi="Times New Roman"/>
                <w:b/>
                <w:bCs/>
                <w:color w:val="000000"/>
              </w:rPr>
            </w:pPr>
            <w:r w:rsidRPr="008E790D">
              <w:rPr>
                <w:rFonts w:ascii="Times New Roman" w:eastAsia="Times New Roman" w:hAnsi="Times New Roman"/>
                <w:b/>
                <w:bCs/>
                <w:color w:val="000000"/>
              </w:rPr>
              <w:t>Method</w:t>
            </w:r>
          </w:p>
        </w:tc>
        <w:tc>
          <w:tcPr>
            <w:tcW w:w="1620" w:type="dxa"/>
            <w:tcBorders>
              <w:top w:val="single" w:sz="12" w:space="0" w:color="auto"/>
              <w:left w:val="nil"/>
              <w:bottom w:val="nil"/>
              <w:right w:val="nil"/>
            </w:tcBorders>
            <w:shd w:val="clear" w:color="auto" w:fill="auto"/>
            <w:vAlign w:val="center"/>
          </w:tcPr>
          <w:p w14:paraId="10B14062" w14:textId="77777777" w:rsidR="00994384" w:rsidRPr="008E790D" w:rsidRDefault="00994384" w:rsidP="0009573B">
            <w:pPr>
              <w:spacing w:line="480" w:lineRule="auto"/>
              <w:contextualSpacing/>
              <w:jc w:val="both"/>
              <w:rPr>
                <w:rFonts w:ascii="Times New Roman" w:eastAsia="Times New Roman" w:hAnsi="Times New Roman"/>
                <w:b/>
                <w:bCs/>
                <w:color w:val="000000"/>
              </w:rPr>
            </w:pPr>
            <w:r w:rsidRPr="008E790D">
              <w:rPr>
                <w:rFonts w:ascii="Times New Roman" w:eastAsia="Times New Roman" w:hAnsi="Times New Roman"/>
                <w:b/>
                <w:bCs/>
                <w:color w:val="000000"/>
              </w:rPr>
              <w:t>Neighbors</w:t>
            </w:r>
          </w:p>
        </w:tc>
        <w:tc>
          <w:tcPr>
            <w:tcW w:w="1440" w:type="dxa"/>
            <w:tcBorders>
              <w:top w:val="single" w:sz="12" w:space="0" w:color="auto"/>
              <w:left w:val="nil"/>
              <w:bottom w:val="nil"/>
              <w:right w:val="nil"/>
            </w:tcBorders>
            <w:shd w:val="clear" w:color="auto" w:fill="auto"/>
            <w:vAlign w:val="center"/>
          </w:tcPr>
          <w:p w14:paraId="7AFF9A02" w14:textId="77777777" w:rsidR="00994384" w:rsidRPr="008E790D" w:rsidRDefault="00994384" w:rsidP="0009573B">
            <w:pPr>
              <w:spacing w:line="480" w:lineRule="auto"/>
              <w:contextualSpacing/>
              <w:jc w:val="both"/>
              <w:rPr>
                <w:rFonts w:ascii="Times New Roman" w:eastAsia="Times New Roman" w:hAnsi="Times New Roman"/>
                <w:b/>
                <w:bCs/>
                <w:color w:val="000000"/>
              </w:rPr>
            </w:pPr>
            <w:r w:rsidRPr="008E790D">
              <w:rPr>
                <w:rFonts w:ascii="Times New Roman" w:eastAsia="Times New Roman" w:hAnsi="Times New Roman"/>
                <w:b/>
                <w:bCs/>
                <w:color w:val="000000"/>
              </w:rPr>
              <w:t>Caliper</w:t>
            </w:r>
          </w:p>
        </w:tc>
        <w:tc>
          <w:tcPr>
            <w:tcW w:w="1440" w:type="dxa"/>
            <w:tcBorders>
              <w:top w:val="single" w:sz="12" w:space="0" w:color="auto"/>
              <w:left w:val="nil"/>
              <w:bottom w:val="nil"/>
              <w:right w:val="nil"/>
            </w:tcBorders>
            <w:shd w:val="clear" w:color="auto" w:fill="auto"/>
            <w:vAlign w:val="center"/>
          </w:tcPr>
          <w:p w14:paraId="3AC43796" w14:textId="77777777" w:rsidR="00994384" w:rsidRPr="008E790D" w:rsidRDefault="00994384" w:rsidP="0009573B">
            <w:pPr>
              <w:spacing w:line="480" w:lineRule="auto"/>
              <w:contextualSpacing/>
              <w:jc w:val="both"/>
              <w:rPr>
                <w:rFonts w:ascii="Times New Roman" w:eastAsia="Times New Roman" w:hAnsi="Times New Roman"/>
                <w:b/>
                <w:bCs/>
                <w:color w:val="000000"/>
              </w:rPr>
            </w:pPr>
            <w:r w:rsidRPr="008E790D">
              <w:rPr>
                <w:rFonts w:ascii="Times New Roman" w:eastAsia="Times New Roman" w:hAnsi="Times New Roman"/>
                <w:b/>
                <w:bCs/>
                <w:color w:val="000000"/>
              </w:rPr>
              <w:t>ATT</w:t>
            </w:r>
          </w:p>
        </w:tc>
        <w:tc>
          <w:tcPr>
            <w:tcW w:w="2430" w:type="dxa"/>
            <w:tcBorders>
              <w:top w:val="single" w:sz="12" w:space="0" w:color="auto"/>
              <w:left w:val="nil"/>
              <w:bottom w:val="nil"/>
              <w:right w:val="nil"/>
            </w:tcBorders>
            <w:shd w:val="clear" w:color="auto" w:fill="auto"/>
            <w:vAlign w:val="center"/>
          </w:tcPr>
          <w:p w14:paraId="14954EE2" w14:textId="77777777" w:rsidR="00994384" w:rsidRPr="008E790D" w:rsidRDefault="00994384" w:rsidP="0009573B">
            <w:pPr>
              <w:spacing w:line="480" w:lineRule="auto"/>
              <w:contextualSpacing/>
              <w:jc w:val="both"/>
              <w:rPr>
                <w:rFonts w:ascii="Times New Roman" w:eastAsia="Times New Roman" w:hAnsi="Times New Roman"/>
                <w:b/>
                <w:bCs/>
                <w:color w:val="000000"/>
              </w:rPr>
            </w:pPr>
            <w:r w:rsidRPr="008E790D">
              <w:rPr>
                <w:rFonts w:ascii="Times New Roman" w:eastAsia="Times New Roman" w:hAnsi="Times New Roman"/>
                <w:b/>
                <w:bCs/>
                <w:color w:val="000000"/>
              </w:rPr>
              <w:t>SE</w:t>
            </w:r>
          </w:p>
        </w:tc>
        <w:tc>
          <w:tcPr>
            <w:tcW w:w="990" w:type="dxa"/>
            <w:tcBorders>
              <w:top w:val="single" w:sz="12" w:space="0" w:color="auto"/>
              <w:left w:val="nil"/>
              <w:bottom w:val="nil"/>
              <w:right w:val="nil"/>
            </w:tcBorders>
          </w:tcPr>
          <w:p w14:paraId="3F000254" w14:textId="77777777" w:rsidR="00994384" w:rsidRPr="008E790D" w:rsidRDefault="00994384" w:rsidP="0009573B">
            <w:pPr>
              <w:spacing w:line="480" w:lineRule="auto"/>
              <w:contextualSpacing/>
              <w:jc w:val="both"/>
              <w:rPr>
                <w:rFonts w:ascii="Times New Roman" w:eastAsia="Times New Roman" w:hAnsi="Times New Roman"/>
                <w:b/>
                <w:bCs/>
                <w:color w:val="000000"/>
              </w:rPr>
            </w:pPr>
            <w:r w:rsidRPr="008E790D">
              <w:rPr>
                <w:rFonts w:ascii="Times New Roman" w:eastAsia="Times New Roman" w:hAnsi="Times New Roman"/>
                <w:b/>
                <w:bCs/>
                <w:color w:val="000000"/>
              </w:rPr>
              <w:t xml:space="preserve">Model </w:t>
            </w:r>
          </w:p>
        </w:tc>
      </w:tr>
      <w:tr w:rsidR="00994384" w:rsidRPr="008E790D" w14:paraId="712D4423" w14:textId="77777777" w:rsidTr="0009573B">
        <w:trPr>
          <w:trHeight w:val="300"/>
        </w:trPr>
        <w:tc>
          <w:tcPr>
            <w:tcW w:w="1350" w:type="dxa"/>
            <w:vMerge w:val="restart"/>
            <w:tcBorders>
              <w:top w:val="nil"/>
              <w:left w:val="nil"/>
              <w:right w:val="nil"/>
            </w:tcBorders>
            <w:vAlign w:val="center"/>
          </w:tcPr>
          <w:p w14:paraId="2E574F0C"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Propensity score- nearest neighbor</w:t>
            </w:r>
          </w:p>
        </w:tc>
        <w:tc>
          <w:tcPr>
            <w:tcW w:w="1620" w:type="dxa"/>
            <w:tcBorders>
              <w:top w:val="nil"/>
              <w:left w:val="nil"/>
              <w:bottom w:val="nil"/>
              <w:right w:val="nil"/>
            </w:tcBorders>
            <w:shd w:val="clear" w:color="auto" w:fill="auto"/>
            <w:vAlign w:val="center"/>
          </w:tcPr>
          <w:p w14:paraId="66803A07"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7</w:t>
            </w:r>
          </w:p>
        </w:tc>
        <w:tc>
          <w:tcPr>
            <w:tcW w:w="1440" w:type="dxa"/>
            <w:tcBorders>
              <w:top w:val="nil"/>
              <w:left w:val="nil"/>
              <w:bottom w:val="nil"/>
              <w:right w:val="nil"/>
            </w:tcBorders>
            <w:shd w:val="clear" w:color="auto" w:fill="auto"/>
            <w:vAlign w:val="center"/>
          </w:tcPr>
          <w:p w14:paraId="603F00FF"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0.2</w:t>
            </w:r>
          </w:p>
        </w:tc>
        <w:tc>
          <w:tcPr>
            <w:tcW w:w="1440" w:type="dxa"/>
            <w:tcBorders>
              <w:top w:val="nil"/>
              <w:left w:val="nil"/>
              <w:bottom w:val="nil"/>
              <w:right w:val="nil"/>
            </w:tcBorders>
            <w:shd w:val="clear" w:color="auto" w:fill="auto"/>
            <w:vAlign w:val="center"/>
          </w:tcPr>
          <w:p w14:paraId="6C162A66"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0.1562</w:t>
            </w:r>
          </w:p>
        </w:tc>
        <w:tc>
          <w:tcPr>
            <w:tcW w:w="2430" w:type="dxa"/>
            <w:tcBorders>
              <w:top w:val="nil"/>
              <w:left w:val="nil"/>
              <w:bottom w:val="nil"/>
              <w:right w:val="nil"/>
            </w:tcBorders>
            <w:shd w:val="clear" w:color="auto" w:fill="auto"/>
            <w:vAlign w:val="center"/>
          </w:tcPr>
          <w:p w14:paraId="29657D3F"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0.0331</w:t>
            </w:r>
          </w:p>
        </w:tc>
        <w:tc>
          <w:tcPr>
            <w:tcW w:w="990" w:type="dxa"/>
            <w:tcBorders>
              <w:top w:val="nil"/>
              <w:left w:val="nil"/>
              <w:bottom w:val="nil"/>
              <w:right w:val="nil"/>
            </w:tcBorders>
          </w:tcPr>
          <w:p w14:paraId="3582ACD5"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2</w:t>
            </w:r>
          </w:p>
        </w:tc>
      </w:tr>
      <w:tr w:rsidR="00994384" w:rsidRPr="008E790D" w14:paraId="6C314146" w14:textId="77777777" w:rsidTr="0009573B">
        <w:trPr>
          <w:trHeight w:val="300"/>
        </w:trPr>
        <w:tc>
          <w:tcPr>
            <w:tcW w:w="1350" w:type="dxa"/>
            <w:vMerge/>
            <w:tcBorders>
              <w:left w:val="nil"/>
              <w:right w:val="nil"/>
            </w:tcBorders>
            <w:vAlign w:val="center"/>
          </w:tcPr>
          <w:p w14:paraId="709BEDF8" w14:textId="77777777" w:rsidR="00994384" w:rsidRPr="008E790D" w:rsidRDefault="00994384" w:rsidP="0009573B">
            <w:pPr>
              <w:spacing w:line="480" w:lineRule="auto"/>
              <w:contextualSpacing/>
              <w:jc w:val="both"/>
              <w:rPr>
                <w:rFonts w:ascii="Times New Roman" w:eastAsia="Times New Roman" w:hAnsi="Times New Roman"/>
                <w:color w:val="000000"/>
              </w:rPr>
            </w:pPr>
          </w:p>
        </w:tc>
        <w:tc>
          <w:tcPr>
            <w:tcW w:w="1620" w:type="dxa"/>
            <w:tcBorders>
              <w:top w:val="nil"/>
              <w:left w:val="nil"/>
              <w:bottom w:val="nil"/>
              <w:right w:val="nil"/>
            </w:tcBorders>
            <w:shd w:val="clear" w:color="auto" w:fill="auto"/>
            <w:vAlign w:val="center"/>
          </w:tcPr>
          <w:p w14:paraId="29053BA8"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7</w:t>
            </w:r>
          </w:p>
        </w:tc>
        <w:tc>
          <w:tcPr>
            <w:tcW w:w="1440" w:type="dxa"/>
            <w:tcBorders>
              <w:top w:val="nil"/>
              <w:left w:val="nil"/>
              <w:bottom w:val="nil"/>
              <w:right w:val="nil"/>
            </w:tcBorders>
            <w:shd w:val="clear" w:color="auto" w:fill="auto"/>
            <w:vAlign w:val="center"/>
          </w:tcPr>
          <w:p w14:paraId="48CE598C"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0.1</w:t>
            </w:r>
          </w:p>
        </w:tc>
        <w:tc>
          <w:tcPr>
            <w:tcW w:w="1440" w:type="dxa"/>
            <w:tcBorders>
              <w:top w:val="nil"/>
              <w:left w:val="nil"/>
              <w:bottom w:val="nil"/>
              <w:right w:val="nil"/>
            </w:tcBorders>
            <w:shd w:val="clear" w:color="auto" w:fill="auto"/>
            <w:vAlign w:val="center"/>
          </w:tcPr>
          <w:p w14:paraId="2F4E2E92"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0.1582</w:t>
            </w:r>
          </w:p>
        </w:tc>
        <w:tc>
          <w:tcPr>
            <w:tcW w:w="2430" w:type="dxa"/>
            <w:tcBorders>
              <w:top w:val="nil"/>
              <w:left w:val="nil"/>
              <w:bottom w:val="nil"/>
              <w:right w:val="nil"/>
            </w:tcBorders>
            <w:shd w:val="clear" w:color="auto" w:fill="auto"/>
            <w:vAlign w:val="center"/>
          </w:tcPr>
          <w:p w14:paraId="655D614B"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0.0356</w:t>
            </w:r>
          </w:p>
        </w:tc>
        <w:tc>
          <w:tcPr>
            <w:tcW w:w="990" w:type="dxa"/>
            <w:tcBorders>
              <w:top w:val="nil"/>
              <w:left w:val="nil"/>
              <w:bottom w:val="nil"/>
              <w:right w:val="nil"/>
            </w:tcBorders>
          </w:tcPr>
          <w:p w14:paraId="4A6A544F"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3</w:t>
            </w:r>
          </w:p>
        </w:tc>
      </w:tr>
      <w:tr w:rsidR="00994384" w:rsidRPr="008E790D" w14:paraId="2098E7BB" w14:textId="77777777" w:rsidTr="0009573B">
        <w:trPr>
          <w:trHeight w:val="300"/>
        </w:trPr>
        <w:tc>
          <w:tcPr>
            <w:tcW w:w="1350" w:type="dxa"/>
            <w:vMerge/>
            <w:tcBorders>
              <w:left w:val="nil"/>
              <w:right w:val="nil"/>
            </w:tcBorders>
            <w:vAlign w:val="center"/>
          </w:tcPr>
          <w:p w14:paraId="38A20DD2" w14:textId="77777777" w:rsidR="00994384" w:rsidRPr="008E790D" w:rsidRDefault="00994384" w:rsidP="0009573B">
            <w:pPr>
              <w:spacing w:line="480" w:lineRule="auto"/>
              <w:contextualSpacing/>
              <w:jc w:val="both"/>
              <w:rPr>
                <w:rFonts w:ascii="Times New Roman" w:eastAsia="Times New Roman" w:hAnsi="Times New Roman"/>
                <w:color w:val="000000"/>
              </w:rPr>
            </w:pPr>
          </w:p>
        </w:tc>
        <w:tc>
          <w:tcPr>
            <w:tcW w:w="1620" w:type="dxa"/>
            <w:tcBorders>
              <w:top w:val="nil"/>
              <w:left w:val="nil"/>
              <w:bottom w:val="nil"/>
              <w:right w:val="nil"/>
            </w:tcBorders>
            <w:shd w:val="clear" w:color="auto" w:fill="auto"/>
            <w:vAlign w:val="center"/>
          </w:tcPr>
          <w:p w14:paraId="3BF900A4"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7</w:t>
            </w:r>
          </w:p>
        </w:tc>
        <w:tc>
          <w:tcPr>
            <w:tcW w:w="1440" w:type="dxa"/>
            <w:tcBorders>
              <w:top w:val="nil"/>
              <w:left w:val="nil"/>
              <w:bottom w:val="nil"/>
              <w:right w:val="nil"/>
            </w:tcBorders>
            <w:shd w:val="clear" w:color="auto" w:fill="auto"/>
            <w:vAlign w:val="center"/>
          </w:tcPr>
          <w:p w14:paraId="5A9A54C4"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0.05</w:t>
            </w:r>
          </w:p>
        </w:tc>
        <w:tc>
          <w:tcPr>
            <w:tcW w:w="1440" w:type="dxa"/>
            <w:tcBorders>
              <w:top w:val="nil"/>
              <w:left w:val="nil"/>
              <w:bottom w:val="nil"/>
              <w:right w:val="nil"/>
            </w:tcBorders>
            <w:shd w:val="clear" w:color="auto" w:fill="auto"/>
            <w:vAlign w:val="center"/>
          </w:tcPr>
          <w:p w14:paraId="6DB2BE17"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0.1309</w:t>
            </w:r>
          </w:p>
        </w:tc>
        <w:tc>
          <w:tcPr>
            <w:tcW w:w="2430" w:type="dxa"/>
            <w:tcBorders>
              <w:top w:val="nil"/>
              <w:left w:val="nil"/>
              <w:bottom w:val="nil"/>
              <w:right w:val="nil"/>
            </w:tcBorders>
            <w:shd w:val="clear" w:color="auto" w:fill="auto"/>
            <w:vAlign w:val="center"/>
          </w:tcPr>
          <w:p w14:paraId="7D335EDB"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0.0298</w:t>
            </w:r>
          </w:p>
        </w:tc>
        <w:tc>
          <w:tcPr>
            <w:tcW w:w="990" w:type="dxa"/>
            <w:tcBorders>
              <w:top w:val="nil"/>
              <w:left w:val="nil"/>
              <w:bottom w:val="nil"/>
              <w:right w:val="nil"/>
            </w:tcBorders>
          </w:tcPr>
          <w:p w14:paraId="36CAE3FB"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4</w:t>
            </w:r>
          </w:p>
        </w:tc>
      </w:tr>
      <w:tr w:rsidR="00994384" w:rsidRPr="008E790D" w14:paraId="0FD0901A" w14:textId="77777777" w:rsidTr="0009573B">
        <w:trPr>
          <w:trHeight w:val="300"/>
        </w:trPr>
        <w:tc>
          <w:tcPr>
            <w:tcW w:w="1350" w:type="dxa"/>
            <w:vMerge/>
            <w:tcBorders>
              <w:left w:val="nil"/>
              <w:right w:val="nil"/>
            </w:tcBorders>
            <w:vAlign w:val="center"/>
          </w:tcPr>
          <w:p w14:paraId="24FEB8B8" w14:textId="77777777" w:rsidR="00994384" w:rsidRPr="008E790D" w:rsidRDefault="00994384" w:rsidP="0009573B">
            <w:pPr>
              <w:spacing w:line="480" w:lineRule="auto"/>
              <w:contextualSpacing/>
              <w:jc w:val="both"/>
              <w:rPr>
                <w:rFonts w:ascii="Times New Roman" w:eastAsia="Times New Roman" w:hAnsi="Times New Roman"/>
                <w:color w:val="000000"/>
              </w:rPr>
            </w:pPr>
          </w:p>
        </w:tc>
        <w:tc>
          <w:tcPr>
            <w:tcW w:w="1620" w:type="dxa"/>
            <w:tcBorders>
              <w:top w:val="nil"/>
              <w:left w:val="nil"/>
              <w:bottom w:val="nil"/>
              <w:right w:val="nil"/>
            </w:tcBorders>
            <w:shd w:val="clear" w:color="auto" w:fill="auto"/>
            <w:vAlign w:val="center"/>
          </w:tcPr>
          <w:p w14:paraId="5B011EC5"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7</w:t>
            </w:r>
          </w:p>
        </w:tc>
        <w:tc>
          <w:tcPr>
            <w:tcW w:w="1440" w:type="dxa"/>
            <w:tcBorders>
              <w:top w:val="nil"/>
              <w:left w:val="nil"/>
              <w:bottom w:val="nil"/>
              <w:right w:val="nil"/>
            </w:tcBorders>
            <w:shd w:val="clear" w:color="auto" w:fill="auto"/>
            <w:vAlign w:val="center"/>
          </w:tcPr>
          <w:p w14:paraId="550640AF"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0.02</w:t>
            </w:r>
          </w:p>
        </w:tc>
        <w:tc>
          <w:tcPr>
            <w:tcW w:w="1440" w:type="dxa"/>
            <w:tcBorders>
              <w:top w:val="nil"/>
              <w:left w:val="nil"/>
              <w:bottom w:val="nil"/>
              <w:right w:val="nil"/>
            </w:tcBorders>
            <w:shd w:val="clear" w:color="auto" w:fill="auto"/>
            <w:vAlign w:val="center"/>
          </w:tcPr>
          <w:p w14:paraId="6BEC6099"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0.1257</w:t>
            </w:r>
          </w:p>
        </w:tc>
        <w:tc>
          <w:tcPr>
            <w:tcW w:w="2430" w:type="dxa"/>
            <w:tcBorders>
              <w:top w:val="nil"/>
              <w:left w:val="nil"/>
              <w:bottom w:val="nil"/>
              <w:right w:val="nil"/>
            </w:tcBorders>
            <w:shd w:val="clear" w:color="auto" w:fill="auto"/>
            <w:vAlign w:val="center"/>
          </w:tcPr>
          <w:p w14:paraId="6642C46B"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0.0377</w:t>
            </w:r>
          </w:p>
        </w:tc>
        <w:tc>
          <w:tcPr>
            <w:tcW w:w="990" w:type="dxa"/>
            <w:tcBorders>
              <w:top w:val="nil"/>
              <w:left w:val="nil"/>
              <w:bottom w:val="nil"/>
              <w:right w:val="nil"/>
            </w:tcBorders>
          </w:tcPr>
          <w:p w14:paraId="2A761A02"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5</w:t>
            </w:r>
          </w:p>
        </w:tc>
      </w:tr>
      <w:tr w:rsidR="00994384" w:rsidRPr="008E790D" w14:paraId="64B8FBDC" w14:textId="77777777" w:rsidTr="0009573B">
        <w:trPr>
          <w:trHeight w:val="315"/>
        </w:trPr>
        <w:tc>
          <w:tcPr>
            <w:tcW w:w="1350" w:type="dxa"/>
            <w:vMerge/>
            <w:tcBorders>
              <w:left w:val="nil"/>
              <w:right w:val="nil"/>
            </w:tcBorders>
            <w:vAlign w:val="center"/>
          </w:tcPr>
          <w:p w14:paraId="4F34F2F6" w14:textId="77777777" w:rsidR="00994384" w:rsidRPr="008E790D" w:rsidRDefault="00994384" w:rsidP="0009573B">
            <w:pPr>
              <w:spacing w:line="480" w:lineRule="auto"/>
              <w:contextualSpacing/>
              <w:jc w:val="both"/>
              <w:rPr>
                <w:rFonts w:ascii="Times New Roman" w:eastAsia="Times New Roman" w:hAnsi="Times New Roman"/>
                <w:color w:val="000000"/>
              </w:rPr>
            </w:pPr>
          </w:p>
        </w:tc>
        <w:tc>
          <w:tcPr>
            <w:tcW w:w="1620" w:type="dxa"/>
            <w:tcBorders>
              <w:top w:val="nil"/>
              <w:left w:val="nil"/>
              <w:bottom w:val="nil"/>
              <w:right w:val="nil"/>
            </w:tcBorders>
            <w:shd w:val="clear" w:color="auto" w:fill="auto"/>
            <w:vAlign w:val="center"/>
          </w:tcPr>
          <w:p w14:paraId="3D59A614"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1</w:t>
            </w:r>
          </w:p>
        </w:tc>
        <w:tc>
          <w:tcPr>
            <w:tcW w:w="1440" w:type="dxa"/>
            <w:tcBorders>
              <w:top w:val="nil"/>
              <w:left w:val="nil"/>
              <w:bottom w:val="nil"/>
              <w:right w:val="nil"/>
            </w:tcBorders>
            <w:shd w:val="clear" w:color="auto" w:fill="auto"/>
            <w:vAlign w:val="center"/>
          </w:tcPr>
          <w:p w14:paraId="33451785"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No</w:t>
            </w:r>
          </w:p>
        </w:tc>
        <w:tc>
          <w:tcPr>
            <w:tcW w:w="1440" w:type="dxa"/>
            <w:tcBorders>
              <w:top w:val="nil"/>
              <w:left w:val="nil"/>
              <w:bottom w:val="nil"/>
              <w:right w:val="nil"/>
            </w:tcBorders>
            <w:shd w:val="clear" w:color="auto" w:fill="auto"/>
            <w:vAlign w:val="center"/>
          </w:tcPr>
          <w:p w14:paraId="7CA42360"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0.1568</w:t>
            </w:r>
          </w:p>
        </w:tc>
        <w:tc>
          <w:tcPr>
            <w:tcW w:w="2430" w:type="dxa"/>
            <w:tcBorders>
              <w:top w:val="nil"/>
              <w:left w:val="nil"/>
              <w:bottom w:val="nil"/>
              <w:right w:val="nil"/>
            </w:tcBorders>
            <w:shd w:val="clear" w:color="auto" w:fill="auto"/>
            <w:vAlign w:val="center"/>
          </w:tcPr>
          <w:p w14:paraId="3FEE26D1"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0.0409</w:t>
            </w:r>
          </w:p>
        </w:tc>
        <w:tc>
          <w:tcPr>
            <w:tcW w:w="990" w:type="dxa"/>
            <w:tcBorders>
              <w:top w:val="nil"/>
              <w:left w:val="nil"/>
              <w:bottom w:val="nil"/>
              <w:right w:val="nil"/>
            </w:tcBorders>
          </w:tcPr>
          <w:p w14:paraId="2E53ED07"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6</w:t>
            </w:r>
          </w:p>
        </w:tc>
      </w:tr>
      <w:tr w:rsidR="00994384" w:rsidRPr="008E790D" w14:paraId="4F0B9F0F" w14:textId="77777777" w:rsidTr="0009573B">
        <w:trPr>
          <w:trHeight w:val="300"/>
        </w:trPr>
        <w:tc>
          <w:tcPr>
            <w:tcW w:w="1350" w:type="dxa"/>
            <w:vMerge/>
            <w:tcBorders>
              <w:left w:val="nil"/>
              <w:right w:val="nil"/>
            </w:tcBorders>
            <w:vAlign w:val="center"/>
          </w:tcPr>
          <w:p w14:paraId="27A30A5B" w14:textId="77777777" w:rsidR="00994384" w:rsidRPr="008E790D" w:rsidRDefault="00994384" w:rsidP="0009573B">
            <w:pPr>
              <w:spacing w:line="480" w:lineRule="auto"/>
              <w:contextualSpacing/>
              <w:jc w:val="both"/>
              <w:rPr>
                <w:rFonts w:ascii="Times New Roman" w:eastAsia="Times New Roman" w:hAnsi="Times New Roman"/>
                <w:color w:val="000000"/>
              </w:rPr>
            </w:pPr>
          </w:p>
        </w:tc>
        <w:tc>
          <w:tcPr>
            <w:tcW w:w="1620" w:type="dxa"/>
            <w:tcBorders>
              <w:top w:val="nil"/>
              <w:left w:val="nil"/>
              <w:bottom w:val="nil"/>
              <w:right w:val="nil"/>
            </w:tcBorders>
            <w:shd w:val="clear" w:color="auto" w:fill="auto"/>
            <w:vAlign w:val="center"/>
          </w:tcPr>
          <w:p w14:paraId="34D0F9F5"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2</w:t>
            </w:r>
          </w:p>
        </w:tc>
        <w:tc>
          <w:tcPr>
            <w:tcW w:w="1440" w:type="dxa"/>
            <w:tcBorders>
              <w:top w:val="nil"/>
              <w:left w:val="nil"/>
              <w:bottom w:val="nil"/>
              <w:right w:val="nil"/>
            </w:tcBorders>
            <w:shd w:val="clear" w:color="auto" w:fill="auto"/>
            <w:vAlign w:val="center"/>
          </w:tcPr>
          <w:p w14:paraId="50120EFC"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No</w:t>
            </w:r>
          </w:p>
        </w:tc>
        <w:tc>
          <w:tcPr>
            <w:tcW w:w="1440" w:type="dxa"/>
            <w:tcBorders>
              <w:top w:val="nil"/>
              <w:left w:val="nil"/>
              <w:bottom w:val="nil"/>
              <w:right w:val="nil"/>
            </w:tcBorders>
            <w:shd w:val="clear" w:color="auto" w:fill="auto"/>
            <w:vAlign w:val="center"/>
          </w:tcPr>
          <w:p w14:paraId="5FD5B15C"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0.1245</w:t>
            </w:r>
          </w:p>
        </w:tc>
        <w:tc>
          <w:tcPr>
            <w:tcW w:w="2430" w:type="dxa"/>
            <w:tcBorders>
              <w:top w:val="nil"/>
              <w:left w:val="nil"/>
              <w:bottom w:val="nil"/>
              <w:right w:val="nil"/>
            </w:tcBorders>
            <w:shd w:val="clear" w:color="auto" w:fill="auto"/>
            <w:vAlign w:val="center"/>
          </w:tcPr>
          <w:p w14:paraId="24021221"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0.0426</w:t>
            </w:r>
          </w:p>
        </w:tc>
        <w:tc>
          <w:tcPr>
            <w:tcW w:w="990" w:type="dxa"/>
            <w:tcBorders>
              <w:top w:val="nil"/>
              <w:left w:val="nil"/>
              <w:bottom w:val="nil"/>
              <w:right w:val="nil"/>
            </w:tcBorders>
          </w:tcPr>
          <w:p w14:paraId="7E7E518E"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7</w:t>
            </w:r>
          </w:p>
        </w:tc>
      </w:tr>
      <w:tr w:rsidR="00994384" w:rsidRPr="008E790D" w14:paraId="284F84A3" w14:textId="77777777" w:rsidTr="0009573B">
        <w:trPr>
          <w:trHeight w:val="300"/>
        </w:trPr>
        <w:tc>
          <w:tcPr>
            <w:tcW w:w="1350" w:type="dxa"/>
            <w:vMerge/>
            <w:tcBorders>
              <w:left w:val="nil"/>
              <w:right w:val="nil"/>
            </w:tcBorders>
            <w:vAlign w:val="center"/>
          </w:tcPr>
          <w:p w14:paraId="0BE1E0A3" w14:textId="77777777" w:rsidR="00994384" w:rsidRPr="008E790D" w:rsidRDefault="00994384" w:rsidP="0009573B">
            <w:pPr>
              <w:spacing w:line="480" w:lineRule="auto"/>
              <w:contextualSpacing/>
              <w:jc w:val="both"/>
              <w:rPr>
                <w:rFonts w:ascii="Times New Roman" w:eastAsia="Times New Roman" w:hAnsi="Times New Roman"/>
                <w:color w:val="000000"/>
              </w:rPr>
            </w:pPr>
          </w:p>
        </w:tc>
        <w:tc>
          <w:tcPr>
            <w:tcW w:w="1620" w:type="dxa"/>
            <w:tcBorders>
              <w:top w:val="nil"/>
              <w:left w:val="nil"/>
              <w:bottom w:val="nil"/>
              <w:right w:val="nil"/>
            </w:tcBorders>
            <w:shd w:val="clear" w:color="auto" w:fill="auto"/>
            <w:vAlign w:val="center"/>
          </w:tcPr>
          <w:p w14:paraId="73738D0D"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3</w:t>
            </w:r>
          </w:p>
        </w:tc>
        <w:tc>
          <w:tcPr>
            <w:tcW w:w="1440" w:type="dxa"/>
            <w:tcBorders>
              <w:top w:val="nil"/>
              <w:left w:val="nil"/>
              <w:bottom w:val="nil"/>
              <w:right w:val="nil"/>
            </w:tcBorders>
            <w:shd w:val="clear" w:color="auto" w:fill="auto"/>
            <w:vAlign w:val="center"/>
          </w:tcPr>
          <w:p w14:paraId="32F722A3"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No</w:t>
            </w:r>
          </w:p>
        </w:tc>
        <w:tc>
          <w:tcPr>
            <w:tcW w:w="1440" w:type="dxa"/>
            <w:tcBorders>
              <w:top w:val="nil"/>
              <w:left w:val="nil"/>
              <w:bottom w:val="nil"/>
              <w:right w:val="nil"/>
            </w:tcBorders>
            <w:shd w:val="clear" w:color="auto" w:fill="auto"/>
            <w:vAlign w:val="center"/>
          </w:tcPr>
          <w:p w14:paraId="4DF884E1"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0.1509</w:t>
            </w:r>
          </w:p>
        </w:tc>
        <w:tc>
          <w:tcPr>
            <w:tcW w:w="2430" w:type="dxa"/>
            <w:tcBorders>
              <w:top w:val="nil"/>
              <w:left w:val="nil"/>
              <w:bottom w:val="nil"/>
              <w:right w:val="nil"/>
            </w:tcBorders>
            <w:shd w:val="clear" w:color="auto" w:fill="auto"/>
            <w:vAlign w:val="center"/>
          </w:tcPr>
          <w:p w14:paraId="520E9862"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0.0386</w:t>
            </w:r>
          </w:p>
        </w:tc>
        <w:tc>
          <w:tcPr>
            <w:tcW w:w="990" w:type="dxa"/>
            <w:tcBorders>
              <w:top w:val="nil"/>
              <w:left w:val="nil"/>
              <w:bottom w:val="nil"/>
              <w:right w:val="nil"/>
            </w:tcBorders>
          </w:tcPr>
          <w:p w14:paraId="14F8CFFB"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8</w:t>
            </w:r>
          </w:p>
        </w:tc>
      </w:tr>
      <w:tr w:rsidR="00994384" w:rsidRPr="008E790D" w14:paraId="6765C923" w14:textId="77777777" w:rsidTr="0009573B">
        <w:trPr>
          <w:trHeight w:val="300"/>
        </w:trPr>
        <w:tc>
          <w:tcPr>
            <w:tcW w:w="1350" w:type="dxa"/>
            <w:vMerge/>
            <w:tcBorders>
              <w:left w:val="nil"/>
              <w:right w:val="nil"/>
            </w:tcBorders>
            <w:vAlign w:val="center"/>
          </w:tcPr>
          <w:p w14:paraId="0DA01A63" w14:textId="77777777" w:rsidR="00994384" w:rsidRPr="008E790D" w:rsidRDefault="00994384" w:rsidP="0009573B">
            <w:pPr>
              <w:spacing w:line="480" w:lineRule="auto"/>
              <w:contextualSpacing/>
              <w:jc w:val="both"/>
              <w:rPr>
                <w:rFonts w:ascii="Times New Roman" w:eastAsia="Times New Roman" w:hAnsi="Times New Roman"/>
                <w:color w:val="000000"/>
              </w:rPr>
            </w:pPr>
          </w:p>
        </w:tc>
        <w:tc>
          <w:tcPr>
            <w:tcW w:w="1620" w:type="dxa"/>
            <w:tcBorders>
              <w:top w:val="nil"/>
              <w:left w:val="nil"/>
              <w:bottom w:val="nil"/>
              <w:right w:val="nil"/>
            </w:tcBorders>
            <w:shd w:val="clear" w:color="auto" w:fill="auto"/>
            <w:vAlign w:val="center"/>
          </w:tcPr>
          <w:p w14:paraId="52211225"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4</w:t>
            </w:r>
          </w:p>
        </w:tc>
        <w:tc>
          <w:tcPr>
            <w:tcW w:w="1440" w:type="dxa"/>
            <w:tcBorders>
              <w:top w:val="nil"/>
              <w:left w:val="nil"/>
              <w:bottom w:val="nil"/>
              <w:right w:val="nil"/>
            </w:tcBorders>
            <w:shd w:val="clear" w:color="auto" w:fill="auto"/>
            <w:vAlign w:val="center"/>
          </w:tcPr>
          <w:p w14:paraId="59C1E889"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No</w:t>
            </w:r>
          </w:p>
        </w:tc>
        <w:tc>
          <w:tcPr>
            <w:tcW w:w="1440" w:type="dxa"/>
            <w:tcBorders>
              <w:top w:val="nil"/>
              <w:left w:val="nil"/>
              <w:bottom w:val="nil"/>
              <w:right w:val="nil"/>
            </w:tcBorders>
            <w:shd w:val="clear" w:color="auto" w:fill="auto"/>
            <w:vAlign w:val="center"/>
          </w:tcPr>
          <w:p w14:paraId="7F02BA77"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0.1534</w:t>
            </w:r>
          </w:p>
        </w:tc>
        <w:tc>
          <w:tcPr>
            <w:tcW w:w="2430" w:type="dxa"/>
            <w:tcBorders>
              <w:top w:val="nil"/>
              <w:left w:val="nil"/>
              <w:bottom w:val="nil"/>
              <w:right w:val="nil"/>
            </w:tcBorders>
            <w:shd w:val="clear" w:color="auto" w:fill="auto"/>
            <w:vAlign w:val="center"/>
          </w:tcPr>
          <w:p w14:paraId="26B85A3F"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0.0379</w:t>
            </w:r>
          </w:p>
        </w:tc>
        <w:tc>
          <w:tcPr>
            <w:tcW w:w="990" w:type="dxa"/>
            <w:tcBorders>
              <w:top w:val="nil"/>
              <w:left w:val="nil"/>
              <w:bottom w:val="nil"/>
              <w:right w:val="nil"/>
            </w:tcBorders>
          </w:tcPr>
          <w:p w14:paraId="096AF5D6"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9</w:t>
            </w:r>
          </w:p>
        </w:tc>
      </w:tr>
      <w:tr w:rsidR="00994384" w:rsidRPr="008E790D" w14:paraId="44246034" w14:textId="77777777" w:rsidTr="0009573B">
        <w:trPr>
          <w:trHeight w:val="300"/>
        </w:trPr>
        <w:tc>
          <w:tcPr>
            <w:tcW w:w="1350" w:type="dxa"/>
            <w:vMerge/>
            <w:tcBorders>
              <w:left w:val="nil"/>
              <w:right w:val="nil"/>
            </w:tcBorders>
            <w:vAlign w:val="center"/>
          </w:tcPr>
          <w:p w14:paraId="46E23EF9" w14:textId="77777777" w:rsidR="00994384" w:rsidRPr="008E790D" w:rsidRDefault="00994384" w:rsidP="0009573B">
            <w:pPr>
              <w:spacing w:line="480" w:lineRule="auto"/>
              <w:contextualSpacing/>
              <w:jc w:val="both"/>
              <w:rPr>
                <w:rFonts w:ascii="Times New Roman" w:eastAsia="Times New Roman" w:hAnsi="Times New Roman"/>
                <w:color w:val="000000"/>
              </w:rPr>
            </w:pPr>
          </w:p>
        </w:tc>
        <w:tc>
          <w:tcPr>
            <w:tcW w:w="1620" w:type="dxa"/>
            <w:tcBorders>
              <w:top w:val="nil"/>
              <w:left w:val="nil"/>
              <w:bottom w:val="nil"/>
              <w:right w:val="nil"/>
            </w:tcBorders>
            <w:shd w:val="clear" w:color="auto" w:fill="auto"/>
            <w:vAlign w:val="center"/>
          </w:tcPr>
          <w:p w14:paraId="7096A893"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5</w:t>
            </w:r>
          </w:p>
        </w:tc>
        <w:tc>
          <w:tcPr>
            <w:tcW w:w="1440" w:type="dxa"/>
            <w:tcBorders>
              <w:top w:val="nil"/>
              <w:left w:val="nil"/>
              <w:bottom w:val="nil"/>
              <w:right w:val="nil"/>
            </w:tcBorders>
            <w:shd w:val="clear" w:color="auto" w:fill="auto"/>
            <w:vAlign w:val="center"/>
          </w:tcPr>
          <w:p w14:paraId="5ECE129A"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No</w:t>
            </w:r>
          </w:p>
        </w:tc>
        <w:tc>
          <w:tcPr>
            <w:tcW w:w="1440" w:type="dxa"/>
            <w:tcBorders>
              <w:top w:val="nil"/>
              <w:left w:val="nil"/>
              <w:bottom w:val="nil"/>
              <w:right w:val="nil"/>
            </w:tcBorders>
            <w:shd w:val="clear" w:color="auto" w:fill="auto"/>
            <w:vAlign w:val="center"/>
          </w:tcPr>
          <w:p w14:paraId="22AC79E2"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0.1549</w:t>
            </w:r>
          </w:p>
        </w:tc>
        <w:tc>
          <w:tcPr>
            <w:tcW w:w="2430" w:type="dxa"/>
            <w:tcBorders>
              <w:top w:val="nil"/>
              <w:left w:val="nil"/>
              <w:bottom w:val="nil"/>
              <w:right w:val="nil"/>
            </w:tcBorders>
            <w:shd w:val="clear" w:color="auto" w:fill="auto"/>
            <w:vAlign w:val="center"/>
          </w:tcPr>
          <w:p w14:paraId="4DCCA812"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0.0409</w:t>
            </w:r>
          </w:p>
        </w:tc>
        <w:tc>
          <w:tcPr>
            <w:tcW w:w="990" w:type="dxa"/>
            <w:tcBorders>
              <w:top w:val="nil"/>
              <w:left w:val="nil"/>
              <w:bottom w:val="nil"/>
              <w:right w:val="nil"/>
            </w:tcBorders>
          </w:tcPr>
          <w:p w14:paraId="3F5893A1"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10</w:t>
            </w:r>
          </w:p>
        </w:tc>
      </w:tr>
      <w:tr w:rsidR="00994384" w:rsidRPr="008E790D" w14:paraId="665643A7" w14:textId="77777777" w:rsidTr="0009573B">
        <w:trPr>
          <w:trHeight w:val="300"/>
        </w:trPr>
        <w:tc>
          <w:tcPr>
            <w:tcW w:w="1350" w:type="dxa"/>
            <w:vMerge/>
            <w:tcBorders>
              <w:left w:val="nil"/>
              <w:right w:val="nil"/>
            </w:tcBorders>
            <w:vAlign w:val="center"/>
          </w:tcPr>
          <w:p w14:paraId="428B8721" w14:textId="77777777" w:rsidR="00994384" w:rsidRPr="008E790D" w:rsidRDefault="00994384" w:rsidP="0009573B">
            <w:pPr>
              <w:spacing w:line="480" w:lineRule="auto"/>
              <w:contextualSpacing/>
              <w:jc w:val="both"/>
              <w:rPr>
                <w:rFonts w:ascii="Times New Roman" w:eastAsia="Times New Roman" w:hAnsi="Times New Roman"/>
                <w:color w:val="000000"/>
              </w:rPr>
            </w:pPr>
          </w:p>
        </w:tc>
        <w:tc>
          <w:tcPr>
            <w:tcW w:w="1620" w:type="dxa"/>
            <w:tcBorders>
              <w:top w:val="nil"/>
              <w:left w:val="nil"/>
              <w:bottom w:val="nil"/>
              <w:right w:val="nil"/>
            </w:tcBorders>
            <w:shd w:val="clear" w:color="auto" w:fill="auto"/>
            <w:vAlign w:val="center"/>
          </w:tcPr>
          <w:p w14:paraId="7DCBC777"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6</w:t>
            </w:r>
          </w:p>
        </w:tc>
        <w:tc>
          <w:tcPr>
            <w:tcW w:w="1440" w:type="dxa"/>
            <w:tcBorders>
              <w:top w:val="nil"/>
              <w:left w:val="nil"/>
              <w:bottom w:val="nil"/>
              <w:right w:val="nil"/>
            </w:tcBorders>
            <w:shd w:val="clear" w:color="auto" w:fill="auto"/>
            <w:vAlign w:val="center"/>
          </w:tcPr>
          <w:p w14:paraId="0DB00F34"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No</w:t>
            </w:r>
          </w:p>
        </w:tc>
        <w:tc>
          <w:tcPr>
            <w:tcW w:w="1440" w:type="dxa"/>
            <w:tcBorders>
              <w:top w:val="nil"/>
              <w:left w:val="nil"/>
              <w:bottom w:val="nil"/>
              <w:right w:val="nil"/>
            </w:tcBorders>
            <w:shd w:val="clear" w:color="auto" w:fill="auto"/>
            <w:vAlign w:val="center"/>
          </w:tcPr>
          <w:p w14:paraId="3643F1D1"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0.1475</w:t>
            </w:r>
          </w:p>
        </w:tc>
        <w:tc>
          <w:tcPr>
            <w:tcW w:w="2430" w:type="dxa"/>
            <w:tcBorders>
              <w:top w:val="nil"/>
              <w:left w:val="nil"/>
              <w:bottom w:val="nil"/>
              <w:right w:val="nil"/>
            </w:tcBorders>
            <w:shd w:val="clear" w:color="auto" w:fill="auto"/>
            <w:vAlign w:val="center"/>
          </w:tcPr>
          <w:p w14:paraId="67A0B40B"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0.0415</w:t>
            </w:r>
          </w:p>
        </w:tc>
        <w:tc>
          <w:tcPr>
            <w:tcW w:w="990" w:type="dxa"/>
            <w:tcBorders>
              <w:top w:val="nil"/>
              <w:left w:val="nil"/>
              <w:bottom w:val="nil"/>
              <w:right w:val="nil"/>
            </w:tcBorders>
          </w:tcPr>
          <w:p w14:paraId="1B27F106"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11</w:t>
            </w:r>
          </w:p>
        </w:tc>
      </w:tr>
      <w:tr w:rsidR="00994384" w:rsidRPr="008E790D" w14:paraId="09A19A6F" w14:textId="77777777" w:rsidTr="0009573B">
        <w:trPr>
          <w:trHeight w:val="300"/>
        </w:trPr>
        <w:tc>
          <w:tcPr>
            <w:tcW w:w="1350" w:type="dxa"/>
            <w:vMerge/>
            <w:tcBorders>
              <w:left w:val="nil"/>
              <w:right w:val="nil"/>
            </w:tcBorders>
            <w:vAlign w:val="center"/>
          </w:tcPr>
          <w:p w14:paraId="166E3AA8" w14:textId="77777777" w:rsidR="00994384" w:rsidRPr="008E790D" w:rsidRDefault="00994384" w:rsidP="0009573B">
            <w:pPr>
              <w:spacing w:line="480" w:lineRule="auto"/>
              <w:contextualSpacing/>
              <w:jc w:val="both"/>
              <w:rPr>
                <w:rFonts w:ascii="Times New Roman" w:eastAsia="Times New Roman" w:hAnsi="Times New Roman"/>
                <w:color w:val="000000"/>
              </w:rPr>
            </w:pPr>
          </w:p>
        </w:tc>
        <w:tc>
          <w:tcPr>
            <w:tcW w:w="1620" w:type="dxa"/>
            <w:tcBorders>
              <w:top w:val="nil"/>
              <w:left w:val="nil"/>
              <w:right w:val="nil"/>
            </w:tcBorders>
            <w:shd w:val="clear" w:color="auto" w:fill="auto"/>
            <w:vAlign w:val="center"/>
          </w:tcPr>
          <w:p w14:paraId="1DCD0278"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7</w:t>
            </w:r>
          </w:p>
        </w:tc>
        <w:tc>
          <w:tcPr>
            <w:tcW w:w="1440" w:type="dxa"/>
            <w:tcBorders>
              <w:top w:val="nil"/>
              <w:left w:val="nil"/>
              <w:right w:val="nil"/>
            </w:tcBorders>
            <w:shd w:val="clear" w:color="auto" w:fill="auto"/>
            <w:vAlign w:val="center"/>
          </w:tcPr>
          <w:p w14:paraId="5CE47B5A"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No</w:t>
            </w:r>
          </w:p>
        </w:tc>
        <w:tc>
          <w:tcPr>
            <w:tcW w:w="1440" w:type="dxa"/>
            <w:tcBorders>
              <w:top w:val="nil"/>
              <w:left w:val="nil"/>
              <w:right w:val="nil"/>
            </w:tcBorders>
            <w:shd w:val="clear" w:color="auto" w:fill="auto"/>
            <w:vAlign w:val="center"/>
          </w:tcPr>
          <w:p w14:paraId="445D09A8"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0.1536</w:t>
            </w:r>
          </w:p>
        </w:tc>
        <w:tc>
          <w:tcPr>
            <w:tcW w:w="2430" w:type="dxa"/>
            <w:tcBorders>
              <w:top w:val="nil"/>
              <w:left w:val="nil"/>
              <w:right w:val="nil"/>
            </w:tcBorders>
            <w:shd w:val="clear" w:color="auto" w:fill="auto"/>
            <w:vAlign w:val="center"/>
          </w:tcPr>
          <w:p w14:paraId="40484354"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0.0412</w:t>
            </w:r>
          </w:p>
        </w:tc>
        <w:tc>
          <w:tcPr>
            <w:tcW w:w="990" w:type="dxa"/>
            <w:tcBorders>
              <w:top w:val="nil"/>
              <w:left w:val="nil"/>
              <w:right w:val="nil"/>
            </w:tcBorders>
          </w:tcPr>
          <w:p w14:paraId="2F4BCA6E"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12</w:t>
            </w:r>
          </w:p>
        </w:tc>
      </w:tr>
      <w:tr w:rsidR="00994384" w:rsidRPr="008E790D" w14:paraId="45B232A5" w14:textId="77777777" w:rsidTr="0009573B">
        <w:trPr>
          <w:trHeight w:val="300"/>
        </w:trPr>
        <w:tc>
          <w:tcPr>
            <w:tcW w:w="1350" w:type="dxa"/>
            <w:vMerge/>
            <w:tcBorders>
              <w:left w:val="nil"/>
              <w:right w:val="nil"/>
            </w:tcBorders>
            <w:vAlign w:val="center"/>
          </w:tcPr>
          <w:p w14:paraId="17AE37D8" w14:textId="77777777" w:rsidR="00994384" w:rsidRPr="008E790D" w:rsidRDefault="00994384" w:rsidP="0009573B">
            <w:pPr>
              <w:spacing w:line="480" w:lineRule="auto"/>
              <w:contextualSpacing/>
              <w:jc w:val="both"/>
              <w:rPr>
                <w:rFonts w:ascii="Times New Roman" w:eastAsia="Times New Roman" w:hAnsi="Times New Roman"/>
                <w:color w:val="000000"/>
              </w:rPr>
            </w:pPr>
          </w:p>
        </w:tc>
        <w:tc>
          <w:tcPr>
            <w:tcW w:w="1620" w:type="dxa"/>
            <w:tcBorders>
              <w:top w:val="nil"/>
              <w:left w:val="nil"/>
              <w:right w:val="nil"/>
            </w:tcBorders>
            <w:shd w:val="clear" w:color="auto" w:fill="auto"/>
            <w:vAlign w:val="center"/>
          </w:tcPr>
          <w:p w14:paraId="11A110B2"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8</w:t>
            </w:r>
          </w:p>
        </w:tc>
        <w:tc>
          <w:tcPr>
            <w:tcW w:w="1440" w:type="dxa"/>
            <w:tcBorders>
              <w:top w:val="nil"/>
              <w:left w:val="nil"/>
              <w:right w:val="nil"/>
            </w:tcBorders>
            <w:shd w:val="clear" w:color="auto" w:fill="auto"/>
            <w:vAlign w:val="center"/>
          </w:tcPr>
          <w:p w14:paraId="6B0A2B1E"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No</w:t>
            </w:r>
          </w:p>
        </w:tc>
        <w:tc>
          <w:tcPr>
            <w:tcW w:w="1440" w:type="dxa"/>
            <w:tcBorders>
              <w:top w:val="nil"/>
              <w:left w:val="nil"/>
              <w:right w:val="nil"/>
            </w:tcBorders>
            <w:shd w:val="clear" w:color="auto" w:fill="auto"/>
            <w:vAlign w:val="center"/>
          </w:tcPr>
          <w:p w14:paraId="00250F6B"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0.1506</w:t>
            </w:r>
          </w:p>
        </w:tc>
        <w:tc>
          <w:tcPr>
            <w:tcW w:w="2430" w:type="dxa"/>
            <w:tcBorders>
              <w:top w:val="nil"/>
              <w:left w:val="nil"/>
              <w:right w:val="nil"/>
            </w:tcBorders>
            <w:shd w:val="clear" w:color="auto" w:fill="auto"/>
            <w:vAlign w:val="center"/>
          </w:tcPr>
          <w:p w14:paraId="28CD368B"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0.0408</w:t>
            </w:r>
          </w:p>
        </w:tc>
        <w:tc>
          <w:tcPr>
            <w:tcW w:w="990" w:type="dxa"/>
            <w:tcBorders>
              <w:top w:val="nil"/>
              <w:left w:val="nil"/>
              <w:right w:val="nil"/>
            </w:tcBorders>
          </w:tcPr>
          <w:p w14:paraId="63B22E97"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13</w:t>
            </w:r>
          </w:p>
        </w:tc>
      </w:tr>
      <w:tr w:rsidR="00994384" w:rsidRPr="008E790D" w14:paraId="092CAA03" w14:textId="77777777" w:rsidTr="0009573B">
        <w:trPr>
          <w:trHeight w:val="315"/>
        </w:trPr>
        <w:tc>
          <w:tcPr>
            <w:tcW w:w="1350" w:type="dxa"/>
            <w:vMerge/>
            <w:tcBorders>
              <w:left w:val="nil"/>
              <w:bottom w:val="single" w:sz="8" w:space="0" w:color="auto"/>
              <w:right w:val="nil"/>
            </w:tcBorders>
            <w:vAlign w:val="center"/>
          </w:tcPr>
          <w:p w14:paraId="604DAAF9" w14:textId="77777777" w:rsidR="00994384" w:rsidRPr="008E790D" w:rsidRDefault="00994384" w:rsidP="0009573B">
            <w:pPr>
              <w:spacing w:line="480" w:lineRule="auto"/>
              <w:contextualSpacing/>
              <w:jc w:val="both"/>
              <w:rPr>
                <w:rFonts w:ascii="Times New Roman" w:eastAsia="Times New Roman" w:hAnsi="Times New Roman"/>
                <w:color w:val="000000"/>
              </w:rPr>
            </w:pPr>
          </w:p>
        </w:tc>
        <w:tc>
          <w:tcPr>
            <w:tcW w:w="1620" w:type="dxa"/>
            <w:tcBorders>
              <w:left w:val="nil"/>
              <w:bottom w:val="single" w:sz="8" w:space="0" w:color="auto"/>
              <w:right w:val="nil"/>
            </w:tcBorders>
            <w:shd w:val="clear" w:color="auto" w:fill="auto"/>
            <w:vAlign w:val="center"/>
          </w:tcPr>
          <w:p w14:paraId="1EA4F3CB"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7</w:t>
            </w:r>
          </w:p>
        </w:tc>
        <w:tc>
          <w:tcPr>
            <w:tcW w:w="1440" w:type="dxa"/>
            <w:tcBorders>
              <w:left w:val="nil"/>
              <w:bottom w:val="single" w:sz="8" w:space="0" w:color="auto"/>
              <w:right w:val="nil"/>
            </w:tcBorders>
            <w:shd w:val="clear" w:color="auto" w:fill="auto"/>
            <w:vAlign w:val="center"/>
          </w:tcPr>
          <w:p w14:paraId="39296459"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0.15</w:t>
            </w:r>
          </w:p>
        </w:tc>
        <w:tc>
          <w:tcPr>
            <w:tcW w:w="1440" w:type="dxa"/>
            <w:tcBorders>
              <w:left w:val="nil"/>
              <w:bottom w:val="single" w:sz="8" w:space="0" w:color="auto"/>
              <w:right w:val="nil"/>
            </w:tcBorders>
            <w:shd w:val="clear" w:color="auto" w:fill="auto"/>
            <w:vAlign w:val="center"/>
          </w:tcPr>
          <w:p w14:paraId="03FB8D9E"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hAnsi="Times New Roman"/>
                <w:color w:val="000000"/>
              </w:rPr>
              <w:t>0.1927</w:t>
            </w:r>
            <w:r>
              <w:rPr>
                <w:rFonts w:ascii="Times New Roman" w:hAnsi="Times New Roman"/>
                <w:color w:val="000000"/>
                <w:vertAlign w:val="superscript"/>
              </w:rPr>
              <w:t>a</w:t>
            </w:r>
          </w:p>
        </w:tc>
        <w:tc>
          <w:tcPr>
            <w:tcW w:w="2430" w:type="dxa"/>
            <w:tcBorders>
              <w:left w:val="nil"/>
              <w:bottom w:val="single" w:sz="8" w:space="0" w:color="auto"/>
              <w:right w:val="nil"/>
            </w:tcBorders>
            <w:shd w:val="clear" w:color="auto" w:fill="auto"/>
            <w:vAlign w:val="center"/>
          </w:tcPr>
          <w:p w14:paraId="64748D5C"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0.0278</w:t>
            </w:r>
          </w:p>
        </w:tc>
        <w:tc>
          <w:tcPr>
            <w:tcW w:w="990" w:type="dxa"/>
            <w:tcBorders>
              <w:left w:val="nil"/>
              <w:bottom w:val="single" w:sz="8" w:space="0" w:color="auto"/>
              <w:right w:val="nil"/>
            </w:tcBorders>
          </w:tcPr>
          <w:p w14:paraId="665FEDA4"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14</w:t>
            </w:r>
          </w:p>
        </w:tc>
      </w:tr>
      <w:tr w:rsidR="00994384" w:rsidRPr="008E790D" w14:paraId="0B58E4E5" w14:textId="77777777" w:rsidTr="0009573B">
        <w:trPr>
          <w:trHeight w:val="315"/>
        </w:trPr>
        <w:tc>
          <w:tcPr>
            <w:tcW w:w="1350" w:type="dxa"/>
            <w:vMerge w:val="restart"/>
            <w:tcBorders>
              <w:top w:val="single" w:sz="8" w:space="0" w:color="auto"/>
              <w:left w:val="nil"/>
              <w:bottom w:val="single" w:sz="4" w:space="0" w:color="auto"/>
              <w:right w:val="nil"/>
            </w:tcBorders>
            <w:vAlign w:val="center"/>
          </w:tcPr>
          <w:p w14:paraId="1182EB1E"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 xml:space="preserve">Propensity score- </w:t>
            </w:r>
          </w:p>
          <w:p w14:paraId="66828FF3"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kernel</w:t>
            </w:r>
          </w:p>
          <w:p w14:paraId="39D94401"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 </w:t>
            </w:r>
          </w:p>
        </w:tc>
        <w:tc>
          <w:tcPr>
            <w:tcW w:w="1620" w:type="dxa"/>
            <w:tcBorders>
              <w:top w:val="nil"/>
              <w:left w:val="nil"/>
              <w:bottom w:val="nil"/>
              <w:right w:val="nil"/>
            </w:tcBorders>
            <w:shd w:val="clear" w:color="auto" w:fill="auto"/>
            <w:vAlign w:val="center"/>
          </w:tcPr>
          <w:p w14:paraId="5F12B553"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b/>
                <w:bCs/>
                <w:color w:val="000000"/>
              </w:rPr>
              <w:t>Kernel type</w:t>
            </w:r>
          </w:p>
        </w:tc>
        <w:tc>
          <w:tcPr>
            <w:tcW w:w="1440" w:type="dxa"/>
            <w:tcBorders>
              <w:top w:val="nil"/>
              <w:left w:val="nil"/>
              <w:bottom w:val="nil"/>
              <w:right w:val="nil"/>
            </w:tcBorders>
            <w:shd w:val="clear" w:color="auto" w:fill="auto"/>
            <w:vAlign w:val="center"/>
          </w:tcPr>
          <w:p w14:paraId="6BC31E9F"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b/>
                <w:bCs/>
                <w:color w:val="000000"/>
              </w:rPr>
              <w:t>Bandwidth</w:t>
            </w:r>
          </w:p>
        </w:tc>
        <w:tc>
          <w:tcPr>
            <w:tcW w:w="1440" w:type="dxa"/>
            <w:tcBorders>
              <w:top w:val="nil"/>
              <w:left w:val="nil"/>
              <w:bottom w:val="nil"/>
              <w:right w:val="nil"/>
            </w:tcBorders>
            <w:shd w:val="clear" w:color="auto" w:fill="auto"/>
            <w:vAlign w:val="center"/>
          </w:tcPr>
          <w:p w14:paraId="377AA210"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b/>
                <w:bCs/>
                <w:color w:val="000000"/>
              </w:rPr>
              <w:t>ATT</w:t>
            </w:r>
          </w:p>
        </w:tc>
        <w:tc>
          <w:tcPr>
            <w:tcW w:w="2430" w:type="dxa"/>
            <w:tcBorders>
              <w:top w:val="nil"/>
              <w:left w:val="nil"/>
              <w:bottom w:val="nil"/>
              <w:right w:val="nil"/>
            </w:tcBorders>
            <w:shd w:val="clear" w:color="auto" w:fill="auto"/>
            <w:vAlign w:val="center"/>
          </w:tcPr>
          <w:p w14:paraId="76A813A7"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b/>
                <w:bCs/>
                <w:color w:val="000000"/>
              </w:rPr>
              <w:t>SE</w:t>
            </w:r>
          </w:p>
        </w:tc>
        <w:tc>
          <w:tcPr>
            <w:tcW w:w="990" w:type="dxa"/>
            <w:tcBorders>
              <w:top w:val="nil"/>
              <w:left w:val="nil"/>
              <w:bottom w:val="nil"/>
              <w:right w:val="nil"/>
            </w:tcBorders>
          </w:tcPr>
          <w:p w14:paraId="2906F7B0"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b/>
                <w:bCs/>
                <w:color w:val="000000"/>
              </w:rPr>
              <w:t>Model</w:t>
            </w:r>
          </w:p>
        </w:tc>
      </w:tr>
      <w:tr w:rsidR="00994384" w:rsidRPr="008E790D" w14:paraId="5BEB4E66" w14:textId="77777777" w:rsidTr="0009573B">
        <w:trPr>
          <w:trHeight w:val="268"/>
        </w:trPr>
        <w:tc>
          <w:tcPr>
            <w:tcW w:w="1350" w:type="dxa"/>
            <w:vMerge/>
            <w:tcBorders>
              <w:left w:val="nil"/>
              <w:bottom w:val="single" w:sz="4" w:space="0" w:color="auto"/>
              <w:right w:val="nil"/>
            </w:tcBorders>
            <w:vAlign w:val="center"/>
          </w:tcPr>
          <w:p w14:paraId="6C51E361" w14:textId="77777777" w:rsidR="00994384" w:rsidRPr="008E790D" w:rsidRDefault="00994384" w:rsidP="0009573B">
            <w:pPr>
              <w:spacing w:line="480" w:lineRule="auto"/>
              <w:contextualSpacing/>
              <w:jc w:val="both"/>
              <w:rPr>
                <w:rFonts w:ascii="Times New Roman" w:eastAsia="Times New Roman" w:hAnsi="Times New Roman"/>
                <w:b/>
                <w:bCs/>
                <w:color w:val="000000"/>
              </w:rPr>
            </w:pPr>
          </w:p>
        </w:tc>
        <w:tc>
          <w:tcPr>
            <w:tcW w:w="1620" w:type="dxa"/>
            <w:tcBorders>
              <w:top w:val="nil"/>
              <w:left w:val="nil"/>
              <w:bottom w:val="nil"/>
              <w:right w:val="nil"/>
            </w:tcBorders>
            <w:shd w:val="clear" w:color="auto" w:fill="auto"/>
            <w:vAlign w:val="center"/>
          </w:tcPr>
          <w:p w14:paraId="1C8CF74D" w14:textId="77777777" w:rsidR="00994384" w:rsidRPr="008E790D" w:rsidRDefault="00994384" w:rsidP="0009573B">
            <w:pPr>
              <w:spacing w:line="480" w:lineRule="auto"/>
              <w:contextualSpacing/>
              <w:jc w:val="both"/>
              <w:rPr>
                <w:rFonts w:ascii="Times New Roman" w:eastAsia="Times New Roman" w:hAnsi="Times New Roman"/>
                <w:b/>
                <w:bCs/>
                <w:color w:val="000000"/>
              </w:rPr>
            </w:pPr>
            <w:r w:rsidRPr="008E790D">
              <w:rPr>
                <w:rFonts w:ascii="Times New Roman" w:eastAsia="Times New Roman" w:hAnsi="Times New Roman"/>
                <w:color w:val="000000"/>
              </w:rPr>
              <w:t>Epanechnikov</w:t>
            </w:r>
          </w:p>
        </w:tc>
        <w:tc>
          <w:tcPr>
            <w:tcW w:w="1440" w:type="dxa"/>
            <w:tcBorders>
              <w:top w:val="nil"/>
              <w:left w:val="nil"/>
              <w:bottom w:val="nil"/>
              <w:right w:val="nil"/>
            </w:tcBorders>
            <w:shd w:val="clear" w:color="auto" w:fill="auto"/>
            <w:vAlign w:val="center"/>
          </w:tcPr>
          <w:p w14:paraId="66F81093" w14:textId="77777777" w:rsidR="00994384" w:rsidRPr="008E790D" w:rsidRDefault="00994384" w:rsidP="0009573B">
            <w:pPr>
              <w:spacing w:line="480" w:lineRule="auto"/>
              <w:contextualSpacing/>
              <w:jc w:val="both"/>
              <w:rPr>
                <w:rFonts w:ascii="Times New Roman" w:eastAsia="Times New Roman" w:hAnsi="Times New Roman"/>
                <w:b/>
                <w:bCs/>
                <w:color w:val="000000"/>
              </w:rPr>
            </w:pPr>
            <w:r w:rsidRPr="008E790D">
              <w:rPr>
                <w:rFonts w:ascii="Times New Roman" w:eastAsia="Times New Roman" w:hAnsi="Times New Roman"/>
                <w:color w:val="000000"/>
              </w:rPr>
              <w:t>0.01</w:t>
            </w:r>
          </w:p>
        </w:tc>
        <w:tc>
          <w:tcPr>
            <w:tcW w:w="1440" w:type="dxa"/>
            <w:tcBorders>
              <w:top w:val="nil"/>
              <w:left w:val="nil"/>
              <w:bottom w:val="nil"/>
              <w:right w:val="nil"/>
            </w:tcBorders>
            <w:shd w:val="clear" w:color="auto" w:fill="auto"/>
            <w:vAlign w:val="center"/>
          </w:tcPr>
          <w:p w14:paraId="55A0BBCE" w14:textId="77777777" w:rsidR="00994384" w:rsidRPr="008E790D" w:rsidRDefault="00994384" w:rsidP="0009573B">
            <w:pPr>
              <w:spacing w:line="480" w:lineRule="auto"/>
              <w:contextualSpacing/>
              <w:jc w:val="both"/>
              <w:rPr>
                <w:rFonts w:ascii="Times New Roman" w:eastAsia="Times New Roman" w:hAnsi="Times New Roman"/>
                <w:b/>
                <w:bCs/>
                <w:color w:val="000000"/>
              </w:rPr>
            </w:pPr>
            <w:r w:rsidRPr="008E790D">
              <w:rPr>
                <w:rFonts w:ascii="Times New Roman" w:eastAsia="Times New Roman" w:hAnsi="Times New Roman"/>
                <w:color w:val="000000"/>
              </w:rPr>
              <w:t>0.1574</w:t>
            </w:r>
          </w:p>
        </w:tc>
        <w:tc>
          <w:tcPr>
            <w:tcW w:w="2430" w:type="dxa"/>
            <w:tcBorders>
              <w:top w:val="nil"/>
              <w:left w:val="nil"/>
              <w:bottom w:val="nil"/>
              <w:right w:val="nil"/>
            </w:tcBorders>
            <w:shd w:val="clear" w:color="auto" w:fill="auto"/>
            <w:vAlign w:val="center"/>
          </w:tcPr>
          <w:p w14:paraId="1251B6F7" w14:textId="77777777" w:rsidR="00994384" w:rsidRPr="008E790D" w:rsidRDefault="00994384" w:rsidP="0009573B">
            <w:pPr>
              <w:spacing w:line="480" w:lineRule="auto"/>
              <w:contextualSpacing/>
              <w:jc w:val="both"/>
              <w:rPr>
                <w:rFonts w:ascii="Times New Roman" w:eastAsia="Times New Roman" w:hAnsi="Times New Roman"/>
                <w:b/>
                <w:bCs/>
                <w:color w:val="000000"/>
              </w:rPr>
            </w:pPr>
            <w:r w:rsidRPr="008E790D">
              <w:rPr>
                <w:rFonts w:ascii="Times New Roman" w:eastAsia="Times New Roman" w:hAnsi="Times New Roman"/>
                <w:color w:val="000000"/>
              </w:rPr>
              <w:t>0.0382</w:t>
            </w:r>
          </w:p>
        </w:tc>
        <w:tc>
          <w:tcPr>
            <w:tcW w:w="990" w:type="dxa"/>
            <w:tcBorders>
              <w:top w:val="nil"/>
              <w:left w:val="nil"/>
              <w:bottom w:val="nil"/>
              <w:right w:val="nil"/>
            </w:tcBorders>
          </w:tcPr>
          <w:p w14:paraId="63E4CF23" w14:textId="77777777" w:rsidR="00994384" w:rsidRPr="008E790D" w:rsidRDefault="00994384" w:rsidP="0009573B">
            <w:pPr>
              <w:spacing w:line="480" w:lineRule="auto"/>
              <w:contextualSpacing/>
              <w:jc w:val="both"/>
              <w:rPr>
                <w:rFonts w:ascii="Times New Roman" w:eastAsia="Times New Roman" w:hAnsi="Times New Roman"/>
                <w:b/>
                <w:bCs/>
                <w:color w:val="000000"/>
              </w:rPr>
            </w:pPr>
            <w:r w:rsidRPr="008E790D">
              <w:rPr>
                <w:rFonts w:ascii="Times New Roman" w:eastAsia="Times New Roman" w:hAnsi="Times New Roman"/>
                <w:color w:val="000000"/>
              </w:rPr>
              <w:t>15</w:t>
            </w:r>
          </w:p>
        </w:tc>
      </w:tr>
      <w:tr w:rsidR="00994384" w:rsidRPr="008E790D" w14:paraId="3082B481" w14:textId="77777777" w:rsidTr="0009573B">
        <w:trPr>
          <w:trHeight w:val="300"/>
        </w:trPr>
        <w:tc>
          <w:tcPr>
            <w:tcW w:w="1350" w:type="dxa"/>
            <w:vMerge/>
            <w:tcBorders>
              <w:left w:val="nil"/>
              <w:bottom w:val="single" w:sz="4" w:space="0" w:color="auto"/>
              <w:right w:val="nil"/>
            </w:tcBorders>
            <w:vAlign w:val="center"/>
          </w:tcPr>
          <w:p w14:paraId="6D2B9357" w14:textId="77777777" w:rsidR="00994384" w:rsidRPr="008E790D" w:rsidRDefault="00994384" w:rsidP="0009573B">
            <w:pPr>
              <w:spacing w:line="480" w:lineRule="auto"/>
              <w:contextualSpacing/>
              <w:jc w:val="both"/>
              <w:rPr>
                <w:rFonts w:ascii="Times New Roman" w:eastAsia="Times New Roman" w:hAnsi="Times New Roman"/>
                <w:color w:val="000000"/>
              </w:rPr>
            </w:pPr>
          </w:p>
        </w:tc>
        <w:tc>
          <w:tcPr>
            <w:tcW w:w="1620" w:type="dxa"/>
            <w:tcBorders>
              <w:top w:val="nil"/>
              <w:left w:val="nil"/>
              <w:bottom w:val="nil"/>
              <w:right w:val="nil"/>
            </w:tcBorders>
            <w:shd w:val="clear" w:color="auto" w:fill="auto"/>
            <w:vAlign w:val="center"/>
          </w:tcPr>
          <w:p w14:paraId="3BC06D36"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Epanechnikov</w:t>
            </w:r>
          </w:p>
        </w:tc>
        <w:tc>
          <w:tcPr>
            <w:tcW w:w="1440" w:type="dxa"/>
            <w:tcBorders>
              <w:top w:val="nil"/>
              <w:left w:val="nil"/>
              <w:bottom w:val="nil"/>
              <w:right w:val="nil"/>
            </w:tcBorders>
            <w:shd w:val="clear" w:color="auto" w:fill="auto"/>
            <w:vAlign w:val="center"/>
          </w:tcPr>
          <w:p w14:paraId="602A8D27"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0.04</w:t>
            </w:r>
          </w:p>
        </w:tc>
        <w:tc>
          <w:tcPr>
            <w:tcW w:w="1440" w:type="dxa"/>
            <w:tcBorders>
              <w:top w:val="nil"/>
              <w:left w:val="nil"/>
              <w:bottom w:val="nil"/>
              <w:right w:val="nil"/>
            </w:tcBorders>
            <w:shd w:val="clear" w:color="auto" w:fill="auto"/>
            <w:vAlign w:val="center"/>
          </w:tcPr>
          <w:p w14:paraId="5B75F785"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0.1602</w:t>
            </w:r>
          </w:p>
        </w:tc>
        <w:tc>
          <w:tcPr>
            <w:tcW w:w="2430" w:type="dxa"/>
            <w:tcBorders>
              <w:top w:val="nil"/>
              <w:left w:val="nil"/>
              <w:bottom w:val="nil"/>
              <w:right w:val="nil"/>
            </w:tcBorders>
            <w:shd w:val="clear" w:color="auto" w:fill="auto"/>
            <w:vAlign w:val="center"/>
          </w:tcPr>
          <w:p w14:paraId="57A587CD"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0.0357</w:t>
            </w:r>
          </w:p>
        </w:tc>
        <w:tc>
          <w:tcPr>
            <w:tcW w:w="990" w:type="dxa"/>
            <w:tcBorders>
              <w:top w:val="nil"/>
              <w:left w:val="nil"/>
              <w:bottom w:val="nil"/>
              <w:right w:val="nil"/>
            </w:tcBorders>
          </w:tcPr>
          <w:p w14:paraId="04579F30"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16</w:t>
            </w:r>
          </w:p>
        </w:tc>
      </w:tr>
      <w:tr w:rsidR="00994384" w:rsidRPr="008E790D" w14:paraId="57C2A4AE" w14:textId="77777777" w:rsidTr="0009573B">
        <w:trPr>
          <w:trHeight w:val="300"/>
        </w:trPr>
        <w:tc>
          <w:tcPr>
            <w:tcW w:w="1350" w:type="dxa"/>
            <w:vMerge/>
            <w:tcBorders>
              <w:left w:val="nil"/>
              <w:bottom w:val="single" w:sz="4" w:space="0" w:color="auto"/>
              <w:right w:val="nil"/>
            </w:tcBorders>
            <w:vAlign w:val="center"/>
          </w:tcPr>
          <w:p w14:paraId="215377F5" w14:textId="77777777" w:rsidR="00994384" w:rsidRPr="008E790D" w:rsidRDefault="00994384" w:rsidP="0009573B">
            <w:pPr>
              <w:spacing w:line="480" w:lineRule="auto"/>
              <w:contextualSpacing/>
              <w:jc w:val="both"/>
              <w:rPr>
                <w:rFonts w:ascii="Times New Roman" w:eastAsia="Times New Roman" w:hAnsi="Times New Roman"/>
                <w:color w:val="000000"/>
              </w:rPr>
            </w:pPr>
          </w:p>
        </w:tc>
        <w:tc>
          <w:tcPr>
            <w:tcW w:w="1620" w:type="dxa"/>
            <w:tcBorders>
              <w:top w:val="nil"/>
              <w:left w:val="nil"/>
              <w:bottom w:val="nil"/>
              <w:right w:val="nil"/>
            </w:tcBorders>
            <w:shd w:val="clear" w:color="auto" w:fill="auto"/>
            <w:vAlign w:val="center"/>
          </w:tcPr>
          <w:p w14:paraId="1A2DA33C"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Epanechnikov</w:t>
            </w:r>
          </w:p>
        </w:tc>
        <w:tc>
          <w:tcPr>
            <w:tcW w:w="1440" w:type="dxa"/>
            <w:tcBorders>
              <w:top w:val="nil"/>
              <w:left w:val="nil"/>
              <w:bottom w:val="nil"/>
              <w:right w:val="nil"/>
            </w:tcBorders>
            <w:shd w:val="clear" w:color="auto" w:fill="auto"/>
            <w:vAlign w:val="center"/>
          </w:tcPr>
          <w:p w14:paraId="63DBF53C"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0.1</w:t>
            </w:r>
          </w:p>
        </w:tc>
        <w:tc>
          <w:tcPr>
            <w:tcW w:w="1440" w:type="dxa"/>
            <w:tcBorders>
              <w:top w:val="nil"/>
              <w:left w:val="nil"/>
              <w:bottom w:val="nil"/>
              <w:right w:val="nil"/>
            </w:tcBorders>
            <w:shd w:val="clear" w:color="auto" w:fill="auto"/>
            <w:vAlign w:val="center"/>
          </w:tcPr>
          <w:p w14:paraId="085BE0BB"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0.1567</w:t>
            </w:r>
          </w:p>
        </w:tc>
        <w:tc>
          <w:tcPr>
            <w:tcW w:w="2430" w:type="dxa"/>
            <w:tcBorders>
              <w:top w:val="nil"/>
              <w:left w:val="nil"/>
              <w:bottom w:val="nil"/>
              <w:right w:val="nil"/>
            </w:tcBorders>
            <w:shd w:val="clear" w:color="auto" w:fill="auto"/>
            <w:vAlign w:val="center"/>
          </w:tcPr>
          <w:p w14:paraId="47C928EB"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0.0360</w:t>
            </w:r>
          </w:p>
        </w:tc>
        <w:tc>
          <w:tcPr>
            <w:tcW w:w="990" w:type="dxa"/>
            <w:tcBorders>
              <w:top w:val="nil"/>
              <w:left w:val="nil"/>
              <w:bottom w:val="nil"/>
              <w:right w:val="nil"/>
            </w:tcBorders>
          </w:tcPr>
          <w:p w14:paraId="0B33A80D"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17</w:t>
            </w:r>
          </w:p>
        </w:tc>
      </w:tr>
      <w:tr w:rsidR="00994384" w:rsidRPr="008E790D" w14:paraId="28664B3A" w14:textId="77777777" w:rsidTr="0009573B">
        <w:trPr>
          <w:trHeight w:val="300"/>
        </w:trPr>
        <w:tc>
          <w:tcPr>
            <w:tcW w:w="1350" w:type="dxa"/>
            <w:vMerge/>
            <w:tcBorders>
              <w:left w:val="nil"/>
              <w:bottom w:val="single" w:sz="4" w:space="0" w:color="auto"/>
              <w:right w:val="nil"/>
            </w:tcBorders>
            <w:vAlign w:val="center"/>
          </w:tcPr>
          <w:p w14:paraId="61349C9F" w14:textId="77777777" w:rsidR="00994384" w:rsidRPr="008E790D" w:rsidRDefault="00994384" w:rsidP="0009573B">
            <w:pPr>
              <w:spacing w:line="480" w:lineRule="auto"/>
              <w:contextualSpacing/>
              <w:jc w:val="both"/>
              <w:rPr>
                <w:rFonts w:ascii="Times New Roman" w:eastAsia="Times New Roman" w:hAnsi="Times New Roman"/>
                <w:color w:val="000000"/>
              </w:rPr>
            </w:pPr>
          </w:p>
        </w:tc>
        <w:tc>
          <w:tcPr>
            <w:tcW w:w="1620" w:type="dxa"/>
            <w:tcBorders>
              <w:top w:val="nil"/>
              <w:left w:val="nil"/>
              <w:bottom w:val="nil"/>
              <w:right w:val="nil"/>
            </w:tcBorders>
            <w:shd w:val="clear" w:color="auto" w:fill="auto"/>
            <w:vAlign w:val="center"/>
          </w:tcPr>
          <w:p w14:paraId="3A6971CE"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Epanechnikov</w:t>
            </w:r>
          </w:p>
        </w:tc>
        <w:tc>
          <w:tcPr>
            <w:tcW w:w="1440" w:type="dxa"/>
            <w:tcBorders>
              <w:top w:val="nil"/>
              <w:left w:val="nil"/>
              <w:bottom w:val="nil"/>
              <w:right w:val="nil"/>
            </w:tcBorders>
            <w:shd w:val="clear" w:color="auto" w:fill="auto"/>
            <w:vAlign w:val="center"/>
          </w:tcPr>
          <w:p w14:paraId="7A3FB0D7"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0.15</w:t>
            </w:r>
          </w:p>
        </w:tc>
        <w:tc>
          <w:tcPr>
            <w:tcW w:w="1440" w:type="dxa"/>
            <w:tcBorders>
              <w:top w:val="nil"/>
              <w:left w:val="nil"/>
              <w:bottom w:val="nil"/>
              <w:right w:val="nil"/>
            </w:tcBorders>
            <w:shd w:val="clear" w:color="auto" w:fill="auto"/>
            <w:vAlign w:val="center"/>
          </w:tcPr>
          <w:p w14:paraId="78703378"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0.1599</w:t>
            </w:r>
          </w:p>
        </w:tc>
        <w:tc>
          <w:tcPr>
            <w:tcW w:w="2430" w:type="dxa"/>
            <w:tcBorders>
              <w:top w:val="nil"/>
              <w:left w:val="nil"/>
              <w:bottom w:val="nil"/>
              <w:right w:val="nil"/>
            </w:tcBorders>
            <w:shd w:val="clear" w:color="auto" w:fill="auto"/>
            <w:vAlign w:val="center"/>
          </w:tcPr>
          <w:p w14:paraId="03737D1B"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0.0357</w:t>
            </w:r>
          </w:p>
        </w:tc>
        <w:tc>
          <w:tcPr>
            <w:tcW w:w="990" w:type="dxa"/>
            <w:tcBorders>
              <w:top w:val="nil"/>
              <w:left w:val="nil"/>
              <w:bottom w:val="nil"/>
              <w:right w:val="nil"/>
            </w:tcBorders>
          </w:tcPr>
          <w:p w14:paraId="009327B0"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18</w:t>
            </w:r>
          </w:p>
        </w:tc>
      </w:tr>
      <w:tr w:rsidR="00994384" w:rsidRPr="008E790D" w14:paraId="76B00DC6" w14:textId="77777777" w:rsidTr="0009573B">
        <w:trPr>
          <w:trHeight w:val="300"/>
        </w:trPr>
        <w:tc>
          <w:tcPr>
            <w:tcW w:w="1350" w:type="dxa"/>
            <w:vMerge/>
            <w:tcBorders>
              <w:left w:val="nil"/>
              <w:bottom w:val="single" w:sz="4" w:space="0" w:color="auto"/>
              <w:right w:val="nil"/>
            </w:tcBorders>
            <w:vAlign w:val="center"/>
          </w:tcPr>
          <w:p w14:paraId="7760C410" w14:textId="77777777" w:rsidR="00994384" w:rsidRPr="008E790D" w:rsidRDefault="00994384" w:rsidP="0009573B">
            <w:pPr>
              <w:spacing w:line="480" w:lineRule="auto"/>
              <w:contextualSpacing/>
              <w:jc w:val="both"/>
              <w:rPr>
                <w:rFonts w:ascii="Times New Roman" w:eastAsia="Times New Roman" w:hAnsi="Times New Roman"/>
                <w:color w:val="000000"/>
              </w:rPr>
            </w:pPr>
          </w:p>
        </w:tc>
        <w:tc>
          <w:tcPr>
            <w:tcW w:w="1620" w:type="dxa"/>
            <w:tcBorders>
              <w:top w:val="nil"/>
              <w:left w:val="nil"/>
              <w:bottom w:val="nil"/>
              <w:right w:val="nil"/>
            </w:tcBorders>
            <w:shd w:val="clear" w:color="auto" w:fill="auto"/>
            <w:vAlign w:val="center"/>
          </w:tcPr>
          <w:p w14:paraId="564E96E7"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Epanechnikov</w:t>
            </w:r>
          </w:p>
        </w:tc>
        <w:tc>
          <w:tcPr>
            <w:tcW w:w="1440" w:type="dxa"/>
            <w:tcBorders>
              <w:top w:val="nil"/>
              <w:left w:val="nil"/>
              <w:bottom w:val="nil"/>
              <w:right w:val="nil"/>
            </w:tcBorders>
            <w:shd w:val="clear" w:color="auto" w:fill="auto"/>
            <w:vAlign w:val="center"/>
          </w:tcPr>
          <w:p w14:paraId="20001288"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0.2</w:t>
            </w:r>
          </w:p>
        </w:tc>
        <w:tc>
          <w:tcPr>
            <w:tcW w:w="1440" w:type="dxa"/>
            <w:tcBorders>
              <w:top w:val="nil"/>
              <w:left w:val="nil"/>
              <w:bottom w:val="nil"/>
              <w:right w:val="nil"/>
            </w:tcBorders>
            <w:shd w:val="clear" w:color="auto" w:fill="auto"/>
            <w:vAlign w:val="center"/>
          </w:tcPr>
          <w:p w14:paraId="3DD3B37D"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0.1688</w:t>
            </w:r>
          </w:p>
        </w:tc>
        <w:tc>
          <w:tcPr>
            <w:tcW w:w="2430" w:type="dxa"/>
            <w:tcBorders>
              <w:top w:val="nil"/>
              <w:left w:val="nil"/>
              <w:bottom w:val="nil"/>
              <w:right w:val="nil"/>
            </w:tcBorders>
            <w:shd w:val="clear" w:color="auto" w:fill="auto"/>
            <w:vAlign w:val="center"/>
          </w:tcPr>
          <w:p w14:paraId="7D999235"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0.0355</w:t>
            </w:r>
          </w:p>
        </w:tc>
        <w:tc>
          <w:tcPr>
            <w:tcW w:w="990" w:type="dxa"/>
            <w:tcBorders>
              <w:top w:val="nil"/>
              <w:left w:val="nil"/>
              <w:bottom w:val="nil"/>
              <w:right w:val="nil"/>
            </w:tcBorders>
          </w:tcPr>
          <w:p w14:paraId="078AE641"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19</w:t>
            </w:r>
          </w:p>
        </w:tc>
      </w:tr>
      <w:tr w:rsidR="00994384" w:rsidRPr="008E790D" w14:paraId="2B1CEA40" w14:textId="77777777" w:rsidTr="0009573B">
        <w:trPr>
          <w:trHeight w:val="300"/>
        </w:trPr>
        <w:tc>
          <w:tcPr>
            <w:tcW w:w="1350" w:type="dxa"/>
            <w:vMerge/>
            <w:tcBorders>
              <w:left w:val="nil"/>
              <w:bottom w:val="single" w:sz="4" w:space="0" w:color="auto"/>
              <w:right w:val="nil"/>
            </w:tcBorders>
            <w:vAlign w:val="center"/>
          </w:tcPr>
          <w:p w14:paraId="5B0D4DAE" w14:textId="77777777" w:rsidR="00994384" w:rsidRPr="008E790D" w:rsidRDefault="00994384" w:rsidP="0009573B">
            <w:pPr>
              <w:spacing w:line="480" w:lineRule="auto"/>
              <w:contextualSpacing/>
              <w:jc w:val="both"/>
              <w:rPr>
                <w:rFonts w:ascii="Times New Roman" w:eastAsia="Times New Roman" w:hAnsi="Times New Roman"/>
                <w:color w:val="000000"/>
              </w:rPr>
            </w:pPr>
          </w:p>
        </w:tc>
        <w:tc>
          <w:tcPr>
            <w:tcW w:w="1620" w:type="dxa"/>
            <w:tcBorders>
              <w:top w:val="nil"/>
              <w:left w:val="nil"/>
              <w:bottom w:val="nil"/>
              <w:right w:val="nil"/>
            </w:tcBorders>
            <w:shd w:val="clear" w:color="auto" w:fill="auto"/>
            <w:vAlign w:val="center"/>
          </w:tcPr>
          <w:p w14:paraId="2869E3A7"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Gaussian</w:t>
            </w:r>
          </w:p>
        </w:tc>
        <w:tc>
          <w:tcPr>
            <w:tcW w:w="1440" w:type="dxa"/>
            <w:tcBorders>
              <w:top w:val="nil"/>
              <w:left w:val="nil"/>
              <w:bottom w:val="nil"/>
              <w:right w:val="nil"/>
            </w:tcBorders>
            <w:shd w:val="clear" w:color="auto" w:fill="auto"/>
            <w:vAlign w:val="center"/>
          </w:tcPr>
          <w:p w14:paraId="014F5689"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0.01</w:t>
            </w:r>
          </w:p>
        </w:tc>
        <w:tc>
          <w:tcPr>
            <w:tcW w:w="1440" w:type="dxa"/>
            <w:tcBorders>
              <w:top w:val="nil"/>
              <w:left w:val="nil"/>
              <w:bottom w:val="nil"/>
              <w:right w:val="nil"/>
            </w:tcBorders>
            <w:shd w:val="clear" w:color="auto" w:fill="auto"/>
            <w:vAlign w:val="center"/>
          </w:tcPr>
          <w:p w14:paraId="5BB78994"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0.1626</w:t>
            </w:r>
          </w:p>
        </w:tc>
        <w:tc>
          <w:tcPr>
            <w:tcW w:w="2430" w:type="dxa"/>
            <w:tcBorders>
              <w:top w:val="nil"/>
              <w:left w:val="nil"/>
              <w:bottom w:val="nil"/>
              <w:right w:val="nil"/>
            </w:tcBorders>
            <w:shd w:val="clear" w:color="auto" w:fill="auto"/>
            <w:vAlign w:val="center"/>
          </w:tcPr>
          <w:p w14:paraId="2B25DB5E"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0.0372</w:t>
            </w:r>
          </w:p>
        </w:tc>
        <w:tc>
          <w:tcPr>
            <w:tcW w:w="990" w:type="dxa"/>
            <w:tcBorders>
              <w:top w:val="nil"/>
              <w:left w:val="nil"/>
              <w:bottom w:val="nil"/>
              <w:right w:val="nil"/>
            </w:tcBorders>
          </w:tcPr>
          <w:p w14:paraId="665D79F7"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20</w:t>
            </w:r>
          </w:p>
        </w:tc>
      </w:tr>
      <w:tr w:rsidR="00994384" w:rsidRPr="008E790D" w14:paraId="1AA1F516" w14:textId="77777777" w:rsidTr="0009573B">
        <w:trPr>
          <w:trHeight w:val="300"/>
        </w:trPr>
        <w:tc>
          <w:tcPr>
            <w:tcW w:w="1350" w:type="dxa"/>
            <w:vMerge/>
            <w:tcBorders>
              <w:left w:val="nil"/>
              <w:bottom w:val="single" w:sz="4" w:space="0" w:color="auto"/>
              <w:right w:val="nil"/>
            </w:tcBorders>
            <w:vAlign w:val="center"/>
          </w:tcPr>
          <w:p w14:paraId="0F5353D9" w14:textId="77777777" w:rsidR="00994384" w:rsidRPr="008E790D" w:rsidRDefault="00994384" w:rsidP="0009573B">
            <w:pPr>
              <w:spacing w:line="480" w:lineRule="auto"/>
              <w:contextualSpacing/>
              <w:jc w:val="both"/>
              <w:rPr>
                <w:rFonts w:ascii="Times New Roman" w:eastAsia="Times New Roman" w:hAnsi="Times New Roman"/>
                <w:color w:val="000000"/>
              </w:rPr>
            </w:pPr>
          </w:p>
        </w:tc>
        <w:tc>
          <w:tcPr>
            <w:tcW w:w="1620" w:type="dxa"/>
            <w:tcBorders>
              <w:top w:val="nil"/>
              <w:left w:val="nil"/>
              <w:bottom w:val="nil"/>
              <w:right w:val="nil"/>
            </w:tcBorders>
            <w:shd w:val="clear" w:color="auto" w:fill="auto"/>
            <w:vAlign w:val="center"/>
          </w:tcPr>
          <w:p w14:paraId="0AC460F6"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Gaussian</w:t>
            </w:r>
          </w:p>
        </w:tc>
        <w:tc>
          <w:tcPr>
            <w:tcW w:w="1440" w:type="dxa"/>
            <w:tcBorders>
              <w:top w:val="nil"/>
              <w:left w:val="nil"/>
              <w:bottom w:val="nil"/>
              <w:right w:val="nil"/>
            </w:tcBorders>
            <w:shd w:val="clear" w:color="auto" w:fill="auto"/>
            <w:vAlign w:val="center"/>
          </w:tcPr>
          <w:p w14:paraId="2AC86887"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0.04</w:t>
            </w:r>
          </w:p>
        </w:tc>
        <w:tc>
          <w:tcPr>
            <w:tcW w:w="1440" w:type="dxa"/>
            <w:tcBorders>
              <w:top w:val="nil"/>
              <w:left w:val="nil"/>
              <w:bottom w:val="nil"/>
              <w:right w:val="nil"/>
            </w:tcBorders>
            <w:shd w:val="clear" w:color="auto" w:fill="auto"/>
            <w:vAlign w:val="center"/>
          </w:tcPr>
          <w:p w14:paraId="655ECE7E"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0.1574</w:t>
            </w:r>
          </w:p>
        </w:tc>
        <w:tc>
          <w:tcPr>
            <w:tcW w:w="2430" w:type="dxa"/>
            <w:tcBorders>
              <w:top w:val="nil"/>
              <w:left w:val="nil"/>
              <w:bottom w:val="nil"/>
              <w:right w:val="nil"/>
            </w:tcBorders>
            <w:shd w:val="clear" w:color="auto" w:fill="auto"/>
            <w:vAlign w:val="center"/>
          </w:tcPr>
          <w:p w14:paraId="0124B49C"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0.0361</w:t>
            </w:r>
          </w:p>
        </w:tc>
        <w:tc>
          <w:tcPr>
            <w:tcW w:w="990" w:type="dxa"/>
            <w:tcBorders>
              <w:top w:val="nil"/>
              <w:left w:val="nil"/>
              <w:bottom w:val="nil"/>
              <w:right w:val="nil"/>
            </w:tcBorders>
          </w:tcPr>
          <w:p w14:paraId="7831694F"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21</w:t>
            </w:r>
          </w:p>
        </w:tc>
      </w:tr>
      <w:tr w:rsidR="00994384" w:rsidRPr="008E790D" w14:paraId="545F4023" w14:textId="77777777" w:rsidTr="0009573B">
        <w:trPr>
          <w:trHeight w:val="300"/>
        </w:trPr>
        <w:tc>
          <w:tcPr>
            <w:tcW w:w="1350" w:type="dxa"/>
            <w:vMerge/>
            <w:tcBorders>
              <w:left w:val="nil"/>
              <w:bottom w:val="single" w:sz="4" w:space="0" w:color="auto"/>
              <w:right w:val="nil"/>
            </w:tcBorders>
            <w:vAlign w:val="center"/>
          </w:tcPr>
          <w:p w14:paraId="524415E6" w14:textId="77777777" w:rsidR="00994384" w:rsidRPr="008E790D" w:rsidRDefault="00994384" w:rsidP="0009573B">
            <w:pPr>
              <w:spacing w:line="480" w:lineRule="auto"/>
              <w:contextualSpacing/>
              <w:jc w:val="both"/>
              <w:rPr>
                <w:rFonts w:ascii="Times New Roman" w:eastAsia="Times New Roman" w:hAnsi="Times New Roman"/>
                <w:color w:val="000000"/>
              </w:rPr>
            </w:pPr>
          </w:p>
        </w:tc>
        <w:tc>
          <w:tcPr>
            <w:tcW w:w="1620" w:type="dxa"/>
            <w:tcBorders>
              <w:top w:val="nil"/>
              <w:left w:val="nil"/>
              <w:bottom w:val="nil"/>
              <w:right w:val="nil"/>
            </w:tcBorders>
            <w:shd w:val="clear" w:color="auto" w:fill="auto"/>
            <w:vAlign w:val="center"/>
          </w:tcPr>
          <w:p w14:paraId="1908E848"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Gaussian</w:t>
            </w:r>
          </w:p>
        </w:tc>
        <w:tc>
          <w:tcPr>
            <w:tcW w:w="1440" w:type="dxa"/>
            <w:tcBorders>
              <w:top w:val="nil"/>
              <w:left w:val="nil"/>
              <w:bottom w:val="nil"/>
              <w:right w:val="nil"/>
            </w:tcBorders>
            <w:shd w:val="clear" w:color="auto" w:fill="auto"/>
            <w:vAlign w:val="center"/>
          </w:tcPr>
          <w:p w14:paraId="05C3CFD3"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0.1</w:t>
            </w:r>
          </w:p>
        </w:tc>
        <w:tc>
          <w:tcPr>
            <w:tcW w:w="1440" w:type="dxa"/>
            <w:tcBorders>
              <w:top w:val="nil"/>
              <w:left w:val="nil"/>
              <w:bottom w:val="nil"/>
              <w:right w:val="nil"/>
            </w:tcBorders>
            <w:shd w:val="clear" w:color="auto" w:fill="auto"/>
            <w:vAlign w:val="center"/>
          </w:tcPr>
          <w:p w14:paraId="440897EF"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0.1732</w:t>
            </w:r>
          </w:p>
        </w:tc>
        <w:tc>
          <w:tcPr>
            <w:tcW w:w="2430" w:type="dxa"/>
            <w:tcBorders>
              <w:top w:val="nil"/>
              <w:left w:val="nil"/>
              <w:bottom w:val="nil"/>
              <w:right w:val="nil"/>
            </w:tcBorders>
            <w:shd w:val="clear" w:color="auto" w:fill="auto"/>
            <w:vAlign w:val="center"/>
          </w:tcPr>
          <w:p w14:paraId="18B99434"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0.0354</w:t>
            </w:r>
          </w:p>
        </w:tc>
        <w:tc>
          <w:tcPr>
            <w:tcW w:w="990" w:type="dxa"/>
            <w:tcBorders>
              <w:top w:val="nil"/>
              <w:left w:val="nil"/>
              <w:bottom w:val="nil"/>
              <w:right w:val="nil"/>
            </w:tcBorders>
          </w:tcPr>
          <w:p w14:paraId="22774358"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22</w:t>
            </w:r>
          </w:p>
        </w:tc>
      </w:tr>
      <w:tr w:rsidR="00994384" w:rsidRPr="008E790D" w14:paraId="6C70886A" w14:textId="77777777" w:rsidTr="0009573B">
        <w:trPr>
          <w:trHeight w:val="300"/>
        </w:trPr>
        <w:tc>
          <w:tcPr>
            <w:tcW w:w="1350" w:type="dxa"/>
            <w:vMerge/>
            <w:tcBorders>
              <w:left w:val="nil"/>
              <w:bottom w:val="single" w:sz="4" w:space="0" w:color="auto"/>
              <w:right w:val="nil"/>
            </w:tcBorders>
            <w:vAlign w:val="center"/>
          </w:tcPr>
          <w:p w14:paraId="652C6F41" w14:textId="77777777" w:rsidR="00994384" w:rsidRPr="008E790D" w:rsidRDefault="00994384" w:rsidP="0009573B">
            <w:pPr>
              <w:spacing w:line="480" w:lineRule="auto"/>
              <w:contextualSpacing/>
              <w:jc w:val="both"/>
              <w:rPr>
                <w:rFonts w:ascii="Times New Roman" w:eastAsia="Times New Roman" w:hAnsi="Times New Roman"/>
                <w:color w:val="000000"/>
              </w:rPr>
            </w:pPr>
          </w:p>
        </w:tc>
        <w:tc>
          <w:tcPr>
            <w:tcW w:w="1620" w:type="dxa"/>
            <w:tcBorders>
              <w:top w:val="nil"/>
              <w:left w:val="nil"/>
              <w:bottom w:val="nil"/>
              <w:right w:val="nil"/>
            </w:tcBorders>
            <w:shd w:val="clear" w:color="auto" w:fill="auto"/>
            <w:vAlign w:val="center"/>
          </w:tcPr>
          <w:p w14:paraId="74B50A12"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Gaussian</w:t>
            </w:r>
          </w:p>
        </w:tc>
        <w:tc>
          <w:tcPr>
            <w:tcW w:w="1440" w:type="dxa"/>
            <w:tcBorders>
              <w:top w:val="nil"/>
              <w:left w:val="nil"/>
              <w:bottom w:val="nil"/>
              <w:right w:val="nil"/>
            </w:tcBorders>
            <w:shd w:val="clear" w:color="auto" w:fill="auto"/>
            <w:vAlign w:val="center"/>
          </w:tcPr>
          <w:p w14:paraId="60503F3C"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0.15</w:t>
            </w:r>
          </w:p>
        </w:tc>
        <w:tc>
          <w:tcPr>
            <w:tcW w:w="1440" w:type="dxa"/>
            <w:tcBorders>
              <w:top w:val="nil"/>
              <w:left w:val="nil"/>
              <w:bottom w:val="nil"/>
              <w:right w:val="nil"/>
            </w:tcBorders>
            <w:shd w:val="clear" w:color="auto" w:fill="auto"/>
            <w:vAlign w:val="center"/>
          </w:tcPr>
          <w:p w14:paraId="0196D3D1"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0.1873</w:t>
            </w:r>
          </w:p>
        </w:tc>
        <w:tc>
          <w:tcPr>
            <w:tcW w:w="2430" w:type="dxa"/>
            <w:tcBorders>
              <w:top w:val="nil"/>
              <w:left w:val="nil"/>
              <w:bottom w:val="nil"/>
              <w:right w:val="nil"/>
            </w:tcBorders>
            <w:shd w:val="clear" w:color="auto" w:fill="auto"/>
            <w:vAlign w:val="center"/>
          </w:tcPr>
          <w:p w14:paraId="1248A570"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0.0351</w:t>
            </w:r>
          </w:p>
        </w:tc>
        <w:tc>
          <w:tcPr>
            <w:tcW w:w="990" w:type="dxa"/>
            <w:tcBorders>
              <w:top w:val="nil"/>
              <w:left w:val="nil"/>
              <w:bottom w:val="nil"/>
              <w:right w:val="nil"/>
            </w:tcBorders>
          </w:tcPr>
          <w:p w14:paraId="07FF691F"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23</w:t>
            </w:r>
          </w:p>
        </w:tc>
      </w:tr>
      <w:tr w:rsidR="00994384" w:rsidRPr="008E790D" w14:paraId="7C9160B3" w14:textId="77777777" w:rsidTr="0009573B">
        <w:trPr>
          <w:trHeight w:val="300"/>
        </w:trPr>
        <w:tc>
          <w:tcPr>
            <w:tcW w:w="1350" w:type="dxa"/>
            <w:vMerge/>
            <w:tcBorders>
              <w:left w:val="nil"/>
              <w:bottom w:val="single" w:sz="4" w:space="0" w:color="auto"/>
              <w:right w:val="nil"/>
            </w:tcBorders>
            <w:vAlign w:val="center"/>
          </w:tcPr>
          <w:p w14:paraId="342E2AE7" w14:textId="77777777" w:rsidR="00994384" w:rsidRPr="008E790D" w:rsidRDefault="00994384" w:rsidP="0009573B">
            <w:pPr>
              <w:spacing w:line="480" w:lineRule="auto"/>
              <w:contextualSpacing/>
              <w:jc w:val="both"/>
              <w:rPr>
                <w:rFonts w:ascii="Times New Roman" w:eastAsia="Times New Roman" w:hAnsi="Times New Roman"/>
                <w:color w:val="000000"/>
              </w:rPr>
            </w:pPr>
          </w:p>
        </w:tc>
        <w:tc>
          <w:tcPr>
            <w:tcW w:w="1620" w:type="dxa"/>
            <w:tcBorders>
              <w:top w:val="nil"/>
              <w:left w:val="nil"/>
              <w:bottom w:val="single" w:sz="8" w:space="0" w:color="auto"/>
              <w:right w:val="nil"/>
            </w:tcBorders>
            <w:shd w:val="clear" w:color="auto" w:fill="auto"/>
            <w:vAlign w:val="center"/>
          </w:tcPr>
          <w:p w14:paraId="6A30C0CC"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Gaussian</w:t>
            </w:r>
          </w:p>
        </w:tc>
        <w:tc>
          <w:tcPr>
            <w:tcW w:w="1440" w:type="dxa"/>
            <w:tcBorders>
              <w:top w:val="nil"/>
              <w:left w:val="nil"/>
              <w:bottom w:val="single" w:sz="8" w:space="0" w:color="auto"/>
              <w:right w:val="nil"/>
            </w:tcBorders>
            <w:shd w:val="clear" w:color="auto" w:fill="auto"/>
            <w:vAlign w:val="center"/>
          </w:tcPr>
          <w:p w14:paraId="6B614CFD"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0.2</w:t>
            </w:r>
          </w:p>
        </w:tc>
        <w:tc>
          <w:tcPr>
            <w:tcW w:w="1440" w:type="dxa"/>
            <w:tcBorders>
              <w:top w:val="nil"/>
              <w:left w:val="nil"/>
              <w:bottom w:val="single" w:sz="8" w:space="0" w:color="auto"/>
              <w:right w:val="nil"/>
            </w:tcBorders>
            <w:shd w:val="clear" w:color="auto" w:fill="auto"/>
            <w:vAlign w:val="center"/>
          </w:tcPr>
          <w:p w14:paraId="0ED381EB"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0.1958</w:t>
            </w:r>
          </w:p>
        </w:tc>
        <w:tc>
          <w:tcPr>
            <w:tcW w:w="2430" w:type="dxa"/>
            <w:tcBorders>
              <w:top w:val="nil"/>
              <w:left w:val="nil"/>
              <w:bottom w:val="single" w:sz="8" w:space="0" w:color="auto"/>
              <w:right w:val="nil"/>
            </w:tcBorders>
            <w:shd w:val="clear" w:color="auto" w:fill="auto"/>
            <w:vAlign w:val="center"/>
          </w:tcPr>
          <w:p w14:paraId="632BDF86"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0.0351</w:t>
            </w:r>
          </w:p>
        </w:tc>
        <w:tc>
          <w:tcPr>
            <w:tcW w:w="990" w:type="dxa"/>
            <w:tcBorders>
              <w:top w:val="nil"/>
              <w:left w:val="nil"/>
              <w:bottom w:val="single" w:sz="8" w:space="0" w:color="auto"/>
              <w:right w:val="nil"/>
            </w:tcBorders>
          </w:tcPr>
          <w:p w14:paraId="252AF8A4"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24</w:t>
            </w:r>
          </w:p>
        </w:tc>
      </w:tr>
      <w:tr w:rsidR="00994384" w:rsidRPr="008E790D" w14:paraId="2D2BFF3C" w14:textId="77777777" w:rsidTr="0009573B">
        <w:trPr>
          <w:trHeight w:val="315"/>
        </w:trPr>
        <w:tc>
          <w:tcPr>
            <w:tcW w:w="1350" w:type="dxa"/>
            <w:vMerge w:val="restart"/>
            <w:tcBorders>
              <w:top w:val="single" w:sz="4" w:space="0" w:color="auto"/>
              <w:left w:val="nil"/>
              <w:right w:val="nil"/>
            </w:tcBorders>
            <w:vAlign w:val="center"/>
          </w:tcPr>
          <w:p w14:paraId="7037AAE9"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Euclidian distance</w:t>
            </w:r>
            <w:r>
              <w:rPr>
                <w:rFonts w:ascii="Times New Roman" w:hAnsi="Times New Roman"/>
                <w:color w:val="000000"/>
                <w:vertAlign w:val="superscript"/>
              </w:rPr>
              <w:t xml:space="preserve"> b</w:t>
            </w:r>
            <w:r w:rsidRPr="008E790D">
              <w:rPr>
                <w:rFonts w:ascii="Times New Roman" w:eastAsia="Times New Roman" w:hAnsi="Times New Roman"/>
                <w:color w:val="000000"/>
              </w:rPr>
              <w:t xml:space="preserve"> </w:t>
            </w:r>
          </w:p>
        </w:tc>
        <w:tc>
          <w:tcPr>
            <w:tcW w:w="1620" w:type="dxa"/>
            <w:tcBorders>
              <w:top w:val="single" w:sz="8" w:space="0" w:color="auto"/>
              <w:left w:val="nil"/>
              <w:bottom w:val="nil"/>
              <w:right w:val="nil"/>
            </w:tcBorders>
            <w:shd w:val="clear" w:color="auto" w:fill="auto"/>
            <w:vAlign w:val="center"/>
          </w:tcPr>
          <w:p w14:paraId="22A49E76"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b/>
                <w:bCs/>
                <w:color w:val="000000"/>
              </w:rPr>
              <w:t>Neighbors</w:t>
            </w:r>
          </w:p>
        </w:tc>
        <w:tc>
          <w:tcPr>
            <w:tcW w:w="1440" w:type="dxa"/>
            <w:tcBorders>
              <w:top w:val="single" w:sz="8" w:space="0" w:color="auto"/>
              <w:left w:val="nil"/>
              <w:bottom w:val="nil"/>
              <w:right w:val="nil"/>
            </w:tcBorders>
            <w:shd w:val="clear" w:color="auto" w:fill="auto"/>
            <w:vAlign w:val="center"/>
          </w:tcPr>
          <w:p w14:paraId="205FEB69" w14:textId="77777777" w:rsidR="00994384" w:rsidRPr="008E790D" w:rsidRDefault="00994384" w:rsidP="0009573B">
            <w:pPr>
              <w:spacing w:line="480" w:lineRule="auto"/>
              <w:contextualSpacing/>
              <w:jc w:val="both"/>
              <w:rPr>
                <w:rFonts w:ascii="Times New Roman" w:eastAsia="Times New Roman" w:hAnsi="Times New Roman"/>
                <w:color w:val="000000"/>
              </w:rPr>
            </w:pPr>
          </w:p>
        </w:tc>
        <w:tc>
          <w:tcPr>
            <w:tcW w:w="1440" w:type="dxa"/>
            <w:tcBorders>
              <w:top w:val="single" w:sz="8" w:space="0" w:color="auto"/>
              <w:left w:val="nil"/>
              <w:bottom w:val="nil"/>
              <w:right w:val="nil"/>
            </w:tcBorders>
            <w:shd w:val="clear" w:color="auto" w:fill="auto"/>
            <w:vAlign w:val="center"/>
          </w:tcPr>
          <w:p w14:paraId="1AD6ED1E"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b/>
                <w:bCs/>
                <w:color w:val="000000"/>
              </w:rPr>
              <w:t>ATT</w:t>
            </w:r>
          </w:p>
        </w:tc>
        <w:tc>
          <w:tcPr>
            <w:tcW w:w="2430" w:type="dxa"/>
            <w:tcBorders>
              <w:top w:val="single" w:sz="8" w:space="0" w:color="auto"/>
              <w:left w:val="nil"/>
              <w:bottom w:val="nil"/>
              <w:right w:val="nil"/>
            </w:tcBorders>
            <w:shd w:val="clear" w:color="auto" w:fill="auto"/>
            <w:vAlign w:val="center"/>
          </w:tcPr>
          <w:p w14:paraId="425366CC"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b/>
                <w:bCs/>
                <w:color w:val="000000"/>
              </w:rPr>
              <w:t>SE</w:t>
            </w:r>
          </w:p>
        </w:tc>
        <w:tc>
          <w:tcPr>
            <w:tcW w:w="990" w:type="dxa"/>
            <w:tcBorders>
              <w:top w:val="single" w:sz="8" w:space="0" w:color="auto"/>
              <w:left w:val="nil"/>
              <w:bottom w:val="nil"/>
              <w:right w:val="nil"/>
            </w:tcBorders>
          </w:tcPr>
          <w:p w14:paraId="149B8437"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b/>
                <w:bCs/>
                <w:color w:val="000000"/>
              </w:rPr>
              <w:t xml:space="preserve">Model </w:t>
            </w:r>
          </w:p>
        </w:tc>
      </w:tr>
      <w:tr w:rsidR="00994384" w:rsidRPr="008E790D" w14:paraId="6EEF384A" w14:textId="77777777" w:rsidTr="0009573B">
        <w:trPr>
          <w:trHeight w:val="205"/>
        </w:trPr>
        <w:tc>
          <w:tcPr>
            <w:tcW w:w="1350" w:type="dxa"/>
            <w:vMerge/>
            <w:tcBorders>
              <w:left w:val="nil"/>
              <w:right w:val="nil"/>
            </w:tcBorders>
            <w:vAlign w:val="center"/>
          </w:tcPr>
          <w:p w14:paraId="0BEB5EB1" w14:textId="77777777" w:rsidR="00994384" w:rsidRPr="008E790D" w:rsidRDefault="00994384" w:rsidP="0009573B">
            <w:pPr>
              <w:spacing w:line="480" w:lineRule="auto"/>
              <w:contextualSpacing/>
              <w:jc w:val="both"/>
              <w:rPr>
                <w:rFonts w:ascii="Times New Roman" w:eastAsia="Times New Roman" w:hAnsi="Times New Roman"/>
                <w:b/>
                <w:bCs/>
                <w:color w:val="000000"/>
              </w:rPr>
            </w:pPr>
          </w:p>
        </w:tc>
        <w:tc>
          <w:tcPr>
            <w:tcW w:w="1620" w:type="dxa"/>
            <w:tcBorders>
              <w:top w:val="nil"/>
              <w:left w:val="nil"/>
              <w:bottom w:val="nil"/>
              <w:right w:val="nil"/>
            </w:tcBorders>
            <w:shd w:val="clear" w:color="auto" w:fill="auto"/>
            <w:vAlign w:val="center"/>
          </w:tcPr>
          <w:p w14:paraId="5F9C6120" w14:textId="77777777" w:rsidR="00994384" w:rsidRPr="008E790D" w:rsidRDefault="00994384" w:rsidP="0009573B">
            <w:pPr>
              <w:spacing w:line="480" w:lineRule="auto"/>
              <w:contextualSpacing/>
              <w:jc w:val="both"/>
              <w:rPr>
                <w:rFonts w:ascii="Times New Roman" w:eastAsia="Times New Roman" w:hAnsi="Times New Roman"/>
                <w:b/>
                <w:bCs/>
                <w:color w:val="000000"/>
              </w:rPr>
            </w:pPr>
            <w:r w:rsidRPr="008E790D">
              <w:rPr>
                <w:rFonts w:ascii="Times New Roman" w:eastAsia="Times New Roman" w:hAnsi="Times New Roman"/>
                <w:color w:val="000000"/>
              </w:rPr>
              <w:t>1</w:t>
            </w:r>
          </w:p>
        </w:tc>
        <w:tc>
          <w:tcPr>
            <w:tcW w:w="1440" w:type="dxa"/>
            <w:tcBorders>
              <w:top w:val="nil"/>
              <w:left w:val="nil"/>
              <w:bottom w:val="nil"/>
              <w:right w:val="nil"/>
            </w:tcBorders>
            <w:shd w:val="clear" w:color="auto" w:fill="auto"/>
            <w:vAlign w:val="center"/>
          </w:tcPr>
          <w:p w14:paraId="0D46E4A4" w14:textId="77777777" w:rsidR="00994384" w:rsidRPr="008E790D" w:rsidRDefault="00994384" w:rsidP="0009573B">
            <w:pPr>
              <w:spacing w:line="480" w:lineRule="auto"/>
              <w:contextualSpacing/>
              <w:jc w:val="both"/>
              <w:rPr>
                <w:rFonts w:ascii="Times New Roman" w:eastAsia="Times New Roman" w:hAnsi="Times New Roman"/>
                <w:b/>
                <w:bCs/>
                <w:color w:val="000000"/>
              </w:rPr>
            </w:pPr>
          </w:p>
        </w:tc>
        <w:tc>
          <w:tcPr>
            <w:tcW w:w="1440" w:type="dxa"/>
            <w:tcBorders>
              <w:top w:val="nil"/>
              <w:left w:val="nil"/>
              <w:bottom w:val="nil"/>
              <w:right w:val="nil"/>
            </w:tcBorders>
            <w:shd w:val="clear" w:color="auto" w:fill="auto"/>
            <w:vAlign w:val="center"/>
          </w:tcPr>
          <w:p w14:paraId="73BE1D26" w14:textId="77777777" w:rsidR="00994384" w:rsidRPr="008E790D" w:rsidRDefault="00994384" w:rsidP="0009573B">
            <w:pPr>
              <w:spacing w:line="480" w:lineRule="auto"/>
              <w:contextualSpacing/>
              <w:jc w:val="both"/>
              <w:rPr>
                <w:rFonts w:ascii="Times New Roman" w:eastAsia="Times New Roman" w:hAnsi="Times New Roman"/>
                <w:b/>
                <w:bCs/>
                <w:color w:val="000000"/>
              </w:rPr>
            </w:pPr>
            <w:r w:rsidRPr="008E790D">
              <w:rPr>
                <w:rFonts w:ascii="Times New Roman" w:eastAsia="Times New Roman" w:hAnsi="Times New Roman"/>
                <w:color w:val="000000"/>
              </w:rPr>
              <w:t>0.1396</w:t>
            </w:r>
          </w:p>
        </w:tc>
        <w:tc>
          <w:tcPr>
            <w:tcW w:w="2430" w:type="dxa"/>
            <w:tcBorders>
              <w:top w:val="nil"/>
              <w:left w:val="nil"/>
              <w:bottom w:val="nil"/>
              <w:right w:val="nil"/>
            </w:tcBorders>
            <w:shd w:val="clear" w:color="auto" w:fill="auto"/>
            <w:vAlign w:val="center"/>
          </w:tcPr>
          <w:p w14:paraId="5F713623" w14:textId="77777777" w:rsidR="00994384" w:rsidRPr="008E790D" w:rsidRDefault="00994384" w:rsidP="0009573B">
            <w:pPr>
              <w:spacing w:line="480" w:lineRule="auto"/>
              <w:contextualSpacing/>
              <w:jc w:val="both"/>
              <w:rPr>
                <w:rFonts w:ascii="Times New Roman" w:eastAsia="Times New Roman" w:hAnsi="Times New Roman"/>
                <w:b/>
                <w:bCs/>
                <w:color w:val="000000"/>
              </w:rPr>
            </w:pPr>
            <w:r w:rsidRPr="008E790D">
              <w:rPr>
                <w:rFonts w:ascii="Times New Roman" w:eastAsia="Times New Roman" w:hAnsi="Times New Roman"/>
                <w:color w:val="000000"/>
              </w:rPr>
              <w:t>0.0372</w:t>
            </w:r>
          </w:p>
        </w:tc>
        <w:tc>
          <w:tcPr>
            <w:tcW w:w="990" w:type="dxa"/>
            <w:tcBorders>
              <w:top w:val="nil"/>
              <w:left w:val="nil"/>
              <w:bottom w:val="nil"/>
              <w:right w:val="nil"/>
            </w:tcBorders>
          </w:tcPr>
          <w:p w14:paraId="1536B5F5" w14:textId="77777777" w:rsidR="00994384" w:rsidRPr="008E790D" w:rsidRDefault="00994384" w:rsidP="0009573B">
            <w:pPr>
              <w:spacing w:line="480" w:lineRule="auto"/>
              <w:contextualSpacing/>
              <w:jc w:val="both"/>
              <w:rPr>
                <w:rFonts w:ascii="Times New Roman" w:eastAsia="Times New Roman" w:hAnsi="Times New Roman"/>
                <w:b/>
                <w:bCs/>
                <w:color w:val="000000"/>
              </w:rPr>
            </w:pPr>
            <w:r w:rsidRPr="008E790D">
              <w:rPr>
                <w:rFonts w:ascii="Times New Roman" w:eastAsia="Times New Roman" w:hAnsi="Times New Roman"/>
                <w:color w:val="000000"/>
              </w:rPr>
              <w:t>25</w:t>
            </w:r>
          </w:p>
        </w:tc>
      </w:tr>
      <w:tr w:rsidR="00994384" w:rsidRPr="008E790D" w14:paraId="1E5E37FF" w14:textId="77777777" w:rsidTr="0009573B">
        <w:trPr>
          <w:trHeight w:val="300"/>
        </w:trPr>
        <w:tc>
          <w:tcPr>
            <w:tcW w:w="1350" w:type="dxa"/>
            <w:vMerge/>
            <w:tcBorders>
              <w:left w:val="nil"/>
              <w:right w:val="nil"/>
            </w:tcBorders>
            <w:vAlign w:val="center"/>
          </w:tcPr>
          <w:p w14:paraId="6A4F693D" w14:textId="77777777" w:rsidR="00994384" w:rsidRPr="008E790D" w:rsidRDefault="00994384" w:rsidP="0009573B">
            <w:pPr>
              <w:spacing w:line="480" w:lineRule="auto"/>
              <w:contextualSpacing/>
              <w:jc w:val="both"/>
              <w:rPr>
                <w:rFonts w:ascii="Times New Roman" w:eastAsia="Times New Roman" w:hAnsi="Times New Roman"/>
                <w:color w:val="000000"/>
              </w:rPr>
            </w:pPr>
          </w:p>
        </w:tc>
        <w:tc>
          <w:tcPr>
            <w:tcW w:w="1620" w:type="dxa"/>
            <w:tcBorders>
              <w:top w:val="nil"/>
              <w:left w:val="nil"/>
              <w:right w:val="nil"/>
            </w:tcBorders>
            <w:shd w:val="clear" w:color="auto" w:fill="auto"/>
            <w:vAlign w:val="center"/>
          </w:tcPr>
          <w:p w14:paraId="03853AD5"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2</w:t>
            </w:r>
          </w:p>
        </w:tc>
        <w:tc>
          <w:tcPr>
            <w:tcW w:w="1440" w:type="dxa"/>
            <w:tcBorders>
              <w:top w:val="nil"/>
              <w:left w:val="nil"/>
              <w:right w:val="nil"/>
            </w:tcBorders>
            <w:shd w:val="clear" w:color="auto" w:fill="auto"/>
            <w:vAlign w:val="center"/>
          </w:tcPr>
          <w:p w14:paraId="292E9F8C" w14:textId="77777777" w:rsidR="00994384" w:rsidRPr="008E790D" w:rsidRDefault="00994384" w:rsidP="0009573B">
            <w:pPr>
              <w:spacing w:line="480" w:lineRule="auto"/>
              <w:contextualSpacing/>
              <w:jc w:val="both"/>
              <w:rPr>
                <w:rFonts w:ascii="Times New Roman" w:eastAsia="Times New Roman" w:hAnsi="Times New Roman"/>
                <w:color w:val="000000"/>
              </w:rPr>
            </w:pPr>
          </w:p>
        </w:tc>
        <w:tc>
          <w:tcPr>
            <w:tcW w:w="1440" w:type="dxa"/>
            <w:tcBorders>
              <w:top w:val="nil"/>
              <w:left w:val="nil"/>
              <w:right w:val="nil"/>
            </w:tcBorders>
            <w:shd w:val="clear" w:color="auto" w:fill="auto"/>
            <w:vAlign w:val="center"/>
          </w:tcPr>
          <w:p w14:paraId="7CAB911A"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0.1647</w:t>
            </w:r>
          </w:p>
        </w:tc>
        <w:tc>
          <w:tcPr>
            <w:tcW w:w="2430" w:type="dxa"/>
            <w:tcBorders>
              <w:top w:val="nil"/>
              <w:left w:val="nil"/>
              <w:right w:val="nil"/>
            </w:tcBorders>
            <w:shd w:val="clear" w:color="auto" w:fill="auto"/>
            <w:vAlign w:val="center"/>
          </w:tcPr>
          <w:p w14:paraId="5CEA8B14"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0.0328</w:t>
            </w:r>
          </w:p>
        </w:tc>
        <w:tc>
          <w:tcPr>
            <w:tcW w:w="990" w:type="dxa"/>
            <w:tcBorders>
              <w:top w:val="nil"/>
              <w:left w:val="nil"/>
              <w:right w:val="nil"/>
            </w:tcBorders>
          </w:tcPr>
          <w:p w14:paraId="2CE66931"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26</w:t>
            </w:r>
          </w:p>
        </w:tc>
      </w:tr>
      <w:tr w:rsidR="00994384" w:rsidRPr="008E790D" w14:paraId="0FF15968" w14:textId="77777777" w:rsidTr="0009573B">
        <w:trPr>
          <w:trHeight w:val="300"/>
        </w:trPr>
        <w:tc>
          <w:tcPr>
            <w:tcW w:w="1350" w:type="dxa"/>
            <w:vMerge/>
            <w:tcBorders>
              <w:left w:val="nil"/>
              <w:right w:val="nil"/>
            </w:tcBorders>
            <w:vAlign w:val="center"/>
          </w:tcPr>
          <w:p w14:paraId="1F96F826" w14:textId="77777777" w:rsidR="00994384" w:rsidRPr="008E790D" w:rsidRDefault="00994384" w:rsidP="0009573B">
            <w:pPr>
              <w:spacing w:line="480" w:lineRule="auto"/>
              <w:contextualSpacing/>
              <w:jc w:val="both"/>
              <w:rPr>
                <w:rFonts w:ascii="Times New Roman" w:eastAsia="Times New Roman" w:hAnsi="Times New Roman"/>
                <w:color w:val="000000"/>
              </w:rPr>
            </w:pPr>
          </w:p>
        </w:tc>
        <w:tc>
          <w:tcPr>
            <w:tcW w:w="1620" w:type="dxa"/>
            <w:tcBorders>
              <w:top w:val="nil"/>
              <w:left w:val="nil"/>
              <w:right w:val="nil"/>
            </w:tcBorders>
            <w:shd w:val="clear" w:color="auto" w:fill="auto"/>
            <w:vAlign w:val="center"/>
          </w:tcPr>
          <w:p w14:paraId="7DBA7A5B"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3</w:t>
            </w:r>
          </w:p>
        </w:tc>
        <w:tc>
          <w:tcPr>
            <w:tcW w:w="1440" w:type="dxa"/>
            <w:tcBorders>
              <w:top w:val="nil"/>
              <w:left w:val="nil"/>
              <w:right w:val="nil"/>
            </w:tcBorders>
            <w:shd w:val="clear" w:color="auto" w:fill="auto"/>
            <w:vAlign w:val="center"/>
          </w:tcPr>
          <w:p w14:paraId="75F4E9DE" w14:textId="77777777" w:rsidR="00994384" w:rsidRPr="008E790D" w:rsidRDefault="00994384" w:rsidP="0009573B">
            <w:pPr>
              <w:spacing w:line="480" w:lineRule="auto"/>
              <w:contextualSpacing/>
              <w:jc w:val="both"/>
              <w:rPr>
                <w:rFonts w:ascii="Times New Roman" w:eastAsia="Times New Roman" w:hAnsi="Times New Roman"/>
                <w:color w:val="000000"/>
              </w:rPr>
            </w:pPr>
          </w:p>
        </w:tc>
        <w:tc>
          <w:tcPr>
            <w:tcW w:w="1440" w:type="dxa"/>
            <w:tcBorders>
              <w:top w:val="nil"/>
              <w:left w:val="nil"/>
              <w:right w:val="nil"/>
            </w:tcBorders>
            <w:shd w:val="clear" w:color="auto" w:fill="auto"/>
            <w:vAlign w:val="center"/>
          </w:tcPr>
          <w:p w14:paraId="4FBCF0BE"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0.1491</w:t>
            </w:r>
          </w:p>
        </w:tc>
        <w:tc>
          <w:tcPr>
            <w:tcW w:w="2430" w:type="dxa"/>
            <w:tcBorders>
              <w:top w:val="nil"/>
              <w:left w:val="nil"/>
              <w:right w:val="nil"/>
            </w:tcBorders>
            <w:shd w:val="clear" w:color="auto" w:fill="auto"/>
            <w:vAlign w:val="center"/>
          </w:tcPr>
          <w:p w14:paraId="1E6C960C"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0.0345</w:t>
            </w:r>
          </w:p>
        </w:tc>
        <w:tc>
          <w:tcPr>
            <w:tcW w:w="990" w:type="dxa"/>
            <w:tcBorders>
              <w:top w:val="nil"/>
              <w:left w:val="nil"/>
              <w:right w:val="nil"/>
            </w:tcBorders>
          </w:tcPr>
          <w:p w14:paraId="46C508D9"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27</w:t>
            </w:r>
          </w:p>
        </w:tc>
      </w:tr>
      <w:tr w:rsidR="00994384" w:rsidRPr="008E790D" w14:paraId="4CD8EC4A" w14:textId="77777777" w:rsidTr="0009573B">
        <w:trPr>
          <w:trHeight w:val="315"/>
        </w:trPr>
        <w:tc>
          <w:tcPr>
            <w:tcW w:w="1350" w:type="dxa"/>
            <w:vMerge/>
            <w:tcBorders>
              <w:left w:val="nil"/>
              <w:right w:val="nil"/>
            </w:tcBorders>
            <w:vAlign w:val="center"/>
          </w:tcPr>
          <w:p w14:paraId="38FFA5D3" w14:textId="77777777" w:rsidR="00994384" w:rsidRPr="008E790D" w:rsidRDefault="00994384" w:rsidP="0009573B">
            <w:pPr>
              <w:spacing w:line="480" w:lineRule="auto"/>
              <w:contextualSpacing/>
              <w:jc w:val="both"/>
              <w:rPr>
                <w:rFonts w:ascii="Times New Roman" w:eastAsia="Times New Roman" w:hAnsi="Times New Roman"/>
                <w:color w:val="000000"/>
              </w:rPr>
            </w:pPr>
          </w:p>
        </w:tc>
        <w:tc>
          <w:tcPr>
            <w:tcW w:w="1620" w:type="dxa"/>
            <w:tcBorders>
              <w:top w:val="nil"/>
              <w:left w:val="nil"/>
              <w:right w:val="nil"/>
            </w:tcBorders>
            <w:shd w:val="clear" w:color="auto" w:fill="auto"/>
            <w:vAlign w:val="center"/>
          </w:tcPr>
          <w:p w14:paraId="42896E96"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4</w:t>
            </w:r>
          </w:p>
        </w:tc>
        <w:tc>
          <w:tcPr>
            <w:tcW w:w="1440" w:type="dxa"/>
            <w:tcBorders>
              <w:top w:val="nil"/>
              <w:left w:val="nil"/>
              <w:right w:val="nil"/>
            </w:tcBorders>
            <w:shd w:val="clear" w:color="auto" w:fill="auto"/>
            <w:vAlign w:val="center"/>
          </w:tcPr>
          <w:p w14:paraId="2D644FA7" w14:textId="77777777" w:rsidR="00994384" w:rsidRPr="008E790D" w:rsidRDefault="00994384" w:rsidP="0009573B">
            <w:pPr>
              <w:spacing w:line="480" w:lineRule="auto"/>
              <w:contextualSpacing/>
              <w:jc w:val="both"/>
              <w:rPr>
                <w:rFonts w:ascii="Times New Roman" w:eastAsia="Times New Roman" w:hAnsi="Times New Roman"/>
                <w:color w:val="000000"/>
              </w:rPr>
            </w:pPr>
          </w:p>
        </w:tc>
        <w:tc>
          <w:tcPr>
            <w:tcW w:w="1440" w:type="dxa"/>
            <w:tcBorders>
              <w:top w:val="nil"/>
              <w:left w:val="nil"/>
              <w:right w:val="nil"/>
            </w:tcBorders>
            <w:shd w:val="clear" w:color="auto" w:fill="auto"/>
            <w:vAlign w:val="center"/>
          </w:tcPr>
          <w:p w14:paraId="7C50875E"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0.1466</w:t>
            </w:r>
          </w:p>
        </w:tc>
        <w:tc>
          <w:tcPr>
            <w:tcW w:w="2430" w:type="dxa"/>
            <w:tcBorders>
              <w:top w:val="nil"/>
              <w:left w:val="nil"/>
              <w:right w:val="nil"/>
            </w:tcBorders>
            <w:shd w:val="clear" w:color="auto" w:fill="auto"/>
            <w:vAlign w:val="center"/>
          </w:tcPr>
          <w:p w14:paraId="386608DA"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0.0333</w:t>
            </w:r>
          </w:p>
        </w:tc>
        <w:tc>
          <w:tcPr>
            <w:tcW w:w="990" w:type="dxa"/>
            <w:tcBorders>
              <w:top w:val="nil"/>
              <w:left w:val="nil"/>
              <w:right w:val="nil"/>
            </w:tcBorders>
          </w:tcPr>
          <w:p w14:paraId="3D6E55A8"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28</w:t>
            </w:r>
          </w:p>
        </w:tc>
      </w:tr>
      <w:tr w:rsidR="00994384" w:rsidRPr="008E790D" w14:paraId="0A68BE09" w14:textId="77777777" w:rsidTr="0009573B">
        <w:trPr>
          <w:trHeight w:val="315"/>
        </w:trPr>
        <w:tc>
          <w:tcPr>
            <w:tcW w:w="1350" w:type="dxa"/>
            <w:vMerge/>
            <w:tcBorders>
              <w:left w:val="nil"/>
              <w:right w:val="nil"/>
            </w:tcBorders>
            <w:vAlign w:val="center"/>
          </w:tcPr>
          <w:p w14:paraId="38EDC00E" w14:textId="77777777" w:rsidR="00994384" w:rsidRPr="008E790D" w:rsidRDefault="00994384" w:rsidP="0009573B">
            <w:pPr>
              <w:spacing w:line="480" w:lineRule="auto"/>
              <w:contextualSpacing/>
              <w:jc w:val="both"/>
              <w:rPr>
                <w:rFonts w:ascii="Times New Roman" w:eastAsia="Times New Roman" w:hAnsi="Times New Roman"/>
                <w:color w:val="000000"/>
              </w:rPr>
            </w:pPr>
          </w:p>
        </w:tc>
        <w:tc>
          <w:tcPr>
            <w:tcW w:w="1620" w:type="dxa"/>
            <w:tcBorders>
              <w:top w:val="nil"/>
              <w:left w:val="nil"/>
              <w:right w:val="nil"/>
            </w:tcBorders>
            <w:shd w:val="clear" w:color="auto" w:fill="auto"/>
            <w:vAlign w:val="center"/>
          </w:tcPr>
          <w:p w14:paraId="13EDA584"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5</w:t>
            </w:r>
          </w:p>
        </w:tc>
        <w:tc>
          <w:tcPr>
            <w:tcW w:w="1440" w:type="dxa"/>
            <w:tcBorders>
              <w:top w:val="nil"/>
              <w:left w:val="nil"/>
              <w:right w:val="nil"/>
            </w:tcBorders>
            <w:shd w:val="clear" w:color="auto" w:fill="auto"/>
            <w:vAlign w:val="center"/>
          </w:tcPr>
          <w:p w14:paraId="1EF376EC" w14:textId="77777777" w:rsidR="00994384" w:rsidRPr="008E790D" w:rsidRDefault="00994384" w:rsidP="0009573B">
            <w:pPr>
              <w:spacing w:line="480" w:lineRule="auto"/>
              <w:contextualSpacing/>
              <w:jc w:val="both"/>
              <w:rPr>
                <w:rFonts w:ascii="Times New Roman" w:eastAsia="Times New Roman" w:hAnsi="Times New Roman"/>
                <w:color w:val="000000"/>
              </w:rPr>
            </w:pPr>
          </w:p>
        </w:tc>
        <w:tc>
          <w:tcPr>
            <w:tcW w:w="1440" w:type="dxa"/>
            <w:tcBorders>
              <w:top w:val="nil"/>
              <w:left w:val="nil"/>
              <w:right w:val="nil"/>
            </w:tcBorders>
            <w:shd w:val="clear" w:color="auto" w:fill="auto"/>
            <w:vAlign w:val="center"/>
          </w:tcPr>
          <w:p w14:paraId="7D25F786"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0.1475</w:t>
            </w:r>
          </w:p>
        </w:tc>
        <w:tc>
          <w:tcPr>
            <w:tcW w:w="2430" w:type="dxa"/>
            <w:tcBorders>
              <w:top w:val="nil"/>
              <w:left w:val="nil"/>
              <w:right w:val="nil"/>
            </w:tcBorders>
            <w:shd w:val="clear" w:color="auto" w:fill="auto"/>
            <w:vAlign w:val="center"/>
          </w:tcPr>
          <w:p w14:paraId="3495CDEF"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0.0332</w:t>
            </w:r>
          </w:p>
        </w:tc>
        <w:tc>
          <w:tcPr>
            <w:tcW w:w="990" w:type="dxa"/>
            <w:tcBorders>
              <w:top w:val="nil"/>
              <w:left w:val="nil"/>
              <w:right w:val="nil"/>
            </w:tcBorders>
          </w:tcPr>
          <w:p w14:paraId="720A2635"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29</w:t>
            </w:r>
          </w:p>
        </w:tc>
      </w:tr>
      <w:tr w:rsidR="00994384" w:rsidRPr="008E790D" w14:paraId="7A34D633" w14:textId="77777777" w:rsidTr="0009573B">
        <w:trPr>
          <w:trHeight w:val="315"/>
        </w:trPr>
        <w:tc>
          <w:tcPr>
            <w:tcW w:w="1350" w:type="dxa"/>
            <w:vMerge/>
            <w:tcBorders>
              <w:left w:val="nil"/>
              <w:right w:val="nil"/>
            </w:tcBorders>
            <w:vAlign w:val="center"/>
          </w:tcPr>
          <w:p w14:paraId="6F4F1FA1" w14:textId="77777777" w:rsidR="00994384" w:rsidRPr="008E790D" w:rsidRDefault="00994384" w:rsidP="0009573B">
            <w:pPr>
              <w:spacing w:line="480" w:lineRule="auto"/>
              <w:contextualSpacing/>
              <w:jc w:val="both"/>
              <w:rPr>
                <w:rFonts w:ascii="Times New Roman" w:eastAsia="Times New Roman" w:hAnsi="Times New Roman"/>
                <w:color w:val="000000"/>
              </w:rPr>
            </w:pPr>
          </w:p>
        </w:tc>
        <w:tc>
          <w:tcPr>
            <w:tcW w:w="1620" w:type="dxa"/>
            <w:tcBorders>
              <w:top w:val="nil"/>
              <w:left w:val="nil"/>
              <w:right w:val="nil"/>
            </w:tcBorders>
            <w:shd w:val="clear" w:color="auto" w:fill="auto"/>
            <w:vAlign w:val="center"/>
          </w:tcPr>
          <w:p w14:paraId="497D64D0"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6</w:t>
            </w:r>
          </w:p>
        </w:tc>
        <w:tc>
          <w:tcPr>
            <w:tcW w:w="1440" w:type="dxa"/>
            <w:tcBorders>
              <w:top w:val="nil"/>
              <w:left w:val="nil"/>
              <w:right w:val="nil"/>
            </w:tcBorders>
            <w:shd w:val="clear" w:color="auto" w:fill="auto"/>
            <w:vAlign w:val="center"/>
          </w:tcPr>
          <w:p w14:paraId="6A916D2E" w14:textId="77777777" w:rsidR="00994384" w:rsidRPr="008E790D" w:rsidRDefault="00994384" w:rsidP="0009573B">
            <w:pPr>
              <w:spacing w:line="480" w:lineRule="auto"/>
              <w:contextualSpacing/>
              <w:jc w:val="both"/>
              <w:rPr>
                <w:rFonts w:ascii="Times New Roman" w:eastAsia="Times New Roman" w:hAnsi="Times New Roman"/>
                <w:color w:val="000000"/>
              </w:rPr>
            </w:pPr>
          </w:p>
        </w:tc>
        <w:tc>
          <w:tcPr>
            <w:tcW w:w="1440" w:type="dxa"/>
            <w:tcBorders>
              <w:top w:val="nil"/>
              <w:left w:val="nil"/>
              <w:right w:val="nil"/>
            </w:tcBorders>
            <w:shd w:val="clear" w:color="auto" w:fill="auto"/>
            <w:vAlign w:val="center"/>
          </w:tcPr>
          <w:p w14:paraId="681673F2"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0.1516</w:t>
            </w:r>
          </w:p>
        </w:tc>
        <w:tc>
          <w:tcPr>
            <w:tcW w:w="2430" w:type="dxa"/>
            <w:tcBorders>
              <w:top w:val="nil"/>
              <w:left w:val="nil"/>
              <w:right w:val="nil"/>
            </w:tcBorders>
            <w:shd w:val="clear" w:color="auto" w:fill="auto"/>
            <w:vAlign w:val="center"/>
          </w:tcPr>
          <w:p w14:paraId="406AFCE1"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0.0330</w:t>
            </w:r>
          </w:p>
        </w:tc>
        <w:tc>
          <w:tcPr>
            <w:tcW w:w="990" w:type="dxa"/>
            <w:tcBorders>
              <w:top w:val="nil"/>
              <w:left w:val="nil"/>
              <w:right w:val="nil"/>
            </w:tcBorders>
          </w:tcPr>
          <w:p w14:paraId="63742824"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30</w:t>
            </w:r>
          </w:p>
        </w:tc>
      </w:tr>
      <w:tr w:rsidR="00994384" w:rsidRPr="008E790D" w14:paraId="237155D0" w14:textId="77777777" w:rsidTr="00994384">
        <w:trPr>
          <w:trHeight w:val="315"/>
        </w:trPr>
        <w:tc>
          <w:tcPr>
            <w:tcW w:w="1350" w:type="dxa"/>
            <w:vMerge/>
            <w:tcBorders>
              <w:left w:val="nil"/>
              <w:bottom w:val="single" w:sz="12" w:space="0" w:color="auto"/>
              <w:right w:val="nil"/>
            </w:tcBorders>
            <w:vAlign w:val="center"/>
          </w:tcPr>
          <w:p w14:paraId="580A5CA9" w14:textId="77777777" w:rsidR="00994384" w:rsidRPr="008E790D" w:rsidRDefault="00994384" w:rsidP="0009573B">
            <w:pPr>
              <w:spacing w:line="480" w:lineRule="auto"/>
              <w:contextualSpacing/>
              <w:jc w:val="both"/>
              <w:rPr>
                <w:rFonts w:ascii="Times New Roman" w:eastAsia="Times New Roman" w:hAnsi="Times New Roman"/>
                <w:color w:val="000000"/>
              </w:rPr>
            </w:pPr>
          </w:p>
        </w:tc>
        <w:tc>
          <w:tcPr>
            <w:tcW w:w="1620" w:type="dxa"/>
            <w:tcBorders>
              <w:left w:val="nil"/>
              <w:bottom w:val="single" w:sz="12" w:space="0" w:color="auto"/>
              <w:right w:val="nil"/>
            </w:tcBorders>
            <w:shd w:val="clear" w:color="auto" w:fill="auto"/>
            <w:vAlign w:val="center"/>
          </w:tcPr>
          <w:p w14:paraId="20919C3C"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7</w:t>
            </w:r>
          </w:p>
        </w:tc>
        <w:tc>
          <w:tcPr>
            <w:tcW w:w="1440" w:type="dxa"/>
            <w:tcBorders>
              <w:left w:val="nil"/>
              <w:bottom w:val="single" w:sz="12" w:space="0" w:color="auto"/>
              <w:right w:val="nil"/>
            </w:tcBorders>
            <w:shd w:val="clear" w:color="auto" w:fill="auto"/>
            <w:vAlign w:val="center"/>
          </w:tcPr>
          <w:p w14:paraId="0D235F4D"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 </w:t>
            </w:r>
          </w:p>
        </w:tc>
        <w:tc>
          <w:tcPr>
            <w:tcW w:w="1440" w:type="dxa"/>
            <w:tcBorders>
              <w:left w:val="nil"/>
              <w:bottom w:val="single" w:sz="12" w:space="0" w:color="auto"/>
              <w:right w:val="nil"/>
            </w:tcBorders>
            <w:shd w:val="clear" w:color="auto" w:fill="auto"/>
            <w:vAlign w:val="center"/>
          </w:tcPr>
          <w:p w14:paraId="210BB49D"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0.1419</w:t>
            </w:r>
          </w:p>
        </w:tc>
        <w:tc>
          <w:tcPr>
            <w:tcW w:w="2430" w:type="dxa"/>
            <w:tcBorders>
              <w:left w:val="nil"/>
              <w:bottom w:val="single" w:sz="12" w:space="0" w:color="auto"/>
              <w:right w:val="nil"/>
            </w:tcBorders>
            <w:shd w:val="clear" w:color="auto" w:fill="auto"/>
            <w:vAlign w:val="center"/>
          </w:tcPr>
          <w:p w14:paraId="591CA1E2"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0.0334</w:t>
            </w:r>
          </w:p>
        </w:tc>
        <w:tc>
          <w:tcPr>
            <w:tcW w:w="990" w:type="dxa"/>
            <w:tcBorders>
              <w:left w:val="nil"/>
              <w:bottom w:val="single" w:sz="12" w:space="0" w:color="auto"/>
              <w:right w:val="nil"/>
            </w:tcBorders>
          </w:tcPr>
          <w:p w14:paraId="3A7B3371"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31</w:t>
            </w:r>
          </w:p>
        </w:tc>
      </w:tr>
    </w:tbl>
    <w:p w14:paraId="4DF5C548" w14:textId="77777777" w:rsidR="00994384" w:rsidRPr="008E790D" w:rsidRDefault="00994384" w:rsidP="00994384">
      <w:pPr>
        <w:spacing w:line="480" w:lineRule="auto"/>
        <w:contextualSpacing/>
        <w:jc w:val="both"/>
        <w:rPr>
          <w:rFonts w:ascii="Times New Roman" w:hAnsi="Times New Roman"/>
          <w:b/>
        </w:rPr>
      </w:pPr>
      <w:r>
        <w:rPr>
          <w:rFonts w:ascii="Times New Roman" w:hAnsi="Times New Roman"/>
          <w:color w:val="000000"/>
          <w:vertAlign w:val="superscript"/>
        </w:rPr>
        <w:t>a</w:t>
      </w:r>
      <w:r w:rsidRPr="008E790D">
        <w:rPr>
          <w:rFonts w:ascii="Times New Roman" w:hAnsi="Times New Roman"/>
          <w:color w:val="000000"/>
        </w:rPr>
        <w:t>This specification does not include 2012 cover crop acreage as a covariate in the propensity-score equation</w:t>
      </w:r>
    </w:p>
    <w:p w14:paraId="689E4840" w14:textId="77777777" w:rsidR="00994384" w:rsidRPr="008E790D" w:rsidRDefault="00994384" w:rsidP="00994384">
      <w:pPr>
        <w:spacing w:line="480" w:lineRule="auto"/>
        <w:contextualSpacing/>
        <w:jc w:val="both"/>
        <w:rPr>
          <w:rFonts w:ascii="Times New Roman" w:hAnsi="Times New Roman"/>
        </w:rPr>
      </w:pPr>
      <w:r>
        <w:rPr>
          <w:rFonts w:ascii="Times New Roman" w:hAnsi="Times New Roman"/>
          <w:color w:val="000000"/>
          <w:vertAlign w:val="superscript"/>
        </w:rPr>
        <w:t>b</w:t>
      </w:r>
      <w:r w:rsidRPr="008E790D">
        <w:rPr>
          <w:rFonts w:ascii="Times New Roman" w:hAnsi="Times New Roman"/>
        </w:rPr>
        <w:t>Includes bias adjustment and exact matching on livestock</w:t>
      </w:r>
    </w:p>
    <w:p w14:paraId="1B46AB13" w14:textId="77777777" w:rsidR="00994384" w:rsidRPr="008E790D" w:rsidRDefault="00994384" w:rsidP="00321F8F">
      <w:pPr>
        <w:spacing w:line="480" w:lineRule="auto"/>
        <w:ind w:firstLine="720"/>
        <w:contextualSpacing/>
        <w:jc w:val="both"/>
        <w:rPr>
          <w:rFonts w:ascii="Times New Roman" w:hAnsi="Times New Roman"/>
        </w:rPr>
      </w:pPr>
    </w:p>
    <w:p w14:paraId="011DB9FE" w14:textId="77777777" w:rsidR="00321F8F" w:rsidRPr="00321F8F" w:rsidRDefault="00321F8F" w:rsidP="00321F8F">
      <w:pPr>
        <w:suppressAutoHyphens/>
        <w:spacing w:line="480" w:lineRule="auto"/>
        <w:contextualSpacing/>
        <w:jc w:val="both"/>
        <w:rPr>
          <w:rFonts w:ascii="Times New Roman" w:hAnsi="Times New Roman"/>
          <w:sz w:val="24"/>
        </w:rPr>
      </w:pPr>
    </w:p>
    <w:p w14:paraId="6C7500B0" w14:textId="77777777" w:rsidR="007006FB" w:rsidRPr="000F5AEA" w:rsidRDefault="007006FB" w:rsidP="007006FB">
      <w:pPr>
        <w:jc w:val="center"/>
        <w:rPr>
          <w:rFonts w:ascii="Times New Roman" w:hAnsi="Times New Roman" w:cs="Times New Roman"/>
          <w:b/>
          <w:sz w:val="24"/>
          <w:szCs w:val="24"/>
        </w:rPr>
      </w:pPr>
      <w:r w:rsidRPr="000F5AEA">
        <w:rPr>
          <w:rFonts w:ascii="Times New Roman" w:hAnsi="Times New Roman" w:cs="Times New Roman"/>
          <w:b/>
          <w:sz w:val="24"/>
          <w:szCs w:val="24"/>
        </w:rPr>
        <w:t>Appendix IV. Rosenbaum Sensitivity Analysis</w:t>
      </w:r>
    </w:p>
    <w:p w14:paraId="5FA861B6" w14:textId="77777777" w:rsidR="009148B4" w:rsidRPr="000F5AEA" w:rsidRDefault="009148B4" w:rsidP="009148B4">
      <w:pPr>
        <w:suppressAutoHyphens/>
        <w:spacing w:line="480" w:lineRule="auto"/>
        <w:contextualSpacing/>
        <w:rPr>
          <w:rFonts w:ascii="Times New Roman" w:hAnsi="Times New Roman" w:cs="Times New Roman"/>
          <w:sz w:val="24"/>
          <w:szCs w:val="24"/>
        </w:rPr>
      </w:pPr>
    </w:p>
    <w:p w14:paraId="59B97F92" w14:textId="147EF6A2" w:rsidR="009148B4" w:rsidRPr="000F5AEA" w:rsidRDefault="000F5AEA" w:rsidP="009148B4">
      <w:pPr>
        <w:suppressAutoHyphens/>
        <w:spacing w:line="480" w:lineRule="auto"/>
        <w:contextualSpacing/>
        <w:rPr>
          <w:rFonts w:ascii="Times New Roman" w:hAnsi="Times New Roman" w:cs="Times New Roman"/>
          <w:sz w:val="24"/>
          <w:szCs w:val="24"/>
        </w:rPr>
      </w:pPr>
      <w:r w:rsidRPr="000F5AEA">
        <w:rPr>
          <w:rFonts w:ascii="Times New Roman" w:hAnsi="Times New Roman" w:cs="Times New Roman"/>
          <w:sz w:val="24"/>
          <w:szCs w:val="24"/>
        </w:rPr>
        <w:t>We</w:t>
      </w:r>
      <w:r w:rsidR="007006FB" w:rsidRPr="000F5AEA">
        <w:rPr>
          <w:rFonts w:ascii="Times New Roman" w:hAnsi="Times New Roman" w:cs="Times New Roman"/>
          <w:sz w:val="24"/>
          <w:szCs w:val="24"/>
        </w:rPr>
        <w:t xml:space="preserve"> evaluate</w:t>
      </w:r>
      <w:r w:rsidR="00166045">
        <w:rPr>
          <w:rFonts w:ascii="Times New Roman" w:hAnsi="Times New Roman" w:cs="Times New Roman"/>
          <w:sz w:val="24"/>
          <w:szCs w:val="24"/>
        </w:rPr>
        <w:t>d</w:t>
      </w:r>
      <w:r w:rsidR="007006FB" w:rsidRPr="000F5AEA">
        <w:rPr>
          <w:rFonts w:ascii="Times New Roman" w:hAnsi="Times New Roman" w:cs="Times New Roman"/>
          <w:sz w:val="24"/>
          <w:szCs w:val="24"/>
        </w:rPr>
        <w:t xml:space="preserve"> how prone our results are to hidden bias by constructing Rosenbaum bounds, following Diprete and Gangl (2004). The Rosenbaum-bounds method determines whether the estimated ATT would remain significant under the existence of an unobserved factor causing a difference in the odds of cost-share program participation status. Two matched observations with </w:t>
      </w:r>
      <w:r w:rsidR="007006FB" w:rsidRPr="000F5AEA">
        <w:rPr>
          <w:rFonts w:ascii="Times New Roman" w:hAnsi="Times New Roman" w:cs="Times New Roman"/>
          <w:sz w:val="24"/>
          <w:szCs w:val="24"/>
        </w:rPr>
        <w:lastRenderedPageBreak/>
        <w:t xml:space="preserve">identical observable characteristics but different unobservable characteristics that drive treatment assignment would differ in terms of probability of being treated, presenting a violation of the unconfoundedness assumption. In this study, we </w:t>
      </w:r>
      <w:r w:rsidR="00166045">
        <w:rPr>
          <w:rFonts w:ascii="Times New Roman" w:hAnsi="Times New Roman" w:cs="Times New Roman"/>
          <w:sz w:val="24"/>
          <w:szCs w:val="24"/>
        </w:rPr>
        <w:t>were</w:t>
      </w:r>
      <w:r w:rsidR="007006FB" w:rsidRPr="000F5AEA">
        <w:rPr>
          <w:rFonts w:ascii="Times New Roman" w:hAnsi="Times New Roman" w:cs="Times New Roman"/>
          <w:sz w:val="24"/>
          <w:szCs w:val="24"/>
        </w:rPr>
        <w:t xml:space="preserve"> most concerned about positive hidden bias, i.e. unobservable factors associated with higher cover-crop use that increase the likelihood of receiving cost-share and result in an upwardly biased ATT estimate</w:t>
      </w:r>
      <w:r w:rsidR="009148B4" w:rsidRPr="000F5AEA">
        <w:rPr>
          <w:rFonts w:ascii="Times New Roman" w:hAnsi="Times New Roman" w:cs="Times New Roman"/>
          <w:sz w:val="24"/>
          <w:szCs w:val="24"/>
        </w:rPr>
        <w:t>.</w:t>
      </w:r>
    </w:p>
    <w:p w14:paraId="3C5FF8EE" w14:textId="77777777" w:rsidR="009148B4" w:rsidRPr="000F5AEA" w:rsidRDefault="009148B4" w:rsidP="009148B4">
      <w:pPr>
        <w:suppressAutoHyphens/>
        <w:spacing w:line="480" w:lineRule="auto"/>
        <w:contextualSpacing/>
        <w:rPr>
          <w:rFonts w:ascii="Times New Roman" w:hAnsi="Times New Roman"/>
          <w:sz w:val="24"/>
          <w:szCs w:val="24"/>
        </w:rPr>
      </w:pPr>
    </w:p>
    <w:p w14:paraId="48DD83B9" w14:textId="13E8ECC4" w:rsidR="007006FB" w:rsidRPr="000F5AEA" w:rsidRDefault="009148B4" w:rsidP="009148B4">
      <w:pPr>
        <w:suppressAutoHyphens/>
        <w:spacing w:line="480" w:lineRule="auto"/>
        <w:contextualSpacing/>
        <w:rPr>
          <w:rFonts w:ascii="Times New Roman" w:hAnsi="Times New Roman" w:cs="Times New Roman"/>
          <w:sz w:val="24"/>
          <w:szCs w:val="24"/>
        </w:rPr>
      </w:pPr>
      <w:r w:rsidRPr="000F5AEA">
        <w:rPr>
          <w:rFonts w:ascii="Times New Roman" w:hAnsi="Times New Roman"/>
          <w:sz w:val="24"/>
          <w:szCs w:val="24"/>
        </w:rPr>
        <w:t>T</w:t>
      </w:r>
      <w:r w:rsidR="007006FB" w:rsidRPr="000F5AEA">
        <w:rPr>
          <w:rFonts w:ascii="Times New Roman" w:hAnsi="Times New Roman"/>
          <w:sz w:val="24"/>
          <w:szCs w:val="24"/>
        </w:rPr>
        <w:t>o implement the Rosenbaum-bounds procedure, we artificially introduce</w:t>
      </w:r>
      <w:r w:rsidR="00166045">
        <w:rPr>
          <w:rFonts w:ascii="Times New Roman" w:hAnsi="Times New Roman"/>
          <w:sz w:val="24"/>
          <w:szCs w:val="24"/>
        </w:rPr>
        <w:t>d</w:t>
      </w:r>
      <w:r w:rsidR="007006FB" w:rsidRPr="000F5AEA">
        <w:rPr>
          <w:rFonts w:ascii="Times New Roman" w:hAnsi="Times New Roman"/>
          <w:sz w:val="24"/>
          <w:szCs w:val="24"/>
        </w:rPr>
        <w:t xml:space="preserve"> an unobserved factor that causes a difference in treatment assignment, denoted </w:t>
      </w:r>
      <m:oMath>
        <m:r>
          <m:rPr>
            <m:sty m:val="p"/>
          </m:rPr>
          <w:rPr>
            <w:rFonts w:ascii="Cambria Math" w:hAnsi="Cambria Math"/>
            <w:sz w:val="24"/>
            <w:szCs w:val="24"/>
          </w:rPr>
          <m:t>Γ</m:t>
        </m:r>
      </m:oMath>
      <w:r w:rsidR="007006FB" w:rsidRPr="000F5AEA">
        <w:rPr>
          <w:rFonts w:ascii="Times New Roman" w:hAnsi="Times New Roman"/>
          <w:sz w:val="24"/>
          <w:szCs w:val="24"/>
        </w:rPr>
        <w:t>. Rosenbaum (2002) show</w:t>
      </w:r>
      <w:r w:rsidR="00166045">
        <w:rPr>
          <w:rFonts w:ascii="Times New Roman" w:hAnsi="Times New Roman"/>
          <w:sz w:val="24"/>
          <w:szCs w:val="24"/>
        </w:rPr>
        <w:t>ed</w:t>
      </w:r>
      <w:r w:rsidR="007006FB" w:rsidRPr="000F5AEA">
        <w:rPr>
          <w:rFonts w:ascii="Times New Roman" w:hAnsi="Times New Roman"/>
          <w:sz w:val="24"/>
          <w:szCs w:val="24"/>
        </w:rPr>
        <w:t xml:space="preserve"> that the odds ratio of two observations with identical observable variables is bounded such that </w:t>
      </w:r>
    </w:p>
    <w:p w14:paraId="7513320F" w14:textId="77777777" w:rsidR="007006FB" w:rsidRPr="000F5AEA" w:rsidRDefault="007006FB" w:rsidP="009148B4">
      <w:pPr>
        <w:spacing w:line="480" w:lineRule="auto"/>
        <w:contextualSpacing/>
        <w:rPr>
          <w:rFonts w:ascii="Times New Roman" w:hAnsi="Times New Roman"/>
          <w:sz w:val="24"/>
          <w:szCs w:val="24"/>
        </w:rPr>
      </w:pPr>
      <w:r w:rsidRPr="000F5AEA">
        <w:rPr>
          <w:rFonts w:ascii="Times New Roman" w:hAnsi="Times New Roman"/>
          <w:sz w:val="24"/>
          <w:szCs w:val="24"/>
        </w:rPr>
        <w:t xml:space="preserve">(10) </w:t>
      </w:r>
      <w:r w:rsidRPr="000F5AEA">
        <w:rPr>
          <w:rFonts w:ascii="Times New Roman" w:hAnsi="Times New Roman"/>
          <w:sz w:val="24"/>
          <w:szCs w:val="24"/>
        </w:rPr>
        <w:tab/>
      </w:r>
      <w:r w:rsidRPr="000F5AEA">
        <w:rPr>
          <w:rFonts w:ascii="Times New Roman" w:hAnsi="Times New Roman"/>
          <w:sz w:val="24"/>
          <w:szCs w:val="24"/>
        </w:rPr>
        <w:tab/>
      </w:r>
      <w:r w:rsidRPr="000F5AEA">
        <w:rPr>
          <w:rFonts w:ascii="Times New Roman" w:hAnsi="Times New Roman"/>
          <w:sz w:val="24"/>
          <w:szCs w:val="24"/>
        </w:rPr>
        <w:tab/>
      </w:r>
      <w:r w:rsidRPr="000F5AEA">
        <w:rPr>
          <w:rFonts w:ascii="Times New Roman" w:hAnsi="Times New Roman"/>
          <w:sz w:val="24"/>
          <w:szCs w:val="24"/>
        </w:rPr>
        <w:tab/>
      </w:r>
      <w:r w:rsidRPr="000F5AEA">
        <w:rPr>
          <w:rFonts w:ascii="Times New Roman" w:hAnsi="Times New Roman"/>
          <w:sz w:val="24"/>
          <w:szCs w:val="24"/>
        </w:rPr>
        <w:tab/>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Γ</m:t>
            </m:r>
          </m:den>
        </m:f>
        <m:r>
          <w:rPr>
            <w:rFonts w:ascii="Cambria Math" w:hAnsi="Cambria Math"/>
            <w:sz w:val="24"/>
            <w:szCs w:val="24"/>
          </w:rPr>
          <m:t>≤Odds Ratio≤Γ.</m:t>
        </m:r>
      </m:oMath>
    </w:p>
    <w:p w14:paraId="7F10B56F" w14:textId="77777777" w:rsidR="009148B4" w:rsidRPr="000F5AEA" w:rsidRDefault="007006FB" w:rsidP="009148B4">
      <w:pPr>
        <w:suppressAutoHyphens/>
        <w:spacing w:line="480" w:lineRule="auto"/>
        <w:contextualSpacing/>
        <w:rPr>
          <w:rFonts w:ascii="Times New Roman" w:hAnsi="Times New Roman"/>
          <w:sz w:val="24"/>
          <w:szCs w:val="24"/>
        </w:rPr>
      </w:pPr>
      <w:r w:rsidRPr="000F5AEA">
        <w:rPr>
          <w:rFonts w:ascii="Times New Roman" w:hAnsi="Times New Roman"/>
          <w:sz w:val="24"/>
          <w:szCs w:val="24"/>
        </w:rPr>
        <w:t xml:space="preserve">If </w:t>
      </w:r>
      <m:oMath>
        <m:r>
          <m:rPr>
            <m:sty m:val="p"/>
          </m:rPr>
          <w:rPr>
            <w:rFonts w:ascii="Cambria Math" w:hAnsi="Cambria Math"/>
            <w:sz w:val="24"/>
            <w:szCs w:val="24"/>
          </w:rPr>
          <m:t>Γ</m:t>
        </m:r>
        <m:r>
          <w:rPr>
            <w:rFonts w:ascii="Cambria Math" w:hAnsi="Cambria Math"/>
            <w:sz w:val="24"/>
            <w:szCs w:val="24"/>
          </w:rPr>
          <m:t>=1</m:t>
        </m:r>
      </m:oMath>
      <w:r w:rsidRPr="000F5AEA">
        <w:rPr>
          <w:rFonts w:ascii="Times New Roman" w:hAnsi="Times New Roman"/>
          <w:sz w:val="24"/>
          <w:szCs w:val="24"/>
        </w:rPr>
        <w:t xml:space="preserve">, then there is no hidden bias, while values of </w:t>
      </w:r>
      <m:oMath>
        <m:r>
          <m:rPr>
            <m:sty m:val="p"/>
          </m:rPr>
          <w:rPr>
            <w:rFonts w:ascii="Cambria Math" w:hAnsi="Cambria Math"/>
            <w:sz w:val="24"/>
            <w:szCs w:val="24"/>
          </w:rPr>
          <m:t>Γ</m:t>
        </m:r>
      </m:oMath>
      <w:r w:rsidRPr="000F5AEA">
        <w:rPr>
          <w:rFonts w:ascii="Times New Roman" w:hAnsi="Times New Roman"/>
          <w:sz w:val="24"/>
          <w:szCs w:val="24"/>
        </w:rPr>
        <w:t xml:space="preserve"> greater than one imply an unobserved bias. For example, </w:t>
      </w:r>
      <m:oMath>
        <m:r>
          <m:rPr>
            <m:sty m:val="p"/>
          </m:rPr>
          <w:rPr>
            <w:rFonts w:ascii="Cambria Math" w:hAnsi="Cambria Math"/>
            <w:sz w:val="24"/>
            <w:szCs w:val="24"/>
          </w:rPr>
          <m:t>Γ</m:t>
        </m:r>
        <m:r>
          <w:rPr>
            <w:rFonts w:ascii="Cambria Math" w:hAnsi="Cambria Math"/>
            <w:sz w:val="24"/>
            <w:szCs w:val="24"/>
          </w:rPr>
          <m:t>=2</m:t>
        </m:r>
      </m:oMath>
      <w:r w:rsidRPr="000F5AEA">
        <w:rPr>
          <w:rFonts w:ascii="Times New Roman" w:hAnsi="Times New Roman"/>
          <w:sz w:val="24"/>
          <w:szCs w:val="24"/>
        </w:rPr>
        <w:t xml:space="preserve"> implies a hidden bias that could at most double the odds of treatment within matched pairs. The non-parametric Wilcoxon signed-rank test gives the bounds of the test, which tests the null hypothesis that the treatment effect is zero. Again, since we are concerned about positive selection, we focus on the lower bound of the test and compute the test statistic for various values of </w:t>
      </w:r>
      <m:oMath>
        <m:r>
          <m:rPr>
            <m:sty m:val="p"/>
          </m:rPr>
          <w:rPr>
            <w:rFonts w:ascii="Cambria Math" w:hAnsi="Cambria Math"/>
            <w:sz w:val="24"/>
            <w:szCs w:val="24"/>
          </w:rPr>
          <m:t>Γ</m:t>
        </m:r>
      </m:oMath>
      <w:r w:rsidRPr="000F5AEA">
        <w:rPr>
          <w:rFonts w:ascii="Times New Roman" w:hAnsi="Times New Roman"/>
          <w:sz w:val="24"/>
          <w:szCs w:val="24"/>
        </w:rPr>
        <w:t xml:space="preserve"> and the test’s p-value (denoted p</w:t>
      </w:r>
      <w:r w:rsidRPr="000F5AEA">
        <w:rPr>
          <w:rFonts w:ascii="Times New Roman" w:hAnsi="Times New Roman"/>
          <w:sz w:val="24"/>
          <w:szCs w:val="24"/>
          <w:vertAlign w:val="superscript"/>
        </w:rPr>
        <w:t>+</w:t>
      </w:r>
      <w:r w:rsidRPr="000F5AEA">
        <w:rPr>
          <w:rFonts w:ascii="Times New Roman" w:hAnsi="Times New Roman"/>
          <w:sz w:val="24"/>
          <w:szCs w:val="24"/>
        </w:rPr>
        <w:t xml:space="preserve">), with higher values of </w:t>
      </w:r>
      <m:oMath>
        <m:r>
          <m:rPr>
            <m:sty m:val="p"/>
          </m:rPr>
          <w:rPr>
            <w:rFonts w:ascii="Cambria Math" w:hAnsi="Cambria Math"/>
            <w:sz w:val="24"/>
            <w:szCs w:val="24"/>
          </w:rPr>
          <m:t>Γ</m:t>
        </m:r>
      </m:oMath>
      <w:r w:rsidRPr="000F5AEA">
        <w:rPr>
          <w:rFonts w:ascii="Times New Roman" w:hAnsi="Times New Roman"/>
          <w:sz w:val="24"/>
          <w:szCs w:val="24"/>
        </w:rPr>
        <w:t xml:space="preserve"> lowering the probability of rejecting the null hypothesis. </w:t>
      </w:r>
    </w:p>
    <w:p w14:paraId="3F0D6566" w14:textId="77777777" w:rsidR="009148B4" w:rsidRPr="000F5AEA" w:rsidRDefault="009148B4" w:rsidP="009148B4">
      <w:pPr>
        <w:suppressAutoHyphens/>
        <w:spacing w:line="480" w:lineRule="auto"/>
        <w:contextualSpacing/>
        <w:rPr>
          <w:rFonts w:ascii="Times New Roman" w:hAnsi="Times New Roman"/>
          <w:sz w:val="24"/>
          <w:szCs w:val="24"/>
        </w:rPr>
      </w:pPr>
    </w:p>
    <w:p w14:paraId="7FF7E07A" w14:textId="77777777" w:rsidR="00321F8F" w:rsidRPr="000F5AEA" w:rsidRDefault="00321F8F" w:rsidP="009148B4">
      <w:pPr>
        <w:suppressAutoHyphens/>
        <w:spacing w:line="480" w:lineRule="auto"/>
        <w:contextualSpacing/>
        <w:rPr>
          <w:rFonts w:ascii="Times New Roman" w:hAnsi="Times New Roman"/>
          <w:sz w:val="24"/>
          <w:szCs w:val="24"/>
        </w:rPr>
      </w:pPr>
      <w:r w:rsidRPr="000F5AEA">
        <w:rPr>
          <w:rFonts w:ascii="Times New Roman" w:hAnsi="Times New Roman"/>
          <w:sz w:val="24"/>
          <w:szCs w:val="24"/>
        </w:rPr>
        <w:t>We further evaluate our results by assessing the selection on observables assumption. Although we cannot directly test this assumption on our preferred model because the Rosenbaum bounds procedure (Diprete and Gangl 2004) is only applicable to one-to-one nearest-neighbor matching without replacement, we apply it to model 6 with an ATT of 16%. The p</w:t>
      </w:r>
      <w:r w:rsidRPr="000F5AEA">
        <w:rPr>
          <w:rFonts w:ascii="Times New Roman" w:hAnsi="Times New Roman"/>
          <w:sz w:val="24"/>
          <w:szCs w:val="24"/>
          <w:vertAlign w:val="superscript"/>
        </w:rPr>
        <w:t>+</w:t>
      </w:r>
      <w:r w:rsidRPr="000F5AEA">
        <w:rPr>
          <w:rFonts w:ascii="Times New Roman" w:hAnsi="Times New Roman"/>
          <w:sz w:val="24"/>
          <w:szCs w:val="24"/>
        </w:rPr>
        <w:t xml:space="preserve"> values for various levels of </w:t>
      </w:r>
      <m:oMath>
        <m:r>
          <m:rPr>
            <m:sty m:val="p"/>
          </m:rPr>
          <w:rPr>
            <w:rFonts w:ascii="Cambria Math" w:hAnsi="Cambria Math"/>
            <w:sz w:val="24"/>
            <w:szCs w:val="24"/>
          </w:rPr>
          <m:t>Γ</m:t>
        </m:r>
      </m:oMath>
      <w:r w:rsidRPr="000F5AEA">
        <w:rPr>
          <w:rFonts w:ascii="Times New Roman" w:hAnsi="Times New Roman"/>
          <w:sz w:val="24"/>
          <w:szCs w:val="24"/>
        </w:rPr>
        <w:t xml:space="preserve"> and are reported in table 6. Higher values of </w:t>
      </w:r>
      <m:oMath>
        <m:r>
          <m:rPr>
            <m:sty m:val="p"/>
          </m:rPr>
          <w:rPr>
            <w:rFonts w:ascii="Cambria Math" w:hAnsi="Cambria Math"/>
            <w:sz w:val="24"/>
            <w:szCs w:val="24"/>
          </w:rPr>
          <m:t>Γ</m:t>
        </m:r>
      </m:oMath>
      <w:r w:rsidRPr="000F5AEA">
        <w:rPr>
          <w:rFonts w:ascii="Times New Roman" w:hAnsi="Times New Roman"/>
          <w:sz w:val="24"/>
          <w:szCs w:val="24"/>
        </w:rPr>
        <w:t xml:space="preserve"> lower the probability of rejecting the </w:t>
      </w:r>
      <w:r w:rsidRPr="000F5AEA">
        <w:rPr>
          <w:rFonts w:ascii="Times New Roman" w:hAnsi="Times New Roman"/>
          <w:sz w:val="24"/>
          <w:szCs w:val="24"/>
        </w:rPr>
        <w:lastRenderedPageBreak/>
        <w:t xml:space="preserve">null hypothesis of no treatment effect. We reject the null hypothesis up to </w:t>
      </w:r>
      <m:oMath>
        <m:r>
          <m:rPr>
            <m:sty m:val="p"/>
          </m:rPr>
          <w:rPr>
            <w:rFonts w:ascii="Cambria Math" w:hAnsi="Cambria Math"/>
            <w:sz w:val="24"/>
            <w:szCs w:val="24"/>
          </w:rPr>
          <m:t>Γ</m:t>
        </m:r>
        <m:r>
          <w:rPr>
            <w:rFonts w:ascii="Cambria Math" w:hAnsi="Cambria Math"/>
            <w:sz w:val="24"/>
            <w:szCs w:val="24"/>
          </w:rPr>
          <m:t>=74</m:t>
        </m:r>
      </m:oMath>
      <w:r w:rsidRPr="000F5AEA">
        <w:rPr>
          <w:rFonts w:ascii="Times New Roman" w:hAnsi="Times New Roman"/>
          <w:sz w:val="24"/>
          <w:szCs w:val="24"/>
        </w:rPr>
        <w:t xml:space="preserve">, suggesting that an unobserved factor </w:t>
      </w:r>
      <w:r w:rsidRPr="000F5AEA">
        <w:rPr>
          <w:rFonts w:ascii="Times New Roman" w:hAnsi="Times New Roman"/>
          <w:color w:val="000000" w:themeColor="text1"/>
          <w:sz w:val="24"/>
          <w:szCs w:val="24"/>
        </w:rPr>
        <w:t xml:space="preserve">increasing the odds of being treated by 7300% would not be sufficient to make the estimated ATT result insignificant, at a 95% confidence level. Therefore, we argue that our results are robust to hidden bias. </w:t>
      </w:r>
    </w:p>
    <w:p w14:paraId="636BB422" w14:textId="77777777" w:rsidR="00994384" w:rsidRPr="008E790D" w:rsidRDefault="00994384" w:rsidP="00994384">
      <w:pPr>
        <w:spacing w:line="480" w:lineRule="auto"/>
        <w:contextualSpacing/>
        <w:jc w:val="both"/>
        <w:rPr>
          <w:rFonts w:ascii="Times New Roman" w:hAnsi="Times New Roman"/>
          <w:b/>
        </w:rPr>
      </w:pPr>
      <w:r w:rsidRPr="008E790D">
        <w:rPr>
          <w:rFonts w:ascii="Times New Roman" w:hAnsi="Times New Roman"/>
          <w:b/>
        </w:rPr>
        <w:t>Table. Rosenbaum Sensitivity Analysis</w:t>
      </w:r>
    </w:p>
    <w:tbl>
      <w:tblPr>
        <w:tblW w:w="2220" w:type="dxa"/>
        <w:tblLook w:val="04A0" w:firstRow="1" w:lastRow="0" w:firstColumn="1" w:lastColumn="0" w:noHBand="0" w:noVBand="1"/>
      </w:tblPr>
      <w:tblGrid>
        <w:gridCol w:w="980"/>
        <w:gridCol w:w="1240"/>
      </w:tblGrid>
      <w:tr w:rsidR="00994384" w:rsidRPr="008E790D" w14:paraId="6D23996D" w14:textId="77777777" w:rsidTr="0009573B">
        <w:trPr>
          <w:trHeight w:val="315"/>
        </w:trPr>
        <w:tc>
          <w:tcPr>
            <w:tcW w:w="980" w:type="dxa"/>
            <w:tcBorders>
              <w:top w:val="single" w:sz="4" w:space="0" w:color="auto"/>
              <w:left w:val="nil"/>
              <w:bottom w:val="single" w:sz="4" w:space="0" w:color="auto"/>
              <w:right w:val="nil"/>
            </w:tcBorders>
            <w:shd w:val="clear" w:color="auto" w:fill="auto"/>
            <w:noWrap/>
            <w:vAlign w:val="bottom"/>
            <w:hideMark/>
          </w:tcPr>
          <w:p w14:paraId="35EA7A75" w14:textId="77777777" w:rsidR="00994384" w:rsidRPr="008E790D" w:rsidRDefault="00994384" w:rsidP="0009573B">
            <w:pPr>
              <w:spacing w:line="480" w:lineRule="auto"/>
              <w:contextualSpacing/>
              <w:jc w:val="both"/>
              <w:rPr>
                <w:rFonts w:eastAsia="Times New Roman"/>
                <w:color w:val="000000"/>
              </w:rPr>
            </w:pPr>
            <m:oMathPara>
              <m:oMath>
                <m:r>
                  <m:rPr>
                    <m:sty m:val="p"/>
                  </m:rPr>
                  <w:rPr>
                    <w:rFonts w:ascii="Cambria Math" w:hAnsi="Cambria Math"/>
                  </w:rPr>
                  <m:t xml:space="preserve"> Γ</m:t>
                </m:r>
              </m:oMath>
            </m:oMathPara>
          </w:p>
        </w:tc>
        <w:tc>
          <w:tcPr>
            <w:tcW w:w="1240" w:type="dxa"/>
            <w:tcBorders>
              <w:top w:val="single" w:sz="4" w:space="0" w:color="auto"/>
              <w:left w:val="nil"/>
              <w:bottom w:val="single" w:sz="4" w:space="0" w:color="auto"/>
              <w:right w:val="nil"/>
            </w:tcBorders>
            <w:shd w:val="clear" w:color="auto" w:fill="auto"/>
            <w:noWrap/>
            <w:vAlign w:val="bottom"/>
            <w:hideMark/>
          </w:tcPr>
          <w:p w14:paraId="7F68A8E0" w14:textId="77777777" w:rsidR="00994384" w:rsidRPr="008E790D" w:rsidRDefault="00994384" w:rsidP="0009573B">
            <w:pPr>
              <w:spacing w:line="480" w:lineRule="auto"/>
              <w:contextualSpacing/>
              <w:jc w:val="both"/>
              <w:rPr>
                <w:rFonts w:ascii="Times New Roman" w:eastAsia="Times New Roman" w:hAnsi="Times New Roman"/>
                <w:color w:val="000000"/>
                <w:vertAlign w:val="superscript"/>
              </w:rPr>
            </w:pPr>
            <w:r w:rsidRPr="008E790D">
              <w:rPr>
                <w:rFonts w:ascii="Times New Roman" w:eastAsia="Times New Roman" w:hAnsi="Times New Roman"/>
                <w:color w:val="000000"/>
              </w:rPr>
              <w:t>p</w:t>
            </w:r>
            <w:r w:rsidRPr="008E790D">
              <w:rPr>
                <w:rFonts w:ascii="Times New Roman" w:eastAsia="Times New Roman" w:hAnsi="Times New Roman"/>
                <w:color w:val="000000"/>
                <w:vertAlign w:val="superscript"/>
              </w:rPr>
              <w:t>+</w:t>
            </w:r>
          </w:p>
        </w:tc>
      </w:tr>
      <w:tr w:rsidR="00994384" w:rsidRPr="008E790D" w14:paraId="348784D9" w14:textId="77777777" w:rsidTr="0009573B">
        <w:trPr>
          <w:trHeight w:val="315"/>
        </w:trPr>
        <w:tc>
          <w:tcPr>
            <w:tcW w:w="980" w:type="dxa"/>
            <w:tcBorders>
              <w:top w:val="single" w:sz="4" w:space="0" w:color="auto"/>
              <w:left w:val="nil"/>
              <w:bottom w:val="nil"/>
              <w:right w:val="nil"/>
            </w:tcBorders>
            <w:shd w:val="clear" w:color="auto" w:fill="auto"/>
            <w:noWrap/>
            <w:vAlign w:val="bottom"/>
            <w:hideMark/>
          </w:tcPr>
          <w:p w14:paraId="09C1D4C6"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1</w:t>
            </w:r>
          </w:p>
        </w:tc>
        <w:tc>
          <w:tcPr>
            <w:tcW w:w="1240" w:type="dxa"/>
            <w:tcBorders>
              <w:top w:val="single" w:sz="4" w:space="0" w:color="auto"/>
              <w:left w:val="nil"/>
              <w:bottom w:val="nil"/>
              <w:right w:val="nil"/>
            </w:tcBorders>
            <w:shd w:val="clear" w:color="auto" w:fill="auto"/>
            <w:noWrap/>
            <w:vAlign w:val="bottom"/>
          </w:tcPr>
          <w:p w14:paraId="6C0C723D"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&lt;1.0x10</w:t>
            </w:r>
            <w:r w:rsidRPr="008E790D">
              <w:rPr>
                <w:rFonts w:ascii="Times New Roman" w:eastAsia="Times New Roman" w:hAnsi="Times New Roman"/>
                <w:color w:val="000000"/>
                <w:vertAlign w:val="superscript"/>
              </w:rPr>
              <w:t>-16</w:t>
            </w:r>
          </w:p>
        </w:tc>
      </w:tr>
      <w:tr w:rsidR="00994384" w:rsidRPr="008E790D" w14:paraId="53D6E1AA" w14:textId="77777777" w:rsidTr="0009573B">
        <w:trPr>
          <w:trHeight w:val="315"/>
        </w:trPr>
        <w:tc>
          <w:tcPr>
            <w:tcW w:w="980" w:type="dxa"/>
            <w:tcBorders>
              <w:top w:val="nil"/>
              <w:left w:val="nil"/>
              <w:bottom w:val="nil"/>
              <w:right w:val="nil"/>
            </w:tcBorders>
            <w:shd w:val="clear" w:color="auto" w:fill="auto"/>
            <w:noWrap/>
            <w:vAlign w:val="bottom"/>
            <w:hideMark/>
          </w:tcPr>
          <w:p w14:paraId="4E0047E1"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10</w:t>
            </w:r>
          </w:p>
        </w:tc>
        <w:tc>
          <w:tcPr>
            <w:tcW w:w="1240" w:type="dxa"/>
            <w:tcBorders>
              <w:top w:val="nil"/>
              <w:left w:val="nil"/>
              <w:bottom w:val="nil"/>
              <w:right w:val="nil"/>
            </w:tcBorders>
            <w:shd w:val="clear" w:color="auto" w:fill="auto"/>
            <w:noWrap/>
            <w:vAlign w:val="bottom"/>
          </w:tcPr>
          <w:p w14:paraId="7BD274C7"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3.8x10</w:t>
            </w:r>
            <w:r w:rsidRPr="008E790D">
              <w:rPr>
                <w:rFonts w:ascii="Times New Roman" w:eastAsia="Times New Roman" w:hAnsi="Times New Roman"/>
                <w:color w:val="000000"/>
                <w:vertAlign w:val="superscript"/>
              </w:rPr>
              <w:t>-6</w:t>
            </w:r>
          </w:p>
        </w:tc>
      </w:tr>
      <w:tr w:rsidR="00994384" w:rsidRPr="008E790D" w14:paraId="6207959A" w14:textId="77777777" w:rsidTr="0009573B">
        <w:trPr>
          <w:trHeight w:val="315"/>
        </w:trPr>
        <w:tc>
          <w:tcPr>
            <w:tcW w:w="980" w:type="dxa"/>
            <w:tcBorders>
              <w:top w:val="nil"/>
              <w:left w:val="nil"/>
              <w:bottom w:val="nil"/>
              <w:right w:val="nil"/>
            </w:tcBorders>
            <w:shd w:val="clear" w:color="auto" w:fill="auto"/>
            <w:noWrap/>
            <w:vAlign w:val="bottom"/>
            <w:hideMark/>
          </w:tcPr>
          <w:p w14:paraId="759C1BD5"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20</w:t>
            </w:r>
          </w:p>
        </w:tc>
        <w:tc>
          <w:tcPr>
            <w:tcW w:w="1240" w:type="dxa"/>
            <w:tcBorders>
              <w:top w:val="nil"/>
              <w:left w:val="nil"/>
              <w:bottom w:val="nil"/>
              <w:right w:val="nil"/>
            </w:tcBorders>
            <w:shd w:val="clear" w:color="auto" w:fill="auto"/>
            <w:noWrap/>
            <w:vAlign w:val="bottom"/>
          </w:tcPr>
          <w:p w14:paraId="00E4BBDC"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0.0008</w:t>
            </w:r>
          </w:p>
        </w:tc>
      </w:tr>
      <w:tr w:rsidR="00994384" w:rsidRPr="008E790D" w14:paraId="69A8AED4" w14:textId="77777777" w:rsidTr="0009573B">
        <w:trPr>
          <w:trHeight w:val="315"/>
        </w:trPr>
        <w:tc>
          <w:tcPr>
            <w:tcW w:w="980" w:type="dxa"/>
            <w:tcBorders>
              <w:top w:val="nil"/>
              <w:left w:val="nil"/>
              <w:bottom w:val="nil"/>
              <w:right w:val="nil"/>
            </w:tcBorders>
            <w:shd w:val="clear" w:color="auto" w:fill="auto"/>
            <w:noWrap/>
            <w:vAlign w:val="bottom"/>
            <w:hideMark/>
          </w:tcPr>
          <w:p w14:paraId="58031501"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30</w:t>
            </w:r>
          </w:p>
        </w:tc>
        <w:tc>
          <w:tcPr>
            <w:tcW w:w="1240" w:type="dxa"/>
            <w:tcBorders>
              <w:top w:val="nil"/>
              <w:left w:val="nil"/>
              <w:bottom w:val="nil"/>
              <w:right w:val="nil"/>
            </w:tcBorders>
            <w:shd w:val="clear" w:color="auto" w:fill="auto"/>
            <w:noWrap/>
            <w:vAlign w:val="bottom"/>
          </w:tcPr>
          <w:p w14:paraId="0949A76D"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0.0049</w:t>
            </w:r>
          </w:p>
        </w:tc>
      </w:tr>
      <w:tr w:rsidR="00994384" w:rsidRPr="008E790D" w14:paraId="1BF2A9C8" w14:textId="77777777" w:rsidTr="0009573B">
        <w:trPr>
          <w:trHeight w:val="315"/>
        </w:trPr>
        <w:tc>
          <w:tcPr>
            <w:tcW w:w="980" w:type="dxa"/>
            <w:tcBorders>
              <w:top w:val="nil"/>
              <w:left w:val="nil"/>
              <w:bottom w:val="nil"/>
              <w:right w:val="nil"/>
            </w:tcBorders>
            <w:shd w:val="clear" w:color="auto" w:fill="auto"/>
            <w:noWrap/>
            <w:vAlign w:val="bottom"/>
            <w:hideMark/>
          </w:tcPr>
          <w:p w14:paraId="0747D7A1"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40</w:t>
            </w:r>
          </w:p>
        </w:tc>
        <w:tc>
          <w:tcPr>
            <w:tcW w:w="1240" w:type="dxa"/>
            <w:tcBorders>
              <w:top w:val="nil"/>
              <w:left w:val="nil"/>
              <w:bottom w:val="nil"/>
              <w:right w:val="nil"/>
            </w:tcBorders>
            <w:shd w:val="clear" w:color="auto" w:fill="auto"/>
            <w:noWrap/>
            <w:vAlign w:val="bottom"/>
          </w:tcPr>
          <w:p w14:paraId="6A280271"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0.0126</w:t>
            </w:r>
          </w:p>
        </w:tc>
      </w:tr>
      <w:tr w:rsidR="00994384" w:rsidRPr="008E790D" w14:paraId="19CE834B" w14:textId="77777777" w:rsidTr="0009573B">
        <w:trPr>
          <w:trHeight w:val="315"/>
        </w:trPr>
        <w:tc>
          <w:tcPr>
            <w:tcW w:w="980" w:type="dxa"/>
            <w:tcBorders>
              <w:top w:val="nil"/>
              <w:left w:val="nil"/>
              <w:bottom w:val="nil"/>
              <w:right w:val="nil"/>
            </w:tcBorders>
            <w:shd w:val="clear" w:color="auto" w:fill="auto"/>
            <w:noWrap/>
            <w:vAlign w:val="bottom"/>
            <w:hideMark/>
          </w:tcPr>
          <w:p w14:paraId="47681361"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50</w:t>
            </w:r>
          </w:p>
        </w:tc>
        <w:tc>
          <w:tcPr>
            <w:tcW w:w="1240" w:type="dxa"/>
            <w:tcBorders>
              <w:top w:val="nil"/>
              <w:left w:val="nil"/>
              <w:bottom w:val="nil"/>
              <w:right w:val="nil"/>
            </w:tcBorders>
            <w:shd w:val="clear" w:color="auto" w:fill="auto"/>
            <w:noWrap/>
            <w:vAlign w:val="bottom"/>
          </w:tcPr>
          <w:p w14:paraId="7EBC5324"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0.0227</w:t>
            </w:r>
          </w:p>
        </w:tc>
      </w:tr>
      <w:tr w:rsidR="00994384" w:rsidRPr="008E790D" w14:paraId="16A70A91" w14:textId="77777777" w:rsidTr="0009573B">
        <w:trPr>
          <w:trHeight w:val="315"/>
        </w:trPr>
        <w:tc>
          <w:tcPr>
            <w:tcW w:w="980" w:type="dxa"/>
            <w:tcBorders>
              <w:top w:val="nil"/>
              <w:left w:val="nil"/>
              <w:bottom w:val="nil"/>
              <w:right w:val="nil"/>
            </w:tcBorders>
            <w:shd w:val="clear" w:color="auto" w:fill="auto"/>
            <w:noWrap/>
            <w:vAlign w:val="bottom"/>
            <w:hideMark/>
          </w:tcPr>
          <w:p w14:paraId="228F876D"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60</w:t>
            </w:r>
          </w:p>
        </w:tc>
        <w:tc>
          <w:tcPr>
            <w:tcW w:w="1240" w:type="dxa"/>
            <w:tcBorders>
              <w:top w:val="nil"/>
              <w:left w:val="nil"/>
              <w:bottom w:val="nil"/>
              <w:right w:val="nil"/>
            </w:tcBorders>
            <w:shd w:val="clear" w:color="auto" w:fill="auto"/>
            <w:noWrap/>
            <w:vAlign w:val="bottom"/>
          </w:tcPr>
          <w:p w14:paraId="774B1665"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0.0339</w:t>
            </w:r>
          </w:p>
        </w:tc>
      </w:tr>
      <w:tr w:rsidR="00994384" w:rsidRPr="008E790D" w14:paraId="4953D58A" w14:textId="77777777" w:rsidTr="0009573B">
        <w:trPr>
          <w:trHeight w:val="315"/>
        </w:trPr>
        <w:tc>
          <w:tcPr>
            <w:tcW w:w="980" w:type="dxa"/>
            <w:tcBorders>
              <w:top w:val="nil"/>
              <w:left w:val="nil"/>
              <w:bottom w:val="nil"/>
              <w:right w:val="nil"/>
            </w:tcBorders>
            <w:shd w:val="clear" w:color="auto" w:fill="auto"/>
            <w:noWrap/>
            <w:vAlign w:val="bottom"/>
            <w:hideMark/>
          </w:tcPr>
          <w:p w14:paraId="214D297B"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70</w:t>
            </w:r>
          </w:p>
        </w:tc>
        <w:tc>
          <w:tcPr>
            <w:tcW w:w="1240" w:type="dxa"/>
            <w:tcBorders>
              <w:top w:val="nil"/>
              <w:left w:val="nil"/>
              <w:bottom w:val="nil"/>
              <w:right w:val="nil"/>
            </w:tcBorders>
            <w:shd w:val="clear" w:color="auto" w:fill="auto"/>
            <w:noWrap/>
            <w:vAlign w:val="bottom"/>
          </w:tcPr>
          <w:p w14:paraId="283D0E21"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0.0454</w:t>
            </w:r>
          </w:p>
        </w:tc>
      </w:tr>
      <w:tr w:rsidR="00994384" w:rsidRPr="008E790D" w14:paraId="4216E37D" w14:textId="77777777" w:rsidTr="0009573B">
        <w:trPr>
          <w:trHeight w:val="315"/>
        </w:trPr>
        <w:tc>
          <w:tcPr>
            <w:tcW w:w="980" w:type="dxa"/>
            <w:tcBorders>
              <w:top w:val="nil"/>
              <w:left w:val="nil"/>
              <w:bottom w:val="nil"/>
              <w:right w:val="nil"/>
            </w:tcBorders>
            <w:shd w:val="clear" w:color="auto" w:fill="auto"/>
            <w:noWrap/>
            <w:vAlign w:val="bottom"/>
            <w:hideMark/>
          </w:tcPr>
          <w:p w14:paraId="3033E8E6"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71</w:t>
            </w:r>
          </w:p>
        </w:tc>
        <w:tc>
          <w:tcPr>
            <w:tcW w:w="1240" w:type="dxa"/>
            <w:tcBorders>
              <w:top w:val="nil"/>
              <w:left w:val="nil"/>
              <w:bottom w:val="nil"/>
              <w:right w:val="nil"/>
            </w:tcBorders>
            <w:shd w:val="clear" w:color="auto" w:fill="auto"/>
            <w:noWrap/>
            <w:vAlign w:val="bottom"/>
          </w:tcPr>
          <w:p w14:paraId="527A8A42"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0.0466</w:t>
            </w:r>
          </w:p>
        </w:tc>
      </w:tr>
      <w:tr w:rsidR="00994384" w:rsidRPr="008E790D" w14:paraId="66593C9E" w14:textId="77777777" w:rsidTr="0009573B">
        <w:trPr>
          <w:trHeight w:val="315"/>
        </w:trPr>
        <w:tc>
          <w:tcPr>
            <w:tcW w:w="980" w:type="dxa"/>
            <w:tcBorders>
              <w:top w:val="nil"/>
              <w:left w:val="nil"/>
              <w:bottom w:val="nil"/>
              <w:right w:val="nil"/>
            </w:tcBorders>
            <w:shd w:val="clear" w:color="auto" w:fill="auto"/>
            <w:noWrap/>
            <w:vAlign w:val="bottom"/>
            <w:hideMark/>
          </w:tcPr>
          <w:p w14:paraId="03220044"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72</w:t>
            </w:r>
          </w:p>
        </w:tc>
        <w:tc>
          <w:tcPr>
            <w:tcW w:w="1240" w:type="dxa"/>
            <w:tcBorders>
              <w:top w:val="nil"/>
              <w:left w:val="nil"/>
              <w:bottom w:val="nil"/>
              <w:right w:val="nil"/>
            </w:tcBorders>
            <w:shd w:val="clear" w:color="auto" w:fill="auto"/>
            <w:noWrap/>
            <w:vAlign w:val="bottom"/>
          </w:tcPr>
          <w:p w14:paraId="4A70D99D"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0.0477</w:t>
            </w:r>
          </w:p>
        </w:tc>
      </w:tr>
      <w:tr w:rsidR="00994384" w:rsidRPr="008E790D" w14:paraId="56E777A8" w14:textId="77777777" w:rsidTr="0009573B">
        <w:trPr>
          <w:trHeight w:val="315"/>
        </w:trPr>
        <w:tc>
          <w:tcPr>
            <w:tcW w:w="980" w:type="dxa"/>
            <w:tcBorders>
              <w:top w:val="nil"/>
              <w:left w:val="nil"/>
              <w:right w:val="nil"/>
            </w:tcBorders>
            <w:shd w:val="clear" w:color="auto" w:fill="auto"/>
            <w:noWrap/>
            <w:vAlign w:val="bottom"/>
            <w:hideMark/>
          </w:tcPr>
          <w:p w14:paraId="08776F6A"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73</w:t>
            </w:r>
          </w:p>
        </w:tc>
        <w:tc>
          <w:tcPr>
            <w:tcW w:w="1240" w:type="dxa"/>
            <w:tcBorders>
              <w:top w:val="nil"/>
              <w:left w:val="nil"/>
              <w:right w:val="nil"/>
            </w:tcBorders>
            <w:shd w:val="clear" w:color="auto" w:fill="auto"/>
            <w:noWrap/>
            <w:vAlign w:val="bottom"/>
          </w:tcPr>
          <w:p w14:paraId="68F9EC34"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0.0489</w:t>
            </w:r>
          </w:p>
        </w:tc>
      </w:tr>
      <w:tr w:rsidR="00994384" w:rsidRPr="008E790D" w14:paraId="3B9D154D" w14:textId="77777777" w:rsidTr="0009573B">
        <w:trPr>
          <w:trHeight w:val="315"/>
        </w:trPr>
        <w:tc>
          <w:tcPr>
            <w:tcW w:w="980" w:type="dxa"/>
            <w:tcBorders>
              <w:top w:val="nil"/>
              <w:left w:val="nil"/>
              <w:bottom w:val="single" w:sz="4" w:space="0" w:color="auto"/>
              <w:right w:val="nil"/>
            </w:tcBorders>
            <w:shd w:val="clear" w:color="auto" w:fill="auto"/>
            <w:noWrap/>
            <w:vAlign w:val="bottom"/>
            <w:hideMark/>
          </w:tcPr>
          <w:p w14:paraId="08E65009"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74</w:t>
            </w:r>
          </w:p>
        </w:tc>
        <w:tc>
          <w:tcPr>
            <w:tcW w:w="1240" w:type="dxa"/>
            <w:tcBorders>
              <w:top w:val="nil"/>
              <w:left w:val="nil"/>
              <w:bottom w:val="single" w:sz="4" w:space="0" w:color="auto"/>
              <w:right w:val="nil"/>
            </w:tcBorders>
            <w:shd w:val="clear" w:color="auto" w:fill="auto"/>
            <w:noWrap/>
            <w:vAlign w:val="bottom"/>
          </w:tcPr>
          <w:p w14:paraId="0699213F" w14:textId="77777777" w:rsidR="00994384" w:rsidRPr="008E790D" w:rsidRDefault="00994384" w:rsidP="0009573B">
            <w:pPr>
              <w:spacing w:line="480" w:lineRule="auto"/>
              <w:contextualSpacing/>
              <w:jc w:val="both"/>
              <w:rPr>
                <w:rFonts w:ascii="Times New Roman" w:eastAsia="Times New Roman" w:hAnsi="Times New Roman"/>
                <w:color w:val="000000"/>
              </w:rPr>
            </w:pPr>
            <w:r w:rsidRPr="008E790D">
              <w:rPr>
                <w:rFonts w:ascii="Times New Roman" w:eastAsia="Times New Roman" w:hAnsi="Times New Roman"/>
                <w:color w:val="000000"/>
              </w:rPr>
              <w:t>0.0500</w:t>
            </w:r>
          </w:p>
        </w:tc>
      </w:tr>
    </w:tbl>
    <w:p w14:paraId="1446F348" w14:textId="77777777" w:rsidR="007006FB" w:rsidRPr="000F5AEA" w:rsidRDefault="007006FB" w:rsidP="000F5AEA">
      <w:pPr>
        <w:suppressAutoHyphens/>
        <w:spacing w:line="480" w:lineRule="auto"/>
        <w:contextualSpacing/>
        <w:jc w:val="both"/>
        <w:rPr>
          <w:rFonts w:ascii="Times New Roman" w:hAnsi="Times New Roman"/>
        </w:rPr>
      </w:pPr>
    </w:p>
    <w:sectPr w:rsidR="007006FB" w:rsidRPr="000F5AE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3724D" w14:textId="77777777" w:rsidR="00DC5397" w:rsidRDefault="00DC5397">
      <w:pPr>
        <w:spacing w:after="0" w:line="240" w:lineRule="auto"/>
      </w:pPr>
      <w:r>
        <w:separator/>
      </w:r>
    </w:p>
  </w:endnote>
  <w:endnote w:type="continuationSeparator" w:id="0">
    <w:p w14:paraId="44B9584A" w14:textId="77777777" w:rsidR="00DC5397" w:rsidRDefault="00DC5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D9D54" w14:textId="77777777" w:rsidR="00B07E28" w:rsidRPr="00D667DE" w:rsidRDefault="002F669B" w:rsidP="00F17D0C">
    <w:pPr>
      <w:pStyle w:val="Footer"/>
      <w:jc w:val="center"/>
      <w:rPr>
        <w:rFonts w:ascii="Times New Roman" w:hAnsi="Times New Roman"/>
      </w:rPr>
    </w:pPr>
    <w:r w:rsidRPr="00D667DE">
      <w:rPr>
        <w:rFonts w:ascii="Times New Roman" w:hAnsi="Times New Roman"/>
      </w:rPr>
      <w:fldChar w:fldCharType="begin"/>
    </w:r>
    <w:r w:rsidRPr="00D667DE">
      <w:rPr>
        <w:rFonts w:ascii="Times New Roman" w:hAnsi="Times New Roman"/>
      </w:rPr>
      <w:instrText xml:space="preserve"> PAGE   \* MERGEFORMAT </w:instrText>
    </w:r>
    <w:r w:rsidRPr="00D667DE">
      <w:rPr>
        <w:rFonts w:ascii="Times New Roman" w:hAnsi="Times New Roman"/>
      </w:rPr>
      <w:fldChar w:fldCharType="separate"/>
    </w:r>
    <w:r w:rsidR="000F5AEA">
      <w:rPr>
        <w:rFonts w:ascii="Times New Roman" w:hAnsi="Times New Roman"/>
        <w:noProof/>
      </w:rPr>
      <w:t>13</w:t>
    </w:r>
    <w:r w:rsidRPr="00D667DE">
      <w:rPr>
        <w:rFonts w:ascii="Times New Roman" w:hAnsi="Times New Roman"/>
        <w:noProof/>
      </w:rPr>
      <w:fldChar w:fldCharType="end"/>
    </w:r>
  </w:p>
  <w:p w14:paraId="47096F77" w14:textId="77777777" w:rsidR="00B07E28" w:rsidRDefault="00DC5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B9601" w14:textId="77777777" w:rsidR="00DC5397" w:rsidRDefault="00DC5397">
      <w:pPr>
        <w:spacing w:after="0" w:line="240" w:lineRule="auto"/>
      </w:pPr>
      <w:r>
        <w:separator/>
      </w:r>
    </w:p>
  </w:footnote>
  <w:footnote w:type="continuationSeparator" w:id="0">
    <w:p w14:paraId="79B56178" w14:textId="77777777" w:rsidR="00DC5397" w:rsidRDefault="00DC53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69B"/>
    <w:rsid w:val="00006132"/>
    <w:rsid w:val="000F5AEA"/>
    <w:rsid w:val="00166045"/>
    <w:rsid w:val="001D16E9"/>
    <w:rsid w:val="002F669B"/>
    <w:rsid w:val="00321F8F"/>
    <w:rsid w:val="00381421"/>
    <w:rsid w:val="00491102"/>
    <w:rsid w:val="00506CA7"/>
    <w:rsid w:val="005E67EC"/>
    <w:rsid w:val="007006FB"/>
    <w:rsid w:val="0086571E"/>
    <w:rsid w:val="009148B4"/>
    <w:rsid w:val="009345DA"/>
    <w:rsid w:val="00994384"/>
    <w:rsid w:val="009E2CA4"/>
    <w:rsid w:val="00B2319D"/>
    <w:rsid w:val="00C113D0"/>
    <w:rsid w:val="00DC5397"/>
    <w:rsid w:val="00F4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838A"/>
  <w15:chartTrackingRefBased/>
  <w15:docId w15:val="{54C6880E-474C-424C-BE44-587B872B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669B"/>
    <w:pPr>
      <w:tabs>
        <w:tab w:val="center" w:pos="4680"/>
        <w:tab w:val="right" w:pos="9360"/>
      </w:tabs>
      <w:spacing w:after="0" w:line="240" w:lineRule="auto"/>
    </w:pPr>
    <w:rPr>
      <w:rFonts w:ascii="Calibri" w:eastAsia="Calibri" w:hAnsi="Calibri" w:cs="Times New Roman"/>
      <w:sz w:val="24"/>
      <w:szCs w:val="24"/>
    </w:rPr>
  </w:style>
  <w:style w:type="character" w:customStyle="1" w:styleId="FooterChar">
    <w:name w:val="Footer Char"/>
    <w:basedOn w:val="DefaultParagraphFont"/>
    <w:link w:val="Footer"/>
    <w:uiPriority w:val="99"/>
    <w:rsid w:val="002F669B"/>
    <w:rPr>
      <w:rFonts w:ascii="Calibri" w:eastAsia="Calibri" w:hAnsi="Calibri" w:cs="Times New Roman"/>
      <w:sz w:val="24"/>
      <w:szCs w:val="24"/>
    </w:rPr>
  </w:style>
  <w:style w:type="paragraph" w:styleId="FootnoteText">
    <w:name w:val="footnote text"/>
    <w:basedOn w:val="Normal"/>
    <w:link w:val="FootnoteTextChar"/>
    <w:uiPriority w:val="99"/>
    <w:unhideWhenUsed/>
    <w:rsid w:val="007006F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7006FB"/>
    <w:rPr>
      <w:rFonts w:ascii="Calibri" w:eastAsia="Calibri" w:hAnsi="Calibri" w:cs="Times New Roman"/>
      <w:sz w:val="20"/>
      <w:szCs w:val="20"/>
    </w:rPr>
  </w:style>
  <w:style w:type="character" w:styleId="FootnoteReference">
    <w:name w:val="footnote reference"/>
    <w:uiPriority w:val="99"/>
    <w:unhideWhenUsed/>
    <w:rsid w:val="007006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13</Pages>
  <Words>1951</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ISU</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Sawadgo, Wendiam P [ECONS]</dc:creator>
  <cp:keywords/>
  <dc:description/>
  <cp:lastModifiedBy>Wendiam Sawadgo</cp:lastModifiedBy>
  <cp:revision>8</cp:revision>
  <dcterms:created xsi:type="dcterms:W3CDTF">2020-08-04T15:57:00Z</dcterms:created>
  <dcterms:modified xsi:type="dcterms:W3CDTF">2021-03-02T15:22:00Z</dcterms:modified>
</cp:coreProperties>
</file>