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48C61" w14:textId="227D5381" w:rsidR="00CC05AA" w:rsidRPr="00CC05AA" w:rsidRDefault="00CC05AA">
      <w:pPr>
        <w:rPr>
          <w:b/>
          <w:bCs/>
          <w:sz w:val="24"/>
          <w:szCs w:val="24"/>
        </w:rPr>
      </w:pPr>
      <w:r w:rsidRPr="00CC05AA">
        <w:rPr>
          <w:b/>
          <w:bCs/>
          <w:sz w:val="24"/>
          <w:szCs w:val="24"/>
        </w:rPr>
        <w:t>Further detail on model choice:</w:t>
      </w:r>
    </w:p>
    <w:p w14:paraId="3CF9309D" w14:textId="77777777" w:rsidR="00CC05AA" w:rsidRDefault="00CC05AA">
      <w:pPr>
        <w:rPr>
          <w:sz w:val="24"/>
          <w:szCs w:val="24"/>
        </w:rPr>
      </w:pPr>
    </w:p>
    <w:p w14:paraId="09BD87C1" w14:textId="1BEDA67D" w:rsidR="00A33988" w:rsidRDefault="00CC05AA">
      <w:pPr>
        <w:rPr>
          <w:sz w:val="24"/>
          <w:szCs w:val="24"/>
        </w:rPr>
      </w:pPr>
      <w:r w:rsidRPr="00CC05AA">
        <w:rPr>
          <w:sz w:val="24"/>
          <w:szCs w:val="24"/>
        </w:rPr>
        <w:t>We attempted to estim</w:t>
      </w:r>
      <w:bookmarkStart w:id="0" w:name="_GoBack"/>
      <w:bookmarkEnd w:id="0"/>
      <w:r w:rsidRPr="00CC05AA">
        <w:rPr>
          <w:sz w:val="24"/>
          <w:szCs w:val="24"/>
        </w:rPr>
        <w:t>ate a random parameters (RPL) model as Tur-Cardona et al., but the flexible form of these models also makes them more computationally taxing for such a small sample as ours. A model which treated the ASC parameter and the two price dummies as fixed parameters and allowed preferences for form and distribution channel to vary randomly as a normal distribution did not converge.</w:t>
      </w:r>
    </w:p>
    <w:p w14:paraId="0718DC36" w14:textId="5FC4AC14" w:rsidR="00CC05AA" w:rsidRDefault="00CC05AA">
      <w:pPr>
        <w:rPr>
          <w:sz w:val="24"/>
          <w:szCs w:val="24"/>
        </w:rPr>
      </w:pPr>
    </w:p>
    <w:p w14:paraId="170A5868" w14:textId="023D2DA0" w:rsidR="00CC05AA" w:rsidRPr="00CC05AA" w:rsidRDefault="00CC05AA">
      <w:pPr>
        <w:rPr>
          <w:b/>
          <w:bCs/>
          <w:sz w:val="24"/>
          <w:szCs w:val="24"/>
        </w:rPr>
      </w:pPr>
      <w:r w:rsidRPr="00CC05AA">
        <w:rPr>
          <w:b/>
          <w:bCs/>
          <w:sz w:val="24"/>
          <w:szCs w:val="24"/>
        </w:rPr>
        <w:t>Further detail on calculations for results shown in Figure 2:</w:t>
      </w:r>
    </w:p>
    <w:p w14:paraId="50AA94BA" w14:textId="3B1890D1" w:rsidR="00CC05AA" w:rsidRPr="00CC05AA" w:rsidRDefault="00CC05AA">
      <w:pPr>
        <w:rPr>
          <w:rFonts w:cstheme="minorHAnsi"/>
          <w:sz w:val="24"/>
          <w:szCs w:val="24"/>
        </w:rPr>
      </w:pPr>
    </w:p>
    <w:p w14:paraId="0039AB00" w14:textId="3AA2A039" w:rsidR="00CC05AA" w:rsidRPr="00CC05AA" w:rsidRDefault="00CC05AA" w:rsidP="00CC05AA">
      <w:pPr>
        <w:pStyle w:val="FootnoteText"/>
        <w:rPr>
          <w:rFonts w:cstheme="minorHAnsi"/>
          <w:sz w:val="24"/>
          <w:szCs w:val="24"/>
        </w:rPr>
      </w:pPr>
      <w:r w:rsidRPr="00CC05AA">
        <w:rPr>
          <w:rFonts w:cstheme="minorHAnsi"/>
          <w:sz w:val="24"/>
          <w:szCs w:val="24"/>
        </w:rPr>
        <w:t xml:space="preserve">These </w:t>
      </w:r>
      <w:r>
        <w:rPr>
          <w:rFonts w:cstheme="minorHAnsi"/>
          <w:sz w:val="24"/>
          <w:szCs w:val="24"/>
        </w:rPr>
        <w:t xml:space="preserve">results </w:t>
      </w:r>
      <w:r w:rsidRPr="00CC05AA">
        <w:rPr>
          <w:rFonts w:cstheme="minorHAnsi"/>
          <w:sz w:val="24"/>
          <w:szCs w:val="24"/>
        </w:rPr>
        <w:t xml:space="preserve">can be calculated directly from the coefficients in column 2 using the multinomial logit formula, where the probability of choosing a bio-based fertilizer option i among k alternatives is: </w:t>
      </w:r>
    </w:p>
    <w:p w14:paraId="3F61DB2B" w14:textId="77777777" w:rsidR="00CC05AA" w:rsidRPr="00CC05AA" w:rsidRDefault="00CC05AA" w:rsidP="00CC05AA">
      <w:pPr>
        <w:pStyle w:val="FootnoteText"/>
        <w:rPr>
          <w:rFonts w:eastAsiaTheme="minorEastAsia"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Pr</m:t>
              </m:r>
            </m:e>
            <m:sub>
              <m:r>
                <w:rPr>
                  <w:rFonts w:ascii="Cambria Math" w:hAnsi="Cambria Math" w:cstheme="minorHAnsi"/>
                  <w:sz w:val="24"/>
                  <w:szCs w:val="24"/>
                </w:rPr>
                <m:t>i</m:t>
              </m:r>
            </m:sub>
          </m:sSub>
          <m:r>
            <w:rPr>
              <w:rFonts w:ascii="Cambria Math" w:hAnsi="Cambria Math" w:cstheme="minorHAnsi"/>
              <w:sz w:val="24"/>
              <w:szCs w:val="24"/>
            </w:rPr>
            <m:t>=</m:t>
          </m:r>
          <m:f>
            <m:fPr>
              <m:ctrlPr>
                <w:rPr>
                  <w:rFonts w:ascii="Cambria Math" w:hAnsi="Cambria Math" w:cstheme="minorHAnsi"/>
                  <w:i/>
                  <w:sz w:val="24"/>
                  <w:szCs w:val="24"/>
                </w:rPr>
              </m:ctrlPr>
            </m:fPr>
            <m:num>
              <m:func>
                <m:funcPr>
                  <m:ctrlPr>
                    <w:rPr>
                      <w:rFonts w:ascii="Cambria Math" w:hAnsi="Cambria Math" w:cstheme="minorHAnsi"/>
                      <w:sz w:val="24"/>
                      <w:szCs w:val="24"/>
                    </w:rPr>
                  </m:ctrlPr>
                </m:funcPr>
                <m:fName>
                  <m:r>
                    <m:rPr>
                      <m:sty m:val="p"/>
                    </m:rPr>
                    <w:rPr>
                      <w:rFonts w:ascii="Cambria Math" w:hAnsi="Cambria Math" w:cstheme="minorHAnsi"/>
                      <w:sz w:val="24"/>
                      <w:szCs w:val="24"/>
                    </w:rPr>
                    <m:t>exp</m:t>
                  </m:r>
                </m:fName>
                <m:e>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i</m:t>
                          </m:r>
                        </m:sub>
                      </m:sSub>
                      <m:r>
                        <w:rPr>
                          <w:rFonts w:ascii="Cambria Math" w:hAnsi="Cambria Math" w:cstheme="minorHAnsi"/>
                          <w:sz w:val="24"/>
                          <w:szCs w:val="24"/>
                        </w:rPr>
                        <m:t>β</m:t>
                      </m:r>
                    </m:e>
                  </m:d>
                </m:e>
              </m:func>
            </m:num>
            <m:den>
              <m:func>
                <m:funcPr>
                  <m:ctrlPr>
                    <w:rPr>
                      <w:rFonts w:ascii="Cambria Math" w:hAnsi="Cambria Math" w:cstheme="minorHAnsi"/>
                      <w:sz w:val="24"/>
                      <w:szCs w:val="24"/>
                    </w:rPr>
                  </m:ctrlPr>
                </m:funcPr>
                <m:fName>
                  <m:r>
                    <m:rPr>
                      <m:sty m:val="p"/>
                    </m:rPr>
                    <w:rPr>
                      <w:rFonts w:ascii="Cambria Math" w:hAnsi="Cambria Math" w:cstheme="minorHAnsi"/>
                      <w:sz w:val="24"/>
                      <w:szCs w:val="24"/>
                    </w:rPr>
                    <m:t>exp</m:t>
                  </m:r>
                </m:fName>
                <m:e>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i</m:t>
                          </m:r>
                        </m:sub>
                      </m:sSub>
                      <m:r>
                        <w:rPr>
                          <w:rFonts w:ascii="Cambria Math" w:hAnsi="Cambria Math" w:cstheme="minorHAnsi"/>
                          <w:sz w:val="24"/>
                          <w:szCs w:val="24"/>
                        </w:rPr>
                        <m:t>β</m:t>
                      </m:r>
                    </m:e>
                  </m:d>
                </m:e>
              </m:func>
              <m:r>
                <w:rPr>
                  <w:rFonts w:ascii="Cambria Math" w:hAnsi="Cambria Math" w:cstheme="minorHAnsi"/>
                  <w:sz w:val="24"/>
                  <w:szCs w:val="24"/>
                </w:rPr>
                <m:t>+</m:t>
              </m:r>
              <m:nary>
                <m:naryPr>
                  <m:chr m:val="∑"/>
                  <m:limLoc m:val="undOvr"/>
                  <m:supHide m:val="1"/>
                  <m:ctrlPr>
                    <w:rPr>
                      <w:rFonts w:ascii="Cambria Math" w:hAnsi="Cambria Math" w:cstheme="minorHAnsi"/>
                      <w:i/>
                      <w:sz w:val="24"/>
                      <w:szCs w:val="24"/>
                    </w:rPr>
                  </m:ctrlPr>
                </m:naryPr>
                <m:sub>
                  <m:r>
                    <w:rPr>
                      <w:rFonts w:ascii="Cambria Math" w:hAnsi="Cambria Math" w:cstheme="minorHAnsi"/>
                      <w:sz w:val="24"/>
                      <w:szCs w:val="24"/>
                    </w:rPr>
                    <m:t>i≠k</m:t>
                  </m:r>
                </m:sub>
                <m:sup/>
                <m:e>
                  <m:func>
                    <m:funcPr>
                      <m:ctrlPr>
                        <w:rPr>
                          <w:rFonts w:ascii="Cambria Math" w:hAnsi="Cambria Math" w:cstheme="minorHAnsi"/>
                          <w:sz w:val="24"/>
                          <w:szCs w:val="24"/>
                        </w:rPr>
                      </m:ctrlPr>
                    </m:funcPr>
                    <m:fName>
                      <m:r>
                        <m:rPr>
                          <m:sty m:val="p"/>
                        </m:rPr>
                        <w:rPr>
                          <w:rFonts w:ascii="Cambria Math" w:hAnsi="Cambria Math" w:cstheme="minorHAnsi"/>
                          <w:sz w:val="24"/>
                          <w:szCs w:val="24"/>
                        </w:rPr>
                        <m:t>exp</m:t>
                      </m:r>
                    </m:fName>
                    <m:e>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i</m:t>
                              </m:r>
                            </m:sub>
                          </m:sSub>
                          <m:r>
                            <w:rPr>
                              <w:rFonts w:ascii="Cambria Math" w:hAnsi="Cambria Math" w:cstheme="minorHAnsi"/>
                              <w:sz w:val="24"/>
                              <w:szCs w:val="24"/>
                            </w:rPr>
                            <m:t>β</m:t>
                          </m:r>
                        </m:e>
                      </m:d>
                    </m:e>
                  </m:func>
                </m:e>
              </m:nary>
            </m:den>
          </m:f>
        </m:oMath>
      </m:oMathPara>
    </w:p>
    <w:p w14:paraId="14F12A2D" w14:textId="77777777" w:rsidR="00CC05AA" w:rsidRDefault="00CC05AA" w:rsidP="00CC05AA">
      <w:pPr>
        <w:pStyle w:val="FootnoteText"/>
        <w:rPr>
          <w:rFonts w:eastAsiaTheme="minorEastAsia" w:cstheme="minorHAnsi"/>
          <w:sz w:val="24"/>
          <w:szCs w:val="24"/>
        </w:rPr>
      </w:pPr>
    </w:p>
    <w:p w14:paraId="2821D4FE" w14:textId="0BE96C6C" w:rsidR="00CC05AA" w:rsidRPr="00CC05AA" w:rsidRDefault="00CC05AA" w:rsidP="00CC05AA">
      <w:pPr>
        <w:pStyle w:val="FootnoteText"/>
        <w:rPr>
          <w:rFonts w:eastAsiaTheme="minorEastAsia" w:cstheme="minorHAnsi"/>
          <w:sz w:val="24"/>
          <w:szCs w:val="24"/>
        </w:rPr>
      </w:pPr>
      <w:r w:rsidRPr="00CC05AA">
        <w:rPr>
          <w:rFonts w:eastAsiaTheme="minorEastAsia" w:cstheme="minorHAnsi"/>
          <w:sz w:val="24"/>
          <w:szCs w:val="24"/>
        </w:rPr>
        <w:t>To simulate the probability of choosing between the status quo option and a bio-based fertilizer option that is 50% of current costs and air-dried form (both variables formatted as dummies), the formula becomes:</w:t>
      </w:r>
    </w:p>
    <w:p w14:paraId="34F4EA5E" w14:textId="77777777" w:rsidR="00CC05AA" w:rsidRPr="00CC05AA" w:rsidRDefault="00CC05AA" w:rsidP="00CC05AA">
      <w:pPr>
        <w:pStyle w:val="FootnoteText"/>
        <w:rPr>
          <w:rFonts w:eastAsiaTheme="minorEastAsia" w:cstheme="minorHAnsi"/>
          <w:sz w:val="24"/>
          <w:szCs w:val="24"/>
        </w:rPr>
      </w:pPr>
    </w:p>
    <w:p w14:paraId="32CFE6AD" w14:textId="77777777" w:rsidR="00CC05AA" w:rsidRPr="00CC05AA" w:rsidRDefault="00CC05AA" w:rsidP="00CC05AA">
      <w:pPr>
        <w:pStyle w:val="FootnoteText"/>
        <w:rPr>
          <w:rFonts w:eastAsiaTheme="minorEastAsia"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Pr</m:t>
              </m:r>
            </m:e>
            <m:sub>
              <m:r>
                <w:rPr>
                  <w:rFonts w:ascii="Cambria Math" w:hAnsi="Cambria Math" w:cstheme="minorHAnsi"/>
                  <w:sz w:val="24"/>
                  <w:szCs w:val="24"/>
                </w:rPr>
                <m:t>i</m:t>
              </m:r>
            </m:sub>
          </m:sSub>
          <m:r>
            <w:rPr>
              <w:rFonts w:ascii="Cambria Math" w:hAnsi="Cambria Math" w:cstheme="minorHAnsi"/>
              <w:sz w:val="24"/>
              <w:szCs w:val="24"/>
            </w:rPr>
            <m:t>=</m:t>
          </m:r>
          <m:f>
            <m:fPr>
              <m:ctrlPr>
                <w:rPr>
                  <w:rFonts w:ascii="Cambria Math" w:hAnsi="Cambria Math" w:cstheme="minorHAnsi"/>
                  <w:i/>
                  <w:sz w:val="24"/>
                  <w:szCs w:val="24"/>
                </w:rPr>
              </m:ctrlPr>
            </m:fPr>
            <m:num>
              <m:r>
                <m:rPr>
                  <m:sty m:val="p"/>
                </m:rPr>
                <w:rPr>
                  <w:rFonts w:ascii="Cambria Math" w:hAnsi="Cambria Math" w:cstheme="minorHAnsi"/>
                  <w:sz w:val="24"/>
                  <w:szCs w:val="24"/>
                </w:rPr>
                <m:t>exp⁡</m:t>
              </m:r>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price50</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airdried</m:t>
                  </m:r>
                </m:sub>
              </m:sSub>
              <m:r>
                <w:rPr>
                  <w:rFonts w:ascii="Cambria Math" w:hAnsi="Cambria Math" w:cstheme="minorHAnsi"/>
                  <w:sz w:val="24"/>
                  <w:szCs w:val="24"/>
                </w:rPr>
                <m:t>)</m:t>
              </m:r>
            </m:num>
            <m:den>
              <m:func>
                <m:funcPr>
                  <m:ctrlPr>
                    <w:rPr>
                      <w:rFonts w:ascii="Cambria Math" w:hAnsi="Cambria Math" w:cstheme="minorHAnsi"/>
                      <w:sz w:val="24"/>
                      <w:szCs w:val="24"/>
                    </w:rPr>
                  </m:ctrlPr>
                </m:funcPr>
                <m:fName>
                  <m:r>
                    <m:rPr>
                      <m:sty m:val="p"/>
                    </m:rPr>
                    <w:rPr>
                      <w:rFonts w:ascii="Cambria Math" w:hAnsi="Cambria Math" w:cstheme="minorHAnsi"/>
                      <w:sz w:val="24"/>
                      <w:szCs w:val="24"/>
                    </w:rPr>
                    <m:t>exp</m:t>
                  </m:r>
                </m:fName>
                <m:e>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price50</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airdried</m:t>
                          </m:r>
                        </m:sub>
                      </m:sSub>
                    </m:e>
                  </m:d>
                </m:e>
              </m:func>
              <m:r>
                <w:rPr>
                  <w:rFonts w:ascii="Cambria Math" w:hAnsi="Cambria Math" w:cstheme="minorHAnsi"/>
                  <w:sz w:val="24"/>
                  <w:szCs w:val="24"/>
                </w:rPr>
                <m:t>+</m:t>
              </m:r>
              <m:r>
                <m:rPr>
                  <m:sty m:val="p"/>
                </m:rPr>
                <w:rPr>
                  <w:rFonts w:ascii="Cambria Math" w:hAnsi="Cambria Math" w:cstheme="minorHAnsi"/>
                  <w:sz w:val="24"/>
                  <w:szCs w:val="24"/>
                </w:rPr>
                <m:t>exp⁡(</m:t>
              </m:r>
              <m:sSub>
                <m:sSubPr>
                  <m:ctrlPr>
                    <w:rPr>
                      <w:rFonts w:ascii="Cambria Math" w:hAnsi="Cambria Math" w:cstheme="minorHAnsi"/>
                      <w:sz w:val="24"/>
                      <w:szCs w:val="24"/>
                    </w:rPr>
                  </m:ctrlPr>
                </m:sSubPr>
                <m:e>
                  <m:r>
                    <w:rPr>
                      <w:rFonts w:ascii="Cambria Math" w:hAnsi="Cambria Math" w:cstheme="minorHAnsi"/>
                      <w:sz w:val="24"/>
                      <w:szCs w:val="24"/>
                    </w:rPr>
                    <m:t>β</m:t>
                  </m:r>
                </m:e>
                <m:sub>
                  <m:r>
                    <w:rPr>
                      <w:rFonts w:ascii="Cambria Math" w:hAnsi="Cambria Math" w:cstheme="minorHAnsi"/>
                      <w:sz w:val="24"/>
                      <w:szCs w:val="24"/>
                    </w:rPr>
                    <m:t>ASC</m:t>
                  </m:r>
                </m:sub>
              </m:sSub>
              <m:r>
                <m:rPr>
                  <m:sty m:val="p"/>
                </m:rPr>
                <w:rPr>
                  <w:rFonts w:ascii="Cambria Math" w:hAnsi="Cambria Math" w:cstheme="minorHAnsi"/>
                  <w:sz w:val="24"/>
                  <w:szCs w:val="24"/>
                </w:rPr>
                <m:t>)⁡</m:t>
              </m:r>
            </m:den>
          </m:f>
          <m:r>
            <w:rPr>
              <w:rFonts w:ascii="Cambria Math" w:hAnsi="Cambria Math" w:cstheme="minorHAnsi"/>
              <w:sz w:val="24"/>
              <w:szCs w:val="24"/>
            </w:rPr>
            <m:t>=</m:t>
          </m:r>
          <m:f>
            <m:fPr>
              <m:ctrlPr>
                <w:rPr>
                  <w:rFonts w:ascii="Cambria Math" w:hAnsi="Cambria Math" w:cstheme="minorHAnsi"/>
                  <w:i/>
                  <w:sz w:val="24"/>
                  <w:szCs w:val="24"/>
                </w:rPr>
              </m:ctrlPr>
            </m:fPr>
            <m:num>
              <m:sSup>
                <m:sSupPr>
                  <m:ctrlPr>
                    <w:rPr>
                      <w:rFonts w:ascii="Cambria Math" w:hAnsi="Cambria Math" w:cstheme="minorHAnsi"/>
                      <w:i/>
                      <w:sz w:val="24"/>
                      <w:szCs w:val="24"/>
                    </w:rPr>
                  </m:ctrlPr>
                </m:sSupPr>
                <m:e>
                  <m:r>
                    <w:rPr>
                      <w:rFonts w:ascii="Cambria Math" w:hAnsi="Cambria Math" w:cstheme="minorHAnsi"/>
                      <w:sz w:val="24"/>
                      <w:szCs w:val="24"/>
                    </w:rPr>
                    <m:t>e</m:t>
                  </m:r>
                </m:e>
                <m:sup>
                  <m:r>
                    <w:rPr>
                      <w:rFonts w:ascii="Cambria Math" w:hAnsi="Cambria Math" w:cstheme="minorHAnsi"/>
                      <w:sz w:val="24"/>
                      <w:szCs w:val="24"/>
                    </w:rPr>
                    <m:t>(3.177+ 1.421)</m:t>
                  </m:r>
                </m:sup>
              </m:sSup>
            </m:num>
            <m:den>
              <m:sSup>
                <m:sSupPr>
                  <m:ctrlPr>
                    <w:rPr>
                      <w:rFonts w:ascii="Cambria Math" w:hAnsi="Cambria Math" w:cstheme="minorHAnsi"/>
                      <w:i/>
                      <w:sz w:val="24"/>
                      <w:szCs w:val="24"/>
                    </w:rPr>
                  </m:ctrlPr>
                </m:sSupPr>
                <m:e>
                  <m:r>
                    <w:rPr>
                      <w:rFonts w:ascii="Cambria Math" w:hAnsi="Cambria Math" w:cstheme="minorHAnsi"/>
                      <w:sz w:val="24"/>
                      <w:szCs w:val="24"/>
                    </w:rPr>
                    <m:t>e</m:t>
                  </m:r>
                </m:e>
                <m:sup>
                  <m:r>
                    <w:rPr>
                      <w:rFonts w:ascii="Cambria Math" w:hAnsi="Cambria Math" w:cstheme="minorHAnsi"/>
                      <w:sz w:val="24"/>
                      <w:szCs w:val="24"/>
                    </w:rPr>
                    <m:t>(3.177+ 1.421)</m:t>
                  </m:r>
                </m:sup>
              </m:sSup>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e</m:t>
                  </m:r>
                </m:e>
                <m:sup>
                  <m:r>
                    <w:rPr>
                      <w:rFonts w:ascii="Cambria Math" w:hAnsi="Cambria Math" w:cstheme="minorHAnsi"/>
                      <w:sz w:val="24"/>
                      <w:szCs w:val="24"/>
                    </w:rPr>
                    <m:t>2.766</m:t>
                  </m:r>
                </m:sup>
              </m:sSup>
            </m:den>
          </m:f>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99.29</m:t>
              </m:r>
            </m:num>
            <m:den>
              <m:r>
                <w:rPr>
                  <w:rFonts w:ascii="Cambria Math" w:hAnsi="Cambria Math" w:cstheme="minorHAnsi"/>
                  <w:sz w:val="24"/>
                  <w:szCs w:val="24"/>
                </w:rPr>
                <m:t>115.2</m:t>
              </m:r>
            </m:den>
          </m:f>
          <m:r>
            <w:rPr>
              <w:rFonts w:ascii="Cambria Math" w:hAnsi="Cambria Math" w:cstheme="minorHAnsi"/>
              <w:sz w:val="24"/>
              <w:szCs w:val="24"/>
            </w:rPr>
            <m:t>=0.862</m:t>
          </m:r>
        </m:oMath>
      </m:oMathPara>
    </w:p>
    <w:p w14:paraId="5BCBF3D0" w14:textId="77777777" w:rsidR="00CC05AA" w:rsidRDefault="00CC05AA" w:rsidP="00CC05AA">
      <w:pPr>
        <w:rPr>
          <w:rFonts w:eastAsiaTheme="minorEastAsia" w:cstheme="minorHAnsi"/>
          <w:sz w:val="24"/>
          <w:szCs w:val="24"/>
        </w:rPr>
      </w:pPr>
    </w:p>
    <w:p w14:paraId="38787552" w14:textId="3A55564B" w:rsidR="00CC05AA" w:rsidRPr="00CC05AA" w:rsidRDefault="00CC05AA" w:rsidP="00CC05AA">
      <w:pPr>
        <w:rPr>
          <w:rFonts w:cstheme="minorHAnsi"/>
          <w:sz w:val="24"/>
          <w:szCs w:val="24"/>
        </w:rPr>
      </w:pPr>
      <w:r w:rsidRPr="00CC05AA">
        <w:rPr>
          <w:rFonts w:eastAsiaTheme="minorEastAsia" w:cstheme="minorHAnsi"/>
          <w:sz w:val="24"/>
          <w:szCs w:val="24"/>
        </w:rPr>
        <w:t>The 95% confidence intervals in Figure 2 were created with a Monte Carlo simulation (using Oracle Crystal Ball). In each of 10,000 runs, the model drew estimates for each β from normal distributions based on the means and standard errors from column 2 of Table 1, and calculated each of the nine predicted probabilities in Figure 2. The standard deviation for each of the nine is calculated from the empirical distribution of these 10,000 predicted probabilities.</w:t>
      </w:r>
    </w:p>
    <w:sectPr w:rsidR="00CC05AA" w:rsidRPr="00CC0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5AA"/>
    <w:rsid w:val="00162111"/>
    <w:rsid w:val="00A33988"/>
    <w:rsid w:val="00CC0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909FE"/>
  <w15:chartTrackingRefBased/>
  <w15:docId w15:val="{3DC2685A-79A9-42AA-881F-F2F20DA5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C05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05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45FCDCC77EED459749D35E8D371BEA" ma:contentTypeVersion="13" ma:contentTypeDescription="Create a new document." ma:contentTypeScope="" ma:versionID="0771d2eb0a6f6f9854055da680e2e7a9">
  <xsd:schema xmlns:xsd="http://www.w3.org/2001/XMLSchema" xmlns:xs="http://www.w3.org/2001/XMLSchema" xmlns:p="http://schemas.microsoft.com/office/2006/metadata/properties" xmlns:ns3="c92a8c5a-e137-4299-a152-bd1a95977dfc" xmlns:ns4="c56fc471-1f09-4306-b72e-b59fe468ccef" targetNamespace="http://schemas.microsoft.com/office/2006/metadata/properties" ma:root="true" ma:fieldsID="46a3183ccd8ab28ce7592ce8360616b6" ns3:_="" ns4:_="">
    <xsd:import namespace="c92a8c5a-e137-4299-a152-bd1a95977dfc"/>
    <xsd:import namespace="c56fc471-1f09-4306-b72e-b59fe468cc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a8c5a-e137-4299-a152-bd1a95977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6fc471-1f09-4306-b72e-b59fe468cce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8F8922-08E9-4E40-90E4-B8E5FD89C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a8c5a-e137-4299-a152-bd1a95977dfc"/>
    <ds:schemaRef ds:uri="c56fc471-1f09-4306-b72e-b59fe468c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B5D11F-D927-4F39-B17F-F9EFF1190CD6}">
  <ds:schemaRefs>
    <ds:schemaRef ds:uri="http://schemas.microsoft.com/sharepoint/v3/contenttype/forms"/>
  </ds:schemaRefs>
</ds:datastoreItem>
</file>

<file path=customXml/itemProps3.xml><?xml version="1.0" encoding="utf-8"?>
<ds:datastoreItem xmlns:ds="http://schemas.openxmlformats.org/officeDocument/2006/customXml" ds:itemID="{4A4F417C-4326-49F8-B58D-DE7FA17FB6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Hills, Karen</dc:creator>
  <cp:keywords/>
  <dc:description/>
  <cp:lastModifiedBy>Hills, Karen</cp:lastModifiedBy>
  <cp:revision>1</cp:revision>
  <dcterms:created xsi:type="dcterms:W3CDTF">2019-10-17T21:02:00Z</dcterms:created>
  <dcterms:modified xsi:type="dcterms:W3CDTF">2019-10-17T21:10:00Z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0x0101006945FCDCC77EED459749D35E8D371BEA</vt:lpwstr>
  </property>
</Properties>
</file>