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F9A3" w14:textId="34B26FD5" w:rsidR="00D76618" w:rsidRPr="00C04029" w:rsidRDefault="00D76618" w:rsidP="00754ABD">
      <w:pPr>
        <w:jc w:val="both"/>
        <w:rPr>
          <w:b/>
          <w:sz w:val="24"/>
          <w:szCs w:val="24"/>
          <w:lang w:val="en-US"/>
        </w:rPr>
      </w:pPr>
      <w:r w:rsidRPr="00C04029">
        <w:rPr>
          <w:b/>
          <w:sz w:val="24"/>
          <w:szCs w:val="24"/>
          <w:lang w:val="en-US"/>
        </w:rPr>
        <w:t>SUPPLEMENTARY INFORMATION</w:t>
      </w:r>
    </w:p>
    <w:p w14:paraId="6D41AEA6" w14:textId="3FAC6D32" w:rsidR="00754ABD" w:rsidRPr="00C04029" w:rsidRDefault="00D76618" w:rsidP="00A61B61">
      <w:pPr>
        <w:spacing w:before="240"/>
        <w:rPr>
          <w:b/>
          <w:sz w:val="24"/>
          <w:szCs w:val="24"/>
          <w:lang w:val="en-US"/>
        </w:rPr>
      </w:pPr>
      <w:r w:rsidRPr="00C04029">
        <w:rPr>
          <w:sz w:val="24"/>
          <w:szCs w:val="24"/>
          <w:lang w:val="en-US"/>
        </w:rPr>
        <w:br/>
      </w:r>
      <w:r w:rsidR="00A61B61" w:rsidRPr="00C04029">
        <w:rPr>
          <w:b/>
          <w:sz w:val="24"/>
          <w:szCs w:val="24"/>
          <w:lang w:val="en-US"/>
        </w:rPr>
        <w:t>1</w:t>
      </w:r>
      <w:r w:rsidR="00FE0503" w:rsidRPr="00C04029">
        <w:rPr>
          <w:b/>
          <w:sz w:val="24"/>
          <w:szCs w:val="24"/>
          <w:lang w:val="en-US"/>
        </w:rPr>
        <w:t>- C</w:t>
      </w:r>
      <w:r w:rsidR="00754ABD" w:rsidRPr="00C04029">
        <w:rPr>
          <w:b/>
          <w:sz w:val="24"/>
          <w:szCs w:val="24"/>
          <w:lang w:val="en-US"/>
        </w:rPr>
        <w:t>onstruction of the Weighted Average Cost of Capital (WACC)</w:t>
      </w:r>
    </w:p>
    <w:p w14:paraId="0BD60773" w14:textId="77777777" w:rsidR="00754ABD" w:rsidRPr="00C04029" w:rsidRDefault="00754ABD" w:rsidP="00754ABD">
      <w:pPr>
        <w:jc w:val="both"/>
        <w:rPr>
          <w:sz w:val="24"/>
          <w:szCs w:val="24"/>
          <w:lang w:val="en-US"/>
        </w:rPr>
      </w:pPr>
      <w:r w:rsidRPr="00C04029">
        <w:rPr>
          <w:sz w:val="24"/>
          <w:szCs w:val="24"/>
          <w:lang w:val="en-US"/>
        </w:rPr>
        <w:t>The construction of the WACC follows the structure:</w:t>
      </w:r>
    </w:p>
    <w:p w14:paraId="2CE8850B" w14:textId="6DD6F1F9" w:rsidR="00754ABD" w:rsidRPr="00C04029" w:rsidRDefault="00754ABD" w:rsidP="00754ABD">
      <w:pPr>
        <w:autoSpaceDE w:val="0"/>
        <w:autoSpaceDN w:val="0"/>
        <w:adjustRightInd w:val="0"/>
        <w:spacing w:after="0" w:line="240" w:lineRule="auto"/>
        <w:jc w:val="center"/>
        <w:rPr>
          <w:sz w:val="24"/>
          <w:szCs w:val="24"/>
          <w:lang w:val="en-GB"/>
        </w:rPr>
      </w:pPr>
      <w:r w:rsidRPr="00C04029">
        <w:rPr>
          <w:position w:val="-10"/>
          <w:sz w:val="24"/>
          <w:szCs w:val="24"/>
        </w:rPr>
        <w:object w:dxaOrig="2895" w:dyaOrig="375" w14:anchorId="77FDB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8.75pt" o:ole="">
            <v:imagedata r:id="rId7" o:title=""/>
          </v:shape>
          <o:OLEObject Type="Embed" ProgID="Equation.3" ShapeID="_x0000_i1025" DrawAspect="Content" ObjectID="_1624189707" r:id="rId8"/>
        </w:object>
      </w:r>
      <w:r w:rsidRPr="00C04029">
        <w:rPr>
          <w:sz w:val="24"/>
          <w:szCs w:val="24"/>
          <w:lang w:val="en-GB"/>
        </w:rPr>
        <w:t xml:space="preserve">              </w:t>
      </w:r>
      <w:r w:rsidR="00FE0503" w:rsidRPr="00C04029">
        <w:rPr>
          <w:sz w:val="24"/>
          <w:szCs w:val="24"/>
          <w:lang w:val="en-GB"/>
        </w:rPr>
        <w:t>(1</w:t>
      </w:r>
      <w:r w:rsidRPr="00C04029">
        <w:rPr>
          <w:sz w:val="24"/>
          <w:szCs w:val="24"/>
          <w:lang w:val="en-GB"/>
        </w:rPr>
        <w:t>)</w:t>
      </w:r>
    </w:p>
    <w:p w14:paraId="6F44CEA9" w14:textId="77777777" w:rsidR="00754ABD" w:rsidRPr="00C04029" w:rsidRDefault="00754ABD" w:rsidP="00754ABD">
      <w:pPr>
        <w:autoSpaceDE w:val="0"/>
        <w:autoSpaceDN w:val="0"/>
        <w:adjustRightInd w:val="0"/>
        <w:spacing w:after="0" w:line="240" w:lineRule="auto"/>
        <w:jc w:val="center"/>
        <w:rPr>
          <w:sz w:val="24"/>
          <w:szCs w:val="24"/>
          <w:lang w:val="en-GB"/>
        </w:rPr>
      </w:pPr>
    </w:p>
    <w:p w14:paraId="3DB9172A" w14:textId="214ED767" w:rsidR="00754ABD" w:rsidRPr="00C04029" w:rsidRDefault="00754ABD" w:rsidP="00754ABD">
      <w:pPr>
        <w:autoSpaceDE w:val="0"/>
        <w:autoSpaceDN w:val="0"/>
        <w:adjustRightInd w:val="0"/>
        <w:spacing w:after="0" w:line="240" w:lineRule="auto"/>
        <w:jc w:val="center"/>
        <w:rPr>
          <w:sz w:val="24"/>
          <w:szCs w:val="24"/>
          <w:lang w:val="en-GB"/>
        </w:rPr>
      </w:pPr>
      <w:r w:rsidRPr="00C04029">
        <w:rPr>
          <w:position w:val="-12"/>
          <w:sz w:val="24"/>
          <w:szCs w:val="24"/>
        </w:rPr>
        <w:object w:dxaOrig="2655" w:dyaOrig="360" w14:anchorId="5BA5BAF3">
          <v:shape id="_x0000_i1026" type="#_x0000_t75" style="width:132.75pt;height:18pt" o:ole="">
            <v:imagedata r:id="rId9" o:title=""/>
          </v:shape>
          <o:OLEObject Type="Embed" ProgID="Equation.3" ShapeID="_x0000_i1026" DrawAspect="Content" ObjectID="_1624189708" r:id="rId10"/>
        </w:object>
      </w:r>
      <w:r w:rsidRPr="00C04029">
        <w:rPr>
          <w:sz w:val="24"/>
          <w:szCs w:val="24"/>
          <w:lang w:val="en-GB"/>
        </w:rPr>
        <w:t xml:space="preserve">             </w:t>
      </w:r>
      <w:r w:rsidR="00FE0503" w:rsidRPr="00C04029">
        <w:rPr>
          <w:sz w:val="24"/>
          <w:szCs w:val="24"/>
          <w:lang w:val="en-GB"/>
        </w:rPr>
        <w:t>(2</w:t>
      </w:r>
      <w:r w:rsidRPr="00C04029">
        <w:rPr>
          <w:sz w:val="24"/>
          <w:szCs w:val="24"/>
          <w:lang w:val="en-GB"/>
        </w:rPr>
        <w:t>)</w:t>
      </w:r>
    </w:p>
    <w:p w14:paraId="00BA8426" w14:textId="77777777" w:rsidR="00754ABD" w:rsidRPr="00C04029" w:rsidRDefault="00754ABD" w:rsidP="00754ABD">
      <w:pPr>
        <w:autoSpaceDE w:val="0"/>
        <w:autoSpaceDN w:val="0"/>
        <w:adjustRightInd w:val="0"/>
        <w:spacing w:after="0" w:line="240" w:lineRule="auto"/>
        <w:jc w:val="center"/>
        <w:rPr>
          <w:sz w:val="24"/>
          <w:szCs w:val="24"/>
          <w:lang w:val="en-GB"/>
        </w:rPr>
      </w:pPr>
    </w:p>
    <w:p w14:paraId="0E6C49C6" w14:textId="0926F57E" w:rsidR="00754ABD" w:rsidRPr="00C04029" w:rsidRDefault="00754ABD" w:rsidP="00754ABD">
      <w:pPr>
        <w:autoSpaceDE w:val="0"/>
        <w:autoSpaceDN w:val="0"/>
        <w:adjustRightInd w:val="0"/>
        <w:spacing w:after="0" w:line="240" w:lineRule="auto"/>
        <w:jc w:val="center"/>
        <w:rPr>
          <w:sz w:val="24"/>
          <w:szCs w:val="24"/>
          <w:lang w:val="en-GB"/>
        </w:rPr>
      </w:pPr>
      <w:r w:rsidRPr="00C04029">
        <w:rPr>
          <w:position w:val="-28"/>
          <w:sz w:val="24"/>
          <w:szCs w:val="24"/>
        </w:rPr>
        <w:object w:dxaOrig="4099" w:dyaOrig="660" w14:anchorId="0001D96B">
          <v:shape id="_x0000_i1027" type="#_x0000_t75" style="width:204.75pt;height:33pt" o:ole="">
            <v:imagedata r:id="rId11" o:title=""/>
          </v:shape>
          <o:OLEObject Type="Embed" ProgID="Equation.3" ShapeID="_x0000_i1027" DrawAspect="Content" ObjectID="_1624189709" r:id="rId12"/>
        </w:object>
      </w:r>
      <w:r w:rsidRPr="00C04029">
        <w:rPr>
          <w:sz w:val="24"/>
          <w:szCs w:val="24"/>
          <w:lang w:val="en-GB"/>
        </w:rPr>
        <w:t xml:space="preserve">     </w:t>
      </w:r>
      <w:r w:rsidR="00FE0503" w:rsidRPr="00C04029">
        <w:rPr>
          <w:sz w:val="24"/>
          <w:szCs w:val="24"/>
          <w:lang w:val="en-GB"/>
        </w:rPr>
        <w:t xml:space="preserve"> (3</w:t>
      </w:r>
      <w:r w:rsidRPr="00C04029">
        <w:rPr>
          <w:sz w:val="24"/>
          <w:szCs w:val="24"/>
          <w:lang w:val="en-GB"/>
        </w:rPr>
        <w:t>)</w:t>
      </w:r>
    </w:p>
    <w:p w14:paraId="6B56EB99" w14:textId="409F6226" w:rsidR="00754ABD" w:rsidRPr="00C04029" w:rsidRDefault="00754ABD" w:rsidP="00754ABD">
      <w:pPr>
        <w:autoSpaceDE w:val="0"/>
        <w:autoSpaceDN w:val="0"/>
        <w:adjustRightInd w:val="0"/>
        <w:spacing w:after="0" w:line="240" w:lineRule="auto"/>
        <w:jc w:val="center"/>
        <w:rPr>
          <w:sz w:val="24"/>
          <w:szCs w:val="24"/>
          <w:lang w:val="en-GB"/>
        </w:rPr>
      </w:pPr>
      <w:r w:rsidRPr="00C04029">
        <w:rPr>
          <w:position w:val="-10"/>
          <w:sz w:val="24"/>
          <w:szCs w:val="24"/>
        </w:rPr>
        <w:object w:dxaOrig="1120" w:dyaOrig="340" w14:anchorId="61FE88E1">
          <v:shape id="_x0000_i1028" type="#_x0000_t75" style="width:60pt;height:18pt" o:ole="">
            <v:imagedata r:id="rId13" o:title=""/>
          </v:shape>
          <o:OLEObject Type="Embed" ProgID="Equation.3" ShapeID="_x0000_i1028" DrawAspect="Content" ObjectID="_1624189710" r:id="rId14"/>
        </w:object>
      </w:r>
      <w:r w:rsidRPr="00C04029">
        <w:rPr>
          <w:sz w:val="24"/>
          <w:szCs w:val="24"/>
          <w:lang w:val="en-GB"/>
        </w:rPr>
        <w:t xml:space="preserve">     </w:t>
      </w:r>
      <w:r w:rsidR="00FE0503" w:rsidRPr="00C04029">
        <w:rPr>
          <w:sz w:val="24"/>
          <w:szCs w:val="24"/>
          <w:lang w:val="en-GB"/>
        </w:rPr>
        <w:t>(4</w:t>
      </w:r>
      <w:r w:rsidRPr="00C04029">
        <w:rPr>
          <w:sz w:val="24"/>
          <w:szCs w:val="24"/>
          <w:lang w:val="en-GB"/>
        </w:rPr>
        <w:t>)</w:t>
      </w:r>
    </w:p>
    <w:p w14:paraId="00993A8B" w14:textId="77777777" w:rsidR="00754ABD" w:rsidRPr="00C04029" w:rsidRDefault="00754ABD" w:rsidP="00754ABD">
      <w:pPr>
        <w:autoSpaceDE w:val="0"/>
        <w:autoSpaceDN w:val="0"/>
        <w:adjustRightInd w:val="0"/>
        <w:spacing w:after="0" w:line="240" w:lineRule="auto"/>
        <w:jc w:val="center"/>
        <w:rPr>
          <w:sz w:val="24"/>
          <w:szCs w:val="24"/>
          <w:lang w:val="en-GB"/>
        </w:rPr>
      </w:pPr>
    </w:p>
    <w:p w14:paraId="11679C39" w14:textId="77777777" w:rsidR="00754ABD" w:rsidRPr="00C04029" w:rsidRDefault="00754ABD" w:rsidP="00754ABD">
      <w:pPr>
        <w:autoSpaceDE w:val="0"/>
        <w:autoSpaceDN w:val="0"/>
        <w:adjustRightInd w:val="0"/>
        <w:spacing w:after="0" w:line="240" w:lineRule="auto"/>
        <w:jc w:val="both"/>
        <w:rPr>
          <w:sz w:val="24"/>
          <w:szCs w:val="24"/>
          <w:lang w:val="en-GB"/>
        </w:rPr>
      </w:pPr>
    </w:p>
    <w:p w14:paraId="4EE0F340"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In which:</w:t>
      </w:r>
    </w:p>
    <w:p w14:paraId="26E0BA9A" w14:textId="77777777" w:rsidR="00754ABD" w:rsidRPr="00C04029" w:rsidRDefault="00754ABD" w:rsidP="00754ABD">
      <w:pPr>
        <w:autoSpaceDE w:val="0"/>
        <w:autoSpaceDN w:val="0"/>
        <w:adjustRightInd w:val="0"/>
        <w:spacing w:after="0" w:line="240" w:lineRule="auto"/>
        <w:jc w:val="both"/>
        <w:rPr>
          <w:sz w:val="24"/>
          <w:szCs w:val="24"/>
          <w:lang w:val="en-GB"/>
        </w:rPr>
      </w:pPr>
    </w:p>
    <w:p w14:paraId="166367BC"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W</w:t>
      </w:r>
      <w:r w:rsidRPr="00C04029">
        <w:rPr>
          <w:sz w:val="24"/>
          <w:szCs w:val="24"/>
          <w:vertAlign w:val="subscript"/>
          <w:lang w:val="en-GB"/>
        </w:rPr>
        <w:t>1</w:t>
      </w:r>
      <w:r w:rsidRPr="00C04029">
        <w:rPr>
          <w:sz w:val="24"/>
          <w:szCs w:val="24"/>
          <w:lang w:val="en-GB"/>
        </w:rPr>
        <w:t xml:space="preserve"> = Participation of others’ capital costs;</w:t>
      </w:r>
    </w:p>
    <w:p w14:paraId="7E8F5D34"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K</w:t>
      </w:r>
      <w:r w:rsidRPr="00C04029">
        <w:rPr>
          <w:sz w:val="24"/>
          <w:szCs w:val="24"/>
          <w:vertAlign w:val="subscript"/>
          <w:lang w:val="en-GB"/>
        </w:rPr>
        <w:t>1</w:t>
      </w:r>
      <w:r w:rsidRPr="00C04029">
        <w:rPr>
          <w:sz w:val="24"/>
          <w:szCs w:val="24"/>
          <w:lang w:val="en-GB"/>
        </w:rPr>
        <w:t xml:space="preserve"> = Value of financial expenses;</w:t>
      </w:r>
    </w:p>
    <w:p w14:paraId="5CF77FC9"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W</w:t>
      </w:r>
      <w:r w:rsidRPr="00C04029">
        <w:rPr>
          <w:sz w:val="24"/>
          <w:szCs w:val="24"/>
          <w:vertAlign w:val="subscript"/>
          <w:lang w:val="en-GB"/>
        </w:rPr>
        <w:t>2</w:t>
      </w:r>
      <w:r w:rsidRPr="00C04029">
        <w:rPr>
          <w:sz w:val="24"/>
          <w:szCs w:val="24"/>
          <w:lang w:val="en-GB"/>
        </w:rPr>
        <w:t xml:space="preserve"> = Participation of the cost of equity;</w:t>
      </w:r>
    </w:p>
    <w:p w14:paraId="1DEE3171"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K</w:t>
      </w:r>
      <w:r w:rsidRPr="00C04029">
        <w:rPr>
          <w:sz w:val="24"/>
          <w:szCs w:val="24"/>
          <w:vertAlign w:val="subscript"/>
          <w:lang w:val="en-GB"/>
        </w:rPr>
        <w:t>2</w:t>
      </w:r>
      <w:r w:rsidRPr="00C04029">
        <w:rPr>
          <w:sz w:val="24"/>
          <w:szCs w:val="24"/>
          <w:lang w:val="en-GB"/>
        </w:rPr>
        <w:t xml:space="preserve"> = Opportunity cost of equity;</w:t>
      </w:r>
    </w:p>
    <w:p w14:paraId="55EB7359" w14:textId="77777777" w:rsidR="00754ABD" w:rsidRPr="00C04029" w:rsidRDefault="00754ABD" w:rsidP="00754ABD">
      <w:pPr>
        <w:autoSpaceDE w:val="0"/>
        <w:autoSpaceDN w:val="0"/>
        <w:adjustRightInd w:val="0"/>
        <w:spacing w:after="0" w:line="240" w:lineRule="auto"/>
        <w:jc w:val="both"/>
        <w:rPr>
          <w:sz w:val="24"/>
          <w:szCs w:val="24"/>
          <w:lang w:val="en-GB"/>
        </w:rPr>
      </w:pPr>
      <w:proofErr w:type="spellStart"/>
      <w:r w:rsidRPr="00C04029">
        <w:rPr>
          <w:sz w:val="24"/>
          <w:szCs w:val="24"/>
          <w:lang w:val="en-GB"/>
        </w:rPr>
        <w:t>Jp</w:t>
      </w:r>
      <w:proofErr w:type="spellEnd"/>
      <w:r w:rsidRPr="00C04029">
        <w:rPr>
          <w:sz w:val="24"/>
          <w:szCs w:val="24"/>
          <w:lang w:val="en-GB"/>
        </w:rPr>
        <w:t xml:space="preserve"> = Interest weighted, factor that considers both the risk sector as the producer's profile;</w:t>
      </w:r>
    </w:p>
    <w:p w14:paraId="44B4F91F"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IPCA = official inflation index;</w:t>
      </w:r>
    </w:p>
    <w:p w14:paraId="6DC5E14B"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 xml:space="preserve">B = levered beta, risk indicator for an activity in relation to the systematic market risk </w:t>
      </w:r>
    </w:p>
    <w:p w14:paraId="5B60DB94" w14:textId="77777777" w:rsidR="00754ABD" w:rsidRPr="00C04029" w:rsidRDefault="00754ABD" w:rsidP="00754ABD">
      <w:pPr>
        <w:autoSpaceDE w:val="0"/>
        <w:autoSpaceDN w:val="0"/>
        <w:adjustRightInd w:val="0"/>
        <w:spacing w:after="0" w:line="240" w:lineRule="auto"/>
        <w:jc w:val="both"/>
        <w:rPr>
          <w:sz w:val="24"/>
          <w:szCs w:val="24"/>
          <w:lang w:val="en-GB"/>
        </w:rPr>
      </w:pPr>
      <w:proofErr w:type="spellStart"/>
      <w:r w:rsidRPr="00C04029">
        <w:rPr>
          <w:sz w:val="24"/>
          <w:szCs w:val="24"/>
          <w:lang w:val="en-GB"/>
        </w:rPr>
        <w:t>R</w:t>
      </w:r>
      <w:r w:rsidRPr="00C04029">
        <w:rPr>
          <w:sz w:val="24"/>
          <w:szCs w:val="24"/>
          <w:vertAlign w:val="subscript"/>
          <w:lang w:val="en-GB"/>
        </w:rPr>
        <w:t>s</w:t>
      </w:r>
      <w:proofErr w:type="spellEnd"/>
      <w:r w:rsidRPr="00C04029">
        <w:rPr>
          <w:sz w:val="24"/>
          <w:szCs w:val="24"/>
          <w:lang w:val="en-GB"/>
        </w:rPr>
        <w:t xml:space="preserve"> = Risk premium associated with the sector of productive activity;</w:t>
      </w:r>
    </w:p>
    <w:p w14:paraId="2DD494CF"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V</w:t>
      </w:r>
      <w:r w:rsidRPr="00C04029">
        <w:rPr>
          <w:sz w:val="24"/>
          <w:szCs w:val="24"/>
          <w:vertAlign w:val="subscript"/>
          <w:lang w:val="en-GB"/>
        </w:rPr>
        <w:t>s</w:t>
      </w:r>
      <w:r w:rsidRPr="00C04029">
        <w:rPr>
          <w:sz w:val="24"/>
          <w:szCs w:val="24"/>
          <w:lang w:val="en-GB"/>
        </w:rPr>
        <w:t xml:space="preserve"> = Amount invested in savings;</w:t>
      </w:r>
    </w:p>
    <w:p w14:paraId="4F5D8D15"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S = savings interest rate;</w:t>
      </w:r>
    </w:p>
    <w:p w14:paraId="52FA4E32"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I</w:t>
      </w:r>
      <w:r w:rsidRPr="00C04029">
        <w:rPr>
          <w:sz w:val="24"/>
          <w:szCs w:val="24"/>
          <w:vertAlign w:val="subscript"/>
          <w:lang w:val="en-GB"/>
        </w:rPr>
        <w:t>CDB</w:t>
      </w:r>
      <w:r w:rsidRPr="00C04029">
        <w:rPr>
          <w:sz w:val="24"/>
          <w:szCs w:val="24"/>
          <w:lang w:val="en-GB"/>
        </w:rPr>
        <w:t>= interest rate offered by Bank Deposit Certificates;</w:t>
      </w:r>
    </w:p>
    <w:p w14:paraId="6796BFC2" w14:textId="77777777" w:rsidR="00754ABD" w:rsidRPr="00C04029" w:rsidRDefault="00754ABD" w:rsidP="00754ABD">
      <w:pPr>
        <w:autoSpaceDE w:val="0"/>
        <w:autoSpaceDN w:val="0"/>
        <w:adjustRightInd w:val="0"/>
        <w:spacing w:after="0" w:line="240" w:lineRule="auto"/>
        <w:jc w:val="both"/>
        <w:rPr>
          <w:sz w:val="24"/>
          <w:szCs w:val="24"/>
          <w:lang w:val="en-GB"/>
        </w:rPr>
      </w:pPr>
      <w:proofErr w:type="spellStart"/>
      <w:r w:rsidRPr="00C04029">
        <w:rPr>
          <w:sz w:val="24"/>
          <w:szCs w:val="24"/>
          <w:lang w:val="en-GB"/>
        </w:rPr>
        <w:t>Cp</w:t>
      </w:r>
      <w:proofErr w:type="spellEnd"/>
      <w:r w:rsidRPr="00C04029">
        <w:rPr>
          <w:sz w:val="24"/>
          <w:szCs w:val="24"/>
          <w:lang w:val="en-GB"/>
        </w:rPr>
        <w:t xml:space="preserve"> = Monetary value of equity invested in the activity;</w:t>
      </w:r>
    </w:p>
    <w:p w14:paraId="1D476F63" w14:textId="77777777" w:rsidR="00754ABD" w:rsidRPr="00C04029" w:rsidRDefault="00754ABD" w:rsidP="00754ABD">
      <w:pPr>
        <w:autoSpaceDE w:val="0"/>
        <w:autoSpaceDN w:val="0"/>
        <w:adjustRightInd w:val="0"/>
        <w:spacing w:after="0" w:line="240" w:lineRule="auto"/>
        <w:jc w:val="both"/>
        <w:rPr>
          <w:sz w:val="24"/>
          <w:szCs w:val="24"/>
          <w:lang w:val="en-GB"/>
        </w:rPr>
      </w:pPr>
      <w:r w:rsidRPr="00C04029">
        <w:rPr>
          <w:sz w:val="24"/>
          <w:szCs w:val="24"/>
          <w:lang w:val="en-GB"/>
        </w:rPr>
        <w:t>I= Total investment.</w:t>
      </w:r>
    </w:p>
    <w:p w14:paraId="5888F0BF" w14:textId="77777777" w:rsidR="00754ABD" w:rsidRPr="00C04029" w:rsidRDefault="00754ABD" w:rsidP="00754ABD">
      <w:pPr>
        <w:jc w:val="both"/>
        <w:rPr>
          <w:sz w:val="24"/>
          <w:szCs w:val="24"/>
          <w:lang w:val="en-US"/>
        </w:rPr>
      </w:pPr>
    </w:p>
    <w:p w14:paraId="5AFF33AE" w14:textId="77777777" w:rsidR="001E35D2" w:rsidRPr="00C04029" w:rsidRDefault="00754ABD" w:rsidP="00754ABD">
      <w:pPr>
        <w:jc w:val="both"/>
        <w:rPr>
          <w:sz w:val="24"/>
          <w:szCs w:val="24"/>
          <w:lang w:val="en-US"/>
        </w:rPr>
      </w:pPr>
      <w:r w:rsidRPr="00C04029">
        <w:rPr>
          <w:sz w:val="24"/>
          <w:szCs w:val="24"/>
          <w:lang w:val="en-US"/>
        </w:rPr>
        <w:t>The final capital cost was defined as a balance between the equity portion, defined here as 60%, and the amount of capital financed, 40%</w:t>
      </w:r>
      <w:r w:rsidRPr="00C04029">
        <w:rPr>
          <w:rStyle w:val="Refdenotaderodap"/>
          <w:sz w:val="24"/>
          <w:szCs w:val="24"/>
          <w:lang w:val="en-US"/>
        </w:rPr>
        <w:footnoteReference w:id="1"/>
      </w:r>
      <w:r w:rsidRPr="00C04029">
        <w:rPr>
          <w:sz w:val="24"/>
          <w:szCs w:val="24"/>
          <w:lang w:val="en-US"/>
        </w:rPr>
        <w:t>. It was used as interest rate for the funded portion the values practiced by the Center - West Constitutional Fund, 8.75%, in 2005. This was the main and the most used financing instrument available at that time. For the equity share, the final cost was defined as: R$ 250,000.00</w:t>
      </w:r>
      <w:r w:rsidRPr="00C04029">
        <w:rPr>
          <w:rStyle w:val="Refdenotaderodap"/>
          <w:sz w:val="24"/>
          <w:szCs w:val="24"/>
          <w:lang w:val="en-US"/>
        </w:rPr>
        <w:footnoteReference w:id="2"/>
      </w:r>
      <w:r w:rsidRPr="00C04029">
        <w:rPr>
          <w:sz w:val="24"/>
          <w:szCs w:val="24"/>
          <w:lang w:val="en-US"/>
        </w:rPr>
        <w:t xml:space="preserve"> capitalized by interest offered by Bank Deposit Certificates </w:t>
      </w:r>
      <w:r w:rsidRPr="00C04029">
        <w:rPr>
          <w:sz w:val="24"/>
          <w:szCs w:val="24"/>
          <w:lang w:val="en-US"/>
        </w:rPr>
        <w:lastRenderedPageBreak/>
        <w:t>(CDB)</w:t>
      </w:r>
      <w:r w:rsidRPr="00C04029">
        <w:rPr>
          <w:rStyle w:val="Refdenotaderodap"/>
          <w:sz w:val="24"/>
          <w:szCs w:val="24"/>
          <w:lang w:val="en-US"/>
        </w:rPr>
        <w:footnoteReference w:id="3"/>
      </w:r>
      <w:r w:rsidRPr="00C04029">
        <w:rPr>
          <w:sz w:val="24"/>
          <w:szCs w:val="24"/>
          <w:lang w:val="en-US"/>
        </w:rPr>
        <w:t xml:space="preserve"> deducted from income tax, and the remaining portion was capitalized with reference to the official savings rate. The outcome of adjustment in the equity cost was discounted by official inflation index (IPCA) to get the real interest rate and added a risk measure for agriculture sector, defined as the difference between the return expected value on assets of agricultural companies operating in the main capital stock of Brazil, </w:t>
      </w:r>
      <w:proofErr w:type="spellStart"/>
      <w:r w:rsidRPr="00C04029">
        <w:rPr>
          <w:sz w:val="24"/>
          <w:szCs w:val="24"/>
          <w:lang w:val="en-US"/>
        </w:rPr>
        <w:t>Bovespa</w:t>
      </w:r>
      <w:proofErr w:type="spellEnd"/>
      <w:r w:rsidRPr="00C04029">
        <w:rPr>
          <w:sz w:val="24"/>
          <w:szCs w:val="24"/>
          <w:lang w:val="en-US"/>
        </w:rPr>
        <w:t>, and the expected return of the market portfolio with less risk.</w:t>
      </w:r>
    </w:p>
    <w:p w14:paraId="71C021D0" w14:textId="1626713C" w:rsidR="00A16F7B" w:rsidRPr="00C04029" w:rsidRDefault="00A16F7B" w:rsidP="00A16F7B">
      <w:pPr>
        <w:jc w:val="both"/>
        <w:rPr>
          <w:sz w:val="24"/>
          <w:szCs w:val="24"/>
          <w:lang w:val="en-US"/>
        </w:rPr>
      </w:pPr>
      <w:r w:rsidRPr="00C04029">
        <w:rPr>
          <w:b/>
          <w:sz w:val="24"/>
          <w:szCs w:val="24"/>
          <w:lang w:val="en-US"/>
        </w:rPr>
        <w:t>2- Information about representative farms case studies</w:t>
      </w:r>
    </w:p>
    <w:p w14:paraId="13275634" w14:textId="7830D14F" w:rsidR="00A16F7B" w:rsidRPr="00C04029" w:rsidRDefault="00A16F7B" w:rsidP="009728FB">
      <w:pPr>
        <w:rPr>
          <w:sz w:val="24"/>
          <w:lang w:val="en-US"/>
        </w:rPr>
      </w:pPr>
      <w:r w:rsidRPr="00C04029">
        <w:rPr>
          <w:sz w:val="24"/>
          <w:lang w:val="en-US"/>
        </w:rPr>
        <w:t>The approach used in the paper was to develop representative case studies for each of the agriculture systems evaluated based on the economic relevance of these agricultural systems for Mato Grosso (crop (soy</w:t>
      </w:r>
      <w:r w:rsidR="00FF2694" w:rsidRPr="00C04029">
        <w:rPr>
          <w:sz w:val="24"/>
          <w:lang w:val="en-US"/>
        </w:rPr>
        <w:t>bean</w:t>
      </w:r>
      <w:r w:rsidRPr="00C04029">
        <w:rPr>
          <w:sz w:val="24"/>
          <w:lang w:val="en-US"/>
        </w:rPr>
        <w:t xml:space="preserve"> + corn) and livestock) and an alternative agricultural strategy (</w:t>
      </w:r>
      <w:proofErr w:type="spellStart"/>
      <w:r w:rsidRPr="00C04029">
        <w:rPr>
          <w:sz w:val="24"/>
          <w:lang w:val="en-US"/>
        </w:rPr>
        <w:t>iCL</w:t>
      </w:r>
      <w:proofErr w:type="spellEnd"/>
      <w:r w:rsidRPr="00C04029">
        <w:rPr>
          <w:sz w:val="24"/>
          <w:lang w:val="en-US"/>
        </w:rPr>
        <w:t xml:space="preserve">) that has been encouraged by Brazilian government as a proposal for increase sustainable agricultural practices in </w:t>
      </w:r>
      <w:r w:rsidR="009728FB">
        <w:rPr>
          <w:sz w:val="24"/>
          <w:lang w:val="en-US"/>
        </w:rPr>
        <w:t xml:space="preserve">the </w:t>
      </w:r>
      <w:bookmarkStart w:id="0" w:name="_GoBack"/>
      <w:r w:rsidRPr="00C04029">
        <w:rPr>
          <w:sz w:val="24"/>
          <w:lang w:val="en-US"/>
        </w:rPr>
        <w:t>Amazon</w:t>
      </w:r>
      <w:bookmarkEnd w:id="0"/>
      <w:r w:rsidRPr="00C04029">
        <w:rPr>
          <w:sz w:val="24"/>
          <w:lang w:val="en-US"/>
        </w:rPr>
        <w:t xml:space="preserve"> and </w:t>
      </w:r>
      <w:proofErr w:type="spellStart"/>
      <w:r w:rsidRPr="00C04029">
        <w:rPr>
          <w:sz w:val="24"/>
          <w:lang w:val="en-US"/>
        </w:rPr>
        <w:t>Cerrado</w:t>
      </w:r>
      <w:proofErr w:type="spellEnd"/>
      <w:r w:rsidRPr="00C04029">
        <w:rPr>
          <w:sz w:val="24"/>
          <w:lang w:val="en-US"/>
        </w:rPr>
        <w:t xml:space="preserve"> regions.</w:t>
      </w:r>
    </w:p>
    <w:p w14:paraId="33B39DEF" w14:textId="77777777" w:rsidR="00A16F7B" w:rsidRPr="00C04029" w:rsidRDefault="00A16F7B" w:rsidP="00A16F7B">
      <w:pPr>
        <w:jc w:val="both"/>
        <w:rPr>
          <w:sz w:val="24"/>
          <w:lang w:val="en-US"/>
        </w:rPr>
      </w:pPr>
      <w:r w:rsidRPr="00C04029">
        <w:rPr>
          <w:sz w:val="24"/>
          <w:lang w:val="en-US"/>
        </w:rPr>
        <w:t xml:space="preserve">To ensure the representativeness, robustness and consistency of our data, besides the data collected in the controlled field experiment, we used regional data from Mato Grosso Institute of Agricultural Economics (IMEA), a research institution which carries out a comprehensive yearly economic survey in the main soybean, corn, cotton and beef cattle production regions in the state of Mato Grosso. </w:t>
      </w:r>
    </w:p>
    <w:p w14:paraId="26545B53" w14:textId="77777777" w:rsidR="00A16F7B" w:rsidRPr="00C04029" w:rsidRDefault="00A16F7B" w:rsidP="00A16F7B">
      <w:pPr>
        <w:jc w:val="both"/>
        <w:rPr>
          <w:sz w:val="24"/>
          <w:lang w:val="en-US"/>
        </w:rPr>
      </w:pPr>
      <w:r w:rsidRPr="00C04029">
        <w:rPr>
          <w:sz w:val="24"/>
          <w:lang w:val="en-US"/>
        </w:rPr>
        <w:t>IMEA uses a worldwide consolidated methodology to elaborate regional reference farms for each commodity to provide accurate information of cost, revenue, productivity, investment and all necessary infrastructures to carry out the production activity. This approach consists of meeting with representatives from different society groups as indicated in the text. According with IMEA, to produce a final result for each region, they organize five focus group meetings, depending on region size and the economic relevance of the product. The audience size for each meeting</w:t>
      </w:r>
      <w:r w:rsidRPr="00C04029" w:rsidDel="006E7D76">
        <w:rPr>
          <w:sz w:val="24"/>
          <w:lang w:val="en-US"/>
        </w:rPr>
        <w:t xml:space="preserve"> </w:t>
      </w:r>
      <w:r w:rsidRPr="00C04029">
        <w:rPr>
          <w:sz w:val="24"/>
          <w:lang w:val="en-US"/>
        </w:rPr>
        <w:t xml:space="preserve">includes roughly 80 - 100 people. The soybean meetings are bigger than others. By using regionalized data offered by IMEA to elaborate our representative farms, we ensure that our information presents the real situation observed by farmers. </w:t>
      </w:r>
    </w:p>
    <w:p w14:paraId="77F31BBD" w14:textId="0D404AE9" w:rsidR="00A16F7B" w:rsidRPr="00C04029" w:rsidRDefault="00A16F7B" w:rsidP="00A16F7B">
      <w:pPr>
        <w:jc w:val="both"/>
        <w:rPr>
          <w:sz w:val="24"/>
          <w:lang w:val="en-US"/>
        </w:rPr>
      </w:pPr>
      <w:r w:rsidRPr="00C04029">
        <w:rPr>
          <w:sz w:val="24"/>
          <w:lang w:val="en-US"/>
        </w:rPr>
        <w:t>To aid the accuracy in our findings, we checked all our results with farmer’s organization, consultants and trading managers and all of them were aligned with ours results. Unfortunately, we do not have access of survey instrument or other instruments used by IMEA.</w:t>
      </w:r>
    </w:p>
    <w:p w14:paraId="4F4A7EE6" w14:textId="77777777" w:rsidR="00A16F7B" w:rsidRPr="00C04029" w:rsidRDefault="00A16F7B" w:rsidP="00754ABD">
      <w:pPr>
        <w:jc w:val="both"/>
        <w:rPr>
          <w:sz w:val="24"/>
          <w:szCs w:val="24"/>
          <w:lang w:val="en-US"/>
        </w:rPr>
        <w:sectPr w:rsidR="00A16F7B" w:rsidRPr="00C04029" w:rsidSect="00A053D8">
          <w:pgSz w:w="12240" w:h="15840"/>
          <w:pgMar w:top="1440" w:right="1440" w:bottom="1440" w:left="1440" w:header="720" w:footer="720" w:gutter="0"/>
          <w:cols w:space="720"/>
          <w:docGrid w:linePitch="360"/>
        </w:sectPr>
      </w:pPr>
    </w:p>
    <w:p w14:paraId="761B323C" w14:textId="625114E9" w:rsidR="001E35D2" w:rsidRPr="00C04029" w:rsidRDefault="001E35D2" w:rsidP="001E35D2">
      <w:pPr>
        <w:widowControl w:val="0"/>
        <w:autoSpaceDE w:val="0"/>
        <w:autoSpaceDN w:val="0"/>
        <w:adjustRightInd w:val="0"/>
        <w:spacing w:line="240" w:lineRule="auto"/>
        <w:jc w:val="both"/>
        <w:rPr>
          <w:b/>
          <w:sz w:val="24"/>
          <w:szCs w:val="24"/>
          <w:lang w:val="en-US"/>
        </w:rPr>
      </w:pPr>
      <w:r w:rsidRPr="00C04029">
        <w:rPr>
          <w:b/>
          <w:sz w:val="24"/>
          <w:szCs w:val="24"/>
          <w:lang w:val="en-US"/>
        </w:rPr>
        <w:lastRenderedPageBreak/>
        <w:t>2 –</w:t>
      </w:r>
      <w:r w:rsidR="00CA5344" w:rsidRPr="00C04029">
        <w:rPr>
          <w:b/>
          <w:sz w:val="24"/>
          <w:szCs w:val="24"/>
          <w:lang w:val="en-US"/>
        </w:rPr>
        <w:t xml:space="preserve"> Economic Results Data</w:t>
      </w:r>
    </w:p>
    <w:tbl>
      <w:tblPr>
        <w:tblW w:w="31680" w:type="dxa"/>
        <w:tblCellMar>
          <w:left w:w="70" w:type="dxa"/>
          <w:right w:w="70" w:type="dxa"/>
        </w:tblCellMar>
        <w:tblLook w:val="04A0" w:firstRow="1" w:lastRow="0" w:firstColumn="1" w:lastColumn="0" w:noHBand="0" w:noVBand="1"/>
      </w:tblPr>
      <w:tblGrid>
        <w:gridCol w:w="10879"/>
        <w:gridCol w:w="732"/>
        <w:gridCol w:w="731"/>
        <w:gridCol w:w="729"/>
        <w:gridCol w:w="729"/>
        <w:gridCol w:w="729"/>
        <w:gridCol w:w="729"/>
        <w:gridCol w:w="729"/>
        <w:gridCol w:w="15693"/>
      </w:tblGrid>
      <w:tr w:rsidR="00C04029" w:rsidRPr="00C04029" w14:paraId="3A875BDC" w14:textId="77777777" w:rsidTr="001E35D2">
        <w:trPr>
          <w:trHeight w:val="300"/>
        </w:trPr>
        <w:tc>
          <w:tcPr>
            <w:tcW w:w="31680" w:type="dxa"/>
            <w:gridSpan w:val="9"/>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968"/>
              <w:gridCol w:w="968"/>
              <w:gridCol w:w="968"/>
              <w:gridCol w:w="1078"/>
              <w:gridCol w:w="968"/>
              <w:gridCol w:w="1078"/>
              <w:gridCol w:w="1078"/>
              <w:gridCol w:w="1078"/>
            </w:tblGrid>
            <w:tr w:rsidR="00C04029" w:rsidRPr="009728FB" w14:paraId="4E50C2A1" w14:textId="77777777" w:rsidTr="00C04029">
              <w:trPr>
                <w:trHeight w:val="300"/>
              </w:trPr>
              <w:tc>
                <w:tcPr>
                  <w:tcW w:w="0" w:type="auto"/>
                  <w:gridSpan w:val="9"/>
                  <w:shd w:val="clear" w:color="auto" w:fill="auto"/>
                  <w:noWrap/>
                  <w:vAlign w:val="bottom"/>
                  <w:hideMark/>
                </w:tcPr>
                <w:p w14:paraId="24543A6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Discounted Cash flows and NOPAT - Integrated Crop and Livestock system - USD/hectare</w:t>
                  </w:r>
                </w:p>
              </w:tc>
            </w:tr>
            <w:tr w:rsidR="00C04029" w:rsidRPr="00C04029" w14:paraId="273E2566" w14:textId="77777777" w:rsidTr="00C04029">
              <w:trPr>
                <w:trHeight w:val="300"/>
              </w:trPr>
              <w:tc>
                <w:tcPr>
                  <w:tcW w:w="0" w:type="auto"/>
                  <w:shd w:val="clear" w:color="auto" w:fill="auto"/>
                  <w:noWrap/>
                  <w:vAlign w:val="bottom"/>
                  <w:hideMark/>
                </w:tcPr>
                <w:p w14:paraId="0B476C17"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Year</w:t>
                  </w:r>
                </w:p>
              </w:tc>
              <w:tc>
                <w:tcPr>
                  <w:tcW w:w="0" w:type="auto"/>
                  <w:shd w:val="clear" w:color="auto" w:fill="auto"/>
                  <w:noWrap/>
                  <w:vAlign w:val="center"/>
                  <w:hideMark/>
                </w:tcPr>
                <w:p w14:paraId="4E0A5A6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2005</w:t>
                  </w:r>
                </w:p>
              </w:tc>
              <w:tc>
                <w:tcPr>
                  <w:tcW w:w="0" w:type="auto"/>
                  <w:shd w:val="clear" w:color="auto" w:fill="auto"/>
                  <w:noWrap/>
                  <w:vAlign w:val="center"/>
                  <w:hideMark/>
                </w:tcPr>
                <w:p w14:paraId="7E3B66D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2006</w:t>
                  </w:r>
                </w:p>
              </w:tc>
              <w:tc>
                <w:tcPr>
                  <w:tcW w:w="0" w:type="auto"/>
                  <w:shd w:val="clear" w:color="auto" w:fill="auto"/>
                  <w:noWrap/>
                  <w:vAlign w:val="center"/>
                  <w:hideMark/>
                </w:tcPr>
                <w:p w14:paraId="47E5AAF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2007</w:t>
                  </w:r>
                </w:p>
              </w:tc>
              <w:tc>
                <w:tcPr>
                  <w:tcW w:w="0" w:type="auto"/>
                  <w:shd w:val="clear" w:color="auto" w:fill="auto"/>
                  <w:noWrap/>
                  <w:vAlign w:val="center"/>
                  <w:hideMark/>
                </w:tcPr>
                <w:p w14:paraId="50DB88B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2008</w:t>
                  </w:r>
                </w:p>
              </w:tc>
              <w:tc>
                <w:tcPr>
                  <w:tcW w:w="0" w:type="auto"/>
                  <w:shd w:val="clear" w:color="auto" w:fill="auto"/>
                  <w:noWrap/>
                  <w:vAlign w:val="center"/>
                  <w:hideMark/>
                </w:tcPr>
                <w:p w14:paraId="1117971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2009</w:t>
                  </w:r>
                </w:p>
              </w:tc>
              <w:tc>
                <w:tcPr>
                  <w:tcW w:w="0" w:type="auto"/>
                  <w:shd w:val="clear" w:color="auto" w:fill="auto"/>
                  <w:noWrap/>
                  <w:vAlign w:val="center"/>
                  <w:hideMark/>
                </w:tcPr>
                <w:p w14:paraId="510B137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2010</w:t>
                  </w:r>
                </w:p>
              </w:tc>
              <w:tc>
                <w:tcPr>
                  <w:tcW w:w="0" w:type="auto"/>
                  <w:shd w:val="clear" w:color="auto" w:fill="auto"/>
                  <w:noWrap/>
                  <w:vAlign w:val="center"/>
                  <w:hideMark/>
                </w:tcPr>
                <w:p w14:paraId="30F656C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2011</w:t>
                  </w:r>
                </w:p>
              </w:tc>
              <w:tc>
                <w:tcPr>
                  <w:tcW w:w="0" w:type="auto"/>
                  <w:shd w:val="clear" w:color="auto" w:fill="auto"/>
                  <w:noWrap/>
                  <w:vAlign w:val="center"/>
                  <w:hideMark/>
                </w:tcPr>
                <w:p w14:paraId="756B0F7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2012</w:t>
                  </w:r>
                </w:p>
              </w:tc>
            </w:tr>
            <w:tr w:rsidR="00C04029" w:rsidRPr="00C04029" w14:paraId="0DEFAC7B" w14:textId="77777777" w:rsidTr="00C04029">
              <w:trPr>
                <w:trHeight w:val="300"/>
              </w:trPr>
              <w:tc>
                <w:tcPr>
                  <w:tcW w:w="0" w:type="auto"/>
                  <w:shd w:val="clear" w:color="auto" w:fill="auto"/>
                  <w:noWrap/>
                  <w:vAlign w:val="bottom"/>
                  <w:hideMark/>
                </w:tcPr>
                <w:p w14:paraId="162D7E9E"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shd w:val="clear" w:color="auto" w:fill="auto"/>
                  <w:noWrap/>
                  <w:vAlign w:val="center"/>
                  <w:hideMark/>
                </w:tcPr>
                <w:p w14:paraId="6A5F2E9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608B43B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59B20D7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1EBC42D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375DD29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25645DB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166D240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740C10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5254C0C4" w14:textId="77777777" w:rsidTr="00C04029">
              <w:trPr>
                <w:trHeight w:val="300"/>
              </w:trPr>
              <w:tc>
                <w:tcPr>
                  <w:tcW w:w="0" w:type="auto"/>
                  <w:shd w:val="clear" w:color="auto" w:fill="auto"/>
                  <w:noWrap/>
                  <w:vAlign w:val="bottom"/>
                  <w:hideMark/>
                </w:tcPr>
                <w:p w14:paraId="3EB89505"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Revenue</w:t>
                  </w:r>
                </w:p>
              </w:tc>
              <w:tc>
                <w:tcPr>
                  <w:tcW w:w="0" w:type="auto"/>
                  <w:shd w:val="clear" w:color="auto" w:fill="auto"/>
                  <w:noWrap/>
                  <w:vAlign w:val="center"/>
                  <w:hideMark/>
                </w:tcPr>
                <w:p w14:paraId="4A39AC5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2195896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687.19 </w:t>
                  </w:r>
                </w:p>
              </w:tc>
              <w:tc>
                <w:tcPr>
                  <w:tcW w:w="0" w:type="auto"/>
                  <w:shd w:val="clear" w:color="auto" w:fill="auto"/>
                  <w:noWrap/>
                  <w:vAlign w:val="center"/>
                  <w:hideMark/>
                </w:tcPr>
                <w:p w14:paraId="00C521A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1295.52 </w:t>
                  </w:r>
                </w:p>
              </w:tc>
              <w:tc>
                <w:tcPr>
                  <w:tcW w:w="0" w:type="auto"/>
                  <w:shd w:val="clear" w:color="auto" w:fill="auto"/>
                  <w:noWrap/>
                  <w:vAlign w:val="center"/>
                  <w:hideMark/>
                </w:tcPr>
                <w:p w14:paraId="25A94A2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1798.51 </w:t>
                  </w:r>
                </w:p>
              </w:tc>
              <w:tc>
                <w:tcPr>
                  <w:tcW w:w="0" w:type="auto"/>
                  <w:shd w:val="clear" w:color="auto" w:fill="auto"/>
                  <w:noWrap/>
                  <w:vAlign w:val="center"/>
                  <w:hideMark/>
                </w:tcPr>
                <w:p w14:paraId="6A8E9A6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1374.12 </w:t>
                  </w:r>
                </w:p>
              </w:tc>
              <w:tc>
                <w:tcPr>
                  <w:tcW w:w="0" w:type="auto"/>
                  <w:shd w:val="clear" w:color="auto" w:fill="auto"/>
                  <w:noWrap/>
                  <w:vAlign w:val="center"/>
                  <w:hideMark/>
                </w:tcPr>
                <w:p w14:paraId="7BC542E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2226.97 </w:t>
                  </w:r>
                </w:p>
              </w:tc>
              <w:tc>
                <w:tcPr>
                  <w:tcW w:w="0" w:type="auto"/>
                  <w:shd w:val="clear" w:color="auto" w:fill="auto"/>
                  <w:noWrap/>
                  <w:vAlign w:val="center"/>
                  <w:hideMark/>
                </w:tcPr>
                <w:p w14:paraId="59A4A15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2164.64 </w:t>
                  </w:r>
                </w:p>
              </w:tc>
              <w:tc>
                <w:tcPr>
                  <w:tcW w:w="0" w:type="auto"/>
                  <w:shd w:val="clear" w:color="auto" w:fill="auto"/>
                  <w:noWrap/>
                  <w:vAlign w:val="center"/>
                  <w:hideMark/>
                </w:tcPr>
                <w:p w14:paraId="1BCE3F0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2734.82 </w:t>
                  </w:r>
                </w:p>
              </w:tc>
            </w:tr>
            <w:tr w:rsidR="00C04029" w:rsidRPr="00C04029" w14:paraId="20B0EE54" w14:textId="77777777" w:rsidTr="00C04029">
              <w:trPr>
                <w:trHeight w:val="300"/>
              </w:trPr>
              <w:tc>
                <w:tcPr>
                  <w:tcW w:w="0" w:type="auto"/>
                  <w:shd w:val="clear" w:color="auto" w:fill="auto"/>
                  <w:noWrap/>
                  <w:vAlign w:val="bottom"/>
                  <w:hideMark/>
                </w:tcPr>
                <w:p w14:paraId="1873F526" w14:textId="77777777" w:rsidR="00C04029" w:rsidRPr="00C04029" w:rsidRDefault="00C04029" w:rsidP="00C04029">
                  <w:pPr>
                    <w:spacing w:after="0" w:line="240" w:lineRule="auto"/>
                    <w:rPr>
                      <w:rFonts w:eastAsia="Times New Roman"/>
                      <w:lang w:val="en-US"/>
                    </w:rPr>
                  </w:pPr>
                  <w:r w:rsidRPr="00C04029">
                    <w:rPr>
                      <w:rFonts w:eastAsia="Times New Roman"/>
                      <w:lang w:val="en-US"/>
                    </w:rPr>
                    <w:t>Sales Taxes (-)</w:t>
                  </w:r>
                </w:p>
              </w:tc>
              <w:tc>
                <w:tcPr>
                  <w:tcW w:w="0" w:type="auto"/>
                  <w:shd w:val="clear" w:color="auto" w:fill="auto"/>
                  <w:noWrap/>
                  <w:vAlign w:val="center"/>
                  <w:hideMark/>
                </w:tcPr>
                <w:p w14:paraId="3390736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shd w:val="clear" w:color="auto" w:fill="auto"/>
                  <w:noWrap/>
                  <w:vAlign w:val="center"/>
                  <w:hideMark/>
                </w:tcPr>
                <w:p w14:paraId="47A7B33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33.57 </w:t>
                  </w:r>
                </w:p>
              </w:tc>
              <w:tc>
                <w:tcPr>
                  <w:tcW w:w="0" w:type="auto"/>
                  <w:shd w:val="clear" w:color="auto" w:fill="auto"/>
                  <w:noWrap/>
                  <w:vAlign w:val="center"/>
                  <w:hideMark/>
                </w:tcPr>
                <w:p w14:paraId="079266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34.02 </w:t>
                  </w:r>
                </w:p>
              </w:tc>
              <w:tc>
                <w:tcPr>
                  <w:tcW w:w="0" w:type="auto"/>
                  <w:shd w:val="clear" w:color="auto" w:fill="auto"/>
                  <w:noWrap/>
                  <w:vAlign w:val="center"/>
                  <w:hideMark/>
                </w:tcPr>
                <w:p w14:paraId="166A4E7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39.02 </w:t>
                  </w:r>
                </w:p>
              </w:tc>
              <w:tc>
                <w:tcPr>
                  <w:tcW w:w="0" w:type="auto"/>
                  <w:shd w:val="clear" w:color="auto" w:fill="auto"/>
                  <w:noWrap/>
                  <w:vAlign w:val="center"/>
                  <w:hideMark/>
                </w:tcPr>
                <w:p w14:paraId="0752010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31.84 </w:t>
                  </w:r>
                </w:p>
              </w:tc>
              <w:tc>
                <w:tcPr>
                  <w:tcW w:w="0" w:type="auto"/>
                  <w:shd w:val="clear" w:color="auto" w:fill="auto"/>
                  <w:noWrap/>
                  <w:vAlign w:val="center"/>
                  <w:hideMark/>
                </w:tcPr>
                <w:p w14:paraId="6FFF424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30.46 </w:t>
                  </w:r>
                </w:p>
              </w:tc>
              <w:tc>
                <w:tcPr>
                  <w:tcW w:w="0" w:type="auto"/>
                  <w:shd w:val="clear" w:color="auto" w:fill="auto"/>
                  <w:noWrap/>
                  <w:vAlign w:val="center"/>
                  <w:hideMark/>
                </w:tcPr>
                <w:p w14:paraId="2E9EE04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34.43 </w:t>
                  </w:r>
                </w:p>
              </w:tc>
              <w:tc>
                <w:tcPr>
                  <w:tcW w:w="0" w:type="auto"/>
                  <w:shd w:val="clear" w:color="auto" w:fill="auto"/>
                  <w:noWrap/>
                  <w:vAlign w:val="center"/>
                  <w:hideMark/>
                </w:tcPr>
                <w:p w14:paraId="200FFE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29.54 </w:t>
                  </w:r>
                </w:p>
              </w:tc>
            </w:tr>
            <w:tr w:rsidR="00C04029" w:rsidRPr="00C04029" w14:paraId="31B0DE6C" w14:textId="77777777" w:rsidTr="00C04029">
              <w:trPr>
                <w:trHeight w:val="300"/>
              </w:trPr>
              <w:tc>
                <w:tcPr>
                  <w:tcW w:w="0" w:type="auto"/>
                  <w:shd w:val="clear" w:color="auto" w:fill="auto"/>
                  <w:noWrap/>
                  <w:vAlign w:val="bottom"/>
                  <w:hideMark/>
                </w:tcPr>
                <w:p w14:paraId="3EB3CD07"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Revenue</w:t>
                  </w:r>
                </w:p>
              </w:tc>
              <w:tc>
                <w:tcPr>
                  <w:tcW w:w="0" w:type="auto"/>
                  <w:shd w:val="clear" w:color="auto" w:fill="auto"/>
                  <w:noWrap/>
                  <w:vAlign w:val="center"/>
                  <w:hideMark/>
                </w:tcPr>
                <w:p w14:paraId="12CD6E7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6E12CA4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653.62 </w:t>
                  </w:r>
                </w:p>
              </w:tc>
              <w:tc>
                <w:tcPr>
                  <w:tcW w:w="0" w:type="auto"/>
                  <w:shd w:val="clear" w:color="auto" w:fill="auto"/>
                  <w:noWrap/>
                  <w:vAlign w:val="center"/>
                  <w:hideMark/>
                </w:tcPr>
                <w:p w14:paraId="61E6EED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1261.50 </w:t>
                  </w:r>
                </w:p>
              </w:tc>
              <w:tc>
                <w:tcPr>
                  <w:tcW w:w="0" w:type="auto"/>
                  <w:shd w:val="clear" w:color="auto" w:fill="auto"/>
                  <w:noWrap/>
                  <w:vAlign w:val="center"/>
                  <w:hideMark/>
                </w:tcPr>
                <w:p w14:paraId="7365A14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1759.49 </w:t>
                  </w:r>
                </w:p>
              </w:tc>
              <w:tc>
                <w:tcPr>
                  <w:tcW w:w="0" w:type="auto"/>
                  <w:shd w:val="clear" w:color="auto" w:fill="auto"/>
                  <w:noWrap/>
                  <w:vAlign w:val="center"/>
                  <w:hideMark/>
                </w:tcPr>
                <w:p w14:paraId="1CE8B4E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1342.28 </w:t>
                  </w:r>
                </w:p>
              </w:tc>
              <w:tc>
                <w:tcPr>
                  <w:tcW w:w="0" w:type="auto"/>
                  <w:shd w:val="clear" w:color="auto" w:fill="auto"/>
                  <w:noWrap/>
                  <w:vAlign w:val="center"/>
                  <w:hideMark/>
                </w:tcPr>
                <w:p w14:paraId="266FC2E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2196.51 </w:t>
                  </w:r>
                </w:p>
              </w:tc>
              <w:tc>
                <w:tcPr>
                  <w:tcW w:w="0" w:type="auto"/>
                  <w:shd w:val="clear" w:color="auto" w:fill="auto"/>
                  <w:noWrap/>
                  <w:vAlign w:val="center"/>
                  <w:hideMark/>
                </w:tcPr>
                <w:p w14:paraId="2895D7D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2130.21 </w:t>
                  </w:r>
                </w:p>
              </w:tc>
              <w:tc>
                <w:tcPr>
                  <w:tcW w:w="0" w:type="auto"/>
                  <w:shd w:val="clear" w:color="auto" w:fill="auto"/>
                  <w:noWrap/>
                  <w:vAlign w:val="center"/>
                  <w:hideMark/>
                </w:tcPr>
                <w:p w14:paraId="178703F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2705.28 </w:t>
                  </w:r>
                </w:p>
              </w:tc>
            </w:tr>
            <w:tr w:rsidR="00C04029" w:rsidRPr="00C04029" w14:paraId="3BBA240C" w14:textId="77777777" w:rsidTr="00C04029">
              <w:trPr>
                <w:trHeight w:val="300"/>
              </w:trPr>
              <w:tc>
                <w:tcPr>
                  <w:tcW w:w="0" w:type="auto"/>
                  <w:shd w:val="clear" w:color="auto" w:fill="auto"/>
                  <w:noWrap/>
                  <w:vAlign w:val="bottom"/>
                  <w:hideMark/>
                </w:tcPr>
                <w:p w14:paraId="6951A315" w14:textId="77777777" w:rsidR="00C04029" w:rsidRPr="00C04029" w:rsidRDefault="00C04029" w:rsidP="00C04029">
                  <w:pPr>
                    <w:spacing w:after="0" w:line="240" w:lineRule="auto"/>
                    <w:rPr>
                      <w:rFonts w:eastAsia="Times New Roman"/>
                      <w:lang w:val="en-US"/>
                    </w:rPr>
                  </w:pPr>
                  <w:r w:rsidRPr="00C04029">
                    <w:rPr>
                      <w:rFonts w:eastAsia="Times New Roman"/>
                      <w:lang w:val="en-US"/>
                    </w:rPr>
                    <w:t>Production Cost (-)</w:t>
                  </w:r>
                </w:p>
              </w:tc>
              <w:tc>
                <w:tcPr>
                  <w:tcW w:w="0" w:type="auto"/>
                  <w:shd w:val="clear" w:color="auto" w:fill="auto"/>
                  <w:noWrap/>
                  <w:vAlign w:val="center"/>
                  <w:hideMark/>
                </w:tcPr>
                <w:p w14:paraId="7BEA524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shd w:val="clear" w:color="auto" w:fill="auto"/>
                  <w:noWrap/>
                  <w:vAlign w:val="center"/>
                  <w:hideMark/>
                </w:tcPr>
                <w:p w14:paraId="6762DB4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(787.93)</w:t>
                  </w:r>
                </w:p>
              </w:tc>
              <w:tc>
                <w:tcPr>
                  <w:tcW w:w="0" w:type="auto"/>
                  <w:shd w:val="clear" w:color="auto" w:fill="auto"/>
                  <w:noWrap/>
                  <w:vAlign w:val="center"/>
                  <w:hideMark/>
                </w:tcPr>
                <w:p w14:paraId="56835E9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(921.32)</w:t>
                  </w:r>
                </w:p>
              </w:tc>
              <w:tc>
                <w:tcPr>
                  <w:tcW w:w="0" w:type="auto"/>
                  <w:shd w:val="clear" w:color="auto" w:fill="auto"/>
                  <w:noWrap/>
                  <w:vAlign w:val="center"/>
                  <w:hideMark/>
                </w:tcPr>
                <w:p w14:paraId="08D1270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(1069.54)</w:t>
                  </w:r>
                </w:p>
              </w:tc>
              <w:tc>
                <w:tcPr>
                  <w:tcW w:w="0" w:type="auto"/>
                  <w:shd w:val="clear" w:color="auto" w:fill="auto"/>
                  <w:noWrap/>
                  <w:vAlign w:val="center"/>
                  <w:hideMark/>
                </w:tcPr>
                <w:p w14:paraId="5AD3967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(947.75)</w:t>
                  </w:r>
                </w:p>
              </w:tc>
              <w:tc>
                <w:tcPr>
                  <w:tcW w:w="0" w:type="auto"/>
                  <w:shd w:val="clear" w:color="auto" w:fill="auto"/>
                  <w:noWrap/>
                  <w:vAlign w:val="center"/>
                  <w:hideMark/>
                </w:tcPr>
                <w:p w14:paraId="023FC89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(1392.43)</w:t>
                  </w:r>
                </w:p>
              </w:tc>
              <w:tc>
                <w:tcPr>
                  <w:tcW w:w="0" w:type="auto"/>
                  <w:shd w:val="clear" w:color="auto" w:fill="auto"/>
                  <w:noWrap/>
                  <w:vAlign w:val="center"/>
                  <w:hideMark/>
                </w:tcPr>
                <w:p w14:paraId="63FF2AA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(1182.99)</w:t>
                  </w:r>
                </w:p>
              </w:tc>
              <w:tc>
                <w:tcPr>
                  <w:tcW w:w="0" w:type="auto"/>
                  <w:shd w:val="clear" w:color="auto" w:fill="auto"/>
                  <w:noWrap/>
                  <w:vAlign w:val="center"/>
                  <w:hideMark/>
                </w:tcPr>
                <w:p w14:paraId="4F138AA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(1875.71)</w:t>
                  </w:r>
                </w:p>
              </w:tc>
            </w:tr>
            <w:tr w:rsidR="00C04029" w:rsidRPr="00C04029" w14:paraId="2865834F" w14:textId="77777777" w:rsidTr="00C04029">
              <w:trPr>
                <w:trHeight w:val="300"/>
              </w:trPr>
              <w:tc>
                <w:tcPr>
                  <w:tcW w:w="0" w:type="auto"/>
                  <w:shd w:val="clear" w:color="auto" w:fill="auto"/>
                  <w:noWrap/>
                  <w:vAlign w:val="bottom"/>
                  <w:hideMark/>
                </w:tcPr>
                <w:p w14:paraId="6F05A6DD"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Profit</w:t>
                  </w:r>
                </w:p>
              </w:tc>
              <w:tc>
                <w:tcPr>
                  <w:tcW w:w="0" w:type="auto"/>
                  <w:shd w:val="clear" w:color="auto" w:fill="auto"/>
                  <w:noWrap/>
                  <w:vAlign w:val="center"/>
                  <w:hideMark/>
                </w:tcPr>
                <w:p w14:paraId="46DF699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03E1AE2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(134.31)</w:t>
                  </w:r>
                </w:p>
              </w:tc>
              <w:tc>
                <w:tcPr>
                  <w:tcW w:w="0" w:type="auto"/>
                  <w:shd w:val="clear" w:color="auto" w:fill="auto"/>
                  <w:noWrap/>
                  <w:vAlign w:val="center"/>
                  <w:hideMark/>
                </w:tcPr>
                <w:p w14:paraId="03E1E249"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340.18 </w:t>
                  </w:r>
                </w:p>
              </w:tc>
              <w:tc>
                <w:tcPr>
                  <w:tcW w:w="0" w:type="auto"/>
                  <w:shd w:val="clear" w:color="auto" w:fill="auto"/>
                  <w:noWrap/>
                  <w:vAlign w:val="center"/>
                  <w:hideMark/>
                </w:tcPr>
                <w:p w14:paraId="0BB2CA2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689.95 </w:t>
                  </w:r>
                </w:p>
              </w:tc>
              <w:tc>
                <w:tcPr>
                  <w:tcW w:w="0" w:type="auto"/>
                  <w:shd w:val="clear" w:color="auto" w:fill="auto"/>
                  <w:noWrap/>
                  <w:vAlign w:val="center"/>
                  <w:hideMark/>
                </w:tcPr>
                <w:p w14:paraId="65015C5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394.52 </w:t>
                  </w:r>
                </w:p>
              </w:tc>
              <w:tc>
                <w:tcPr>
                  <w:tcW w:w="0" w:type="auto"/>
                  <w:shd w:val="clear" w:color="auto" w:fill="auto"/>
                  <w:noWrap/>
                  <w:vAlign w:val="center"/>
                  <w:hideMark/>
                </w:tcPr>
                <w:p w14:paraId="0040FF6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804.07 </w:t>
                  </w:r>
                </w:p>
              </w:tc>
              <w:tc>
                <w:tcPr>
                  <w:tcW w:w="0" w:type="auto"/>
                  <w:shd w:val="clear" w:color="auto" w:fill="auto"/>
                  <w:noWrap/>
                  <w:vAlign w:val="center"/>
                  <w:hideMark/>
                </w:tcPr>
                <w:p w14:paraId="5891EA6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947.22 </w:t>
                  </w:r>
                </w:p>
              </w:tc>
              <w:tc>
                <w:tcPr>
                  <w:tcW w:w="0" w:type="auto"/>
                  <w:shd w:val="clear" w:color="auto" w:fill="auto"/>
                  <w:noWrap/>
                  <w:vAlign w:val="center"/>
                  <w:hideMark/>
                </w:tcPr>
                <w:p w14:paraId="70DB4EA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829.57 </w:t>
                  </w:r>
                </w:p>
              </w:tc>
            </w:tr>
            <w:tr w:rsidR="00C04029" w:rsidRPr="00C04029" w14:paraId="40AB8275" w14:textId="77777777" w:rsidTr="00C04029">
              <w:trPr>
                <w:trHeight w:val="300"/>
              </w:trPr>
              <w:tc>
                <w:tcPr>
                  <w:tcW w:w="0" w:type="auto"/>
                  <w:shd w:val="clear" w:color="auto" w:fill="auto"/>
                  <w:noWrap/>
                  <w:vAlign w:val="bottom"/>
                  <w:hideMark/>
                </w:tcPr>
                <w:p w14:paraId="596B4657" w14:textId="77777777" w:rsidR="00C04029" w:rsidRPr="00C04029" w:rsidRDefault="00C04029" w:rsidP="00C04029">
                  <w:pPr>
                    <w:spacing w:after="0" w:line="240" w:lineRule="auto"/>
                    <w:rPr>
                      <w:rFonts w:eastAsia="Times New Roman"/>
                      <w:lang w:val="en-US"/>
                    </w:rPr>
                  </w:pPr>
                  <w:r w:rsidRPr="00C04029">
                    <w:rPr>
                      <w:rFonts w:eastAsia="Times New Roman"/>
                      <w:lang w:val="en-US"/>
                    </w:rPr>
                    <w:t>Operating expense (-)</w:t>
                  </w:r>
                </w:p>
              </w:tc>
              <w:tc>
                <w:tcPr>
                  <w:tcW w:w="0" w:type="auto"/>
                  <w:shd w:val="clear" w:color="auto" w:fill="auto"/>
                  <w:noWrap/>
                  <w:vAlign w:val="center"/>
                  <w:hideMark/>
                </w:tcPr>
                <w:p w14:paraId="03764CE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shd w:val="clear" w:color="auto" w:fill="auto"/>
                  <w:noWrap/>
                  <w:vAlign w:val="center"/>
                  <w:hideMark/>
                </w:tcPr>
                <w:p w14:paraId="6C6FFBF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(21.94)</w:t>
                  </w:r>
                </w:p>
              </w:tc>
              <w:tc>
                <w:tcPr>
                  <w:tcW w:w="0" w:type="auto"/>
                  <w:shd w:val="clear" w:color="auto" w:fill="auto"/>
                  <w:noWrap/>
                  <w:vAlign w:val="center"/>
                  <w:hideMark/>
                </w:tcPr>
                <w:p w14:paraId="1F226E0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(26.81)</w:t>
                  </w:r>
                </w:p>
              </w:tc>
              <w:tc>
                <w:tcPr>
                  <w:tcW w:w="0" w:type="auto"/>
                  <w:shd w:val="clear" w:color="auto" w:fill="auto"/>
                  <w:noWrap/>
                  <w:vAlign w:val="center"/>
                  <w:hideMark/>
                </w:tcPr>
                <w:p w14:paraId="06E4C67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(31.33)</w:t>
                  </w:r>
                </w:p>
              </w:tc>
              <w:tc>
                <w:tcPr>
                  <w:tcW w:w="0" w:type="auto"/>
                  <w:shd w:val="clear" w:color="auto" w:fill="auto"/>
                  <w:noWrap/>
                  <w:vAlign w:val="center"/>
                  <w:hideMark/>
                </w:tcPr>
                <w:p w14:paraId="119E594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(34.76)</w:t>
                  </w:r>
                </w:p>
              </w:tc>
              <w:tc>
                <w:tcPr>
                  <w:tcW w:w="0" w:type="auto"/>
                  <w:shd w:val="clear" w:color="auto" w:fill="auto"/>
                  <w:noWrap/>
                  <w:vAlign w:val="center"/>
                  <w:hideMark/>
                </w:tcPr>
                <w:p w14:paraId="02D3224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(36.21)</w:t>
                  </w:r>
                </w:p>
              </w:tc>
              <w:tc>
                <w:tcPr>
                  <w:tcW w:w="0" w:type="auto"/>
                  <w:shd w:val="clear" w:color="auto" w:fill="auto"/>
                  <w:noWrap/>
                  <w:vAlign w:val="center"/>
                  <w:hideMark/>
                </w:tcPr>
                <w:p w14:paraId="78D5D2F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(32.45)</w:t>
                  </w:r>
                </w:p>
              </w:tc>
              <w:tc>
                <w:tcPr>
                  <w:tcW w:w="0" w:type="auto"/>
                  <w:shd w:val="clear" w:color="auto" w:fill="auto"/>
                  <w:noWrap/>
                  <w:vAlign w:val="center"/>
                  <w:hideMark/>
                </w:tcPr>
                <w:p w14:paraId="3E0AD57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(44.25)</w:t>
                  </w:r>
                </w:p>
              </w:tc>
            </w:tr>
            <w:tr w:rsidR="00C04029" w:rsidRPr="00C04029" w14:paraId="360FF19E" w14:textId="77777777" w:rsidTr="00C04029">
              <w:trPr>
                <w:trHeight w:val="300"/>
              </w:trPr>
              <w:tc>
                <w:tcPr>
                  <w:tcW w:w="0" w:type="auto"/>
                  <w:shd w:val="clear" w:color="auto" w:fill="auto"/>
                  <w:noWrap/>
                  <w:vAlign w:val="bottom"/>
                  <w:hideMark/>
                </w:tcPr>
                <w:p w14:paraId="0EB888A4"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Profit (EBIT)</w:t>
                  </w:r>
                </w:p>
              </w:tc>
              <w:tc>
                <w:tcPr>
                  <w:tcW w:w="0" w:type="auto"/>
                  <w:shd w:val="clear" w:color="auto" w:fill="auto"/>
                  <w:noWrap/>
                  <w:vAlign w:val="center"/>
                  <w:hideMark/>
                </w:tcPr>
                <w:p w14:paraId="585EAFA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43857CB9"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(156.25)</w:t>
                  </w:r>
                </w:p>
              </w:tc>
              <w:tc>
                <w:tcPr>
                  <w:tcW w:w="0" w:type="auto"/>
                  <w:shd w:val="clear" w:color="auto" w:fill="auto"/>
                  <w:noWrap/>
                  <w:vAlign w:val="center"/>
                  <w:hideMark/>
                </w:tcPr>
                <w:p w14:paraId="730EA3F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313.37 </w:t>
                  </w:r>
                </w:p>
              </w:tc>
              <w:tc>
                <w:tcPr>
                  <w:tcW w:w="0" w:type="auto"/>
                  <w:shd w:val="clear" w:color="auto" w:fill="auto"/>
                  <w:noWrap/>
                  <w:vAlign w:val="center"/>
                  <w:hideMark/>
                </w:tcPr>
                <w:p w14:paraId="13B6188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658.62 </w:t>
                  </w:r>
                </w:p>
              </w:tc>
              <w:tc>
                <w:tcPr>
                  <w:tcW w:w="0" w:type="auto"/>
                  <w:shd w:val="clear" w:color="auto" w:fill="auto"/>
                  <w:noWrap/>
                  <w:vAlign w:val="center"/>
                  <w:hideMark/>
                </w:tcPr>
                <w:p w14:paraId="4BD6961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359.77 </w:t>
                  </w:r>
                </w:p>
              </w:tc>
              <w:tc>
                <w:tcPr>
                  <w:tcW w:w="0" w:type="auto"/>
                  <w:shd w:val="clear" w:color="auto" w:fill="auto"/>
                  <w:noWrap/>
                  <w:vAlign w:val="center"/>
                  <w:hideMark/>
                </w:tcPr>
                <w:p w14:paraId="02486439"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767.86 </w:t>
                  </w:r>
                </w:p>
              </w:tc>
              <w:tc>
                <w:tcPr>
                  <w:tcW w:w="0" w:type="auto"/>
                  <w:shd w:val="clear" w:color="auto" w:fill="auto"/>
                  <w:noWrap/>
                  <w:vAlign w:val="center"/>
                  <w:hideMark/>
                </w:tcPr>
                <w:p w14:paraId="2E3981D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914.77 </w:t>
                  </w:r>
                </w:p>
              </w:tc>
              <w:tc>
                <w:tcPr>
                  <w:tcW w:w="0" w:type="auto"/>
                  <w:shd w:val="clear" w:color="auto" w:fill="auto"/>
                  <w:noWrap/>
                  <w:vAlign w:val="center"/>
                  <w:hideMark/>
                </w:tcPr>
                <w:p w14:paraId="6F3742F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785.32 </w:t>
                  </w:r>
                </w:p>
              </w:tc>
            </w:tr>
            <w:tr w:rsidR="00C04029" w:rsidRPr="00C04029" w14:paraId="687CD555" w14:textId="77777777" w:rsidTr="00C04029">
              <w:trPr>
                <w:trHeight w:val="300"/>
              </w:trPr>
              <w:tc>
                <w:tcPr>
                  <w:tcW w:w="0" w:type="auto"/>
                  <w:shd w:val="clear" w:color="auto" w:fill="auto"/>
                  <w:noWrap/>
                  <w:vAlign w:val="bottom"/>
                  <w:hideMark/>
                </w:tcPr>
                <w:p w14:paraId="1CB4FA9D" w14:textId="77777777" w:rsidR="00C04029" w:rsidRPr="00C04029" w:rsidRDefault="00C04029" w:rsidP="00C04029">
                  <w:pPr>
                    <w:spacing w:after="0" w:line="240" w:lineRule="auto"/>
                    <w:rPr>
                      <w:rFonts w:eastAsia="Times New Roman"/>
                      <w:lang w:val="en-US"/>
                    </w:rPr>
                  </w:pPr>
                  <w:r w:rsidRPr="00C04029">
                    <w:rPr>
                      <w:rFonts w:eastAsia="Times New Roman"/>
                      <w:lang w:val="en-US"/>
                    </w:rPr>
                    <w:t>Income Tax(-)</w:t>
                  </w:r>
                </w:p>
              </w:tc>
              <w:tc>
                <w:tcPr>
                  <w:tcW w:w="0" w:type="auto"/>
                  <w:shd w:val="clear" w:color="auto" w:fill="auto"/>
                  <w:noWrap/>
                  <w:vAlign w:val="center"/>
                  <w:hideMark/>
                </w:tcPr>
                <w:p w14:paraId="65FF260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shd w:val="clear" w:color="auto" w:fill="auto"/>
                  <w:noWrap/>
                  <w:vAlign w:val="center"/>
                  <w:hideMark/>
                </w:tcPr>
                <w:p w14:paraId="0864032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7FDA237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(84.09)</w:t>
                  </w:r>
                </w:p>
              </w:tc>
              <w:tc>
                <w:tcPr>
                  <w:tcW w:w="0" w:type="auto"/>
                  <w:shd w:val="clear" w:color="auto" w:fill="auto"/>
                  <w:noWrap/>
                  <w:vAlign w:val="center"/>
                  <w:hideMark/>
                </w:tcPr>
                <w:p w14:paraId="6E8EA74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(178.53)</w:t>
                  </w:r>
                </w:p>
              </w:tc>
              <w:tc>
                <w:tcPr>
                  <w:tcW w:w="0" w:type="auto"/>
                  <w:shd w:val="clear" w:color="auto" w:fill="auto"/>
                  <w:noWrap/>
                  <w:vAlign w:val="center"/>
                  <w:hideMark/>
                </w:tcPr>
                <w:p w14:paraId="71B51B8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(96.40)</w:t>
                  </w:r>
                </w:p>
              </w:tc>
              <w:tc>
                <w:tcPr>
                  <w:tcW w:w="0" w:type="auto"/>
                  <w:shd w:val="clear" w:color="auto" w:fill="auto"/>
                  <w:noWrap/>
                  <w:vAlign w:val="center"/>
                  <w:hideMark/>
                </w:tcPr>
                <w:p w14:paraId="4BEEBD5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(207.71)</w:t>
                  </w:r>
                </w:p>
              </w:tc>
              <w:tc>
                <w:tcPr>
                  <w:tcW w:w="0" w:type="auto"/>
                  <w:shd w:val="clear" w:color="auto" w:fill="auto"/>
                  <w:noWrap/>
                  <w:vAlign w:val="center"/>
                  <w:hideMark/>
                </w:tcPr>
                <w:p w14:paraId="20E1EF8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(248.56)</w:t>
                  </w:r>
                </w:p>
              </w:tc>
              <w:tc>
                <w:tcPr>
                  <w:tcW w:w="0" w:type="auto"/>
                  <w:shd w:val="clear" w:color="auto" w:fill="auto"/>
                  <w:noWrap/>
                  <w:vAlign w:val="center"/>
                  <w:hideMark/>
                </w:tcPr>
                <w:p w14:paraId="16AF91E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(210.52)</w:t>
                  </w:r>
                </w:p>
              </w:tc>
            </w:tr>
            <w:tr w:rsidR="00C04029" w:rsidRPr="00C04029" w14:paraId="35BB4A1A" w14:textId="77777777" w:rsidTr="00C04029">
              <w:trPr>
                <w:trHeight w:val="300"/>
              </w:trPr>
              <w:tc>
                <w:tcPr>
                  <w:tcW w:w="0" w:type="auto"/>
                  <w:shd w:val="clear" w:color="auto" w:fill="auto"/>
                  <w:noWrap/>
                  <w:vAlign w:val="bottom"/>
                  <w:hideMark/>
                </w:tcPr>
                <w:p w14:paraId="1811013D"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Operation Profit After Taxes</w:t>
                  </w:r>
                </w:p>
              </w:tc>
              <w:tc>
                <w:tcPr>
                  <w:tcW w:w="0" w:type="auto"/>
                  <w:shd w:val="clear" w:color="auto" w:fill="auto"/>
                  <w:noWrap/>
                  <w:vAlign w:val="center"/>
                  <w:hideMark/>
                </w:tcPr>
                <w:p w14:paraId="5F692F1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61406C7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(156.25)</w:t>
                  </w:r>
                </w:p>
              </w:tc>
              <w:tc>
                <w:tcPr>
                  <w:tcW w:w="0" w:type="auto"/>
                  <w:shd w:val="clear" w:color="auto" w:fill="auto"/>
                  <w:noWrap/>
                  <w:vAlign w:val="center"/>
                  <w:hideMark/>
                </w:tcPr>
                <w:p w14:paraId="7F8D9BF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229.28 </w:t>
                  </w:r>
                </w:p>
              </w:tc>
              <w:tc>
                <w:tcPr>
                  <w:tcW w:w="0" w:type="auto"/>
                  <w:shd w:val="clear" w:color="auto" w:fill="auto"/>
                  <w:noWrap/>
                  <w:vAlign w:val="center"/>
                  <w:hideMark/>
                </w:tcPr>
                <w:p w14:paraId="76A46BC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480.09 </w:t>
                  </w:r>
                </w:p>
              </w:tc>
              <w:tc>
                <w:tcPr>
                  <w:tcW w:w="0" w:type="auto"/>
                  <w:shd w:val="clear" w:color="auto" w:fill="auto"/>
                  <w:noWrap/>
                  <w:vAlign w:val="center"/>
                  <w:hideMark/>
                </w:tcPr>
                <w:p w14:paraId="1CC79B7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263.37 </w:t>
                  </w:r>
                </w:p>
              </w:tc>
              <w:tc>
                <w:tcPr>
                  <w:tcW w:w="0" w:type="auto"/>
                  <w:shd w:val="clear" w:color="auto" w:fill="auto"/>
                  <w:noWrap/>
                  <w:vAlign w:val="center"/>
                  <w:hideMark/>
                </w:tcPr>
                <w:p w14:paraId="30A40CE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560.16 </w:t>
                  </w:r>
                </w:p>
              </w:tc>
              <w:tc>
                <w:tcPr>
                  <w:tcW w:w="0" w:type="auto"/>
                  <w:shd w:val="clear" w:color="auto" w:fill="auto"/>
                  <w:noWrap/>
                  <w:vAlign w:val="center"/>
                  <w:hideMark/>
                </w:tcPr>
                <w:p w14:paraId="208FF09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666.21 </w:t>
                  </w:r>
                </w:p>
              </w:tc>
              <w:tc>
                <w:tcPr>
                  <w:tcW w:w="0" w:type="auto"/>
                  <w:shd w:val="clear" w:color="auto" w:fill="auto"/>
                  <w:noWrap/>
                  <w:vAlign w:val="center"/>
                  <w:hideMark/>
                </w:tcPr>
                <w:p w14:paraId="4D0E395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574.80 </w:t>
                  </w:r>
                </w:p>
              </w:tc>
            </w:tr>
            <w:tr w:rsidR="00C04029" w:rsidRPr="00C04029" w14:paraId="213482D6" w14:textId="77777777" w:rsidTr="00C04029">
              <w:trPr>
                <w:trHeight w:val="300"/>
              </w:trPr>
              <w:tc>
                <w:tcPr>
                  <w:tcW w:w="0" w:type="auto"/>
                  <w:shd w:val="clear" w:color="auto" w:fill="auto"/>
                  <w:noWrap/>
                  <w:vAlign w:val="bottom"/>
                  <w:hideMark/>
                </w:tcPr>
                <w:p w14:paraId="6D168C74" w14:textId="77777777" w:rsidR="00C04029" w:rsidRPr="00C04029" w:rsidRDefault="00C04029" w:rsidP="00C04029">
                  <w:pPr>
                    <w:spacing w:after="0" w:line="240" w:lineRule="auto"/>
                    <w:rPr>
                      <w:rFonts w:eastAsia="Times New Roman"/>
                      <w:lang w:val="en-US"/>
                    </w:rPr>
                  </w:pPr>
                  <w:r w:rsidRPr="00C04029">
                    <w:rPr>
                      <w:rFonts w:eastAsia="Times New Roman"/>
                      <w:lang w:val="en-US"/>
                    </w:rPr>
                    <w:t>Depreciation (+)</w:t>
                  </w:r>
                </w:p>
              </w:tc>
              <w:tc>
                <w:tcPr>
                  <w:tcW w:w="0" w:type="auto"/>
                  <w:shd w:val="clear" w:color="auto" w:fill="auto"/>
                  <w:noWrap/>
                  <w:vAlign w:val="center"/>
                  <w:hideMark/>
                </w:tcPr>
                <w:p w14:paraId="1517232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shd w:val="clear" w:color="auto" w:fill="auto"/>
                  <w:noWrap/>
                  <w:vAlign w:val="center"/>
                  <w:hideMark/>
                </w:tcPr>
                <w:p w14:paraId="33AC169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8.62 </w:t>
                  </w:r>
                </w:p>
              </w:tc>
              <w:tc>
                <w:tcPr>
                  <w:tcW w:w="0" w:type="auto"/>
                  <w:shd w:val="clear" w:color="auto" w:fill="auto"/>
                  <w:noWrap/>
                  <w:vAlign w:val="center"/>
                  <w:hideMark/>
                </w:tcPr>
                <w:p w14:paraId="6BEB51A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10.93 </w:t>
                  </w:r>
                </w:p>
              </w:tc>
              <w:tc>
                <w:tcPr>
                  <w:tcW w:w="0" w:type="auto"/>
                  <w:shd w:val="clear" w:color="auto" w:fill="auto"/>
                  <w:noWrap/>
                  <w:vAlign w:val="center"/>
                  <w:hideMark/>
                </w:tcPr>
                <w:p w14:paraId="3DA879B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13.57 </w:t>
                  </w:r>
                </w:p>
              </w:tc>
              <w:tc>
                <w:tcPr>
                  <w:tcW w:w="0" w:type="auto"/>
                  <w:shd w:val="clear" w:color="auto" w:fill="auto"/>
                  <w:noWrap/>
                  <w:vAlign w:val="center"/>
                  <w:hideMark/>
                </w:tcPr>
                <w:p w14:paraId="035239A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13.55 </w:t>
                  </w:r>
                </w:p>
              </w:tc>
              <w:tc>
                <w:tcPr>
                  <w:tcW w:w="0" w:type="auto"/>
                  <w:shd w:val="clear" w:color="auto" w:fill="auto"/>
                  <w:noWrap/>
                  <w:vAlign w:val="center"/>
                  <w:hideMark/>
                </w:tcPr>
                <w:p w14:paraId="047B4D4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13.92 </w:t>
                  </w:r>
                </w:p>
              </w:tc>
              <w:tc>
                <w:tcPr>
                  <w:tcW w:w="0" w:type="auto"/>
                  <w:shd w:val="clear" w:color="auto" w:fill="auto"/>
                  <w:noWrap/>
                  <w:vAlign w:val="center"/>
                  <w:hideMark/>
                </w:tcPr>
                <w:p w14:paraId="095190A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10.50 </w:t>
                  </w:r>
                </w:p>
              </w:tc>
              <w:tc>
                <w:tcPr>
                  <w:tcW w:w="0" w:type="auto"/>
                  <w:shd w:val="clear" w:color="auto" w:fill="auto"/>
                  <w:noWrap/>
                  <w:vAlign w:val="center"/>
                  <w:hideMark/>
                </w:tcPr>
                <w:p w14:paraId="1927A6B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16.37 </w:t>
                  </w:r>
                </w:p>
              </w:tc>
            </w:tr>
            <w:tr w:rsidR="00C04029" w:rsidRPr="00C04029" w14:paraId="1F07E0B2" w14:textId="77777777" w:rsidTr="00C04029">
              <w:trPr>
                <w:trHeight w:val="300"/>
              </w:trPr>
              <w:tc>
                <w:tcPr>
                  <w:tcW w:w="0" w:type="auto"/>
                  <w:shd w:val="clear" w:color="auto" w:fill="auto"/>
                  <w:noWrap/>
                  <w:vAlign w:val="bottom"/>
                  <w:hideMark/>
                </w:tcPr>
                <w:p w14:paraId="768C1BC8"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Cash Flow</w:t>
                  </w:r>
                </w:p>
              </w:tc>
              <w:tc>
                <w:tcPr>
                  <w:tcW w:w="0" w:type="auto"/>
                  <w:shd w:val="clear" w:color="auto" w:fill="auto"/>
                  <w:noWrap/>
                  <w:vAlign w:val="center"/>
                  <w:hideMark/>
                </w:tcPr>
                <w:p w14:paraId="7812BFB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shd w:val="clear" w:color="auto" w:fill="auto"/>
                  <w:noWrap/>
                  <w:vAlign w:val="center"/>
                  <w:hideMark/>
                </w:tcPr>
                <w:p w14:paraId="0252329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(147.63)</w:t>
                  </w:r>
                </w:p>
              </w:tc>
              <w:tc>
                <w:tcPr>
                  <w:tcW w:w="0" w:type="auto"/>
                  <w:shd w:val="clear" w:color="auto" w:fill="auto"/>
                  <w:noWrap/>
                  <w:vAlign w:val="center"/>
                  <w:hideMark/>
                </w:tcPr>
                <w:p w14:paraId="266B939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240.21 </w:t>
                  </w:r>
                </w:p>
              </w:tc>
              <w:tc>
                <w:tcPr>
                  <w:tcW w:w="0" w:type="auto"/>
                  <w:shd w:val="clear" w:color="auto" w:fill="auto"/>
                  <w:noWrap/>
                  <w:vAlign w:val="center"/>
                  <w:hideMark/>
                </w:tcPr>
                <w:p w14:paraId="080AAFD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493.67 </w:t>
                  </w:r>
                </w:p>
              </w:tc>
              <w:tc>
                <w:tcPr>
                  <w:tcW w:w="0" w:type="auto"/>
                  <w:shd w:val="clear" w:color="auto" w:fill="auto"/>
                  <w:noWrap/>
                  <w:vAlign w:val="center"/>
                  <w:hideMark/>
                </w:tcPr>
                <w:p w14:paraId="1D080E9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276.92 </w:t>
                  </w:r>
                </w:p>
              </w:tc>
              <w:tc>
                <w:tcPr>
                  <w:tcW w:w="0" w:type="auto"/>
                  <w:shd w:val="clear" w:color="auto" w:fill="auto"/>
                  <w:noWrap/>
                  <w:vAlign w:val="center"/>
                  <w:hideMark/>
                </w:tcPr>
                <w:p w14:paraId="59238D2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574.08 </w:t>
                  </w:r>
                </w:p>
              </w:tc>
              <w:tc>
                <w:tcPr>
                  <w:tcW w:w="0" w:type="auto"/>
                  <w:shd w:val="clear" w:color="auto" w:fill="auto"/>
                  <w:noWrap/>
                  <w:vAlign w:val="center"/>
                  <w:hideMark/>
                </w:tcPr>
                <w:p w14:paraId="43EA8E5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676.71 </w:t>
                  </w:r>
                </w:p>
              </w:tc>
              <w:tc>
                <w:tcPr>
                  <w:tcW w:w="0" w:type="auto"/>
                  <w:shd w:val="clear" w:color="auto" w:fill="auto"/>
                  <w:noWrap/>
                  <w:vAlign w:val="center"/>
                  <w:hideMark/>
                </w:tcPr>
                <w:p w14:paraId="1862BD6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591.17 </w:t>
                  </w:r>
                </w:p>
              </w:tc>
            </w:tr>
            <w:tr w:rsidR="00C04029" w:rsidRPr="00C04029" w14:paraId="0924EC7D" w14:textId="77777777" w:rsidTr="00C04029">
              <w:trPr>
                <w:trHeight w:val="300"/>
              </w:trPr>
              <w:tc>
                <w:tcPr>
                  <w:tcW w:w="0" w:type="auto"/>
                  <w:shd w:val="clear" w:color="auto" w:fill="auto"/>
                  <w:noWrap/>
                  <w:vAlign w:val="bottom"/>
                  <w:hideMark/>
                </w:tcPr>
                <w:p w14:paraId="0C43D7D2" w14:textId="77777777" w:rsidR="00C04029" w:rsidRPr="00C04029" w:rsidRDefault="00C04029" w:rsidP="00C04029">
                  <w:pPr>
                    <w:spacing w:after="0" w:line="240" w:lineRule="auto"/>
                    <w:rPr>
                      <w:rFonts w:eastAsia="Times New Roman"/>
                      <w:lang w:val="en-US"/>
                    </w:rPr>
                  </w:pPr>
                  <w:r w:rsidRPr="00C04029">
                    <w:rPr>
                      <w:rFonts w:eastAsia="Times New Roman"/>
                      <w:lang w:val="en-US"/>
                    </w:rPr>
                    <w:t>Investment (-)</w:t>
                  </w:r>
                </w:p>
              </w:tc>
              <w:tc>
                <w:tcPr>
                  <w:tcW w:w="0" w:type="auto"/>
                  <w:shd w:val="clear" w:color="auto" w:fill="auto"/>
                  <w:noWrap/>
                  <w:vAlign w:val="center"/>
                  <w:hideMark/>
                </w:tcPr>
                <w:p w14:paraId="21BB4DE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(863.38)</w:t>
                  </w:r>
                </w:p>
              </w:tc>
              <w:tc>
                <w:tcPr>
                  <w:tcW w:w="0" w:type="auto"/>
                  <w:shd w:val="clear" w:color="auto" w:fill="auto"/>
                  <w:noWrap/>
                  <w:vAlign w:val="center"/>
                  <w:hideMark/>
                </w:tcPr>
                <w:p w14:paraId="29A7B29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217B1C6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AFC80B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13E1DCC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5ADF3C9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4123800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9F4A32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4153C6ED" w14:textId="77777777" w:rsidTr="00C04029">
              <w:trPr>
                <w:trHeight w:val="300"/>
              </w:trPr>
              <w:tc>
                <w:tcPr>
                  <w:tcW w:w="0" w:type="auto"/>
                  <w:shd w:val="clear" w:color="auto" w:fill="auto"/>
                  <w:noWrap/>
                  <w:vAlign w:val="bottom"/>
                  <w:hideMark/>
                </w:tcPr>
                <w:p w14:paraId="6891238A"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Residual Value </w:t>
                  </w:r>
                </w:p>
              </w:tc>
              <w:tc>
                <w:tcPr>
                  <w:tcW w:w="0" w:type="auto"/>
                  <w:shd w:val="clear" w:color="auto" w:fill="auto"/>
                  <w:noWrap/>
                  <w:vAlign w:val="center"/>
                  <w:hideMark/>
                </w:tcPr>
                <w:p w14:paraId="230D64D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53E146D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466B62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736734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5963C05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62D619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4A948C9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3FE14D0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646.41 </w:t>
                  </w:r>
                </w:p>
              </w:tc>
            </w:tr>
            <w:tr w:rsidR="00C04029" w:rsidRPr="00C04029" w14:paraId="192B9706" w14:textId="77777777" w:rsidTr="00C04029">
              <w:trPr>
                <w:trHeight w:val="300"/>
              </w:trPr>
              <w:tc>
                <w:tcPr>
                  <w:tcW w:w="0" w:type="auto"/>
                  <w:shd w:val="clear" w:color="auto" w:fill="auto"/>
                  <w:noWrap/>
                  <w:vAlign w:val="bottom"/>
                  <w:hideMark/>
                </w:tcPr>
                <w:p w14:paraId="46034857" w14:textId="77777777" w:rsidR="00C04029" w:rsidRPr="00C04029" w:rsidRDefault="00C04029" w:rsidP="00C04029">
                  <w:pPr>
                    <w:spacing w:after="0" w:line="240" w:lineRule="auto"/>
                    <w:rPr>
                      <w:rFonts w:eastAsia="Times New Roman"/>
                      <w:lang w:val="en-US"/>
                    </w:rPr>
                  </w:pPr>
                  <w:r w:rsidRPr="00C04029">
                    <w:rPr>
                      <w:rFonts w:eastAsia="Times New Roman"/>
                      <w:lang w:val="en-US"/>
                    </w:rPr>
                    <w:t>Working Capital (-)</w:t>
                  </w:r>
                </w:p>
              </w:tc>
              <w:tc>
                <w:tcPr>
                  <w:tcW w:w="0" w:type="auto"/>
                  <w:shd w:val="clear" w:color="auto" w:fill="auto"/>
                  <w:noWrap/>
                  <w:vAlign w:val="center"/>
                  <w:hideMark/>
                </w:tcPr>
                <w:p w14:paraId="06FB0E1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6857818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0122D8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546A7BE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1420F6B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4FA478E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73BF343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944382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1876A138" w14:textId="77777777" w:rsidTr="00C04029">
              <w:trPr>
                <w:trHeight w:val="300"/>
              </w:trPr>
              <w:tc>
                <w:tcPr>
                  <w:tcW w:w="0" w:type="auto"/>
                  <w:shd w:val="clear" w:color="auto" w:fill="auto"/>
                  <w:noWrap/>
                  <w:vAlign w:val="bottom"/>
                  <w:hideMark/>
                </w:tcPr>
                <w:p w14:paraId="384D8D02"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 xml:space="preserve">Cash Flows </w:t>
                  </w:r>
                </w:p>
              </w:tc>
              <w:tc>
                <w:tcPr>
                  <w:tcW w:w="0" w:type="auto"/>
                  <w:shd w:val="clear" w:color="auto" w:fill="auto"/>
                  <w:noWrap/>
                  <w:vAlign w:val="center"/>
                  <w:hideMark/>
                </w:tcPr>
                <w:p w14:paraId="122758A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(863.38)</w:t>
                  </w:r>
                </w:p>
              </w:tc>
              <w:tc>
                <w:tcPr>
                  <w:tcW w:w="0" w:type="auto"/>
                  <w:shd w:val="clear" w:color="auto" w:fill="auto"/>
                  <w:noWrap/>
                  <w:vAlign w:val="center"/>
                  <w:hideMark/>
                </w:tcPr>
                <w:p w14:paraId="0A819B4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(147.63)</w:t>
                  </w:r>
                </w:p>
              </w:tc>
              <w:tc>
                <w:tcPr>
                  <w:tcW w:w="0" w:type="auto"/>
                  <w:shd w:val="clear" w:color="auto" w:fill="auto"/>
                  <w:noWrap/>
                  <w:vAlign w:val="center"/>
                  <w:hideMark/>
                </w:tcPr>
                <w:p w14:paraId="292D94C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240.21 </w:t>
                  </w:r>
                </w:p>
              </w:tc>
              <w:tc>
                <w:tcPr>
                  <w:tcW w:w="0" w:type="auto"/>
                  <w:shd w:val="clear" w:color="auto" w:fill="auto"/>
                  <w:noWrap/>
                  <w:vAlign w:val="center"/>
                  <w:hideMark/>
                </w:tcPr>
                <w:p w14:paraId="54B18EC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493.67 </w:t>
                  </w:r>
                </w:p>
              </w:tc>
              <w:tc>
                <w:tcPr>
                  <w:tcW w:w="0" w:type="auto"/>
                  <w:shd w:val="clear" w:color="auto" w:fill="auto"/>
                  <w:noWrap/>
                  <w:vAlign w:val="center"/>
                  <w:hideMark/>
                </w:tcPr>
                <w:p w14:paraId="3ABF452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276.92 </w:t>
                  </w:r>
                </w:p>
              </w:tc>
              <w:tc>
                <w:tcPr>
                  <w:tcW w:w="0" w:type="auto"/>
                  <w:shd w:val="clear" w:color="auto" w:fill="auto"/>
                  <w:noWrap/>
                  <w:vAlign w:val="center"/>
                  <w:hideMark/>
                </w:tcPr>
                <w:p w14:paraId="56CBDED9"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574.08 </w:t>
                  </w:r>
                </w:p>
              </w:tc>
              <w:tc>
                <w:tcPr>
                  <w:tcW w:w="0" w:type="auto"/>
                  <w:shd w:val="clear" w:color="auto" w:fill="auto"/>
                  <w:noWrap/>
                  <w:vAlign w:val="center"/>
                  <w:hideMark/>
                </w:tcPr>
                <w:p w14:paraId="66311F3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676.71 </w:t>
                  </w:r>
                </w:p>
              </w:tc>
              <w:tc>
                <w:tcPr>
                  <w:tcW w:w="0" w:type="auto"/>
                  <w:shd w:val="clear" w:color="auto" w:fill="auto"/>
                  <w:noWrap/>
                  <w:vAlign w:val="center"/>
                  <w:hideMark/>
                </w:tcPr>
                <w:p w14:paraId="05869E6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1237.58 </w:t>
                  </w:r>
                </w:p>
              </w:tc>
            </w:tr>
            <w:tr w:rsidR="00C04029" w:rsidRPr="00C04029" w14:paraId="27CB0BAE" w14:textId="77777777" w:rsidTr="00C04029">
              <w:trPr>
                <w:trHeight w:val="300"/>
              </w:trPr>
              <w:tc>
                <w:tcPr>
                  <w:tcW w:w="0" w:type="auto"/>
                  <w:shd w:val="clear" w:color="auto" w:fill="auto"/>
                  <w:noWrap/>
                  <w:vAlign w:val="bottom"/>
                  <w:hideMark/>
                </w:tcPr>
                <w:p w14:paraId="1A139ABE"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shd w:val="clear" w:color="auto" w:fill="auto"/>
                  <w:noWrap/>
                  <w:vAlign w:val="center"/>
                  <w:hideMark/>
                </w:tcPr>
                <w:p w14:paraId="7D2423B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6E7C1D1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2A75F3B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0A13C25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331478E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336EE6D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409ADDC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103A4DE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48FF1503" w14:textId="77777777" w:rsidTr="00C04029">
              <w:trPr>
                <w:trHeight w:val="300"/>
              </w:trPr>
              <w:tc>
                <w:tcPr>
                  <w:tcW w:w="0" w:type="auto"/>
                  <w:shd w:val="clear" w:color="auto" w:fill="auto"/>
                  <w:noWrap/>
                  <w:vAlign w:val="bottom"/>
                  <w:hideMark/>
                </w:tcPr>
                <w:p w14:paraId="338BE29C"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Discounting </w:t>
                  </w:r>
                  <w:proofErr w:type="spellStart"/>
                  <w:r w:rsidRPr="00C04029">
                    <w:rPr>
                      <w:rFonts w:eastAsia="Times New Roman"/>
                      <w:lang w:val="en-US"/>
                    </w:rPr>
                    <w:t>Fator</w:t>
                  </w:r>
                  <w:proofErr w:type="spellEnd"/>
                </w:p>
              </w:tc>
              <w:tc>
                <w:tcPr>
                  <w:tcW w:w="0" w:type="auto"/>
                  <w:shd w:val="clear" w:color="auto" w:fill="auto"/>
                  <w:noWrap/>
                  <w:vAlign w:val="center"/>
                  <w:hideMark/>
                </w:tcPr>
                <w:p w14:paraId="188150B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1.00 </w:t>
                  </w:r>
                </w:p>
              </w:tc>
              <w:tc>
                <w:tcPr>
                  <w:tcW w:w="0" w:type="auto"/>
                  <w:shd w:val="clear" w:color="auto" w:fill="auto"/>
                  <w:noWrap/>
                  <w:vAlign w:val="center"/>
                  <w:hideMark/>
                </w:tcPr>
                <w:p w14:paraId="34015D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1.10 </w:t>
                  </w:r>
                </w:p>
              </w:tc>
              <w:tc>
                <w:tcPr>
                  <w:tcW w:w="0" w:type="auto"/>
                  <w:shd w:val="clear" w:color="auto" w:fill="auto"/>
                  <w:noWrap/>
                  <w:vAlign w:val="center"/>
                  <w:hideMark/>
                </w:tcPr>
                <w:p w14:paraId="337A864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1.20 </w:t>
                  </w:r>
                </w:p>
              </w:tc>
              <w:tc>
                <w:tcPr>
                  <w:tcW w:w="0" w:type="auto"/>
                  <w:shd w:val="clear" w:color="auto" w:fill="auto"/>
                  <w:noWrap/>
                  <w:vAlign w:val="center"/>
                  <w:hideMark/>
                </w:tcPr>
                <w:p w14:paraId="7E7F3FD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1.31 </w:t>
                  </w:r>
                </w:p>
              </w:tc>
              <w:tc>
                <w:tcPr>
                  <w:tcW w:w="0" w:type="auto"/>
                  <w:shd w:val="clear" w:color="auto" w:fill="auto"/>
                  <w:noWrap/>
                  <w:vAlign w:val="center"/>
                  <w:hideMark/>
                </w:tcPr>
                <w:p w14:paraId="72C01AD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1.44 </w:t>
                  </w:r>
                </w:p>
              </w:tc>
              <w:tc>
                <w:tcPr>
                  <w:tcW w:w="0" w:type="auto"/>
                  <w:shd w:val="clear" w:color="auto" w:fill="auto"/>
                  <w:noWrap/>
                  <w:vAlign w:val="center"/>
                  <w:hideMark/>
                </w:tcPr>
                <w:p w14:paraId="4ED2120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1.58 </w:t>
                  </w:r>
                </w:p>
              </w:tc>
              <w:tc>
                <w:tcPr>
                  <w:tcW w:w="0" w:type="auto"/>
                  <w:shd w:val="clear" w:color="auto" w:fill="auto"/>
                  <w:noWrap/>
                  <w:vAlign w:val="center"/>
                  <w:hideMark/>
                </w:tcPr>
                <w:p w14:paraId="6C0B713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1.73 </w:t>
                  </w:r>
                </w:p>
              </w:tc>
              <w:tc>
                <w:tcPr>
                  <w:tcW w:w="0" w:type="auto"/>
                  <w:shd w:val="clear" w:color="auto" w:fill="auto"/>
                  <w:noWrap/>
                  <w:vAlign w:val="center"/>
                  <w:hideMark/>
                </w:tcPr>
                <w:p w14:paraId="0E03F5F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1.89 </w:t>
                  </w:r>
                </w:p>
              </w:tc>
            </w:tr>
            <w:tr w:rsidR="00C04029" w:rsidRPr="00C04029" w14:paraId="140C9520" w14:textId="77777777" w:rsidTr="00C04029">
              <w:trPr>
                <w:trHeight w:val="300"/>
              </w:trPr>
              <w:tc>
                <w:tcPr>
                  <w:tcW w:w="0" w:type="auto"/>
                  <w:shd w:val="clear" w:color="auto" w:fill="auto"/>
                  <w:noWrap/>
                  <w:vAlign w:val="bottom"/>
                  <w:hideMark/>
                </w:tcPr>
                <w:p w14:paraId="7CD5F498"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Discounted Cash Flow</w:t>
                  </w:r>
                </w:p>
              </w:tc>
              <w:tc>
                <w:tcPr>
                  <w:tcW w:w="0" w:type="auto"/>
                  <w:shd w:val="clear" w:color="auto" w:fill="auto"/>
                  <w:noWrap/>
                  <w:vAlign w:val="center"/>
                  <w:hideMark/>
                </w:tcPr>
                <w:p w14:paraId="371569A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(863.38)</w:t>
                  </w:r>
                </w:p>
              </w:tc>
              <w:tc>
                <w:tcPr>
                  <w:tcW w:w="0" w:type="auto"/>
                  <w:shd w:val="clear" w:color="auto" w:fill="auto"/>
                  <w:noWrap/>
                  <w:vAlign w:val="center"/>
                  <w:hideMark/>
                </w:tcPr>
                <w:p w14:paraId="4B81E31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(134.77)</w:t>
                  </w:r>
                </w:p>
              </w:tc>
              <w:tc>
                <w:tcPr>
                  <w:tcW w:w="0" w:type="auto"/>
                  <w:shd w:val="clear" w:color="auto" w:fill="auto"/>
                  <w:noWrap/>
                  <w:vAlign w:val="center"/>
                  <w:hideMark/>
                </w:tcPr>
                <w:p w14:paraId="50F1932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200.20 </w:t>
                  </w:r>
                </w:p>
              </w:tc>
              <w:tc>
                <w:tcPr>
                  <w:tcW w:w="0" w:type="auto"/>
                  <w:shd w:val="clear" w:color="auto" w:fill="auto"/>
                  <w:noWrap/>
                  <w:vAlign w:val="center"/>
                  <w:hideMark/>
                </w:tcPr>
                <w:p w14:paraId="5EA799B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375.60 </w:t>
                  </w:r>
                </w:p>
              </w:tc>
              <w:tc>
                <w:tcPr>
                  <w:tcW w:w="0" w:type="auto"/>
                  <w:shd w:val="clear" w:color="auto" w:fill="auto"/>
                  <w:noWrap/>
                  <w:vAlign w:val="center"/>
                  <w:hideMark/>
                </w:tcPr>
                <w:p w14:paraId="5EC1953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192.35 </w:t>
                  </w:r>
                </w:p>
              </w:tc>
              <w:tc>
                <w:tcPr>
                  <w:tcW w:w="0" w:type="auto"/>
                  <w:shd w:val="clear" w:color="auto" w:fill="auto"/>
                  <w:noWrap/>
                  <w:vAlign w:val="center"/>
                  <w:hideMark/>
                </w:tcPr>
                <w:p w14:paraId="4386499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364.03 </w:t>
                  </w:r>
                </w:p>
              </w:tc>
              <w:tc>
                <w:tcPr>
                  <w:tcW w:w="0" w:type="auto"/>
                  <w:shd w:val="clear" w:color="auto" w:fill="auto"/>
                  <w:noWrap/>
                  <w:vAlign w:val="center"/>
                  <w:hideMark/>
                </w:tcPr>
                <w:p w14:paraId="11C284F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391.74 </w:t>
                  </w:r>
                </w:p>
              </w:tc>
              <w:tc>
                <w:tcPr>
                  <w:tcW w:w="0" w:type="auto"/>
                  <w:shd w:val="clear" w:color="auto" w:fill="auto"/>
                  <w:noWrap/>
                  <w:vAlign w:val="center"/>
                  <w:hideMark/>
                </w:tcPr>
                <w:p w14:paraId="6E74DB4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654.04 </w:t>
                  </w:r>
                </w:p>
              </w:tc>
            </w:tr>
            <w:tr w:rsidR="00C04029" w:rsidRPr="00C04029" w14:paraId="0A3FB27D" w14:textId="77777777" w:rsidTr="00C04029">
              <w:trPr>
                <w:trHeight w:val="300"/>
              </w:trPr>
              <w:tc>
                <w:tcPr>
                  <w:tcW w:w="0" w:type="auto"/>
                  <w:shd w:val="clear" w:color="auto" w:fill="auto"/>
                  <w:noWrap/>
                  <w:vAlign w:val="bottom"/>
                  <w:hideMark/>
                </w:tcPr>
                <w:p w14:paraId="41C1A2CC" w14:textId="77777777" w:rsidR="00C04029" w:rsidRPr="00C04029" w:rsidRDefault="00C04029" w:rsidP="00C04029">
                  <w:pPr>
                    <w:spacing w:after="0" w:line="240" w:lineRule="auto"/>
                    <w:rPr>
                      <w:rFonts w:eastAsia="Times New Roman"/>
                      <w:lang w:val="en-US"/>
                    </w:rPr>
                  </w:pPr>
                  <w:r w:rsidRPr="00C04029">
                    <w:rPr>
                      <w:rFonts w:eastAsia="Times New Roman"/>
                      <w:lang w:val="en-US"/>
                    </w:rPr>
                    <w:t>Pay back</w:t>
                  </w:r>
                </w:p>
              </w:tc>
              <w:tc>
                <w:tcPr>
                  <w:tcW w:w="0" w:type="auto"/>
                  <w:shd w:val="clear" w:color="auto" w:fill="auto"/>
                  <w:noWrap/>
                  <w:vAlign w:val="center"/>
                  <w:hideMark/>
                </w:tcPr>
                <w:p w14:paraId="3C8F527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shd w:val="clear" w:color="auto" w:fill="auto"/>
                  <w:noWrap/>
                  <w:vAlign w:val="center"/>
                  <w:hideMark/>
                </w:tcPr>
                <w:p w14:paraId="615B575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(998.15)</w:t>
                  </w:r>
                </w:p>
              </w:tc>
              <w:tc>
                <w:tcPr>
                  <w:tcW w:w="0" w:type="auto"/>
                  <w:shd w:val="clear" w:color="auto" w:fill="auto"/>
                  <w:noWrap/>
                  <w:vAlign w:val="center"/>
                  <w:hideMark/>
                </w:tcPr>
                <w:p w14:paraId="0832F36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(797.95)</w:t>
                  </w:r>
                </w:p>
              </w:tc>
              <w:tc>
                <w:tcPr>
                  <w:tcW w:w="0" w:type="auto"/>
                  <w:shd w:val="clear" w:color="auto" w:fill="auto"/>
                  <w:noWrap/>
                  <w:vAlign w:val="center"/>
                  <w:hideMark/>
                </w:tcPr>
                <w:p w14:paraId="25B0C33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(422.34)</w:t>
                  </w:r>
                </w:p>
              </w:tc>
              <w:tc>
                <w:tcPr>
                  <w:tcW w:w="0" w:type="auto"/>
                  <w:shd w:val="clear" w:color="auto" w:fill="auto"/>
                  <w:noWrap/>
                  <w:vAlign w:val="center"/>
                  <w:hideMark/>
                </w:tcPr>
                <w:p w14:paraId="093DADB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(230.00)</w:t>
                  </w:r>
                </w:p>
              </w:tc>
              <w:tc>
                <w:tcPr>
                  <w:tcW w:w="0" w:type="auto"/>
                  <w:shd w:val="clear" w:color="auto" w:fill="auto"/>
                  <w:noWrap/>
                  <w:vAlign w:val="center"/>
                  <w:hideMark/>
                </w:tcPr>
                <w:p w14:paraId="1E3DD05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134.03 </w:t>
                  </w:r>
                </w:p>
              </w:tc>
              <w:tc>
                <w:tcPr>
                  <w:tcW w:w="0" w:type="auto"/>
                  <w:shd w:val="clear" w:color="auto" w:fill="auto"/>
                  <w:noWrap/>
                  <w:vAlign w:val="center"/>
                  <w:hideMark/>
                </w:tcPr>
                <w:p w14:paraId="446EA6C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525.77 </w:t>
                  </w:r>
                </w:p>
              </w:tc>
              <w:tc>
                <w:tcPr>
                  <w:tcW w:w="0" w:type="auto"/>
                  <w:shd w:val="clear" w:color="auto" w:fill="auto"/>
                  <w:noWrap/>
                  <w:vAlign w:val="center"/>
                  <w:hideMark/>
                </w:tcPr>
                <w:p w14:paraId="6400B57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1179.81 </w:t>
                  </w:r>
                </w:p>
              </w:tc>
            </w:tr>
          </w:tbl>
          <w:p w14:paraId="10EBA0E0" w14:textId="77777777" w:rsidR="001E35D2" w:rsidRPr="00C04029" w:rsidRDefault="001E35D2" w:rsidP="00B8294F">
            <w:pPr>
              <w:spacing w:after="0" w:line="240" w:lineRule="auto"/>
              <w:jc w:val="center"/>
              <w:rPr>
                <w:rFonts w:eastAsia="Times New Roman"/>
                <w:b/>
                <w:bCs/>
                <w:lang w:val="en-US" w:eastAsia="pt-BR"/>
              </w:rPr>
            </w:pPr>
          </w:p>
        </w:tc>
      </w:tr>
      <w:tr w:rsidR="00C04029" w:rsidRPr="00C04029" w14:paraId="05548A71" w14:textId="77777777" w:rsidTr="001E35D2">
        <w:trPr>
          <w:trHeight w:val="300"/>
        </w:trPr>
        <w:tc>
          <w:tcPr>
            <w:tcW w:w="10879" w:type="dxa"/>
            <w:tcBorders>
              <w:top w:val="nil"/>
              <w:left w:val="nil"/>
              <w:bottom w:val="nil"/>
              <w:right w:val="nil"/>
            </w:tcBorders>
            <w:shd w:val="clear" w:color="auto" w:fill="auto"/>
            <w:noWrap/>
            <w:vAlign w:val="bottom"/>
          </w:tcPr>
          <w:p w14:paraId="75DBE062" w14:textId="77777777" w:rsidR="001E35D2" w:rsidRPr="00C04029" w:rsidRDefault="001E35D2" w:rsidP="00B8294F">
            <w:pPr>
              <w:spacing w:after="0" w:line="240" w:lineRule="auto"/>
              <w:rPr>
                <w:rFonts w:eastAsia="Times New Roman"/>
                <w:b/>
                <w:bCs/>
                <w:sz w:val="20"/>
                <w:lang w:val="en-US" w:eastAsia="pt-BR"/>
              </w:rPr>
            </w:pPr>
            <w:r w:rsidRPr="00C04029">
              <w:rPr>
                <w:rFonts w:eastAsia="Times New Roman"/>
                <w:b/>
                <w:bCs/>
                <w:sz w:val="20"/>
                <w:lang w:val="en-US" w:eastAsia="pt-BR"/>
              </w:rPr>
              <w:t>* 2005 values</w:t>
            </w:r>
          </w:p>
        </w:tc>
        <w:tc>
          <w:tcPr>
            <w:tcW w:w="732" w:type="dxa"/>
            <w:tcBorders>
              <w:top w:val="nil"/>
              <w:left w:val="nil"/>
              <w:bottom w:val="nil"/>
              <w:right w:val="nil"/>
            </w:tcBorders>
            <w:shd w:val="clear" w:color="auto" w:fill="auto"/>
            <w:noWrap/>
            <w:vAlign w:val="center"/>
          </w:tcPr>
          <w:p w14:paraId="0F3C0B29" w14:textId="77777777" w:rsidR="001E35D2" w:rsidRPr="00C04029" w:rsidRDefault="001E35D2" w:rsidP="00B8294F">
            <w:pPr>
              <w:spacing w:after="0" w:line="240" w:lineRule="auto"/>
              <w:jc w:val="center"/>
              <w:rPr>
                <w:rFonts w:eastAsia="Times New Roman"/>
                <w:b/>
                <w:bCs/>
                <w:lang w:eastAsia="pt-BR"/>
              </w:rPr>
            </w:pPr>
          </w:p>
        </w:tc>
        <w:tc>
          <w:tcPr>
            <w:tcW w:w="731" w:type="dxa"/>
            <w:tcBorders>
              <w:top w:val="nil"/>
              <w:left w:val="nil"/>
              <w:bottom w:val="nil"/>
              <w:right w:val="nil"/>
            </w:tcBorders>
            <w:shd w:val="clear" w:color="auto" w:fill="auto"/>
            <w:noWrap/>
            <w:vAlign w:val="center"/>
          </w:tcPr>
          <w:p w14:paraId="0D84EB9B"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3F4F4644"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5F4777F1"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53D13F34"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1D7281E3"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4CEDACB1" w14:textId="77777777" w:rsidR="001E35D2" w:rsidRPr="00C04029" w:rsidRDefault="001E35D2" w:rsidP="00B8294F">
            <w:pPr>
              <w:spacing w:after="0" w:line="240" w:lineRule="auto"/>
              <w:jc w:val="center"/>
              <w:rPr>
                <w:rFonts w:eastAsia="Times New Roman"/>
                <w:b/>
                <w:bCs/>
                <w:lang w:eastAsia="pt-BR"/>
              </w:rPr>
            </w:pPr>
          </w:p>
        </w:tc>
        <w:tc>
          <w:tcPr>
            <w:tcW w:w="15693" w:type="dxa"/>
            <w:tcBorders>
              <w:top w:val="nil"/>
              <w:left w:val="nil"/>
              <w:bottom w:val="nil"/>
              <w:right w:val="nil"/>
            </w:tcBorders>
            <w:shd w:val="clear" w:color="auto" w:fill="auto"/>
            <w:noWrap/>
            <w:vAlign w:val="center"/>
          </w:tcPr>
          <w:p w14:paraId="5506EA3A" w14:textId="77777777" w:rsidR="001E35D2" w:rsidRPr="00C04029" w:rsidRDefault="001E35D2" w:rsidP="00B8294F">
            <w:pPr>
              <w:spacing w:after="0" w:line="240" w:lineRule="auto"/>
              <w:jc w:val="center"/>
              <w:rPr>
                <w:rFonts w:eastAsia="Times New Roman"/>
                <w:b/>
                <w:bCs/>
                <w:lang w:eastAsia="pt-BR"/>
              </w:rPr>
            </w:pPr>
          </w:p>
        </w:tc>
      </w:tr>
      <w:tr w:rsidR="00C04029" w:rsidRPr="00C04029" w14:paraId="79CBC832" w14:textId="77777777" w:rsidTr="001E35D2">
        <w:trPr>
          <w:trHeight w:val="300"/>
        </w:trPr>
        <w:tc>
          <w:tcPr>
            <w:tcW w:w="10879" w:type="dxa"/>
            <w:tcBorders>
              <w:top w:val="nil"/>
              <w:left w:val="nil"/>
              <w:bottom w:val="nil"/>
              <w:right w:val="nil"/>
            </w:tcBorders>
            <w:shd w:val="clear" w:color="auto" w:fill="auto"/>
            <w:noWrap/>
            <w:vAlign w:val="bottom"/>
          </w:tcPr>
          <w:p w14:paraId="174FBC96" w14:textId="77777777" w:rsidR="001E35D2" w:rsidRPr="00C04029" w:rsidRDefault="001E35D2" w:rsidP="00B8294F">
            <w:pPr>
              <w:spacing w:after="0" w:line="240" w:lineRule="auto"/>
              <w:rPr>
                <w:rFonts w:eastAsia="Times New Roman"/>
                <w:b/>
                <w:bCs/>
                <w:lang w:eastAsia="pt-BR"/>
              </w:rPr>
            </w:pPr>
          </w:p>
        </w:tc>
        <w:tc>
          <w:tcPr>
            <w:tcW w:w="732" w:type="dxa"/>
            <w:tcBorders>
              <w:top w:val="nil"/>
              <w:left w:val="nil"/>
              <w:bottom w:val="nil"/>
              <w:right w:val="nil"/>
            </w:tcBorders>
            <w:shd w:val="clear" w:color="auto" w:fill="auto"/>
            <w:noWrap/>
            <w:vAlign w:val="center"/>
          </w:tcPr>
          <w:p w14:paraId="69028E6C" w14:textId="77777777" w:rsidR="001E35D2" w:rsidRPr="00C04029" w:rsidRDefault="001E35D2" w:rsidP="00B8294F">
            <w:pPr>
              <w:spacing w:after="0" w:line="240" w:lineRule="auto"/>
              <w:jc w:val="center"/>
              <w:rPr>
                <w:rFonts w:eastAsia="Times New Roman"/>
                <w:b/>
                <w:bCs/>
                <w:lang w:eastAsia="pt-BR"/>
              </w:rPr>
            </w:pPr>
          </w:p>
        </w:tc>
        <w:tc>
          <w:tcPr>
            <w:tcW w:w="731" w:type="dxa"/>
            <w:tcBorders>
              <w:top w:val="nil"/>
              <w:left w:val="nil"/>
              <w:bottom w:val="nil"/>
              <w:right w:val="nil"/>
            </w:tcBorders>
            <w:shd w:val="clear" w:color="auto" w:fill="auto"/>
            <w:noWrap/>
            <w:vAlign w:val="center"/>
          </w:tcPr>
          <w:p w14:paraId="221EAD76"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0DF154BF"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7E4CE4CC"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66F255E6"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79D6590E" w14:textId="77777777" w:rsidR="001E35D2" w:rsidRPr="00C04029" w:rsidRDefault="001E35D2" w:rsidP="00B8294F">
            <w:pPr>
              <w:spacing w:after="0" w:line="240" w:lineRule="auto"/>
              <w:jc w:val="center"/>
              <w:rPr>
                <w:rFonts w:eastAsia="Times New Roman"/>
                <w:b/>
                <w:bCs/>
                <w:lang w:eastAsia="pt-BR"/>
              </w:rPr>
            </w:pPr>
          </w:p>
        </w:tc>
        <w:tc>
          <w:tcPr>
            <w:tcW w:w="729" w:type="dxa"/>
            <w:tcBorders>
              <w:top w:val="nil"/>
              <w:left w:val="nil"/>
              <w:bottom w:val="nil"/>
              <w:right w:val="nil"/>
            </w:tcBorders>
            <w:shd w:val="clear" w:color="auto" w:fill="auto"/>
            <w:noWrap/>
            <w:vAlign w:val="center"/>
          </w:tcPr>
          <w:p w14:paraId="2F235BA2" w14:textId="77777777" w:rsidR="001E35D2" w:rsidRPr="00C04029" w:rsidRDefault="001E35D2" w:rsidP="00B8294F">
            <w:pPr>
              <w:spacing w:after="0" w:line="240" w:lineRule="auto"/>
              <w:jc w:val="center"/>
              <w:rPr>
                <w:rFonts w:eastAsia="Times New Roman"/>
                <w:b/>
                <w:bCs/>
                <w:lang w:eastAsia="pt-BR"/>
              </w:rPr>
            </w:pPr>
          </w:p>
        </w:tc>
        <w:tc>
          <w:tcPr>
            <w:tcW w:w="15693" w:type="dxa"/>
            <w:tcBorders>
              <w:top w:val="nil"/>
              <w:left w:val="nil"/>
              <w:bottom w:val="nil"/>
              <w:right w:val="nil"/>
            </w:tcBorders>
            <w:shd w:val="clear" w:color="auto" w:fill="auto"/>
            <w:noWrap/>
            <w:vAlign w:val="center"/>
          </w:tcPr>
          <w:p w14:paraId="7A7F1EC1" w14:textId="77777777" w:rsidR="001E35D2" w:rsidRPr="00C04029" w:rsidRDefault="001E35D2" w:rsidP="00B8294F">
            <w:pPr>
              <w:spacing w:after="0" w:line="240" w:lineRule="auto"/>
              <w:jc w:val="center"/>
              <w:rPr>
                <w:rFonts w:eastAsia="Times New Roman"/>
                <w:b/>
                <w:bCs/>
                <w:lang w:eastAsia="pt-BR"/>
              </w:rPr>
            </w:pPr>
          </w:p>
        </w:tc>
      </w:tr>
    </w:tbl>
    <w:p w14:paraId="17D936EC" w14:textId="77777777" w:rsidR="00831A2A" w:rsidRPr="00C04029" w:rsidRDefault="00831A2A" w:rsidP="00831A2A">
      <w:pPr>
        <w:spacing w:before="240"/>
        <w:rPr>
          <w:lang w:val="en-US"/>
        </w:rPr>
      </w:pPr>
    </w:p>
    <w:p w14:paraId="539C3F2E" w14:textId="77777777" w:rsidR="00C04029" w:rsidRPr="00C04029" w:rsidRDefault="00C04029" w:rsidP="00831A2A">
      <w:pPr>
        <w:spacing w:before="240"/>
        <w:rPr>
          <w:lang w:val="en-US"/>
        </w:rPr>
      </w:pPr>
    </w:p>
    <w:tbl>
      <w:tblPr>
        <w:tblW w:w="0" w:type="auto"/>
        <w:tblInd w:w="93" w:type="dxa"/>
        <w:tblLook w:val="04A0" w:firstRow="1" w:lastRow="0" w:firstColumn="1" w:lastColumn="0" w:noHBand="0" w:noVBand="1"/>
      </w:tblPr>
      <w:tblGrid>
        <w:gridCol w:w="3332"/>
        <w:gridCol w:w="968"/>
        <w:gridCol w:w="968"/>
        <w:gridCol w:w="968"/>
        <w:gridCol w:w="986"/>
        <w:gridCol w:w="968"/>
        <w:gridCol w:w="968"/>
        <w:gridCol w:w="986"/>
        <w:gridCol w:w="986"/>
      </w:tblGrid>
      <w:tr w:rsidR="00C04029" w:rsidRPr="009728FB" w14:paraId="0368DDDA" w14:textId="77777777" w:rsidTr="00C04029">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907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lastRenderedPageBreak/>
              <w:t>Discounted Cash flows and NOPAT - Continuous Crop system - USD/hectare</w:t>
            </w:r>
          </w:p>
        </w:tc>
      </w:tr>
      <w:tr w:rsidR="00C04029" w:rsidRPr="00C04029" w14:paraId="1EB3D36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139A68"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0177A0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2005</w:t>
            </w:r>
          </w:p>
        </w:tc>
        <w:tc>
          <w:tcPr>
            <w:tcW w:w="0" w:type="auto"/>
            <w:tcBorders>
              <w:top w:val="nil"/>
              <w:left w:val="nil"/>
              <w:bottom w:val="single" w:sz="4" w:space="0" w:color="auto"/>
              <w:right w:val="single" w:sz="4" w:space="0" w:color="auto"/>
            </w:tcBorders>
            <w:shd w:val="clear" w:color="auto" w:fill="auto"/>
            <w:noWrap/>
            <w:vAlign w:val="center"/>
            <w:hideMark/>
          </w:tcPr>
          <w:p w14:paraId="0FB1F84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2006</w:t>
            </w:r>
          </w:p>
        </w:tc>
        <w:tc>
          <w:tcPr>
            <w:tcW w:w="0" w:type="auto"/>
            <w:tcBorders>
              <w:top w:val="nil"/>
              <w:left w:val="nil"/>
              <w:bottom w:val="single" w:sz="4" w:space="0" w:color="auto"/>
              <w:right w:val="single" w:sz="4" w:space="0" w:color="auto"/>
            </w:tcBorders>
            <w:shd w:val="clear" w:color="auto" w:fill="auto"/>
            <w:noWrap/>
            <w:vAlign w:val="center"/>
            <w:hideMark/>
          </w:tcPr>
          <w:p w14:paraId="398E6E1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2007</w:t>
            </w:r>
          </w:p>
        </w:tc>
        <w:tc>
          <w:tcPr>
            <w:tcW w:w="0" w:type="auto"/>
            <w:tcBorders>
              <w:top w:val="nil"/>
              <w:left w:val="nil"/>
              <w:bottom w:val="single" w:sz="4" w:space="0" w:color="auto"/>
              <w:right w:val="single" w:sz="4" w:space="0" w:color="auto"/>
            </w:tcBorders>
            <w:shd w:val="clear" w:color="auto" w:fill="auto"/>
            <w:noWrap/>
            <w:vAlign w:val="center"/>
            <w:hideMark/>
          </w:tcPr>
          <w:p w14:paraId="28217DC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2008</w:t>
            </w:r>
          </w:p>
        </w:tc>
        <w:tc>
          <w:tcPr>
            <w:tcW w:w="0" w:type="auto"/>
            <w:tcBorders>
              <w:top w:val="nil"/>
              <w:left w:val="nil"/>
              <w:bottom w:val="single" w:sz="4" w:space="0" w:color="auto"/>
              <w:right w:val="single" w:sz="4" w:space="0" w:color="auto"/>
            </w:tcBorders>
            <w:shd w:val="clear" w:color="auto" w:fill="auto"/>
            <w:noWrap/>
            <w:vAlign w:val="center"/>
            <w:hideMark/>
          </w:tcPr>
          <w:p w14:paraId="27E43CC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2009</w:t>
            </w:r>
          </w:p>
        </w:tc>
        <w:tc>
          <w:tcPr>
            <w:tcW w:w="0" w:type="auto"/>
            <w:tcBorders>
              <w:top w:val="nil"/>
              <w:left w:val="nil"/>
              <w:bottom w:val="single" w:sz="4" w:space="0" w:color="auto"/>
              <w:right w:val="single" w:sz="4" w:space="0" w:color="auto"/>
            </w:tcBorders>
            <w:shd w:val="clear" w:color="auto" w:fill="auto"/>
            <w:noWrap/>
            <w:vAlign w:val="center"/>
            <w:hideMark/>
          </w:tcPr>
          <w:p w14:paraId="79FD4CB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2010</w:t>
            </w:r>
          </w:p>
        </w:tc>
        <w:tc>
          <w:tcPr>
            <w:tcW w:w="0" w:type="auto"/>
            <w:tcBorders>
              <w:top w:val="nil"/>
              <w:left w:val="nil"/>
              <w:bottom w:val="single" w:sz="4" w:space="0" w:color="auto"/>
              <w:right w:val="single" w:sz="4" w:space="0" w:color="auto"/>
            </w:tcBorders>
            <w:shd w:val="clear" w:color="auto" w:fill="auto"/>
            <w:noWrap/>
            <w:vAlign w:val="center"/>
            <w:hideMark/>
          </w:tcPr>
          <w:p w14:paraId="0574732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2011</w:t>
            </w:r>
          </w:p>
        </w:tc>
        <w:tc>
          <w:tcPr>
            <w:tcW w:w="0" w:type="auto"/>
            <w:tcBorders>
              <w:top w:val="nil"/>
              <w:left w:val="nil"/>
              <w:bottom w:val="single" w:sz="4" w:space="0" w:color="auto"/>
              <w:right w:val="single" w:sz="4" w:space="0" w:color="auto"/>
            </w:tcBorders>
            <w:shd w:val="clear" w:color="auto" w:fill="auto"/>
            <w:noWrap/>
            <w:vAlign w:val="bottom"/>
            <w:hideMark/>
          </w:tcPr>
          <w:p w14:paraId="5F71757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2012</w:t>
            </w:r>
          </w:p>
        </w:tc>
      </w:tr>
      <w:tr w:rsidR="00C04029" w:rsidRPr="00C04029" w14:paraId="7BBF03B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1342F"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FBEA4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C56B12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4D61FF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594626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88FDAF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1CF1B0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4BCBD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3D7756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26F28BA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DAE5C"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Revenue</w:t>
            </w:r>
          </w:p>
        </w:tc>
        <w:tc>
          <w:tcPr>
            <w:tcW w:w="0" w:type="auto"/>
            <w:tcBorders>
              <w:top w:val="nil"/>
              <w:left w:val="nil"/>
              <w:bottom w:val="single" w:sz="4" w:space="0" w:color="auto"/>
              <w:right w:val="single" w:sz="4" w:space="0" w:color="auto"/>
            </w:tcBorders>
            <w:shd w:val="clear" w:color="auto" w:fill="auto"/>
            <w:noWrap/>
            <w:vAlign w:val="center"/>
            <w:hideMark/>
          </w:tcPr>
          <w:p w14:paraId="4416F27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F5F858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545.52 </w:t>
            </w:r>
          </w:p>
        </w:tc>
        <w:tc>
          <w:tcPr>
            <w:tcW w:w="0" w:type="auto"/>
            <w:tcBorders>
              <w:top w:val="nil"/>
              <w:left w:val="nil"/>
              <w:bottom w:val="single" w:sz="4" w:space="0" w:color="auto"/>
              <w:right w:val="single" w:sz="4" w:space="0" w:color="auto"/>
            </w:tcBorders>
            <w:shd w:val="clear" w:color="auto" w:fill="auto"/>
            <w:noWrap/>
            <w:vAlign w:val="center"/>
            <w:hideMark/>
          </w:tcPr>
          <w:p w14:paraId="4E9394B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723.10 </w:t>
            </w:r>
          </w:p>
        </w:tc>
        <w:tc>
          <w:tcPr>
            <w:tcW w:w="0" w:type="auto"/>
            <w:tcBorders>
              <w:top w:val="nil"/>
              <w:left w:val="nil"/>
              <w:bottom w:val="single" w:sz="4" w:space="0" w:color="auto"/>
              <w:right w:val="single" w:sz="4" w:space="0" w:color="auto"/>
            </w:tcBorders>
            <w:shd w:val="clear" w:color="auto" w:fill="auto"/>
            <w:noWrap/>
            <w:vAlign w:val="center"/>
            <w:hideMark/>
          </w:tcPr>
          <w:p w14:paraId="0EBE160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1,035.87 </w:t>
            </w:r>
          </w:p>
        </w:tc>
        <w:tc>
          <w:tcPr>
            <w:tcW w:w="0" w:type="auto"/>
            <w:tcBorders>
              <w:top w:val="nil"/>
              <w:left w:val="nil"/>
              <w:bottom w:val="single" w:sz="4" w:space="0" w:color="auto"/>
              <w:right w:val="single" w:sz="4" w:space="0" w:color="auto"/>
            </w:tcBorders>
            <w:shd w:val="clear" w:color="auto" w:fill="auto"/>
            <w:noWrap/>
            <w:vAlign w:val="center"/>
            <w:hideMark/>
          </w:tcPr>
          <w:p w14:paraId="2D604F6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891.74 </w:t>
            </w:r>
          </w:p>
        </w:tc>
        <w:tc>
          <w:tcPr>
            <w:tcW w:w="0" w:type="auto"/>
            <w:tcBorders>
              <w:top w:val="nil"/>
              <w:left w:val="nil"/>
              <w:bottom w:val="single" w:sz="4" w:space="0" w:color="auto"/>
              <w:right w:val="single" w:sz="4" w:space="0" w:color="auto"/>
            </w:tcBorders>
            <w:shd w:val="clear" w:color="auto" w:fill="auto"/>
            <w:noWrap/>
            <w:vAlign w:val="center"/>
            <w:hideMark/>
          </w:tcPr>
          <w:p w14:paraId="62D21C9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890.90 </w:t>
            </w:r>
          </w:p>
        </w:tc>
        <w:tc>
          <w:tcPr>
            <w:tcW w:w="0" w:type="auto"/>
            <w:tcBorders>
              <w:top w:val="nil"/>
              <w:left w:val="nil"/>
              <w:bottom w:val="single" w:sz="4" w:space="0" w:color="auto"/>
              <w:right w:val="single" w:sz="4" w:space="0" w:color="auto"/>
            </w:tcBorders>
            <w:shd w:val="clear" w:color="auto" w:fill="auto"/>
            <w:noWrap/>
            <w:vAlign w:val="center"/>
            <w:hideMark/>
          </w:tcPr>
          <w:p w14:paraId="319FE3B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1,113.32 </w:t>
            </w:r>
          </w:p>
        </w:tc>
        <w:tc>
          <w:tcPr>
            <w:tcW w:w="0" w:type="auto"/>
            <w:tcBorders>
              <w:top w:val="nil"/>
              <w:left w:val="nil"/>
              <w:bottom w:val="single" w:sz="4" w:space="0" w:color="auto"/>
              <w:right w:val="single" w:sz="4" w:space="0" w:color="auto"/>
            </w:tcBorders>
            <w:shd w:val="clear" w:color="auto" w:fill="auto"/>
            <w:noWrap/>
            <w:vAlign w:val="center"/>
            <w:hideMark/>
          </w:tcPr>
          <w:p w14:paraId="5DEEA31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1,168.68 </w:t>
            </w:r>
          </w:p>
        </w:tc>
      </w:tr>
      <w:tr w:rsidR="00C04029" w:rsidRPr="00C04029" w14:paraId="3107D40E"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39221" w14:textId="77777777" w:rsidR="00C04029" w:rsidRPr="00C04029" w:rsidRDefault="00C04029" w:rsidP="00C04029">
            <w:pPr>
              <w:spacing w:after="0" w:line="240" w:lineRule="auto"/>
              <w:rPr>
                <w:rFonts w:eastAsia="Times New Roman"/>
                <w:lang w:val="en-US"/>
              </w:rPr>
            </w:pPr>
            <w:r w:rsidRPr="00C04029">
              <w:rPr>
                <w:rFonts w:eastAsia="Times New Roman"/>
                <w:lang w:val="en-US"/>
              </w:rPr>
              <w:t>Sales Taxes (-)</w:t>
            </w:r>
          </w:p>
        </w:tc>
        <w:tc>
          <w:tcPr>
            <w:tcW w:w="0" w:type="auto"/>
            <w:tcBorders>
              <w:top w:val="nil"/>
              <w:left w:val="nil"/>
              <w:bottom w:val="single" w:sz="4" w:space="0" w:color="auto"/>
              <w:right w:val="single" w:sz="4" w:space="0" w:color="auto"/>
            </w:tcBorders>
            <w:shd w:val="clear" w:color="auto" w:fill="auto"/>
            <w:noWrap/>
            <w:vAlign w:val="center"/>
            <w:hideMark/>
          </w:tcPr>
          <w:p w14:paraId="5269D26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0B8BDA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30.18 </w:t>
            </w:r>
          </w:p>
        </w:tc>
        <w:tc>
          <w:tcPr>
            <w:tcW w:w="0" w:type="auto"/>
            <w:tcBorders>
              <w:top w:val="nil"/>
              <w:left w:val="nil"/>
              <w:bottom w:val="single" w:sz="4" w:space="0" w:color="auto"/>
              <w:right w:val="single" w:sz="4" w:space="0" w:color="auto"/>
            </w:tcBorders>
            <w:shd w:val="clear" w:color="auto" w:fill="auto"/>
            <w:noWrap/>
            <w:vAlign w:val="center"/>
            <w:hideMark/>
          </w:tcPr>
          <w:p w14:paraId="0A4FED5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33.63 </w:t>
            </w:r>
          </w:p>
        </w:tc>
        <w:tc>
          <w:tcPr>
            <w:tcW w:w="0" w:type="auto"/>
            <w:tcBorders>
              <w:top w:val="nil"/>
              <w:left w:val="nil"/>
              <w:bottom w:val="single" w:sz="4" w:space="0" w:color="auto"/>
              <w:right w:val="single" w:sz="4" w:space="0" w:color="auto"/>
            </w:tcBorders>
            <w:shd w:val="clear" w:color="auto" w:fill="auto"/>
            <w:noWrap/>
            <w:vAlign w:val="center"/>
            <w:hideMark/>
          </w:tcPr>
          <w:p w14:paraId="37519F6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36.76 </w:t>
            </w:r>
          </w:p>
        </w:tc>
        <w:tc>
          <w:tcPr>
            <w:tcW w:w="0" w:type="auto"/>
            <w:tcBorders>
              <w:top w:val="nil"/>
              <w:left w:val="nil"/>
              <w:bottom w:val="single" w:sz="4" w:space="0" w:color="auto"/>
              <w:right w:val="single" w:sz="4" w:space="0" w:color="auto"/>
            </w:tcBorders>
            <w:shd w:val="clear" w:color="auto" w:fill="auto"/>
            <w:noWrap/>
            <w:vAlign w:val="center"/>
            <w:hideMark/>
          </w:tcPr>
          <w:p w14:paraId="515D79C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30.78 </w:t>
            </w:r>
          </w:p>
        </w:tc>
        <w:tc>
          <w:tcPr>
            <w:tcW w:w="0" w:type="auto"/>
            <w:tcBorders>
              <w:top w:val="nil"/>
              <w:left w:val="nil"/>
              <w:bottom w:val="single" w:sz="4" w:space="0" w:color="auto"/>
              <w:right w:val="single" w:sz="4" w:space="0" w:color="auto"/>
            </w:tcBorders>
            <w:shd w:val="clear" w:color="auto" w:fill="auto"/>
            <w:noWrap/>
            <w:vAlign w:val="center"/>
            <w:hideMark/>
          </w:tcPr>
          <w:p w14:paraId="0A16949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28.71 </w:t>
            </w:r>
          </w:p>
        </w:tc>
        <w:tc>
          <w:tcPr>
            <w:tcW w:w="0" w:type="auto"/>
            <w:tcBorders>
              <w:top w:val="nil"/>
              <w:left w:val="nil"/>
              <w:bottom w:val="single" w:sz="4" w:space="0" w:color="auto"/>
              <w:right w:val="single" w:sz="4" w:space="0" w:color="auto"/>
            </w:tcBorders>
            <w:shd w:val="clear" w:color="auto" w:fill="auto"/>
            <w:noWrap/>
            <w:vAlign w:val="center"/>
            <w:hideMark/>
          </w:tcPr>
          <w:p w14:paraId="1F4EA2D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33.66 </w:t>
            </w:r>
          </w:p>
        </w:tc>
        <w:tc>
          <w:tcPr>
            <w:tcW w:w="0" w:type="auto"/>
            <w:tcBorders>
              <w:top w:val="nil"/>
              <w:left w:val="nil"/>
              <w:bottom w:val="single" w:sz="4" w:space="0" w:color="auto"/>
              <w:right w:val="single" w:sz="4" w:space="0" w:color="auto"/>
            </w:tcBorders>
            <w:shd w:val="clear" w:color="auto" w:fill="auto"/>
            <w:noWrap/>
            <w:vAlign w:val="center"/>
            <w:hideMark/>
          </w:tcPr>
          <w:p w14:paraId="26CA115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35.72 </w:t>
            </w:r>
          </w:p>
        </w:tc>
      </w:tr>
      <w:tr w:rsidR="00C04029" w:rsidRPr="00C04029" w14:paraId="769404A4"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5EDF53"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Revenue (+)</w:t>
            </w:r>
          </w:p>
        </w:tc>
        <w:tc>
          <w:tcPr>
            <w:tcW w:w="0" w:type="auto"/>
            <w:tcBorders>
              <w:top w:val="nil"/>
              <w:left w:val="nil"/>
              <w:bottom w:val="single" w:sz="4" w:space="0" w:color="auto"/>
              <w:right w:val="single" w:sz="4" w:space="0" w:color="auto"/>
            </w:tcBorders>
            <w:shd w:val="clear" w:color="auto" w:fill="auto"/>
            <w:noWrap/>
            <w:vAlign w:val="center"/>
            <w:hideMark/>
          </w:tcPr>
          <w:p w14:paraId="16AA3C8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E01A6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515.34 </w:t>
            </w:r>
          </w:p>
        </w:tc>
        <w:tc>
          <w:tcPr>
            <w:tcW w:w="0" w:type="auto"/>
            <w:tcBorders>
              <w:top w:val="nil"/>
              <w:left w:val="nil"/>
              <w:bottom w:val="single" w:sz="4" w:space="0" w:color="auto"/>
              <w:right w:val="single" w:sz="4" w:space="0" w:color="auto"/>
            </w:tcBorders>
            <w:shd w:val="clear" w:color="auto" w:fill="auto"/>
            <w:noWrap/>
            <w:vAlign w:val="center"/>
            <w:hideMark/>
          </w:tcPr>
          <w:p w14:paraId="7F61865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689.47 </w:t>
            </w:r>
          </w:p>
        </w:tc>
        <w:tc>
          <w:tcPr>
            <w:tcW w:w="0" w:type="auto"/>
            <w:tcBorders>
              <w:top w:val="nil"/>
              <w:left w:val="nil"/>
              <w:bottom w:val="single" w:sz="4" w:space="0" w:color="auto"/>
              <w:right w:val="single" w:sz="4" w:space="0" w:color="auto"/>
            </w:tcBorders>
            <w:shd w:val="clear" w:color="auto" w:fill="auto"/>
            <w:noWrap/>
            <w:vAlign w:val="center"/>
            <w:hideMark/>
          </w:tcPr>
          <w:p w14:paraId="5B6C3FF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999.11 </w:t>
            </w:r>
          </w:p>
        </w:tc>
        <w:tc>
          <w:tcPr>
            <w:tcW w:w="0" w:type="auto"/>
            <w:tcBorders>
              <w:top w:val="nil"/>
              <w:left w:val="nil"/>
              <w:bottom w:val="single" w:sz="4" w:space="0" w:color="auto"/>
              <w:right w:val="single" w:sz="4" w:space="0" w:color="auto"/>
            </w:tcBorders>
            <w:shd w:val="clear" w:color="auto" w:fill="auto"/>
            <w:noWrap/>
            <w:vAlign w:val="center"/>
            <w:hideMark/>
          </w:tcPr>
          <w:p w14:paraId="62DE46E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860.96 </w:t>
            </w:r>
          </w:p>
        </w:tc>
        <w:tc>
          <w:tcPr>
            <w:tcW w:w="0" w:type="auto"/>
            <w:tcBorders>
              <w:top w:val="nil"/>
              <w:left w:val="nil"/>
              <w:bottom w:val="single" w:sz="4" w:space="0" w:color="auto"/>
              <w:right w:val="single" w:sz="4" w:space="0" w:color="auto"/>
            </w:tcBorders>
            <w:shd w:val="clear" w:color="auto" w:fill="auto"/>
            <w:noWrap/>
            <w:vAlign w:val="center"/>
            <w:hideMark/>
          </w:tcPr>
          <w:p w14:paraId="045244B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862.18 </w:t>
            </w:r>
          </w:p>
        </w:tc>
        <w:tc>
          <w:tcPr>
            <w:tcW w:w="0" w:type="auto"/>
            <w:tcBorders>
              <w:top w:val="nil"/>
              <w:left w:val="nil"/>
              <w:bottom w:val="single" w:sz="4" w:space="0" w:color="auto"/>
              <w:right w:val="single" w:sz="4" w:space="0" w:color="auto"/>
            </w:tcBorders>
            <w:shd w:val="clear" w:color="auto" w:fill="auto"/>
            <w:noWrap/>
            <w:vAlign w:val="center"/>
            <w:hideMark/>
          </w:tcPr>
          <w:p w14:paraId="6323CB1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1,079.66 </w:t>
            </w:r>
          </w:p>
        </w:tc>
        <w:tc>
          <w:tcPr>
            <w:tcW w:w="0" w:type="auto"/>
            <w:tcBorders>
              <w:top w:val="nil"/>
              <w:left w:val="nil"/>
              <w:bottom w:val="single" w:sz="4" w:space="0" w:color="auto"/>
              <w:right w:val="single" w:sz="4" w:space="0" w:color="auto"/>
            </w:tcBorders>
            <w:shd w:val="clear" w:color="auto" w:fill="auto"/>
            <w:noWrap/>
            <w:vAlign w:val="center"/>
            <w:hideMark/>
          </w:tcPr>
          <w:p w14:paraId="6F32452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1,132.96 </w:t>
            </w:r>
          </w:p>
        </w:tc>
      </w:tr>
      <w:tr w:rsidR="00C04029" w:rsidRPr="00C04029" w14:paraId="5BC2C08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30430" w14:textId="77777777" w:rsidR="00C04029" w:rsidRPr="00C04029" w:rsidRDefault="00C04029" w:rsidP="00C04029">
            <w:pPr>
              <w:spacing w:after="0" w:line="240" w:lineRule="auto"/>
              <w:rPr>
                <w:rFonts w:eastAsia="Times New Roman"/>
                <w:lang w:val="en-US"/>
              </w:rPr>
            </w:pPr>
            <w:proofErr w:type="spellStart"/>
            <w:r w:rsidRPr="00C04029">
              <w:rPr>
                <w:rFonts w:eastAsia="Times New Roman"/>
                <w:lang w:val="en-US"/>
              </w:rPr>
              <w:t>Procutction</w:t>
            </w:r>
            <w:proofErr w:type="spellEnd"/>
            <w:r w:rsidRPr="00C04029">
              <w:rPr>
                <w:rFonts w:eastAsia="Times New Roman"/>
                <w:lang w:val="en-US"/>
              </w:rPr>
              <w:t xml:space="preserve"> Cost (-)</w:t>
            </w:r>
          </w:p>
        </w:tc>
        <w:tc>
          <w:tcPr>
            <w:tcW w:w="0" w:type="auto"/>
            <w:tcBorders>
              <w:top w:val="nil"/>
              <w:left w:val="nil"/>
              <w:bottom w:val="single" w:sz="4" w:space="0" w:color="auto"/>
              <w:right w:val="single" w:sz="4" w:space="0" w:color="auto"/>
            </w:tcBorders>
            <w:shd w:val="clear" w:color="auto" w:fill="auto"/>
            <w:noWrap/>
            <w:vAlign w:val="center"/>
            <w:hideMark/>
          </w:tcPr>
          <w:p w14:paraId="68445B9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17B560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(471.27)</w:t>
            </w:r>
          </w:p>
        </w:tc>
        <w:tc>
          <w:tcPr>
            <w:tcW w:w="0" w:type="auto"/>
            <w:tcBorders>
              <w:top w:val="nil"/>
              <w:left w:val="nil"/>
              <w:bottom w:val="single" w:sz="4" w:space="0" w:color="auto"/>
              <w:right w:val="single" w:sz="4" w:space="0" w:color="auto"/>
            </w:tcBorders>
            <w:shd w:val="clear" w:color="auto" w:fill="auto"/>
            <w:noWrap/>
            <w:vAlign w:val="center"/>
            <w:hideMark/>
          </w:tcPr>
          <w:p w14:paraId="13A002A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(530.57)</w:t>
            </w:r>
          </w:p>
        </w:tc>
        <w:tc>
          <w:tcPr>
            <w:tcW w:w="0" w:type="auto"/>
            <w:tcBorders>
              <w:top w:val="nil"/>
              <w:left w:val="nil"/>
              <w:bottom w:val="single" w:sz="4" w:space="0" w:color="auto"/>
              <w:right w:val="single" w:sz="4" w:space="0" w:color="auto"/>
            </w:tcBorders>
            <w:shd w:val="clear" w:color="auto" w:fill="auto"/>
            <w:noWrap/>
            <w:vAlign w:val="center"/>
            <w:hideMark/>
          </w:tcPr>
          <w:p w14:paraId="7C930F7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(586.83)</w:t>
            </w:r>
          </w:p>
        </w:tc>
        <w:tc>
          <w:tcPr>
            <w:tcW w:w="0" w:type="auto"/>
            <w:tcBorders>
              <w:top w:val="nil"/>
              <w:left w:val="nil"/>
              <w:bottom w:val="single" w:sz="4" w:space="0" w:color="auto"/>
              <w:right w:val="single" w:sz="4" w:space="0" w:color="auto"/>
            </w:tcBorders>
            <w:shd w:val="clear" w:color="auto" w:fill="auto"/>
            <w:noWrap/>
            <w:vAlign w:val="center"/>
            <w:hideMark/>
          </w:tcPr>
          <w:p w14:paraId="30C5550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(588.91)</w:t>
            </w:r>
          </w:p>
        </w:tc>
        <w:tc>
          <w:tcPr>
            <w:tcW w:w="0" w:type="auto"/>
            <w:tcBorders>
              <w:top w:val="nil"/>
              <w:left w:val="nil"/>
              <w:bottom w:val="single" w:sz="4" w:space="0" w:color="auto"/>
              <w:right w:val="single" w:sz="4" w:space="0" w:color="auto"/>
            </w:tcBorders>
            <w:shd w:val="clear" w:color="auto" w:fill="auto"/>
            <w:noWrap/>
            <w:vAlign w:val="center"/>
            <w:hideMark/>
          </w:tcPr>
          <w:p w14:paraId="1D5B865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(505.56)</w:t>
            </w:r>
          </w:p>
        </w:tc>
        <w:tc>
          <w:tcPr>
            <w:tcW w:w="0" w:type="auto"/>
            <w:tcBorders>
              <w:top w:val="nil"/>
              <w:left w:val="nil"/>
              <w:bottom w:val="single" w:sz="4" w:space="0" w:color="auto"/>
              <w:right w:val="single" w:sz="4" w:space="0" w:color="auto"/>
            </w:tcBorders>
            <w:shd w:val="clear" w:color="auto" w:fill="auto"/>
            <w:noWrap/>
            <w:vAlign w:val="center"/>
            <w:hideMark/>
          </w:tcPr>
          <w:p w14:paraId="5B3DBC8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(521.54)</w:t>
            </w:r>
          </w:p>
        </w:tc>
        <w:tc>
          <w:tcPr>
            <w:tcW w:w="0" w:type="auto"/>
            <w:tcBorders>
              <w:top w:val="nil"/>
              <w:left w:val="nil"/>
              <w:bottom w:val="single" w:sz="4" w:space="0" w:color="auto"/>
              <w:right w:val="single" w:sz="4" w:space="0" w:color="auto"/>
            </w:tcBorders>
            <w:shd w:val="clear" w:color="auto" w:fill="auto"/>
            <w:noWrap/>
            <w:vAlign w:val="center"/>
            <w:hideMark/>
          </w:tcPr>
          <w:p w14:paraId="6A7669B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(623.00)</w:t>
            </w:r>
          </w:p>
        </w:tc>
      </w:tr>
      <w:tr w:rsidR="00C04029" w:rsidRPr="00C04029" w14:paraId="039F4CD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0476B"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Profit</w:t>
            </w:r>
          </w:p>
        </w:tc>
        <w:tc>
          <w:tcPr>
            <w:tcW w:w="0" w:type="auto"/>
            <w:tcBorders>
              <w:top w:val="nil"/>
              <w:left w:val="nil"/>
              <w:bottom w:val="single" w:sz="4" w:space="0" w:color="auto"/>
              <w:right w:val="single" w:sz="4" w:space="0" w:color="auto"/>
            </w:tcBorders>
            <w:shd w:val="clear" w:color="auto" w:fill="auto"/>
            <w:noWrap/>
            <w:vAlign w:val="center"/>
            <w:hideMark/>
          </w:tcPr>
          <w:p w14:paraId="5DA0A7F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7579AB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44.07 </w:t>
            </w:r>
          </w:p>
        </w:tc>
        <w:tc>
          <w:tcPr>
            <w:tcW w:w="0" w:type="auto"/>
            <w:tcBorders>
              <w:top w:val="nil"/>
              <w:left w:val="nil"/>
              <w:bottom w:val="single" w:sz="4" w:space="0" w:color="auto"/>
              <w:right w:val="single" w:sz="4" w:space="0" w:color="auto"/>
            </w:tcBorders>
            <w:shd w:val="clear" w:color="auto" w:fill="auto"/>
            <w:noWrap/>
            <w:vAlign w:val="center"/>
            <w:hideMark/>
          </w:tcPr>
          <w:p w14:paraId="76D8753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158.90 </w:t>
            </w:r>
          </w:p>
        </w:tc>
        <w:tc>
          <w:tcPr>
            <w:tcW w:w="0" w:type="auto"/>
            <w:tcBorders>
              <w:top w:val="nil"/>
              <w:left w:val="nil"/>
              <w:bottom w:val="single" w:sz="4" w:space="0" w:color="auto"/>
              <w:right w:val="single" w:sz="4" w:space="0" w:color="auto"/>
            </w:tcBorders>
            <w:shd w:val="clear" w:color="auto" w:fill="auto"/>
            <w:noWrap/>
            <w:vAlign w:val="center"/>
            <w:hideMark/>
          </w:tcPr>
          <w:p w14:paraId="6914B08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412.28 </w:t>
            </w:r>
          </w:p>
        </w:tc>
        <w:tc>
          <w:tcPr>
            <w:tcW w:w="0" w:type="auto"/>
            <w:tcBorders>
              <w:top w:val="nil"/>
              <w:left w:val="nil"/>
              <w:bottom w:val="single" w:sz="4" w:space="0" w:color="auto"/>
              <w:right w:val="single" w:sz="4" w:space="0" w:color="auto"/>
            </w:tcBorders>
            <w:shd w:val="clear" w:color="auto" w:fill="auto"/>
            <w:noWrap/>
            <w:vAlign w:val="center"/>
            <w:hideMark/>
          </w:tcPr>
          <w:p w14:paraId="59C592F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272.05 </w:t>
            </w:r>
          </w:p>
        </w:tc>
        <w:tc>
          <w:tcPr>
            <w:tcW w:w="0" w:type="auto"/>
            <w:tcBorders>
              <w:top w:val="nil"/>
              <w:left w:val="nil"/>
              <w:bottom w:val="single" w:sz="4" w:space="0" w:color="auto"/>
              <w:right w:val="single" w:sz="4" w:space="0" w:color="auto"/>
            </w:tcBorders>
            <w:shd w:val="clear" w:color="auto" w:fill="auto"/>
            <w:noWrap/>
            <w:vAlign w:val="center"/>
            <w:hideMark/>
          </w:tcPr>
          <w:p w14:paraId="0BA32E9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356.62 </w:t>
            </w:r>
          </w:p>
        </w:tc>
        <w:tc>
          <w:tcPr>
            <w:tcW w:w="0" w:type="auto"/>
            <w:tcBorders>
              <w:top w:val="nil"/>
              <w:left w:val="nil"/>
              <w:bottom w:val="single" w:sz="4" w:space="0" w:color="auto"/>
              <w:right w:val="single" w:sz="4" w:space="0" w:color="auto"/>
            </w:tcBorders>
            <w:shd w:val="clear" w:color="auto" w:fill="auto"/>
            <w:noWrap/>
            <w:vAlign w:val="center"/>
            <w:hideMark/>
          </w:tcPr>
          <w:p w14:paraId="0E3E7D0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558.12 </w:t>
            </w:r>
          </w:p>
        </w:tc>
        <w:tc>
          <w:tcPr>
            <w:tcW w:w="0" w:type="auto"/>
            <w:tcBorders>
              <w:top w:val="nil"/>
              <w:left w:val="nil"/>
              <w:bottom w:val="single" w:sz="4" w:space="0" w:color="auto"/>
              <w:right w:val="single" w:sz="4" w:space="0" w:color="auto"/>
            </w:tcBorders>
            <w:shd w:val="clear" w:color="auto" w:fill="auto"/>
            <w:noWrap/>
            <w:vAlign w:val="center"/>
            <w:hideMark/>
          </w:tcPr>
          <w:p w14:paraId="0E4EE47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509.96 </w:t>
            </w:r>
          </w:p>
        </w:tc>
      </w:tr>
      <w:tr w:rsidR="00C04029" w:rsidRPr="00C04029" w14:paraId="15F281C7"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52F8D9" w14:textId="77777777" w:rsidR="00C04029" w:rsidRPr="00C04029" w:rsidRDefault="00C04029" w:rsidP="00C04029">
            <w:pPr>
              <w:spacing w:after="0" w:line="240" w:lineRule="auto"/>
              <w:rPr>
                <w:rFonts w:eastAsia="Times New Roman"/>
                <w:lang w:val="en-US"/>
              </w:rPr>
            </w:pPr>
            <w:r w:rsidRPr="00C04029">
              <w:rPr>
                <w:rFonts w:eastAsia="Times New Roman"/>
                <w:lang w:val="en-US"/>
              </w:rPr>
              <w:t>Operating expense (-)</w:t>
            </w:r>
          </w:p>
        </w:tc>
        <w:tc>
          <w:tcPr>
            <w:tcW w:w="0" w:type="auto"/>
            <w:tcBorders>
              <w:top w:val="nil"/>
              <w:left w:val="nil"/>
              <w:bottom w:val="single" w:sz="4" w:space="0" w:color="auto"/>
              <w:right w:val="single" w:sz="4" w:space="0" w:color="auto"/>
            </w:tcBorders>
            <w:shd w:val="clear" w:color="auto" w:fill="auto"/>
            <w:noWrap/>
            <w:vAlign w:val="center"/>
            <w:hideMark/>
          </w:tcPr>
          <w:p w14:paraId="3721472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2B4082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(100.53)</w:t>
            </w:r>
          </w:p>
        </w:tc>
        <w:tc>
          <w:tcPr>
            <w:tcW w:w="0" w:type="auto"/>
            <w:tcBorders>
              <w:top w:val="nil"/>
              <w:left w:val="nil"/>
              <w:bottom w:val="single" w:sz="4" w:space="0" w:color="auto"/>
              <w:right w:val="single" w:sz="4" w:space="0" w:color="auto"/>
            </w:tcBorders>
            <w:shd w:val="clear" w:color="auto" w:fill="auto"/>
            <w:noWrap/>
            <w:vAlign w:val="center"/>
            <w:hideMark/>
          </w:tcPr>
          <w:p w14:paraId="1FA9773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(111.24)</w:t>
            </w:r>
          </w:p>
        </w:tc>
        <w:tc>
          <w:tcPr>
            <w:tcW w:w="0" w:type="auto"/>
            <w:tcBorders>
              <w:top w:val="nil"/>
              <w:left w:val="nil"/>
              <w:bottom w:val="single" w:sz="4" w:space="0" w:color="auto"/>
              <w:right w:val="single" w:sz="4" w:space="0" w:color="auto"/>
            </w:tcBorders>
            <w:shd w:val="clear" w:color="auto" w:fill="auto"/>
            <w:noWrap/>
            <w:vAlign w:val="center"/>
            <w:hideMark/>
          </w:tcPr>
          <w:p w14:paraId="43504C6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(120.72)</w:t>
            </w:r>
          </w:p>
        </w:tc>
        <w:tc>
          <w:tcPr>
            <w:tcW w:w="0" w:type="auto"/>
            <w:tcBorders>
              <w:top w:val="nil"/>
              <w:left w:val="nil"/>
              <w:bottom w:val="single" w:sz="4" w:space="0" w:color="auto"/>
              <w:right w:val="single" w:sz="4" w:space="0" w:color="auto"/>
            </w:tcBorders>
            <w:shd w:val="clear" w:color="auto" w:fill="auto"/>
            <w:noWrap/>
            <w:vAlign w:val="center"/>
            <w:hideMark/>
          </w:tcPr>
          <w:p w14:paraId="7A90052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(125.48)</w:t>
            </w:r>
          </w:p>
        </w:tc>
        <w:tc>
          <w:tcPr>
            <w:tcW w:w="0" w:type="auto"/>
            <w:tcBorders>
              <w:top w:val="nil"/>
              <w:left w:val="nil"/>
              <w:bottom w:val="single" w:sz="4" w:space="0" w:color="auto"/>
              <w:right w:val="single" w:sz="4" w:space="0" w:color="auto"/>
            </w:tcBorders>
            <w:shd w:val="clear" w:color="auto" w:fill="auto"/>
            <w:noWrap/>
            <w:vAlign w:val="center"/>
            <w:hideMark/>
          </w:tcPr>
          <w:p w14:paraId="02236F8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(121.88)</w:t>
            </w:r>
          </w:p>
        </w:tc>
        <w:tc>
          <w:tcPr>
            <w:tcW w:w="0" w:type="auto"/>
            <w:tcBorders>
              <w:top w:val="nil"/>
              <w:left w:val="nil"/>
              <w:bottom w:val="single" w:sz="4" w:space="0" w:color="auto"/>
              <w:right w:val="single" w:sz="4" w:space="0" w:color="auto"/>
            </w:tcBorders>
            <w:shd w:val="clear" w:color="auto" w:fill="auto"/>
            <w:noWrap/>
            <w:vAlign w:val="center"/>
            <w:hideMark/>
          </w:tcPr>
          <w:p w14:paraId="247B7D1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(126.05)</w:t>
            </w:r>
          </w:p>
        </w:tc>
        <w:tc>
          <w:tcPr>
            <w:tcW w:w="0" w:type="auto"/>
            <w:tcBorders>
              <w:top w:val="nil"/>
              <w:left w:val="nil"/>
              <w:bottom w:val="single" w:sz="4" w:space="0" w:color="auto"/>
              <w:right w:val="single" w:sz="4" w:space="0" w:color="auto"/>
            </w:tcBorders>
            <w:shd w:val="clear" w:color="auto" w:fill="auto"/>
            <w:noWrap/>
            <w:vAlign w:val="center"/>
            <w:hideMark/>
          </w:tcPr>
          <w:p w14:paraId="307BBC4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(129.76)</w:t>
            </w:r>
          </w:p>
        </w:tc>
      </w:tr>
      <w:tr w:rsidR="00C04029" w:rsidRPr="00C04029" w14:paraId="7F72576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9798D"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Profit (EBIT)</w:t>
            </w:r>
          </w:p>
        </w:tc>
        <w:tc>
          <w:tcPr>
            <w:tcW w:w="0" w:type="auto"/>
            <w:tcBorders>
              <w:top w:val="nil"/>
              <w:left w:val="nil"/>
              <w:bottom w:val="single" w:sz="4" w:space="0" w:color="auto"/>
              <w:right w:val="single" w:sz="4" w:space="0" w:color="auto"/>
            </w:tcBorders>
            <w:shd w:val="clear" w:color="auto" w:fill="auto"/>
            <w:noWrap/>
            <w:vAlign w:val="center"/>
            <w:hideMark/>
          </w:tcPr>
          <w:p w14:paraId="5068C9E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17494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(56.46)</w:t>
            </w:r>
          </w:p>
        </w:tc>
        <w:tc>
          <w:tcPr>
            <w:tcW w:w="0" w:type="auto"/>
            <w:tcBorders>
              <w:top w:val="nil"/>
              <w:left w:val="nil"/>
              <w:bottom w:val="single" w:sz="4" w:space="0" w:color="auto"/>
              <w:right w:val="single" w:sz="4" w:space="0" w:color="auto"/>
            </w:tcBorders>
            <w:shd w:val="clear" w:color="auto" w:fill="auto"/>
            <w:noWrap/>
            <w:vAlign w:val="center"/>
            <w:hideMark/>
          </w:tcPr>
          <w:p w14:paraId="1B644F1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47.67 </w:t>
            </w:r>
          </w:p>
        </w:tc>
        <w:tc>
          <w:tcPr>
            <w:tcW w:w="0" w:type="auto"/>
            <w:tcBorders>
              <w:top w:val="nil"/>
              <w:left w:val="nil"/>
              <w:bottom w:val="single" w:sz="4" w:space="0" w:color="auto"/>
              <w:right w:val="single" w:sz="4" w:space="0" w:color="auto"/>
            </w:tcBorders>
            <w:shd w:val="clear" w:color="auto" w:fill="auto"/>
            <w:noWrap/>
            <w:vAlign w:val="center"/>
            <w:hideMark/>
          </w:tcPr>
          <w:p w14:paraId="723AF4B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291.56 </w:t>
            </w:r>
          </w:p>
        </w:tc>
        <w:tc>
          <w:tcPr>
            <w:tcW w:w="0" w:type="auto"/>
            <w:tcBorders>
              <w:top w:val="nil"/>
              <w:left w:val="nil"/>
              <w:bottom w:val="single" w:sz="4" w:space="0" w:color="auto"/>
              <w:right w:val="single" w:sz="4" w:space="0" w:color="auto"/>
            </w:tcBorders>
            <w:shd w:val="clear" w:color="auto" w:fill="auto"/>
            <w:noWrap/>
            <w:vAlign w:val="center"/>
            <w:hideMark/>
          </w:tcPr>
          <w:p w14:paraId="5ACA84F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146.58 </w:t>
            </w:r>
          </w:p>
        </w:tc>
        <w:tc>
          <w:tcPr>
            <w:tcW w:w="0" w:type="auto"/>
            <w:tcBorders>
              <w:top w:val="nil"/>
              <w:left w:val="nil"/>
              <w:bottom w:val="single" w:sz="4" w:space="0" w:color="auto"/>
              <w:right w:val="single" w:sz="4" w:space="0" w:color="auto"/>
            </w:tcBorders>
            <w:shd w:val="clear" w:color="auto" w:fill="auto"/>
            <w:noWrap/>
            <w:vAlign w:val="center"/>
            <w:hideMark/>
          </w:tcPr>
          <w:p w14:paraId="265AEC7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234.74 </w:t>
            </w:r>
          </w:p>
        </w:tc>
        <w:tc>
          <w:tcPr>
            <w:tcW w:w="0" w:type="auto"/>
            <w:tcBorders>
              <w:top w:val="nil"/>
              <w:left w:val="nil"/>
              <w:bottom w:val="single" w:sz="4" w:space="0" w:color="auto"/>
              <w:right w:val="single" w:sz="4" w:space="0" w:color="auto"/>
            </w:tcBorders>
            <w:shd w:val="clear" w:color="auto" w:fill="auto"/>
            <w:noWrap/>
            <w:vAlign w:val="center"/>
            <w:hideMark/>
          </w:tcPr>
          <w:p w14:paraId="092D6B3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432.06 </w:t>
            </w:r>
          </w:p>
        </w:tc>
        <w:tc>
          <w:tcPr>
            <w:tcW w:w="0" w:type="auto"/>
            <w:tcBorders>
              <w:top w:val="nil"/>
              <w:left w:val="nil"/>
              <w:bottom w:val="single" w:sz="4" w:space="0" w:color="auto"/>
              <w:right w:val="single" w:sz="4" w:space="0" w:color="auto"/>
            </w:tcBorders>
            <w:shd w:val="clear" w:color="auto" w:fill="auto"/>
            <w:noWrap/>
            <w:vAlign w:val="center"/>
            <w:hideMark/>
          </w:tcPr>
          <w:p w14:paraId="2E75FCD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380.20 </w:t>
            </w:r>
          </w:p>
        </w:tc>
      </w:tr>
      <w:tr w:rsidR="00C04029" w:rsidRPr="00C04029" w14:paraId="0CFD4E41"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F7E81" w14:textId="77777777" w:rsidR="00C04029" w:rsidRPr="00C04029" w:rsidRDefault="00C04029" w:rsidP="00C04029">
            <w:pPr>
              <w:spacing w:after="0" w:line="240" w:lineRule="auto"/>
              <w:rPr>
                <w:rFonts w:eastAsia="Times New Roman"/>
                <w:lang w:val="en-US"/>
              </w:rPr>
            </w:pPr>
            <w:r w:rsidRPr="00C04029">
              <w:rPr>
                <w:rFonts w:eastAsia="Times New Roman"/>
                <w:lang w:val="en-US"/>
              </w:rPr>
              <w:t>Income Tax(-)</w:t>
            </w:r>
          </w:p>
        </w:tc>
        <w:tc>
          <w:tcPr>
            <w:tcW w:w="0" w:type="auto"/>
            <w:tcBorders>
              <w:top w:val="nil"/>
              <w:left w:val="nil"/>
              <w:bottom w:val="single" w:sz="4" w:space="0" w:color="auto"/>
              <w:right w:val="single" w:sz="4" w:space="0" w:color="auto"/>
            </w:tcBorders>
            <w:shd w:val="clear" w:color="auto" w:fill="auto"/>
            <w:noWrap/>
            <w:vAlign w:val="center"/>
            <w:hideMark/>
          </w:tcPr>
          <w:p w14:paraId="7BF4F95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00EA70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2B376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(1.54)</w:t>
            </w:r>
          </w:p>
        </w:tc>
        <w:tc>
          <w:tcPr>
            <w:tcW w:w="0" w:type="auto"/>
            <w:tcBorders>
              <w:top w:val="nil"/>
              <w:left w:val="nil"/>
              <w:bottom w:val="single" w:sz="4" w:space="0" w:color="auto"/>
              <w:right w:val="single" w:sz="4" w:space="0" w:color="auto"/>
            </w:tcBorders>
            <w:shd w:val="clear" w:color="auto" w:fill="auto"/>
            <w:noWrap/>
            <w:vAlign w:val="center"/>
            <w:hideMark/>
          </w:tcPr>
          <w:p w14:paraId="0DFA0FB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(71.89)</w:t>
            </w:r>
          </w:p>
        </w:tc>
        <w:tc>
          <w:tcPr>
            <w:tcW w:w="0" w:type="auto"/>
            <w:tcBorders>
              <w:top w:val="nil"/>
              <w:left w:val="nil"/>
              <w:bottom w:val="single" w:sz="4" w:space="0" w:color="auto"/>
              <w:right w:val="single" w:sz="4" w:space="0" w:color="auto"/>
            </w:tcBorders>
            <w:shd w:val="clear" w:color="auto" w:fill="auto"/>
            <w:noWrap/>
            <w:vAlign w:val="center"/>
            <w:hideMark/>
          </w:tcPr>
          <w:p w14:paraId="4D38B82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(32.31)</w:t>
            </w:r>
          </w:p>
        </w:tc>
        <w:tc>
          <w:tcPr>
            <w:tcW w:w="0" w:type="auto"/>
            <w:tcBorders>
              <w:top w:val="nil"/>
              <w:left w:val="nil"/>
              <w:bottom w:val="single" w:sz="4" w:space="0" w:color="auto"/>
              <w:right w:val="single" w:sz="4" w:space="0" w:color="auto"/>
            </w:tcBorders>
            <w:shd w:val="clear" w:color="auto" w:fill="auto"/>
            <w:noWrap/>
            <w:vAlign w:val="center"/>
            <w:hideMark/>
          </w:tcPr>
          <w:p w14:paraId="13FE0C4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(54.83)</w:t>
            </w:r>
          </w:p>
        </w:tc>
        <w:tc>
          <w:tcPr>
            <w:tcW w:w="0" w:type="auto"/>
            <w:tcBorders>
              <w:top w:val="nil"/>
              <w:left w:val="nil"/>
              <w:bottom w:val="single" w:sz="4" w:space="0" w:color="auto"/>
              <w:right w:val="single" w:sz="4" w:space="0" w:color="auto"/>
            </w:tcBorders>
            <w:shd w:val="clear" w:color="auto" w:fill="auto"/>
            <w:noWrap/>
            <w:vAlign w:val="center"/>
            <w:hideMark/>
          </w:tcPr>
          <w:p w14:paraId="142AFF8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(109.10)</w:t>
            </w:r>
          </w:p>
        </w:tc>
        <w:tc>
          <w:tcPr>
            <w:tcW w:w="0" w:type="auto"/>
            <w:tcBorders>
              <w:top w:val="nil"/>
              <w:left w:val="nil"/>
              <w:bottom w:val="single" w:sz="4" w:space="0" w:color="auto"/>
              <w:right w:val="single" w:sz="4" w:space="0" w:color="auto"/>
            </w:tcBorders>
            <w:shd w:val="clear" w:color="auto" w:fill="auto"/>
            <w:noWrap/>
            <w:vAlign w:val="center"/>
            <w:hideMark/>
          </w:tcPr>
          <w:p w14:paraId="5098B24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(92.51)</w:t>
            </w:r>
          </w:p>
        </w:tc>
      </w:tr>
      <w:tr w:rsidR="00C04029" w:rsidRPr="00C04029" w14:paraId="39BCAAAF"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AFC703"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Operation Profit After Taxes</w:t>
            </w:r>
          </w:p>
        </w:tc>
        <w:tc>
          <w:tcPr>
            <w:tcW w:w="0" w:type="auto"/>
            <w:tcBorders>
              <w:top w:val="nil"/>
              <w:left w:val="nil"/>
              <w:bottom w:val="single" w:sz="4" w:space="0" w:color="auto"/>
              <w:right w:val="single" w:sz="4" w:space="0" w:color="auto"/>
            </w:tcBorders>
            <w:shd w:val="clear" w:color="auto" w:fill="auto"/>
            <w:noWrap/>
            <w:vAlign w:val="center"/>
            <w:hideMark/>
          </w:tcPr>
          <w:p w14:paraId="2E72AF2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0B66F1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(56.46)</w:t>
            </w:r>
          </w:p>
        </w:tc>
        <w:tc>
          <w:tcPr>
            <w:tcW w:w="0" w:type="auto"/>
            <w:tcBorders>
              <w:top w:val="nil"/>
              <w:left w:val="nil"/>
              <w:bottom w:val="single" w:sz="4" w:space="0" w:color="auto"/>
              <w:right w:val="single" w:sz="4" w:space="0" w:color="auto"/>
            </w:tcBorders>
            <w:shd w:val="clear" w:color="auto" w:fill="auto"/>
            <w:noWrap/>
            <w:vAlign w:val="center"/>
            <w:hideMark/>
          </w:tcPr>
          <w:p w14:paraId="71D1A6B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46.13 </w:t>
            </w:r>
          </w:p>
        </w:tc>
        <w:tc>
          <w:tcPr>
            <w:tcW w:w="0" w:type="auto"/>
            <w:tcBorders>
              <w:top w:val="nil"/>
              <w:left w:val="nil"/>
              <w:bottom w:val="single" w:sz="4" w:space="0" w:color="auto"/>
              <w:right w:val="single" w:sz="4" w:space="0" w:color="auto"/>
            </w:tcBorders>
            <w:shd w:val="clear" w:color="auto" w:fill="auto"/>
            <w:noWrap/>
            <w:vAlign w:val="center"/>
            <w:hideMark/>
          </w:tcPr>
          <w:p w14:paraId="12F5AC0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219.68 </w:t>
            </w:r>
          </w:p>
        </w:tc>
        <w:tc>
          <w:tcPr>
            <w:tcW w:w="0" w:type="auto"/>
            <w:tcBorders>
              <w:top w:val="nil"/>
              <w:left w:val="nil"/>
              <w:bottom w:val="single" w:sz="4" w:space="0" w:color="auto"/>
              <w:right w:val="single" w:sz="4" w:space="0" w:color="auto"/>
            </w:tcBorders>
            <w:shd w:val="clear" w:color="auto" w:fill="auto"/>
            <w:noWrap/>
            <w:vAlign w:val="center"/>
            <w:hideMark/>
          </w:tcPr>
          <w:p w14:paraId="75D4420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114.27 </w:t>
            </w:r>
          </w:p>
        </w:tc>
        <w:tc>
          <w:tcPr>
            <w:tcW w:w="0" w:type="auto"/>
            <w:tcBorders>
              <w:top w:val="nil"/>
              <w:left w:val="nil"/>
              <w:bottom w:val="single" w:sz="4" w:space="0" w:color="auto"/>
              <w:right w:val="single" w:sz="4" w:space="0" w:color="auto"/>
            </w:tcBorders>
            <w:shd w:val="clear" w:color="auto" w:fill="auto"/>
            <w:noWrap/>
            <w:vAlign w:val="center"/>
            <w:hideMark/>
          </w:tcPr>
          <w:p w14:paraId="6AF70CE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179.91 </w:t>
            </w:r>
          </w:p>
        </w:tc>
        <w:tc>
          <w:tcPr>
            <w:tcW w:w="0" w:type="auto"/>
            <w:tcBorders>
              <w:top w:val="nil"/>
              <w:left w:val="nil"/>
              <w:bottom w:val="single" w:sz="4" w:space="0" w:color="auto"/>
              <w:right w:val="single" w:sz="4" w:space="0" w:color="auto"/>
            </w:tcBorders>
            <w:shd w:val="clear" w:color="auto" w:fill="auto"/>
            <w:noWrap/>
            <w:vAlign w:val="center"/>
            <w:hideMark/>
          </w:tcPr>
          <w:p w14:paraId="22B77A8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322.96 </w:t>
            </w:r>
          </w:p>
        </w:tc>
        <w:tc>
          <w:tcPr>
            <w:tcW w:w="0" w:type="auto"/>
            <w:tcBorders>
              <w:top w:val="nil"/>
              <w:left w:val="nil"/>
              <w:bottom w:val="single" w:sz="4" w:space="0" w:color="auto"/>
              <w:right w:val="single" w:sz="4" w:space="0" w:color="auto"/>
            </w:tcBorders>
            <w:shd w:val="clear" w:color="auto" w:fill="auto"/>
            <w:noWrap/>
            <w:vAlign w:val="center"/>
            <w:hideMark/>
          </w:tcPr>
          <w:p w14:paraId="73E52B5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287.69 </w:t>
            </w:r>
          </w:p>
        </w:tc>
      </w:tr>
      <w:tr w:rsidR="00C04029" w:rsidRPr="00C04029" w14:paraId="272CB5E5"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CBBA4" w14:textId="77777777" w:rsidR="00C04029" w:rsidRPr="00C04029" w:rsidRDefault="00C04029" w:rsidP="00C04029">
            <w:pPr>
              <w:spacing w:after="0" w:line="240" w:lineRule="auto"/>
              <w:rPr>
                <w:rFonts w:eastAsia="Times New Roman"/>
                <w:lang w:val="en-US"/>
              </w:rPr>
            </w:pPr>
            <w:r w:rsidRPr="00C04029">
              <w:rPr>
                <w:rFonts w:eastAsia="Times New Roman"/>
                <w:lang w:val="en-US"/>
              </w:rPr>
              <w:t>Depreciation (+)</w:t>
            </w:r>
          </w:p>
        </w:tc>
        <w:tc>
          <w:tcPr>
            <w:tcW w:w="0" w:type="auto"/>
            <w:tcBorders>
              <w:top w:val="nil"/>
              <w:left w:val="nil"/>
              <w:bottom w:val="single" w:sz="4" w:space="0" w:color="auto"/>
              <w:right w:val="single" w:sz="4" w:space="0" w:color="auto"/>
            </w:tcBorders>
            <w:shd w:val="clear" w:color="auto" w:fill="auto"/>
            <w:noWrap/>
            <w:vAlign w:val="center"/>
            <w:hideMark/>
          </w:tcPr>
          <w:p w14:paraId="35E741A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3CF14B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20.74 </w:t>
            </w:r>
          </w:p>
        </w:tc>
        <w:tc>
          <w:tcPr>
            <w:tcW w:w="0" w:type="auto"/>
            <w:tcBorders>
              <w:top w:val="nil"/>
              <w:left w:val="nil"/>
              <w:bottom w:val="single" w:sz="4" w:space="0" w:color="auto"/>
              <w:right w:val="single" w:sz="4" w:space="0" w:color="auto"/>
            </w:tcBorders>
            <w:shd w:val="clear" w:color="auto" w:fill="auto"/>
            <w:noWrap/>
            <w:vAlign w:val="center"/>
            <w:hideMark/>
          </w:tcPr>
          <w:p w14:paraId="3A5A70E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23.20 </w:t>
            </w:r>
          </w:p>
        </w:tc>
        <w:tc>
          <w:tcPr>
            <w:tcW w:w="0" w:type="auto"/>
            <w:tcBorders>
              <w:top w:val="nil"/>
              <w:left w:val="nil"/>
              <w:bottom w:val="single" w:sz="4" w:space="0" w:color="auto"/>
              <w:right w:val="single" w:sz="4" w:space="0" w:color="auto"/>
            </w:tcBorders>
            <w:shd w:val="clear" w:color="auto" w:fill="auto"/>
            <w:noWrap/>
            <w:vAlign w:val="center"/>
            <w:hideMark/>
          </w:tcPr>
          <w:p w14:paraId="3AAAC94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25.54 </w:t>
            </w:r>
          </w:p>
        </w:tc>
        <w:tc>
          <w:tcPr>
            <w:tcW w:w="0" w:type="auto"/>
            <w:tcBorders>
              <w:top w:val="nil"/>
              <w:left w:val="nil"/>
              <w:bottom w:val="single" w:sz="4" w:space="0" w:color="auto"/>
              <w:right w:val="single" w:sz="4" w:space="0" w:color="auto"/>
            </w:tcBorders>
            <w:shd w:val="clear" w:color="auto" w:fill="auto"/>
            <w:noWrap/>
            <w:vAlign w:val="center"/>
            <w:hideMark/>
          </w:tcPr>
          <w:p w14:paraId="44F9785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25.63 </w:t>
            </w:r>
          </w:p>
        </w:tc>
        <w:tc>
          <w:tcPr>
            <w:tcW w:w="0" w:type="auto"/>
            <w:tcBorders>
              <w:top w:val="nil"/>
              <w:left w:val="nil"/>
              <w:bottom w:val="single" w:sz="4" w:space="0" w:color="auto"/>
              <w:right w:val="single" w:sz="4" w:space="0" w:color="auto"/>
            </w:tcBorders>
            <w:shd w:val="clear" w:color="auto" w:fill="auto"/>
            <w:noWrap/>
            <w:vAlign w:val="center"/>
            <w:hideMark/>
          </w:tcPr>
          <w:p w14:paraId="3189CA7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21.75 </w:t>
            </w:r>
          </w:p>
        </w:tc>
        <w:tc>
          <w:tcPr>
            <w:tcW w:w="0" w:type="auto"/>
            <w:tcBorders>
              <w:top w:val="nil"/>
              <w:left w:val="nil"/>
              <w:bottom w:val="single" w:sz="4" w:space="0" w:color="auto"/>
              <w:right w:val="single" w:sz="4" w:space="0" w:color="auto"/>
            </w:tcBorders>
            <w:shd w:val="clear" w:color="auto" w:fill="auto"/>
            <w:noWrap/>
            <w:vAlign w:val="center"/>
            <w:hideMark/>
          </w:tcPr>
          <w:p w14:paraId="0E29078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17.76 </w:t>
            </w:r>
          </w:p>
        </w:tc>
        <w:tc>
          <w:tcPr>
            <w:tcW w:w="0" w:type="auto"/>
            <w:tcBorders>
              <w:top w:val="nil"/>
              <w:left w:val="nil"/>
              <w:bottom w:val="single" w:sz="4" w:space="0" w:color="auto"/>
              <w:right w:val="single" w:sz="4" w:space="0" w:color="auto"/>
            </w:tcBorders>
            <w:shd w:val="clear" w:color="auto" w:fill="auto"/>
            <w:noWrap/>
            <w:vAlign w:val="center"/>
            <w:hideMark/>
          </w:tcPr>
          <w:p w14:paraId="5713A1A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18.07 </w:t>
            </w:r>
          </w:p>
        </w:tc>
      </w:tr>
      <w:tr w:rsidR="00C04029" w:rsidRPr="00C04029" w14:paraId="6580486A"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4AD732"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Cash Flow</w:t>
            </w:r>
          </w:p>
        </w:tc>
        <w:tc>
          <w:tcPr>
            <w:tcW w:w="0" w:type="auto"/>
            <w:tcBorders>
              <w:top w:val="nil"/>
              <w:left w:val="nil"/>
              <w:bottom w:val="single" w:sz="4" w:space="0" w:color="auto"/>
              <w:right w:val="single" w:sz="4" w:space="0" w:color="auto"/>
            </w:tcBorders>
            <w:shd w:val="clear" w:color="auto" w:fill="auto"/>
            <w:noWrap/>
            <w:vAlign w:val="center"/>
            <w:hideMark/>
          </w:tcPr>
          <w:p w14:paraId="472EA48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36AC98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(35.72)</w:t>
            </w:r>
          </w:p>
        </w:tc>
        <w:tc>
          <w:tcPr>
            <w:tcW w:w="0" w:type="auto"/>
            <w:tcBorders>
              <w:top w:val="nil"/>
              <w:left w:val="nil"/>
              <w:bottom w:val="single" w:sz="4" w:space="0" w:color="auto"/>
              <w:right w:val="single" w:sz="4" w:space="0" w:color="auto"/>
            </w:tcBorders>
            <w:shd w:val="clear" w:color="auto" w:fill="auto"/>
            <w:noWrap/>
            <w:vAlign w:val="center"/>
            <w:hideMark/>
          </w:tcPr>
          <w:p w14:paraId="12C2FF6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69.33 </w:t>
            </w:r>
          </w:p>
        </w:tc>
        <w:tc>
          <w:tcPr>
            <w:tcW w:w="0" w:type="auto"/>
            <w:tcBorders>
              <w:top w:val="nil"/>
              <w:left w:val="nil"/>
              <w:bottom w:val="single" w:sz="4" w:space="0" w:color="auto"/>
              <w:right w:val="single" w:sz="4" w:space="0" w:color="auto"/>
            </w:tcBorders>
            <w:shd w:val="clear" w:color="auto" w:fill="auto"/>
            <w:noWrap/>
            <w:vAlign w:val="center"/>
            <w:hideMark/>
          </w:tcPr>
          <w:p w14:paraId="5DCC58A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245.21 </w:t>
            </w:r>
          </w:p>
        </w:tc>
        <w:tc>
          <w:tcPr>
            <w:tcW w:w="0" w:type="auto"/>
            <w:tcBorders>
              <w:top w:val="nil"/>
              <w:left w:val="nil"/>
              <w:bottom w:val="single" w:sz="4" w:space="0" w:color="auto"/>
              <w:right w:val="single" w:sz="4" w:space="0" w:color="auto"/>
            </w:tcBorders>
            <w:shd w:val="clear" w:color="auto" w:fill="auto"/>
            <w:noWrap/>
            <w:vAlign w:val="center"/>
            <w:hideMark/>
          </w:tcPr>
          <w:p w14:paraId="0371B06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139.90 </w:t>
            </w:r>
          </w:p>
        </w:tc>
        <w:tc>
          <w:tcPr>
            <w:tcW w:w="0" w:type="auto"/>
            <w:tcBorders>
              <w:top w:val="nil"/>
              <w:left w:val="nil"/>
              <w:bottom w:val="single" w:sz="4" w:space="0" w:color="auto"/>
              <w:right w:val="single" w:sz="4" w:space="0" w:color="auto"/>
            </w:tcBorders>
            <w:shd w:val="clear" w:color="auto" w:fill="auto"/>
            <w:noWrap/>
            <w:vAlign w:val="center"/>
            <w:hideMark/>
          </w:tcPr>
          <w:p w14:paraId="3B89EA1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201.66 </w:t>
            </w:r>
          </w:p>
        </w:tc>
        <w:tc>
          <w:tcPr>
            <w:tcW w:w="0" w:type="auto"/>
            <w:tcBorders>
              <w:top w:val="nil"/>
              <w:left w:val="nil"/>
              <w:bottom w:val="single" w:sz="4" w:space="0" w:color="auto"/>
              <w:right w:val="single" w:sz="4" w:space="0" w:color="auto"/>
            </w:tcBorders>
            <w:shd w:val="clear" w:color="auto" w:fill="auto"/>
            <w:noWrap/>
            <w:vAlign w:val="center"/>
            <w:hideMark/>
          </w:tcPr>
          <w:p w14:paraId="34E6397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340.72 </w:t>
            </w:r>
          </w:p>
        </w:tc>
        <w:tc>
          <w:tcPr>
            <w:tcW w:w="0" w:type="auto"/>
            <w:tcBorders>
              <w:top w:val="nil"/>
              <w:left w:val="nil"/>
              <w:bottom w:val="single" w:sz="4" w:space="0" w:color="auto"/>
              <w:right w:val="single" w:sz="4" w:space="0" w:color="auto"/>
            </w:tcBorders>
            <w:shd w:val="clear" w:color="auto" w:fill="auto"/>
            <w:noWrap/>
            <w:vAlign w:val="center"/>
            <w:hideMark/>
          </w:tcPr>
          <w:p w14:paraId="7F3669A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305.76 </w:t>
            </w:r>
          </w:p>
        </w:tc>
      </w:tr>
      <w:tr w:rsidR="00C04029" w:rsidRPr="00C04029" w14:paraId="74AD6DB7"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670A6A" w14:textId="77777777" w:rsidR="00C04029" w:rsidRPr="00C04029" w:rsidRDefault="00C04029" w:rsidP="00C04029">
            <w:pPr>
              <w:spacing w:after="0" w:line="240" w:lineRule="auto"/>
              <w:rPr>
                <w:rFonts w:eastAsia="Times New Roman"/>
                <w:lang w:val="en-US"/>
              </w:rPr>
            </w:pPr>
            <w:r w:rsidRPr="00C04029">
              <w:rPr>
                <w:rFonts w:eastAsia="Times New Roman"/>
                <w:lang w:val="en-US"/>
              </w:rPr>
              <w:t>Investment (-)</w:t>
            </w:r>
          </w:p>
        </w:tc>
        <w:tc>
          <w:tcPr>
            <w:tcW w:w="0" w:type="auto"/>
            <w:tcBorders>
              <w:top w:val="nil"/>
              <w:left w:val="nil"/>
              <w:bottom w:val="single" w:sz="4" w:space="0" w:color="auto"/>
              <w:right w:val="single" w:sz="4" w:space="0" w:color="auto"/>
            </w:tcBorders>
            <w:shd w:val="clear" w:color="auto" w:fill="auto"/>
            <w:noWrap/>
            <w:vAlign w:val="center"/>
            <w:hideMark/>
          </w:tcPr>
          <w:p w14:paraId="5D073A4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(765.63)</w:t>
            </w:r>
          </w:p>
        </w:tc>
        <w:tc>
          <w:tcPr>
            <w:tcW w:w="0" w:type="auto"/>
            <w:tcBorders>
              <w:top w:val="nil"/>
              <w:left w:val="nil"/>
              <w:bottom w:val="single" w:sz="4" w:space="0" w:color="auto"/>
              <w:right w:val="single" w:sz="4" w:space="0" w:color="auto"/>
            </w:tcBorders>
            <w:shd w:val="clear" w:color="auto" w:fill="auto"/>
            <w:noWrap/>
            <w:vAlign w:val="center"/>
            <w:hideMark/>
          </w:tcPr>
          <w:p w14:paraId="7954AC3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05F605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5FFE9C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5B97BD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7D1F36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C7384A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6B479B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4602BCD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56ED55"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Residual Value </w:t>
            </w:r>
          </w:p>
        </w:tc>
        <w:tc>
          <w:tcPr>
            <w:tcW w:w="0" w:type="auto"/>
            <w:tcBorders>
              <w:top w:val="nil"/>
              <w:left w:val="nil"/>
              <w:bottom w:val="single" w:sz="4" w:space="0" w:color="auto"/>
              <w:right w:val="single" w:sz="4" w:space="0" w:color="auto"/>
            </w:tcBorders>
            <w:shd w:val="clear" w:color="auto" w:fill="auto"/>
            <w:noWrap/>
            <w:vAlign w:val="center"/>
            <w:hideMark/>
          </w:tcPr>
          <w:p w14:paraId="6DDBA6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86C7D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AC3E1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D7F0A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437CB6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83D43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70FDA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8BEAD1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573.23 </w:t>
            </w:r>
          </w:p>
        </w:tc>
      </w:tr>
      <w:tr w:rsidR="00C04029" w:rsidRPr="00C04029" w14:paraId="6C501AB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1294FC" w14:textId="77777777" w:rsidR="00C04029" w:rsidRPr="00C04029" w:rsidRDefault="00C04029" w:rsidP="00C04029">
            <w:pPr>
              <w:spacing w:after="0" w:line="240" w:lineRule="auto"/>
              <w:rPr>
                <w:rFonts w:eastAsia="Times New Roman"/>
                <w:lang w:val="en-US"/>
              </w:rPr>
            </w:pPr>
            <w:r w:rsidRPr="00C04029">
              <w:rPr>
                <w:rFonts w:eastAsia="Times New Roman"/>
                <w:lang w:val="en-US"/>
              </w:rPr>
              <w:t>Working Capital (-)</w:t>
            </w:r>
          </w:p>
        </w:tc>
        <w:tc>
          <w:tcPr>
            <w:tcW w:w="0" w:type="auto"/>
            <w:tcBorders>
              <w:top w:val="nil"/>
              <w:left w:val="nil"/>
              <w:bottom w:val="single" w:sz="4" w:space="0" w:color="auto"/>
              <w:right w:val="single" w:sz="4" w:space="0" w:color="auto"/>
            </w:tcBorders>
            <w:shd w:val="clear" w:color="auto" w:fill="auto"/>
            <w:noWrap/>
            <w:vAlign w:val="center"/>
            <w:hideMark/>
          </w:tcPr>
          <w:p w14:paraId="4DEA797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7419B2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AE8E18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3200BA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F6AB30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63968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6916D4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41B747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6B91981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1D2F93"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 xml:space="preserve">Cash Flows </w:t>
            </w:r>
          </w:p>
        </w:tc>
        <w:tc>
          <w:tcPr>
            <w:tcW w:w="0" w:type="auto"/>
            <w:tcBorders>
              <w:top w:val="nil"/>
              <w:left w:val="nil"/>
              <w:bottom w:val="single" w:sz="4" w:space="0" w:color="auto"/>
              <w:right w:val="single" w:sz="4" w:space="0" w:color="auto"/>
            </w:tcBorders>
            <w:shd w:val="clear" w:color="auto" w:fill="auto"/>
            <w:noWrap/>
            <w:vAlign w:val="center"/>
            <w:hideMark/>
          </w:tcPr>
          <w:p w14:paraId="72B6FF7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(765.63)</w:t>
            </w:r>
          </w:p>
        </w:tc>
        <w:tc>
          <w:tcPr>
            <w:tcW w:w="0" w:type="auto"/>
            <w:tcBorders>
              <w:top w:val="nil"/>
              <w:left w:val="nil"/>
              <w:bottom w:val="single" w:sz="4" w:space="0" w:color="auto"/>
              <w:right w:val="single" w:sz="4" w:space="0" w:color="auto"/>
            </w:tcBorders>
            <w:shd w:val="clear" w:color="auto" w:fill="auto"/>
            <w:noWrap/>
            <w:vAlign w:val="center"/>
            <w:hideMark/>
          </w:tcPr>
          <w:p w14:paraId="7173ECC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(35.72)</w:t>
            </w:r>
          </w:p>
        </w:tc>
        <w:tc>
          <w:tcPr>
            <w:tcW w:w="0" w:type="auto"/>
            <w:tcBorders>
              <w:top w:val="nil"/>
              <w:left w:val="nil"/>
              <w:bottom w:val="single" w:sz="4" w:space="0" w:color="auto"/>
              <w:right w:val="single" w:sz="4" w:space="0" w:color="auto"/>
            </w:tcBorders>
            <w:shd w:val="clear" w:color="auto" w:fill="auto"/>
            <w:noWrap/>
            <w:vAlign w:val="center"/>
            <w:hideMark/>
          </w:tcPr>
          <w:p w14:paraId="0750232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69.33 </w:t>
            </w:r>
          </w:p>
        </w:tc>
        <w:tc>
          <w:tcPr>
            <w:tcW w:w="0" w:type="auto"/>
            <w:tcBorders>
              <w:top w:val="nil"/>
              <w:left w:val="nil"/>
              <w:bottom w:val="single" w:sz="4" w:space="0" w:color="auto"/>
              <w:right w:val="single" w:sz="4" w:space="0" w:color="auto"/>
            </w:tcBorders>
            <w:shd w:val="clear" w:color="auto" w:fill="auto"/>
            <w:noWrap/>
            <w:vAlign w:val="center"/>
            <w:hideMark/>
          </w:tcPr>
          <w:p w14:paraId="28616F4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245.21 </w:t>
            </w:r>
          </w:p>
        </w:tc>
        <w:tc>
          <w:tcPr>
            <w:tcW w:w="0" w:type="auto"/>
            <w:tcBorders>
              <w:top w:val="nil"/>
              <w:left w:val="nil"/>
              <w:bottom w:val="single" w:sz="4" w:space="0" w:color="auto"/>
              <w:right w:val="single" w:sz="4" w:space="0" w:color="auto"/>
            </w:tcBorders>
            <w:shd w:val="clear" w:color="auto" w:fill="auto"/>
            <w:noWrap/>
            <w:vAlign w:val="center"/>
            <w:hideMark/>
          </w:tcPr>
          <w:p w14:paraId="3CF7B889"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139.90 </w:t>
            </w:r>
          </w:p>
        </w:tc>
        <w:tc>
          <w:tcPr>
            <w:tcW w:w="0" w:type="auto"/>
            <w:tcBorders>
              <w:top w:val="nil"/>
              <w:left w:val="nil"/>
              <w:bottom w:val="single" w:sz="4" w:space="0" w:color="auto"/>
              <w:right w:val="single" w:sz="4" w:space="0" w:color="auto"/>
            </w:tcBorders>
            <w:shd w:val="clear" w:color="auto" w:fill="auto"/>
            <w:noWrap/>
            <w:vAlign w:val="center"/>
            <w:hideMark/>
          </w:tcPr>
          <w:p w14:paraId="066F384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201.66 </w:t>
            </w:r>
          </w:p>
        </w:tc>
        <w:tc>
          <w:tcPr>
            <w:tcW w:w="0" w:type="auto"/>
            <w:tcBorders>
              <w:top w:val="nil"/>
              <w:left w:val="nil"/>
              <w:bottom w:val="single" w:sz="4" w:space="0" w:color="auto"/>
              <w:right w:val="single" w:sz="4" w:space="0" w:color="auto"/>
            </w:tcBorders>
            <w:shd w:val="clear" w:color="auto" w:fill="auto"/>
            <w:noWrap/>
            <w:vAlign w:val="center"/>
            <w:hideMark/>
          </w:tcPr>
          <w:p w14:paraId="73CE29A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340.72 </w:t>
            </w:r>
          </w:p>
        </w:tc>
        <w:tc>
          <w:tcPr>
            <w:tcW w:w="0" w:type="auto"/>
            <w:tcBorders>
              <w:top w:val="nil"/>
              <w:left w:val="nil"/>
              <w:bottom w:val="single" w:sz="4" w:space="0" w:color="auto"/>
              <w:right w:val="single" w:sz="4" w:space="0" w:color="auto"/>
            </w:tcBorders>
            <w:shd w:val="clear" w:color="auto" w:fill="auto"/>
            <w:noWrap/>
            <w:vAlign w:val="center"/>
            <w:hideMark/>
          </w:tcPr>
          <w:p w14:paraId="4721825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878.99 </w:t>
            </w:r>
          </w:p>
        </w:tc>
      </w:tr>
      <w:tr w:rsidR="00C04029" w:rsidRPr="00C04029" w14:paraId="162DB5AB"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3D649"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C0900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6135E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D5DB9F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B3BA1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CF6757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6046AA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27BA8F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D0EA71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67DD27E8"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9F1917"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Discounting </w:t>
            </w:r>
            <w:proofErr w:type="spellStart"/>
            <w:r w:rsidRPr="00C04029">
              <w:rPr>
                <w:rFonts w:eastAsia="Times New Roman"/>
                <w:lang w:val="en-US"/>
              </w:rPr>
              <w:t>Fator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927B7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14:paraId="7A987F7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1.10 </w:t>
            </w:r>
          </w:p>
        </w:tc>
        <w:tc>
          <w:tcPr>
            <w:tcW w:w="0" w:type="auto"/>
            <w:tcBorders>
              <w:top w:val="nil"/>
              <w:left w:val="nil"/>
              <w:bottom w:val="single" w:sz="4" w:space="0" w:color="auto"/>
              <w:right w:val="single" w:sz="4" w:space="0" w:color="auto"/>
            </w:tcBorders>
            <w:shd w:val="clear" w:color="auto" w:fill="auto"/>
            <w:noWrap/>
            <w:vAlign w:val="center"/>
            <w:hideMark/>
          </w:tcPr>
          <w:p w14:paraId="475DF6C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1.20 </w:t>
            </w:r>
          </w:p>
        </w:tc>
        <w:tc>
          <w:tcPr>
            <w:tcW w:w="0" w:type="auto"/>
            <w:tcBorders>
              <w:top w:val="nil"/>
              <w:left w:val="nil"/>
              <w:bottom w:val="single" w:sz="4" w:space="0" w:color="auto"/>
              <w:right w:val="single" w:sz="4" w:space="0" w:color="auto"/>
            </w:tcBorders>
            <w:shd w:val="clear" w:color="auto" w:fill="auto"/>
            <w:noWrap/>
            <w:vAlign w:val="center"/>
            <w:hideMark/>
          </w:tcPr>
          <w:p w14:paraId="7AD028B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1.32 </w:t>
            </w:r>
          </w:p>
        </w:tc>
        <w:tc>
          <w:tcPr>
            <w:tcW w:w="0" w:type="auto"/>
            <w:tcBorders>
              <w:top w:val="nil"/>
              <w:left w:val="nil"/>
              <w:bottom w:val="single" w:sz="4" w:space="0" w:color="auto"/>
              <w:right w:val="single" w:sz="4" w:space="0" w:color="auto"/>
            </w:tcBorders>
            <w:shd w:val="clear" w:color="auto" w:fill="auto"/>
            <w:noWrap/>
            <w:vAlign w:val="center"/>
            <w:hideMark/>
          </w:tcPr>
          <w:p w14:paraId="1EB8110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1.45 </w:t>
            </w:r>
          </w:p>
        </w:tc>
        <w:tc>
          <w:tcPr>
            <w:tcW w:w="0" w:type="auto"/>
            <w:tcBorders>
              <w:top w:val="nil"/>
              <w:left w:val="nil"/>
              <w:bottom w:val="single" w:sz="4" w:space="0" w:color="auto"/>
              <w:right w:val="single" w:sz="4" w:space="0" w:color="auto"/>
            </w:tcBorders>
            <w:shd w:val="clear" w:color="auto" w:fill="auto"/>
            <w:noWrap/>
            <w:vAlign w:val="center"/>
            <w:hideMark/>
          </w:tcPr>
          <w:p w14:paraId="1672647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1.59 </w:t>
            </w:r>
          </w:p>
        </w:tc>
        <w:tc>
          <w:tcPr>
            <w:tcW w:w="0" w:type="auto"/>
            <w:tcBorders>
              <w:top w:val="nil"/>
              <w:left w:val="nil"/>
              <w:bottom w:val="single" w:sz="4" w:space="0" w:color="auto"/>
              <w:right w:val="single" w:sz="4" w:space="0" w:color="auto"/>
            </w:tcBorders>
            <w:shd w:val="clear" w:color="auto" w:fill="auto"/>
            <w:noWrap/>
            <w:vAlign w:val="center"/>
            <w:hideMark/>
          </w:tcPr>
          <w:p w14:paraId="3D849C5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1.74 </w:t>
            </w:r>
          </w:p>
        </w:tc>
        <w:tc>
          <w:tcPr>
            <w:tcW w:w="0" w:type="auto"/>
            <w:tcBorders>
              <w:top w:val="nil"/>
              <w:left w:val="nil"/>
              <w:bottom w:val="single" w:sz="4" w:space="0" w:color="auto"/>
              <w:right w:val="single" w:sz="4" w:space="0" w:color="auto"/>
            </w:tcBorders>
            <w:shd w:val="clear" w:color="auto" w:fill="auto"/>
            <w:noWrap/>
            <w:vAlign w:val="center"/>
            <w:hideMark/>
          </w:tcPr>
          <w:p w14:paraId="236EAC8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1.91 </w:t>
            </w:r>
          </w:p>
        </w:tc>
      </w:tr>
      <w:tr w:rsidR="00C04029" w:rsidRPr="00C04029" w14:paraId="16B326FE"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0D4F6"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Discounted Cash Flow</w:t>
            </w:r>
          </w:p>
        </w:tc>
        <w:tc>
          <w:tcPr>
            <w:tcW w:w="0" w:type="auto"/>
            <w:tcBorders>
              <w:top w:val="nil"/>
              <w:left w:val="nil"/>
              <w:bottom w:val="single" w:sz="4" w:space="0" w:color="auto"/>
              <w:right w:val="single" w:sz="4" w:space="0" w:color="auto"/>
            </w:tcBorders>
            <w:shd w:val="clear" w:color="auto" w:fill="auto"/>
            <w:noWrap/>
            <w:vAlign w:val="center"/>
            <w:hideMark/>
          </w:tcPr>
          <w:p w14:paraId="7A06A77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(765.63)</w:t>
            </w:r>
          </w:p>
        </w:tc>
        <w:tc>
          <w:tcPr>
            <w:tcW w:w="0" w:type="auto"/>
            <w:tcBorders>
              <w:top w:val="nil"/>
              <w:left w:val="nil"/>
              <w:bottom w:val="single" w:sz="4" w:space="0" w:color="auto"/>
              <w:right w:val="single" w:sz="4" w:space="0" w:color="auto"/>
            </w:tcBorders>
            <w:shd w:val="clear" w:color="auto" w:fill="auto"/>
            <w:noWrap/>
            <w:vAlign w:val="center"/>
            <w:hideMark/>
          </w:tcPr>
          <w:p w14:paraId="6C54B3F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(32.57)</w:t>
            </w:r>
          </w:p>
        </w:tc>
        <w:tc>
          <w:tcPr>
            <w:tcW w:w="0" w:type="auto"/>
            <w:tcBorders>
              <w:top w:val="nil"/>
              <w:left w:val="nil"/>
              <w:bottom w:val="single" w:sz="4" w:space="0" w:color="auto"/>
              <w:right w:val="single" w:sz="4" w:space="0" w:color="auto"/>
            </w:tcBorders>
            <w:shd w:val="clear" w:color="auto" w:fill="auto"/>
            <w:noWrap/>
            <w:vAlign w:val="center"/>
            <w:hideMark/>
          </w:tcPr>
          <w:p w14:paraId="0887E15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57.65 </w:t>
            </w:r>
          </w:p>
        </w:tc>
        <w:tc>
          <w:tcPr>
            <w:tcW w:w="0" w:type="auto"/>
            <w:tcBorders>
              <w:top w:val="nil"/>
              <w:left w:val="nil"/>
              <w:bottom w:val="single" w:sz="4" w:space="0" w:color="auto"/>
              <w:right w:val="single" w:sz="4" w:space="0" w:color="auto"/>
            </w:tcBorders>
            <w:shd w:val="clear" w:color="auto" w:fill="auto"/>
            <w:noWrap/>
            <w:vAlign w:val="center"/>
            <w:hideMark/>
          </w:tcPr>
          <w:p w14:paraId="5FDBC64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185.93 </w:t>
            </w:r>
          </w:p>
        </w:tc>
        <w:tc>
          <w:tcPr>
            <w:tcW w:w="0" w:type="auto"/>
            <w:tcBorders>
              <w:top w:val="nil"/>
              <w:left w:val="nil"/>
              <w:bottom w:val="single" w:sz="4" w:space="0" w:color="auto"/>
              <w:right w:val="single" w:sz="4" w:space="0" w:color="auto"/>
            </w:tcBorders>
            <w:shd w:val="clear" w:color="auto" w:fill="auto"/>
            <w:noWrap/>
            <w:vAlign w:val="center"/>
            <w:hideMark/>
          </w:tcPr>
          <w:p w14:paraId="0D517FB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96.73 </w:t>
            </w:r>
          </w:p>
        </w:tc>
        <w:tc>
          <w:tcPr>
            <w:tcW w:w="0" w:type="auto"/>
            <w:tcBorders>
              <w:top w:val="nil"/>
              <w:left w:val="nil"/>
              <w:bottom w:val="single" w:sz="4" w:space="0" w:color="auto"/>
              <w:right w:val="single" w:sz="4" w:space="0" w:color="auto"/>
            </w:tcBorders>
            <w:shd w:val="clear" w:color="auto" w:fill="auto"/>
            <w:noWrap/>
            <w:vAlign w:val="center"/>
            <w:hideMark/>
          </w:tcPr>
          <w:p w14:paraId="0A9C2EC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127.15 </w:t>
            </w:r>
          </w:p>
        </w:tc>
        <w:tc>
          <w:tcPr>
            <w:tcW w:w="0" w:type="auto"/>
            <w:tcBorders>
              <w:top w:val="nil"/>
              <w:left w:val="nil"/>
              <w:bottom w:val="single" w:sz="4" w:space="0" w:color="auto"/>
              <w:right w:val="single" w:sz="4" w:space="0" w:color="auto"/>
            </w:tcBorders>
            <w:shd w:val="clear" w:color="auto" w:fill="auto"/>
            <w:noWrap/>
            <w:vAlign w:val="center"/>
            <w:hideMark/>
          </w:tcPr>
          <w:p w14:paraId="24BB1F5F"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195.90 </w:t>
            </w:r>
          </w:p>
        </w:tc>
        <w:tc>
          <w:tcPr>
            <w:tcW w:w="0" w:type="auto"/>
            <w:tcBorders>
              <w:top w:val="nil"/>
              <w:left w:val="nil"/>
              <w:bottom w:val="single" w:sz="4" w:space="0" w:color="auto"/>
              <w:right w:val="single" w:sz="4" w:space="0" w:color="auto"/>
            </w:tcBorders>
            <w:shd w:val="clear" w:color="auto" w:fill="auto"/>
            <w:noWrap/>
            <w:vAlign w:val="center"/>
            <w:hideMark/>
          </w:tcPr>
          <w:p w14:paraId="39AF574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460.85 </w:t>
            </w:r>
          </w:p>
        </w:tc>
      </w:tr>
      <w:tr w:rsidR="00C04029" w:rsidRPr="00C04029" w14:paraId="3852A2FE"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B9199" w14:textId="77777777" w:rsidR="00C04029" w:rsidRPr="00C04029" w:rsidRDefault="00C04029" w:rsidP="00C04029">
            <w:pPr>
              <w:spacing w:after="0" w:line="240" w:lineRule="auto"/>
              <w:rPr>
                <w:rFonts w:eastAsia="Times New Roman"/>
                <w:lang w:val="en-US"/>
              </w:rPr>
            </w:pPr>
            <w:r w:rsidRPr="00C04029">
              <w:rPr>
                <w:rFonts w:eastAsia="Times New Roman"/>
                <w:lang w:val="en-US"/>
              </w:rPr>
              <w:t>Pay back</w:t>
            </w:r>
          </w:p>
        </w:tc>
        <w:tc>
          <w:tcPr>
            <w:tcW w:w="0" w:type="auto"/>
            <w:tcBorders>
              <w:top w:val="nil"/>
              <w:left w:val="nil"/>
              <w:bottom w:val="single" w:sz="4" w:space="0" w:color="auto"/>
              <w:right w:val="single" w:sz="4" w:space="0" w:color="auto"/>
            </w:tcBorders>
            <w:shd w:val="clear" w:color="auto" w:fill="auto"/>
            <w:noWrap/>
            <w:vAlign w:val="center"/>
            <w:hideMark/>
          </w:tcPr>
          <w:p w14:paraId="753D84A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417E8D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(798.20)</w:t>
            </w:r>
          </w:p>
        </w:tc>
        <w:tc>
          <w:tcPr>
            <w:tcW w:w="0" w:type="auto"/>
            <w:tcBorders>
              <w:top w:val="nil"/>
              <w:left w:val="nil"/>
              <w:bottom w:val="single" w:sz="4" w:space="0" w:color="auto"/>
              <w:right w:val="single" w:sz="4" w:space="0" w:color="auto"/>
            </w:tcBorders>
            <w:shd w:val="clear" w:color="auto" w:fill="auto"/>
            <w:noWrap/>
            <w:vAlign w:val="center"/>
            <w:hideMark/>
          </w:tcPr>
          <w:p w14:paraId="344C740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(740.55)</w:t>
            </w:r>
          </w:p>
        </w:tc>
        <w:tc>
          <w:tcPr>
            <w:tcW w:w="0" w:type="auto"/>
            <w:tcBorders>
              <w:top w:val="nil"/>
              <w:left w:val="nil"/>
              <w:bottom w:val="single" w:sz="4" w:space="0" w:color="auto"/>
              <w:right w:val="single" w:sz="4" w:space="0" w:color="auto"/>
            </w:tcBorders>
            <w:shd w:val="clear" w:color="auto" w:fill="auto"/>
            <w:noWrap/>
            <w:vAlign w:val="center"/>
            <w:hideMark/>
          </w:tcPr>
          <w:p w14:paraId="740BBD9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(554.61)</w:t>
            </w:r>
          </w:p>
        </w:tc>
        <w:tc>
          <w:tcPr>
            <w:tcW w:w="0" w:type="auto"/>
            <w:tcBorders>
              <w:top w:val="nil"/>
              <w:left w:val="nil"/>
              <w:bottom w:val="single" w:sz="4" w:space="0" w:color="auto"/>
              <w:right w:val="single" w:sz="4" w:space="0" w:color="auto"/>
            </w:tcBorders>
            <w:shd w:val="clear" w:color="auto" w:fill="auto"/>
            <w:noWrap/>
            <w:vAlign w:val="center"/>
            <w:hideMark/>
          </w:tcPr>
          <w:p w14:paraId="0174C7D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(457.88)</w:t>
            </w:r>
          </w:p>
        </w:tc>
        <w:tc>
          <w:tcPr>
            <w:tcW w:w="0" w:type="auto"/>
            <w:tcBorders>
              <w:top w:val="nil"/>
              <w:left w:val="nil"/>
              <w:bottom w:val="single" w:sz="4" w:space="0" w:color="auto"/>
              <w:right w:val="single" w:sz="4" w:space="0" w:color="auto"/>
            </w:tcBorders>
            <w:shd w:val="clear" w:color="auto" w:fill="auto"/>
            <w:noWrap/>
            <w:vAlign w:val="center"/>
            <w:hideMark/>
          </w:tcPr>
          <w:p w14:paraId="782313F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(330.73)</w:t>
            </w:r>
          </w:p>
        </w:tc>
        <w:tc>
          <w:tcPr>
            <w:tcW w:w="0" w:type="auto"/>
            <w:tcBorders>
              <w:top w:val="nil"/>
              <w:left w:val="nil"/>
              <w:bottom w:val="single" w:sz="4" w:space="0" w:color="auto"/>
              <w:right w:val="single" w:sz="4" w:space="0" w:color="auto"/>
            </w:tcBorders>
            <w:shd w:val="clear" w:color="auto" w:fill="auto"/>
            <w:noWrap/>
            <w:vAlign w:val="center"/>
            <w:hideMark/>
          </w:tcPr>
          <w:p w14:paraId="74C1BF8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(134.83)</w:t>
            </w:r>
          </w:p>
        </w:tc>
        <w:tc>
          <w:tcPr>
            <w:tcW w:w="0" w:type="auto"/>
            <w:tcBorders>
              <w:top w:val="nil"/>
              <w:left w:val="nil"/>
              <w:bottom w:val="single" w:sz="4" w:space="0" w:color="auto"/>
              <w:right w:val="single" w:sz="4" w:space="0" w:color="auto"/>
            </w:tcBorders>
            <w:shd w:val="clear" w:color="auto" w:fill="auto"/>
            <w:noWrap/>
            <w:vAlign w:val="center"/>
            <w:hideMark/>
          </w:tcPr>
          <w:p w14:paraId="47DE5AE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326.01 </w:t>
            </w:r>
          </w:p>
        </w:tc>
      </w:tr>
    </w:tbl>
    <w:p w14:paraId="2C30B7E1" w14:textId="21F2D34A" w:rsidR="00C04029" w:rsidRPr="00C04029" w:rsidRDefault="00C04029" w:rsidP="00831A2A">
      <w:pPr>
        <w:spacing w:before="240"/>
        <w:rPr>
          <w:rFonts w:eastAsia="Times New Roman"/>
          <w:b/>
          <w:bCs/>
          <w:sz w:val="20"/>
          <w:lang w:val="en-US" w:eastAsia="pt-BR"/>
        </w:rPr>
      </w:pPr>
      <w:r w:rsidRPr="00C04029">
        <w:rPr>
          <w:rFonts w:eastAsia="Times New Roman"/>
          <w:b/>
          <w:bCs/>
          <w:sz w:val="20"/>
          <w:lang w:val="en-US" w:eastAsia="pt-BR"/>
        </w:rPr>
        <w:t>* 2005 values</w:t>
      </w:r>
    </w:p>
    <w:p w14:paraId="5806A71D" w14:textId="77777777" w:rsidR="00C04029" w:rsidRPr="00C04029" w:rsidRDefault="00C04029" w:rsidP="00831A2A">
      <w:pPr>
        <w:spacing w:before="240"/>
        <w:rPr>
          <w:rFonts w:eastAsia="Times New Roman"/>
          <w:b/>
          <w:bCs/>
          <w:sz w:val="20"/>
          <w:lang w:val="en-US" w:eastAsia="pt-BR"/>
        </w:rPr>
      </w:pPr>
    </w:p>
    <w:p w14:paraId="1245F44E" w14:textId="77777777" w:rsidR="00C04029" w:rsidRPr="00C04029" w:rsidRDefault="00C04029" w:rsidP="00831A2A">
      <w:pPr>
        <w:spacing w:before="240"/>
        <w:rPr>
          <w:rFonts w:eastAsia="Times New Roman"/>
          <w:b/>
          <w:bCs/>
          <w:sz w:val="20"/>
          <w:lang w:val="en-US" w:eastAsia="pt-BR"/>
        </w:rPr>
      </w:pPr>
    </w:p>
    <w:p w14:paraId="20BA15FA" w14:textId="77777777" w:rsidR="00C04029" w:rsidRPr="00C04029" w:rsidRDefault="00C04029" w:rsidP="00831A2A">
      <w:pPr>
        <w:spacing w:before="240"/>
        <w:rPr>
          <w:rFonts w:eastAsia="Times New Roman"/>
          <w:b/>
          <w:bCs/>
          <w:sz w:val="20"/>
          <w:lang w:val="en-US" w:eastAsia="pt-BR"/>
        </w:rPr>
      </w:pPr>
    </w:p>
    <w:p w14:paraId="1DE9CFCB" w14:textId="77777777" w:rsidR="00C04029" w:rsidRPr="00C04029" w:rsidRDefault="00C04029" w:rsidP="00831A2A">
      <w:pPr>
        <w:spacing w:before="240"/>
        <w:rPr>
          <w:rFonts w:eastAsia="Times New Roman"/>
          <w:b/>
          <w:bCs/>
          <w:sz w:val="20"/>
          <w:lang w:val="en-US" w:eastAsia="pt-BR"/>
        </w:rPr>
      </w:pPr>
    </w:p>
    <w:tbl>
      <w:tblPr>
        <w:tblW w:w="0" w:type="auto"/>
        <w:tblInd w:w="93" w:type="dxa"/>
        <w:tblLook w:val="04A0" w:firstRow="1" w:lastRow="0" w:firstColumn="1" w:lastColumn="0" w:noHBand="0" w:noVBand="1"/>
      </w:tblPr>
      <w:tblGrid>
        <w:gridCol w:w="3332"/>
        <w:gridCol w:w="968"/>
        <w:gridCol w:w="968"/>
        <w:gridCol w:w="968"/>
        <w:gridCol w:w="968"/>
        <w:gridCol w:w="968"/>
        <w:gridCol w:w="968"/>
        <w:gridCol w:w="968"/>
        <w:gridCol w:w="968"/>
      </w:tblGrid>
      <w:tr w:rsidR="00C04029" w:rsidRPr="009728FB" w14:paraId="42BBBE4C" w14:textId="77777777" w:rsidTr="00C04029">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84AD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lastRenderedPageBreak/>
              <w:t>Discounted Cash flows and NOPAT - Continuous Livestock system - USD/hectare</w:t>
            </w:r>
          </w:p>
        </w:tc>
      </w:tr>
      <w:tr w:rsidR="00C04029" w:rsidRPr="00C04029" w14:paraId="59A86EF9"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80392F"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1E962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2005</w:t>
            </w:r>
          </w:p>
        </w:tc>
        <w:tc>
          <w:tcPr>
            <w:tcW w:w="0" w:type="auto"/>
            <w:tcBorders>
              <w:top w:val="nil"/>
              <w:left w:val="nil"/>
              <w:bottom w:val="single" w:sz="4" w:space="0" w:color="auto"/>
              <w:right w:val="single" w:sz="4" w:space="0" w:color="auto"/>
            </w:tcBorders>
            <w:shd w:val="clear" w:color="auto" w:fill="auto"/>
            <w:noWrap/>
            <w:vAlign w:val="center"/>
            <w:hideMark/>
          </w:tcPr>
          <w:p w14:paraId="2973BE2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2006</w:t>
            </w:r>
          </w:p>
        </w:tc>
        <w:tc>
          <w:tcPr>
            <w:tcW w:w="0" w:type="auto"/>
            <w:tcBorders>
              <w:top w:val="nil"/>
              <w:left w:val="nil"/>
              <w:bottom w:val="single" w:sz="4" w:space="0" w:color="auto"/>
              <w:right w:val="single" w:sz="4" w:space="0" w:color="auto"/>
            </w:tcBorders>
            <w:shd w:val="clear" w:color="auto" w:fill="auto"/>
            <w:noWrap/>
            <w:vAlign w:val="center"/>
            <w:hideMark/>
          </w:tcPr>
          <w:p w14:paraId="5852791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2007</w:t>
            </w:r>
          </w:p>
        </w:tc>
        <w:tc>
          <w:tcPr>
            <w:tcW w:w="0" w:type="auto"/>
            <w:tcBorders>
              <w:top w:val="nil"/>
              <w:left w:val="nil"/>
              <w:bottom w:val="single" w:sz="4" w:space="0" w:color="auto"/>
              <w:right w:val="single" w:sz="4" w:space="0" w:color="auto"/>
            </w:tcBorders>
            <w:shd w:val="clear" w:color="auto" w:fill="auto"/>
            <w:noWrap/>
            <w:vAlign w:val="center"/>
            <w:hideMark/>
          </w:tcPr>
          <w:p w14:paraId="6EFB630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2008</w:t>
            </w:r>
          </w:p>
        </w:tc>
        <w:tc>
          <w:tcPr>
            <w:tcW w:w="0" w:type="auto"/>
            <w:tcBorders>
              <w:top w:val="nil"/>
              <w:left w:val="nil"/>
              <w:bottom w:val="single" w:sz="4" w:space="0" w:color="auto"/>
              <w:right w:val="single" w:sz="4" w:space="0" w:color="auto"/>
            </w:tcBorders>
            <w:shd w:val="clear" w:color="auto" w:fill="auto"/>
            <w:noWrap/>
            <w:vAlign w:val="center"/>
            <w:hideMark/>
          </w:tcPr>
          <w:p w14:paraId="3D130C4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2009</w:t>
            </w:r>
          </w:p>
        </w:tc>
        <w:tc>
          <w:tcPr>
            <w:tcW w:w="0" w:type="auto"/>
            <w:tcBorders>
              <w:top w:val="nil"/>
              <w:left w:val="nil"/>
              <w:bottom w:val="single" w:sz="4" w:space="0" w:color="auto"/>
              <w:right w:val="single" w:sz="4" w:space="0" w:color="auto"/>
            </w:tcBorders>
            <w:shd w:val="clear" w:color="auto" w:fill="auto"/>
            <w:noWrap/>
            <w:vAlign w:val="center"/>
            <w:hideMark/>
          </w:tcPr>
          <w:p w14:paraId="1ECB396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2010</w:t>
            </w:r>
          </w:p>
        </w:tc>
        <w:tc>
          <w:tcPr>
            <w:tcW w:w="0" w:type="auto"/>
            <w:tcBorders>
              <w:top w:val="nil"/>
              <w:left w:val="nil"/>
              <w:bottom w:val="single" w:sz="4" w:space="0" w:color="auto"/>
              <w:right w:val="single" w:sz="4" w:space="0" w:color="auto"/>
            </w:tcBorders>
            <w:shd w:val="clear" w:color="auto" w:fill="auto"/>
            <w:noWrap/>
            <w:vAlign w:val="center"/>
            <w:hideMark/>
          </w:tcPr>
          <w:p w14:paraId="7565883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2011</w:t>
            </w:r>
          </w:p>
        </w:tc>
        <w:tc>
          <w:tcPr>
            <w:tcW w:w="0" w:type="auto"/>
            <w:tcBorders>
              <w:top w:val="nil"/>
              <w:left w:val="nil"/>
              <w:bottom w:val="single" w:sz="4" w:space="0" w:color="auto"/>
              <w:right w:val="single" w:sz="4" w:space="0" w:color="auto"/>
            </w:tcBorders>
            <w:shd w:val="clear" w:color="auto" w:fill="auto"/>
            <w:noWrap/>
            <w:vAlign w:val="bottom"/>
            <w:hideMark/>
          </w:tcPr>
          <w:p w14:paraId="5328A75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2012</w:t>
            </w:r>
          </w:p>
        </w:tc>
      </w:tr>
      <w:tr w:rsidR="00C04029" w:rsidRPr="00C04029" w14:paraId="636DE70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63367"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1DED44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C837EA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9F20C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2B9C7D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34508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E01570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475870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BCA1AA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5489823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445694"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Revenue</w:t>
            </w:r>
          </w:p>
        </w:tc>
        <w:tc>
          <w:tcPr>
            <w:tcW w:w="0" w:type="auto"/>
            <w:tcBorders>
              <w:top w:val="nil"/>
              <w:left w:val="nil"/>
              <w:bottom w:val="single" w:sz="4" w:space="0" w:color="auto"/>
              <w:right w:val="single" w:sz="4" w:space="0" w:color="auto"/>
            </w:tcBorders>
            <w:shd w:val="clear" w:color="auto" w:fill="auto"/>
            <w:noWrap/>
            <w:vAlign w:val="center"/>
            <w:hideMark/>
          </w:tcPr>
          <w:p w14:paraId="7ABA223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51C05A0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147.73 </w:t>
            </w:r>
          </w:p>
        </w:tc>
        <w:tc>
          <w:tcPr>
            <w:tcW w:w="0" w:type="auto"/>
            <w:tcBorders>
              <w:top w:val="nil"/>
              <w:left w:val="nil"/>
              <w:bottom w:val="single" w:sz="4" w:space="0" w:color="auto"/>
              <w:right w:val="single" w:sz="4" w:space="0" w:color="auto"/>
            </w:tcBorders>
            <w:shd w:val="clear" w:color="auto" w:fill="auto"/>
            <w:noWrap/>
            <w:vAlign w:val="center"/>
            <w:hideMark/>
          </w:tcPr>
          <w:p w14:paraId="5B4A662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166.28 </w:t>
            </w:r>
          </w:p>
        </w:tc>
        <w:tc>
          <w:tcPr>
            <w:tcW w:w="0" w:type="auto"/>
            <w:tcBorders>
              <w:top w:val="nil"/>
              <w:left w:val="nil"/>
              <w:bottom w:val="single" w:sz="4" w:space="0" w:color="auto"/>
              <w:right w:val="single" w:sz="4" w:space="0" w:color="auto"/>
            </w:tcBorders>
            <w:shd w:val="clear" w:color="auto" w:fill="auto"/>
            <w:noWrap/>
            <w:vAlign w:val="center"/>
            <w:hideMark/>
          </w:tcPr>
          <w:p w14:paraId="503ECFE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195.46 </w:t>
            </w:r>
          </w:p>
        </w:tc>
        <w:tc>
          <w:tcPr>
            <w:tcW w:w="0" w:type="auto"/>
            <w:tcBorders>
              <w:top w:val="nil"/>
              <w:left w:val="nil"/>
              <w:bottom w:val="single" w:sz="4" w:space="0" w:color="auto"/>
              <w:right w:val="single" w:sz="4" w:space="0" w:color="auto"/>
            </w:tcBorders>
            <w:shd w:val="clear" w:color="auto" w:fill="auto"/>
            <w:noWrap/>
            <w:vAlign w:val="center"/>
            <w:hideMark/>
          </w:tcPr>
          <w:p w14:paraId="14BB691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156.34 </w:t>
            </w:r>
          </w:p>
        </w:tc>
        <w:tc>
          <w:tcPr>
            <w:tcW w:w="0" w:type="auto"/>
            <w:tcBorders>
              <w:top w:val="nil"/>
              <w:left w:val="nil"/>
              <w:bottom w:val="single" w:sz="4" w:space="0" w:color="auto"/>
              <w:right w:val="single" w:sz="4" w:space="0" w:color="auto"/>
            </w:tcBorders>
            <w:shd w:val="clear" w:color="auto" w:fill="auto"/>
            <w:noWrap/>
            <w:vAlign w:val="center"/>
            <w:hideMark/>
          </w:tcPr>
          <w:p w14:paraId="74BADDA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194.51 </w:t>
            </w:r>
          </w:p>
        </w:tc>
        <w:tc>
          <w:tcPr>
            <w:tcW w:w="0" w:type="auto"/>
            <w:tcBorders>
              <w:top w:val="nil"/>
              <w:left w:val="nil"/>
              <w:bottom w:val="single" w:sz="4" w:space="0" w:color="auto"/>
              <w:right w:val="single" w:sz="4" w:space="0" w:color="auto"/>
            </w:tcBorders>
            <w:shd w:val="clear" w:color="auto" w:fill="auto"/>
            <w:noWrap/>
            <w:vAlign w:val="center"/>
            <w:hideMark/>
          </w:tcPr>
          <w:p w14:paraId="3FD67B7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236.54 </w:t>
            </w:r>
          </w:p>
        </w:tc>
        <w:tc>
          <w:tcPr>
            <w:tcW w:w="0" w:type="auto"/>
            <w:tcBorders>
              <w:top w:val="nil"/>
              <w:left w:val="nil"/>
              <w:bottom w:val="single" w:sz="4" w:space="0" w:color="auto"/>
              <w:right w:val="single" w:sz="4" w:space="0" w:color="auto"/>
            </w:tcBorders>
            <w:shd w:val="clear" w:color="auto" w:fill="auto"/>
            <w:noWrap/>
            <w:vAlign w:val="center"/>
            <w:hideMark/>
          </w:tcPr>
          <w:p w14:paraId="224BE47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182.01 </w:t>
            </w:r>
          </w:p>
        </w:tc>
      </w:tr>
      <w:tr w:rsidR="00C04029" w:rsidRPr="00C04029" w14:paraId="6881682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54C2DB" w14:textId="77777777" w:rsidR="00C04029" w:rsidRPr="00C04029" w:rsidRDefault="00C04029" w:rsidP="00C04029">
            <w:pPr>
              <w:spacing w:after="0" w:line="240" w:lineRule="auto"/>
              <w:rPr>
                <w:rFonts w:eastAsia="Times New Roman"/>
                <w:lang w:val="en-US"/>
              </w:rPr>
            </w:pPr>
            <w:r w:rsidRPr="00C04029">
              <w:rPr>
                <w:rFonts w:eastAsia="Times New Roman"/>
                <w:lang w:val="en-US"/>
              </w:rPr>
              <w:t>Sales Taxes (-)</w:t>
            </w:r>
          </w:p>
        </w:tc>
        <w:tc>
          <w:tcPr>
            <w:tcW w:w="0" w:type="auto"/>
            <w:tcBorders>
              <w:top w:val="nil"/>
              <w:left w:val="nil"/>
              <w:bottom w:val="single" w:sz="4" w:space="0" w:color="auto"/>
              <w:right w:val="single" w:sz="4" w:space="0" w:color="auto"/>
            </w:tcBorders>
            <w:shd w:val="clear" w:color="auto" w:fill="auto"/>
            <w:noWrap/>
            <w:vAlign w:val="center"/>
            <w:hideMark/>
          </w:tcPr>
          <w:p w14:paraId="60C42DB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611A9D5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1.99 </w:t>
            </w:r>
          </w:p>
        </w:tc>
        <w:tc>
          <w:tcPr>
            <w:tcW w:w="0" w:type="auto"/>
            <w:tcBorders>
              <w:top w:val="nil"/>
              <w:left w:val="nil"/>
              <w:bottom w:val="single" w:sz="4" w:space="0" w:color="auto"/>
              <w:right w:val="single" w:sz="4" w:space="0" w:color="auto"/>
            </w:tcBorders>
            <w:shd w:val="clear" w:color="auto" w:fill="auto"/>
            <w:noWrap/>
            <w:vAlign w:val="center"/>
            <w:hideMark/>
          </w:tcPr>
          <w:p w14:paraId="551421D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2.24 </w:t>
            </w:r>
          </w:p>
        </w:tc>
        <w:tc>
          <w:tcPr>
            <w:tcW w:w="0" w:type="auto"/>
            <w:tcBorders>
              <w:top w:val="nil"/>
              <w:left w:val="nil"/>
              <w:bottom w:val="single" w:sz="4" w:space="0" w:color="auto"/>
              <w:right w:val="single" w:sz="4" w:space="0" w:color="auto"/>
            </w:tcBorders>
            <w:shd w:val="clear" w:color="auto" w:fill="auto"/>
            <w:noWrap/>
            <w:vAlign w:val="center"/>
            <w:hideMark/>
          </w:tcPr>
          <w:p w14:paraId="00626D1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2.37 </w:t>
            </w:r>
          </w:p>
        </w:tc>
        <w:tc>
          <w:tcPr>
            <w:tcW w:w="0" w:type="auto"/>
            <w:tcBorders>
              <w:top w:val="nil"/>
              <w:left w:val="nil"/>
              <w:bottom w:val="single" w:sz="4" w:space="0" w:color="auto"/>
              <w:right w:val="single" w:sz="4" w:space="0" w:color="auto"/>
            </w:tcBorders>
            <w:shd w:val="clear" w:color="auto" w:fill="auto"/>
            <w:noWrap/>
            <w:vAlign w:val="center"/>
            <w:hideMark/>
          </w:tcPr>
          <w:p w14:paraId="5B0042E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2.19 </w:t>
            </w:r>
          </w:p>
        </w:tc>
        <w:tc>
          <w:tcPr>
            <w:tcW w:w="0" w:type="auto"/>
            <w:tcBorders>
              <w:top w:val="nil"/>
              <w:left w:val="nil"/>
              <w:bottom w:val="single" w:sz="4" w:space="0" w:color="auto"/>
              <w:right w:val="single" w:sz="4" w:space="0" w:color="auto"/>
            </w:tcBorders>
            <w:shd w:val="clear" w:color="auto" w:fill="auto"/>
            <w:noWrap/>
            <w:vAlign w:val="center"/>
            <w:hideMark/>
          </w:tcPr>
          <w:p w14:paraId="34147F0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2.47 </w:t>
            </w:r>
          </w:p>
        </w:tc>
        <w:tc>
          <w:tcPr>
            <w:tcW w:w="0" w:type="auto"/>
            <w:tcBorders>
              <w:top w:val="nil"/>
              <w:left w:val="nil"/>
              <w:bottom w:val="single" w:sz="4" w:space="0" w:color="auto"/>
              <w:right w:val="single" w:sz="4" w:space="0" w:color="auto"/>
            </w:tcBorders>
            <w:shd w:val="clear" w:color="auto" w:fill="auto"/>
            <w:noWrap/>
            <w:vAlign w:val="center"/>
            <w:hideMark/>
          </w:tcPr>
          <w:p w14:paraId="115AEEB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2.57 </w:t>
            </w:r>
          </w:p>
        </w:tc>
        <w:tc>
          <w:tcPr>
            <w:tcW w:w="0" w:type="auto"/>
            <w:tcBorders>
              <w:top w:val="nil"/>
              <w:left w:val="nil"/>
              <w:bottom w:val="single" w:sz="4" w:space="0" w:color="auto"/>
              <w:right w:val="single" w:sz="4" w:space="0" w:color="auto"/>
            </w:tcBorders>
            <w:shd w:val="clear" w:color="auto" w:fill="auto"/>
            <w:noWrap/>
            <w:vAlign w:val="center"/>
            <w:hideMark/>
          </w:tcPr>
          <w:p w14:paraId="68859A6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2.19 </w:t>
            </w:r>
          </w:p>
        </w:tc>
      </w:tr>
      <w:tr w:rsidR="00C04029" w:rsidRPr="00C04029" w14:paraId="7B398195"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4F72F"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Revenue (+)</w:t>
            </w:r>
          </w:p>
        </w:tc>
        <w:tc>
          <w:tcPr>
            <w:tcW w:w="0" w:type="auto"/>
            <w:tcBorders>
              <w:top w:val="nil"/>
              <w:left w:val="nil"/>
              <w:bottom w:val="single" w:sz="4" w:space="0" w:color="auto"/>
              <w:right w:val="single" w:sz="4" w:space="0" w:color="auto"/>
            </w:tcBorders>
            <w:shd w:val="clear" w:color="auto" w:fill="auto"/>
            <w:noWrap/>
            <w:vAlign w:val="center"/>
            <w:hideMark/>
          </w:tcPr>
          <w:p w14:paraId="530B923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7DF49D5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145.74 </w:t>
            </w:r>
          </w:p>
        </w:tc>
        <w:tc>
          <w:tcPr>
            <w:tcW w:w="0" w:type="auto"/>
            <w:tcBorders>
              <w:top w:val="nil"/>
              <w:left w:val="nil"/>
              <w:bottom w:val="single" w:sz="4" w:space="0" w:color="auto"/>
              <w:right w:val="single" w:sz="4" w:space="0" w:color="auto"/>
            </w:tcBorders>
            <w:shd w:val="clear" w:color="auto" w:fill="auto"/>
            <w:noWrap/>
            <w:vAlign w:val="center"/>
            <w:hideMark/>
          </w:tcPr>
          <w:p w14:paraId="2C452B9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164.03 </w:t>
            </w:r>
          </w:p>
        </w:tc>
        <w:tc>
          <w:tcPr>
            <w:tcW w:w="0" w:type="auto"/>
            <w:tcBorders>
              <w:top w:val="nil"/>
              <w:left w:val="nil"/>
              <w:bottom w:val="single" w:sz="4" w:space="0" w:color="auto"/>
              <w:right w:val="single" w:sz="4" w:space="0" w:color="auto"/>
            </w:tcBorders>
            <w:shd w:val="clear" w:color="auto" w:fill="auto"/>
            <w:noWrap/>
            <w:vAlign w:val="center"/>
            <w:hideMark/>
          </w:tcPr>
          <w:p w14:paraId="74A6D61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193.09 </w:t>
            </w:r>
          </w:p>
        </w:tc>
        <w:tc>
          <w:tcPr>
            <w:tcW w:w="0" w:type="auto"/>
            <w:tcBorders>
              <w:top w:val="nil"/>
              <w:left w:val="nil"/>
              <w:bottom w:val="single" w:sz="4" w:space="0" w:color="auto"/>
              <w:right w:val="single" w:sz="4" w:space="0" w:color="auto"/>
            </w:tcBorders>
            <w:shd w:val="clear" w:color="auto" w:fill="auto"/>
            <w:noWrap/>
            <w:vAlign w:val="center"/>
            <w:hideMark/>
          </w:tcPr>
          <w:p w14:paraId="3F6F0E3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154.15 </w:t>
            </w:r>
          </w:p>
        </w:tc>
        <w:tc>
          <w:tcPr>
            <w:tcW w:w="0" w:type="auto"/>
            <w:tcBorders>
              <w:top w:val="nil"/>
              <w:left w:val="nil"/>
              <w:bottom w:val="single" w:sz="4" w:space="0" w:color="auto"/>
              <w:right w:val="single" w:sz="4" w:space="0" w:color="auto"/>
            </w:tcBorders>
            <w:shd w:val="clear" w:color="auto" w:fill="auto"/>
            <w:noWrap/>
            <w:vAlign w:val="center"/>
            <w:hideMark/>
          </w:tcPr>
          <w:p w14:paraId="228104C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192.04 </w:t>
            </w:r>
          </w:p>
        </w:tc>
        <w:tc>
          <w:tcPr>
            <w:tcW w:w="0" w:type="auto"/>
            <w:tcBorders>
              <w:top w:val="nil"/>
              <w:left w:val="nil"/>
              <w:bottom w:val="single" w:sz="4" w:space="0" w:color="auto"/>
              <w:right w:val="single" w:sz="4" w:space="0" w:color="auto"/>
            </w:tcBorders>
            <w:shd w:val="clear" w:color="auto" w:fill="auto"/>
            <w:noWrap/>
            <w:vAlign w:val="center"/>
            <w:hideMark/>
          </w:tcPr>
          <w:p w14:paraId="4AA069D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233.98 </w:t>
            </w:r>
          </w:p>
        </w:tc>
        <w:tc>
          <w:tcPr>
            <w:tcW w:w="0" w:type="auto"/>
            <w:tcBorders>
              <w:top w:val="nil"/>
              <w:left w:val="nil"/>
              <w:bottom w:val="single" w:sz="4" w:space="0" w:color="auto"/>
              <w:right w:val="single" w:sz="4" w:space="0" w:color="auto"/>
            </w:tcBorders>
            <w:shd w:val="clear" w:color="auto" w:fill="auto"/>
            <w:noWrap/>
            <w:vAlign w:val="center"/>
            <w:hideMark/>
          </w:tcPr>
          <w:p w14:paraId="0708E4A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179.82 </w:t>
            </w:r>
          </w:p>
        </w:tc>
      </w:tr>
      <w:tr w:rsidR="00C04029" w:rsidRPr="00C04029" w14:paraId="09C439C5"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2D2EEE" w14:textId="77777777" w:rsidR="00C04029" w:rsidRPr="00C04029" w:rsidRDefault="00C04029" w:rsidP="00C04029">
            <w:pPr>
              <w:spacing w:after="0" w:line="240" w:lineRule="auto"/>
              <w:rPr>
                <w:rFonts w:eastAsia="Times New Roman"/>
                <w:lang w:val="en-US"/>
              </w:rPr>
            </w:pPr>
            <w:r w:rsidRPr="00C04029">
              <w:rPr>
                <w:rFonts w:eastAsia="Times New Roman"/>
                <w:lang w:val="en-US"/>
              </w:rPr>
              <w:t>Production Cost (-)</w:t>
            </w:r>
          </w:p>
        </w:tc>
        <w:tc>
          <w:tcPr>
            <w:tcW w:w="0" w:type="auto"/>
            <w:tcBorders>
              <w:top w:val="nil"/>
              <w:left w:val="nil"/>
              <w:bottom w:val="single" w:sz="4" w:space="0" w:color="auto"/>
              <w:right w:val="single" w:sz="4" w:space="0" w:color="auto"/>
            </w:tcBorders>
            <w:shd w:val="clear" w:color="auto" w:fill="auto"/>
            <w:noWrap/>
            <w:vAlign w:val="center"/>
            <w:hideMark/>
          </w:tcPr>
          <w:p w14:paraId="286E5FC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2D5CACF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(100.16)</w:t>
            </w:r>
          </w:p>
        </w:tc>
        <w:tc>
          <w:tcPr>
            <w:tcW w:w="0" w:type="auto"/>
            <w:tcBorders>
              <w:top w:val="nil"/>
              <w:left w:val="nil"/>
              <w:bottom w:val="single" w:sz="4" w:space="0" w:color="auto"/>
              <w:right w:val="single" w:sz="4" w:space="0" w:color="auto"/>
            </w:tcBorders>
            <w:shd w:val="clear" w:color="auto" w:fill="auto"/>
            <w:noWrap/>
            <w:vAlign w:val="center"/>
            <w:hideMark/>
          </w:tcPr>
          <w:p w14:paraId="5764FDA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(112.73)</w:t>
            </w:r>
          </w:p>
        </w:tc>
        <w:tc>
          <w:tcPr>
            <w:tcW w:w="0" w:type="auto"/>
            <w:tcBorders>
              <w:top w:val="nil"/>
              <w:left w:val="nil"/>
              <w:bottom w:val="single" w:sz="4" w:space="0" w:color="auto"/>
              <w:right w:val="single" w:sz="4" w:space="0" w:color="auto"/>
            </w:tcBorders>
            <w:shd w:val="clear" w:color="auto" w:fill="auto"/>
            <w:noWrap/>
            <w:vAlign w:val="center"/>
            <w:hideMark/>
          </w:tcPr>
          <w:p w14:paraId="58642C7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(119.02)</w:t>
            </w:r>
          </w:p>
        </w:tc>
        <w:tc>
          <w:tcPr>
            <w:tcW w:w="0" w:type="auto"/>
            <w:tcBorders>
              <w:top w:val="nil"/>
              <w:left w:val="nil"/>
              <w:bottom w:val="single" w:sz="4" w:space="0" w:color="auto"/>
              <w:right w:val="single" w:sz="4" w:space="0" w:color="auto"/>
            </w:tcBorders>
            <w:shd w:val="clear" w:color="auto" w:fill="auto"/>
            <w:noWrap/>
            <w:vAlign w:val="center"/>
            <w:hideMark/>
          </w:tcPr>
          <w:p w14:paraId="160B871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(110.26)</w:t>
            </w:r>
          </w:p>
        </w:tc>
        <w:tc>
          <w:tcPr>
            <w:tcW w:w="0" w:type="auto"/>
            <w:tcBorders>
              <w:top w:val="nil"/>
              <w:left w:val="nil"/>
              <w:bottom w:val="single" w:sz="4" w:space="0" w:color="auto"/>
              <w:right w:val="single" w:sz="4" w:space="0" w:color="auto"/>
            </w:tcBorders>
            <w:shd w:val="clear" w:color="auto" w:fill="auto"/>
            <w:noWrap/>
            <w:vAlign w:val="center"/>
            <w:hideMark/>
          </w:tcPr>
          <w:p w14:paraId="53492782"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(124.26)</w:t>
            </w:r>
          </w:p>
        </w:tc>
        <w:tc>
          <w:tcPr>
            <w:tcW w:w="0" w:type="auto"/>
            <w:tcBorders>
              <w:top w:val="nil"/>
              <w:left w:val="nil"/>
              <w:bottom w:val="single" w:sz="4" w:space="0" w:color="auto"/>
              <w:right w:val="single" w:sz="4" w:space="0" w:color="auto"/>
            </w:tcBorders>
            <w:shd w:val="clear" w:color="auto" w:fill="auto"/>
            <w:noWrap/>
            <w:vAlign w:val="center"/>
            <w:hideMark/>
          </w:tcPr>
          <w:p w14:paraId="387D96F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(129.04)</w:t>
            </w:r>
          </w:p>
        </w:tc>
        <w:tc>
          <w:tcPr>
            <w:tcW w:w="0" w:type="auto"/>
            <w:tcBorders>
              <w:top w:val="nil"/>
              <w:left w:val="nil"/>
              <w:bottom w:val="single" w:sz="4" w:space="0" w:color="auto"/>
              <w:right w:val="single" w:sz="4" w:space="0" w:color="auto"/>
            </w:tcBorders>
            <w:shd w:val="clear" w:color="auto" w:fill="auto"/>
            <w:noWrap/>
            <w:vAlign w:val="center"/>
            <w:hideMark/>
          </w:tcPr>
          <w:p w14:paraId="451676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(110.05)</w:t>
            </w:r>
          </w:p>
        </w:tc>
      </w:tr>
      <w:tr w:rsidR="00C04029" w:rsidRPr="00C04029" w14:paraId="40B15F60"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E8E1FB"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Gross Profit</w:t>
            </w:r>
          </w:p>
        </w:tc>
        <w:tc>
          <w:tcPr>
            <w:tcW w:w="0" w:type="auto"/>
            <w:tcBorders>
              <w:top w:val="nil"/>
              <w:left w:val="nil"/>
              <w:bottom w:val="single" w:sz="4" w:space="0" w:color="auto"/>
              <w:right w:val="single" w:sz="4" w:space="0" w:color="auto"/>
            </w:tcBorders>
            <w:shd w:val="clear" w:color="auto" w:fill="auto"/>
            <w:noWrap/>
            <w:vAlign w:val="center"/>
            <w:hideMark/>
          </w:tcPr>
          <w:p w14:paraId="4C32227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3A61FA1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45.59 </w:t>
            </w:r>
          </w:p>
        </w:tc>
        <w:tc>
          <w:tcPr>
            <w:tcW w:w="0" w:type="auto"/>
            <w:tcBorders>
              <w:top w:val="nil"/>
              <w:left w:val="nil"/>
              <w:bottom w:val="single" w:sz="4" w:space="0" w:color="auto"/>
              <w:right w:val="single" w:sz="4" w:space="0" w:color="auto"/>
            </w:tcBorders>
            <w:shd w:val="clear" w:color="auto" w:fill="auto"/>
            <w:noWrap/>
            <w:vAlign w:val="center"/>
            <w:hideMark/>
          </w:tcPr>
          <w:p w14:paraId="5BC5092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51.31 </w:t>
            </w:r>
          </w:p>
        </w:tc>
        <w:tc>
          <w:tcPr>
            <w:tcW w:w="0" w:type="auto"/>
            <w:tcBorders>
              <w:top w:val="nil"/>
              <w:left w:val="nil"/>
              <w:bottom w:val="single" w:sz="4" w:space="0" w:color="auto"/>
              <w:right w:val="single" w:sz="4" w:space="0" w:color="auto"/>
            </w:tcBorders>
            <w:shd w:val="clear" w:color="auto" w:fill="auto"/>
            <w:noWrap/>
            <w:vAlign w:val="center"/>
            <w:hideMark/>
          </w:tcPr>
          <w:p w14:paraId="30FDA04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74.07 </w:t>
            </w:r>
          </w:p>
        </w:tc>
        <w:tc>
          <w:tcPr>
            <w:tcW w:w="0" w:type="auto"/>
            <w:tcBorders>
              <w:top w:val="nil"/>
              <w:left w:val="nil"/>
              <w:bottom w:val="single" w:sz="4" w:space="0" w:color="auto"/>
              <w:right w:val="single" w:sz="4" w:space="0" w:color="auto"/>
            </w:tcBorders>
            <w:shd w:val="clear" w:color="auto" w:fill="auto"/>
            <w:noWrap/>
            <w:vAlign w:val="center"/>
            <w:hideMark/>
          </w:tcPr>
          <w:p w14:paraId="0CFA554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43.88 </w:t>
            </w:r>
          </w:p>
        </w:tc>
        <w:tc>
          <w:tcPr>
            <w:tcW w:w="0" w:type="auto"/>
            <w:tcBorders>
              <w:top w:val="nil"/>
              <w:left w:val="nil"/>
              <w:bottom w:val="single" w:sz="4" w:space="0" w:color="auto"/>
              <w:right w:val="single" w:sz="4" w:space="0" w:color="auto"/>
            </w:tcBorders>
            <w:shd w:val="clear" w:color="auto" w:fill="auto"/>
            <w:noWrap/>
            <w:vAlign w:val="center"/>
            <w:hideMark/>
          </w:tcPr>
          <w:p w14:paraId="7AA55E7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67.78 </w:t>
            </w:r>
          </w:p>
        </w:tc>
        <w:tc>
          <w:tcPr>
            <w:tcW w:w="0" w:type="auto"/>
            <w:tcBorders>
              <w:top w:val="nil"/>
              <w:left w:val="nil"/>
              <w:bottom w:val="single" w:sz="4" w:space="0" w:color="auto"/>
              <w:right w:val="single" w:sz="4" w:space="0" w:color="auto"/>
            </w:tcBorders>
            <w:shd w:val="clear" w:color="auto" w:fill="auto"/>
            <w:noWrap/>
            <w:vAlign w:val="center"/>
            <w:hideMark/>
          </w:tcPr>
          <w:p w14:paraId="352558B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104.94 </w:t>
            </w:r>
          </w:p>
        </w:tc>
        <w:tc>
          <w:tcPr>
            <w:tcW w:w="0" w:type="auto"/>
            <w:tcBorders>
              <w:top w:val="nil"/>
              <w:left w:val="nil"/>
              <w:bottom w:val="single" w:sz="4" w:space="0" w:color="auto"/>
              <w:right w:val="single" w:sz="4" w:space="0" w:color="auto"/>
            </w:tcBorders>
            <w:shd w:val="clear" w:color="auto" w:fill="auto"/>
            <w:noWrap/>
            <w:vAlign w:val="center"/>
            <w:hideMark/>
          </w:tcPr>
          <w:p w14:paraId="74C83BF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69.77 </w:t>
            </w:r>
          </w:p>
        </w:tc>
      </w:tr>
      <w:tr w:rsidR="00C04029" w:rsidRPr="00C04029" w14:paraId="75128D4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4CE3F" w14:textId="77777777" w:rsidR="00C04029" w:rsidRPr="00C04029" w:rsidRDefault="00C04029" w:rsidP="00C04029">
            <w:pPr>
              <w:spacing w:after="0" w:line="240" w:lineRule="auto"/>
              <w:rPr>
                <w:rFonts w:eastAsia="Times New Roman"/>
                <w:lang w:val="en-US"/>
              </w:rPr>
            </w:pPr>
            <w:r w:rsidRPr="00C04029">
              <w:rPr>
                <w:rFonts w:eastAsia="Times New Roman"/>
                <w:lang w:val="en-US"/>
              </w:rPr>
              <w:t>Operating expense (-)</w:t>
            </w:r>
          </w:p>
        </w:tc>
        <w:tc>
          <w:tcPr>
            <w:tcW w:w="0" w:type="auto"/>
            <w:tcBorders>
              <w:top w:val="nil"/>
              <w:left w:val="nil"/>
              <w:bottom w:val="single" w:sz="4" w:space="0" w:color="auto"/>
              <w:right w:val="single" w:sz="4" w:space="0" w:color="auto"/>
            </w:tcBorders>
            <w:shd w:val="clear" w:color="auto" w:fill="auto"/>
            <w:noWrap/>
            <w:vAlign w:val="center"/>
            <w:hideMark/>
          </w:tcPr>
          <w:p w14:paraId="2089481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4D9E6D5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(4.41)</w:t>
            </w:r>
          </w:p>
        </w:tc>
        <w:tc>
          <w:tcPr>
            <w:tcW w:w="0" w:type="auto"/>
            <w:tcBorders>
              <w:top w:val="nil"/>
              <w:left w:val="nil"/>
              <w:bottom w:val="single" w:sz="4" w:space="0" w:color="auto"/>
              <w:right w:val="single" w:sz="4" w:space="0" w:color="auto"/>
            </w:tcBorders>
            <w:shd w:val="clear" w:color="auto" w:fill="auto"/>
            <w:noWrap/>
            <w:vAlign w:val="center"/>
            <w:hideMark/>
          </w:tcPr>
          <w:p w14:paraId="51D5B98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(4.96)</w:t>
            </w:r>
          </w:p>
        </w:tc>
        <w:tc>
          <w:tcPr>
            <w:tcW w:w="0" w:type="auto"/>
            <w:tcBorders>
              <w:top w:val="nil"/>
              <w:left w:val="nil"/>
              <w:bottom w:val="single" w:sz="4" w:space="0" w:color="auto"/>
              <w:right w:val="single" w:sz="4" w:space="0" w:color="auto"/>
            </w:tcBorders>
            <w:shd w:val="clear" w:color="auto" w:fill="auto"/>
            <w:noWrap/>
            <w:vAlign w:val="center"/>
            <w:hideMark/>
          </w:tcPr>
          <w:p w14:paraId="0F3AA9B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(5.24)</w:t>
            </w:r>
          </w:p>
        </w:tc>
        <w:tc>
          <w:tcPr>
            <w:tcW w:w="0" w:type="auto"/>
            <w:tcBorders>
              <w:top w:val="nil"/>
              <w:left w:val="nil"/>
              <w:bottom w:val="single" w:sz="4" w:space="0" w:color="auto"/>
              <w:right w:val="single" w:sz="4" w:space="0" w:color="auto"/>
            </w:tcBorders>
            <w:shd w:val="clear" w:color="auto" w:fill="auto"/>
            <w:noWrap/>
            <w:vAlign w:val="center"/>
            <w:hideMark/>
          </w:tcPr>
          <w:p w14:paraId="588C894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(4.85)</w:t>
            </w:r>
          </w:p>
        </w:tc>
        <w:tc>
          <w:tcPr>
            <w:tcW w:w="0" w:type="auto"/>
            <w:tcBorders>
              <w:top w:val="nil"/>
              <w:left w:val="nil"/>
              <w:bottom w:val="single" w:sz="4" w:space="0" w:color="auto"/>
              <w:right w:val="single" w:sz="4" w:space="0" w:color="auto"/>
            </w:tcBorders>
            <w:shd w:val="clear" w:color="auto" w:fill="auto"/>
            <w:noWrap/>
            <w:vAlign w:val="center"/>
            <w:hideMark/>
          </w:tcPr>
          <w:p w14:paraId="227B0F1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(5.47)</w:t>
            </w:r>
          </w:p>
        </w:tc>
        <w:tc>
          <w:tcPr>
            <w:tcW w:w="0" w:type="auto"/>
            <w:tcBorders>
              <w:top w:val="nil"/>
              <w:left w:val="nil"/>
              <w:bottom w:val="single" w:sz="4" w:space="0" w:color="auto"/>
              <w:right w:val="single" w:sz="4" w:space="0" w:color="auto"/>
            </w:tcBorders>
            <w:shd w:val="clear" w:color="auto" w:fill="auto"/>
            <w:noWrap/>
            <w:vAlign w:val="center"/>
            <w:hideMark/>
          </w:tcPr>
          <w:p w14:paraId="65FE6B7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(5.68)</w:t>
            </w:r>
          </w:p>
        </w:tc>
        <w:tc>
          <w:tcPr>
            <w:tcW w:w="0" w:type="auto"/>
            <w:tcBorders>
              <w:top w:val="nil"/>
              <w:left w:val="nil"/>
              <w:bottom w:val="single" w:sz="4" w:space="0" w:color="auto"/>
              <w:right w:val="single" w:sz="4" w:space="0" w:color="auto"/>
            </w:tcBorders>
            <w:shd w:val="clear" w:color="auto" w:fill="auto"/>
            <w:noWrap/>
            <w:vAlign w:val="center"/>
            <w:hideMark/>
          </w:tcPr>
          <w:p w14:paraId="6C6EE34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(4.84)</w:t>
            </w:r>
          </w:p>
        </w:tc>
      </w:tr>
      <w:tr w:rsidR="00C04029" w:rsidRPr="00C04029" w14:paraId="01A2D6CC"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21516"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Profit (EBIT)</w:t>
            </w:r>
          </w:p>
        </w:tc>
        <w:tc>
          <w:tcPr>
            <w:tcW w:w="0" w:type="auto"/>
            <w:tcBorders>
              <w:top w:val="nil"/>
              <w:left w:val="nil"/>
              <w:bottom w:val="single" w:sz="4" w:space="0" w:color="auto"/>
              <w:right w:val="single" w:sz="4" w:space="0" w:color="auto"/>
            </w:tcBorders>
            <w:shd w:val="clear" w:color="auto" w:fill="auto"/>
            <w:noWrap/>
            <w:vAlign w:val="center"/>
            <w:hideMark/>
          </w:tcPr>
          <w:p w14:paraId="27AFCD6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1E689FAC"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41.18 </w:t>
            </w:r>
          </w:p>
        </w:tc>
        <w:tc>
          <w:tcPr>
            <w:tcW w:w="0" w:type="auto"/>
            <w:tcBorders>
              <w:top w:val="nil"/>
              <w:left w:val="nil"/>
              <w:bottom w:val="single" w:sz="4" w:space="0" w:color="auto"/>
              <w:right w:val="single" w:sz="4" w:space="0" w:color="auto"/>
            </w:tcBorders>
            <w:shd w:val="clear" w:color="auto" w:fill="auto"/>
            <w:noWrap/>
            <w:vAlign w:val="center"/>
            <w:hideMark/>
          </w:tcPr>
          <w:p w14:paraId="2EC2517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46.35 </w:t>
            </w:r>
          </w:p>
        </w:tc>
        <w:tc>
          <w:tcPr>
            <w:tcW w:w="0" w:type="auto"/>
            <w:tcBorders>
              <w:top w:val="nil"/>
              <w:left w:val="nil"/>
              <w:bottom w:val="single" w:sz="4" w:space="0" w:color="auto"/>
              <w:right w:val="single" w:sz="4" w:space="0" w:color="auto"/>
            </w:tcBorders>
            <w:shd w:val="clear" w:color="auto" w:fill="auto"/>
            <w:noWrap/>
            <w:vAlign w:val="center"/>
            <w:hideMark/>
          </w:tcPr>
          <w:p w14:paraId="6FBD179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68.84 </w:t>
            </w:r>
          </w:p>
        </w:tc>
        <w:tc>
          <w:tcPr>
            <w:tcW w:w="0" w:type="auto"/>
            <w:tcBorders>
              <w:top w:val="nil"/>
              <w:left w:val="nil"/>
              <w:bottom w:val="single" w:sz="4" w:space="0" w:color="auto"/>
              <w:right w:val="single" w:sz="4" w:space="0" w:color="auto"/>
            </w:tcBorders>
            <w:shd w:val="clear" w:color="auto" w:fill="auto"/>
            <w:noWrap/>
            <w:vAlign w:val="center"/>
            <w:hideMark/>
          </w:tcPr>
          <w:p w14:paraId="443F5E1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39.03 </w:t>
            </w:r>
          </w:p>
        </w:tc>
        <w:tc>
          <w:tcPr>
            <w:tcW w:w="0" w:type="auto"/>
            <w:tcBorders>
              <w:top w:val="nil"/>
              <w:left w:val="nil"/>
              <w:bottom w:val="single" w:sz="4" w:space="0" w:color="auto"/>
              <w:right w:val="single" w:sz="4" w:space="0" w:color="auto"/>
            </w:tcBorders>
            <w:shd w:val="clear" w:color="auto" w:fill="auto"/>
            <w:noWrap/>
            <w:vAlign w:val="center"/>
            <w:hideMark/>
          </w:tcPr>
          <w:p w14:paraId="4E08740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62.32 </w:t>
            </w:r>
          </w:p>
        </w:tc>
        <w:tc>
          <w:tcPr>
            <w:tcW w:w="0" w:type="auto"/>
            <w:tcBorders>
              <w:top w:val="nil"/>
              <w:left w:val="nil"/>
              <w:bottom w:val="single" w:sz="4" w:space="0" w:color="auto"/>
              <w:right w:val="single" w:sz="4" w:space="0" w:color="auto"/>
            </w:tcBorders>
            <w:shd w:val="clear" w:color="auto" w:fill="auto"/>
            <w:noWrap/>
            <w:vAlign w:val="center"/>
            <w:hideMark/>
          </w:tcPr>
          <w:p w14:paraId="3558708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99.27 </w:t>
            </w:r>
          </w:p>
        </w:tc>
        <w:tc>
          <w:tcPr>
            <w:tcW w:w="0" w:type="auto"/>
            <w:tcBorders>
              <w:top w:val="nil"/>
              <w:left w:val="nil"/>
              <w:bottom w:val="single" w:sz="4" w:space="0" w:color="auto"/>
              <w:right w:val="single" w:sz="4" w:space="0" w:color="auto"/>
            </w:tcBorders>
            <w:shd w:val="clear" w:color="auto" w:fill="auto"/>
            <w:noWrap/>
            <w:vAlign w:val="center"/>
            <w:hideMark/>
          </w:tcPr>
          <w:p w14:paraId="1CE1130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64.93 </w:t>
            </w:r>
          </w:p>
        </w:tc>
      </w:tr>
      <w:tr w:rsidR="00C04029" w:rsidRPr="00C04029" w14:paraId="703E8FED"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703E2" w14:textId="77777777" w:rsidR="00C04029" w:rsidRPr="00C04029" w:rsidRDefault="00C04029" w:rsidP="00C04029">
            <w:pPr>
              <w:spacing w:after="0" w:line="240" w:lineRule="auto"/>
              <w:rPr>
                <w:rFonts w:eastAsia="Times New Roman"/>
                <w:lang w:val="en-US"/>
              </w:rPr>
            </w:pPr>
            <w:r w:rsidRPr="00C04029">
              <w:rPr>
                <w:rFonts w:eastAsia="Times New Roman"/>
                <w:lang w:val="en-US"/>
              </w:rPr>
              <w:t>Income Tax(-)</w:t>
            </w:r>
          </w:p>
        </w:tc>
        <w:tc>
          <w:tcPr>
            <w:tcW w:w="0" w:type="auto"/>
            <w:tcBorders>
              <w:top w:val="nil"/>
              <w:left w:val="nil"/>
              <w:bottom w:val="single" w:sz="4" w:space="0" w:color="auto"/>
              <w:right w:val="single" w:sz="4" w:space="0" w:color="auto"/>
            </w:tcBorders>
            <w:shd w:val="clear" w:color="auto" w:fill="auto"/>
            <w:noWrap/>
            <w:vAlign w:val="center"/>
            <w:hideMark/>
          </w:tcPr>
          <w:p w14:paraId="10FCE2A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508FCEA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(11.32)</w:t>
            </w:r>
          </w:p>
        </w:tc>
        <w:tc>
          <w:tcPr>
            <w:tcW w:w="0" w:type="auto"/>
            <w:tcBorders>
              <w:top w:val="nil"/>
              <w:left w:val="nil"/>
              <w:bottom w:val="single" w:sz="4" w:space="0" w:color="auto"/>
              <w:right w:val="single" w:sz="4" w:space="0" w:color="auto"/>
            </w:tcBorders>
            <w:shd w:val="clear" w:color="auto" w:fill="auto"/>
            <w:noWrap/>
            <w:vAlign w:val="center"/>
            <w:hideMark/>
          </w:tcPr>
          <w:p w14:paraId="37F88A8E"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(12.75)</w:t>
            </w:r>
          </w:p>
        </w:tc>
        <w:tc>
          <w:tcPr>
            <w:tcW w:w="0" w:type="auto"/>
            <w:tcBorders>
              <w:top w:val="nil"/>
              <w:left w:val="nil"/>
              <w:bottom w:val="single" w:sz="4" w:space="0" w:color="auto"/>
              <w:right w:val="single" w:sz="4" w:space="0" w:color="auto"/>
            </w:tcBorders>
            <w:shd w:val="clear" w:color="auto" w:fill="auto"/>
            <w:noWrap/>
            <w:vAlign w:val="center"/>
            <w:hideMark/>
          </w:tcPr>
          <w:p w14:paraId="54E83CE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(18.93)</w:t>
            </w:r>
          </w:p>
        </w:tc>
        <w:tc>
          <w:tcPr>
            <w:tcW w:w="0" w:type="auto"/>
            <w:tcBorders>
              <w:top w:val="nil"/>
              <w:left w:val="nil"/>
              <w:bottom w:val="single" w:sz="4" w:space="0" w:color="auto"/>
              <w:right w:val="single" w:sz="4" w:space="0" w:color="auto"/>
            </w:tcBorders>
            <w:shd w:val="clear" w:color="auto" w:fill="auto"/>
            <w:noWrap/>
            <w:vAlign w:val="center"/>
            <w:hideMark/>
          </w:tcPr>
          <w:p w14:paraId="6C75698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(10.73)</w:t>
            </w:r>
          </w:p>
        </w:tc>
        <w:tc>
          <w:tcPr>
            <w:tcW w:w="0" w:type="auto"/>
            <w:tcBorders>
              <w:top w:val="nil"/>
              <w:left w:val="nil"/>
              <w:bottom w:val="single" w:sz="4" w:space="0" w:color="auto"/>
              <w:right w:val="single" w:sz="4" w:space="0" w:color="auto"/>
            </w:tcBorders>
            <w:shd w:val="clear" w:color="auto" w:fill="auto"/>
            <w:noWrap/>
            <w:vAlign w:val="center"/>
            <w:hideMark/>
          </w:tcPr>
          <w:p w14:paraId="6F5DF9F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(17.14)</w:t>
            </w:r>
          </w:p>
        </w:tc>
        <w:tc>
          <w:tcPr>
            <w:tcW w:w="0" w:type="auto"/>
            <w:tcBorders>
              <w:top w:val="nil"/>
              <w:left w:val="nil"/>
              <w:bottom w:val="single" w:sz="4" w:space="0" w:color="auto"/>
              <w:right w:val="single" w:sz="4" w:space="0" w:color="auto"/>
            </w:tcBorders>
            <w:shd w:val="clear" w:color="auto" w:fill="auto"/>
            <w:noWrap/>
            <w:vAlign w:val="center"/>
            <w:hideMark/>
          </w:tcPr>
          <w:p w14:paraId="034B731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(27.30)</w:t>
            </w:r>
          </w:p>
        </w:tc>
        <w:tc>
          <w:tcPr>
            <w:tcW w:w="0" w:type="auto"/>
            <w:tcBorders>
              <w:top w:val="nil"/>
              <w:left w:val="nil"/>
              <w:bottom w:val="single" w:sz="4" w:space="0" w:color="auto"/>
              <w:right w:val="single" w:sz="4" w:space="0" w:color="auto"/>
            </w:tcBorders>
            <w:shd w:val="clear" w:color="auto" w:fill="auto"/>
            <w:noWrap/>
            <w:vAlign w:val="center"/>
            <w:hideMark/>
          </w:tcPr>
          <w:p w14:paraId="008B04A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(17.86)</w:t>
            </w:r>
          </w:p>
        </w:tc>
      </w:tr>
      <w:tr w:rsidR="00C04029" w:rsidRPr="00C04029" w14:paraId="6659796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246157"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Net Operation Profit After Taxes</w:t>
            </w:r>
          </w:p>
        </w:tc>
        <w:tc>
          <w:tcPr>
            <w:tcW w:w="0" w:type="auto"/>
            <w:tcBorders>
              <w:top w:val="nil"/>
              <w:left w:val="nil"/>
              <w:bottom w:val="single" w:sz="4" w:space="0" w:color="auto"/>
              <w:right w:val="single" w:sz="4" w:space="0" w:color="auto"/>
            </w:tcBorders>
            <w:shd w:val="clear" w:color="auto" w:fill="auto"/>
            <w:noWrap/>
            <w:vAlign w:val="center"/>
            <w:hideMark/>
          </w:tcPr>
          <w:p w14:paraId="2DB722F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65C642B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29.86 </w:t>
            </w:r>
          </w:p>
        </w:tc>
        <w:tc>
          <w:tcPr>
            <w:tcW w:w="0" w:type="auto"/>
            <w:tcBorders>
              <w:top w:val="nil"/>
              <w:left w:val="nil"/>
              <w:bottom w:val="single" w:sz="4" w:space="0" w:color="auto"/>
              <w:right w:val="single" w:sz="4" w:space="0" w:color="auto"/>
            </w:tcBorders>
            <w:shd w:val="clear" w:color="auto" w:fill="auto"/>
            <w:noWrap/>
            <w:vAlign w:val="center"/>
            <w:hideMark/>
          </w:tcPr>
          <w:p w14:paraId="01F940AB"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33.60 </w:t>
            </w:r>
          </w:p>
        </w:tc>
        <w:tc>
          <w:tcPr>
            <w:tcW w:w="0" w:type="auto"/>
            <w:tcBorders>
              <w:top w:val="nil"/>
              <w:left w:val="nil"/>
              <w:bottom w:val="single" w:sz="4" w:space="0" w:color="auto"/>
              <w:right w:val="single" w:sz="4" w:space="0" w:color="auto"/>
            </w:tcBorders>
            <w:shd w:val="clear" w:color="auto" w:fill="auto"/>
            <w:noWrap/>
            <w:vAlign w:val="center"/>
            <w:hideMark/>
          </w:tcPr>
          <w:p w14:paraId="523294B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49.91 </w:t>
            </w:r>
          </w:p>
        </w:tc>
        <w:tc>
          <w:tcPr>
            <w:tcW w:w="0" w:type="auto"/>
            <w:tcBorders>
              <w:top w:val="nil"/>
              <w:left w:val="nil"/>
              <w:bottom w:val="single" w:sz="4" w:space="0" w:color="auto"/>
              <w:right w:val="single" w:sz="4" w:space="0" w:color="auto"/>
            </w:tcBorders>
            <w:shd w:val="clear" w:color="auto" w:fill="auto"/>
            <w:noWrap/>
            <w:vAlign w:val="center"/>
            <w:hideMark/>
          </w:tcPr>
          <w:p w14:paraId="7980445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28.30 </w:t>
            </w:r>
          </w:p>
        </w:tc>
        <w:tc>
          <w:tcPr>
            <w:tcW w:w="0" w:type="auto"/>
            <w:tcBorders>
              <w:top w:val="nil"/>
              <w:left w:val="nil"/>
              <w:bottom w:val="single" w:sz="4" w:space="0" w:color="auto"/>
              <w:right w:val="single" w:sz="4" w:space="0" w:color="auto"/>
            </w:tcBorders>
            <w:shd w:val="clear" w:color="auto" w:fill="auto"/>
            <w:noWrap/>
            <w:vAlign w:val="center"/>
            <w:hideMark/>
          </w:tcPr>
          <w:p w14:paraId="48C9B05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45.18 </w:t>
            </w:r>
          </w:p>
        </w:tc>
        <w:tc>
          <w:tcPr>
            <w:tcW w:w="0" w:type="auto"/>
            <w:tcBorders>
              <w:top w:val="nil"/>
              <w:left w:val="nil"/>
              <w:bottom w:val="single" w:sz="4" w:space="0" w:color="auto"/>
              <w:right w:val="single" w:sz="4" w:space="0" w:color="auto"/>
            </w:tcBorders>
            <w:shd w:val="clear" w:color="auto" w:fill="auto"/>
            <w:noWrap/>
            <w:vAlign w:val="center"/>
            <w:hideMark/>
          </w:tcPr>
          <w:p w14:paraId="7C7FD10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71.97 </w:t>
            </w:r>
          </w:p>
        </w:tc>
        <w:tc>
          <w:tcPr>
            <w:tcW w:w="0" w:type="auto"/>
            <w:tcBorders>
              <w:top w:val="nil"/>
              <w:left w:val="nil"/>
              <w:bottom w:val="single" w:sz="4" w:space="0" w:color="auto"/>
              <w:right w:val="single" w:sz="4" w:space="0" w:color="auto"/>
            </w:tcBorders>
            <w:shd w:val="clear" w:color="auto" w:fill="auto"/>
            <w:noWrap/>
            <w:vAlign w:val="center"/>
            <w:hideMark/>
          </w:tcPr>
          <w:p w14:paraId="4E81D87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47.07 </w:t>
            </w:r>
          </w:p>
        </w:tc>
      </w:tr>
      <w:tr w:rsidR="00C04029" w:rsidRPr="00C04029" w14:paraId="50D9BDE4"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929AFE" w14:textId="77777777" w:rsidR="00C04029" w:rsidRPr="00C04029" w:rsidRDefault="00C04029" w:rsidP="00C04029">
            <w:pPr>
              <w:spacing w:after="0" w:line="240" w:lineRule="auto"/>
              <w:rPr>
                <w:rFonts w:eastAsia="Times New Roman"/>
                <w:lang w:val="en-US"/>
              </w:rPr>
            </w:pPr>
            <w:r w:rsidRPr="00C04029">
              <w:rPr>
                <w:rFonts w:eastAsia="Times New Roman"/>
                <w:lang w:val="en-US"/>
              </w:rPr>
              <w:t>Depreciation (+)</w:t>
            </w:r>
          </w:p>
        </w:tc>
        <w:tc>
          <w:tcPr>
            <w:tcW w:w="0" w:type="auto"/>
            <w:tcBorders>
              <w:top w:val="nil"/>
              <w:left w:val="nil"/>
              <w:bottom w:val="single" w:sz="4" w:space="0" w:color="auto"/>
              <w:right w:val="single" w:sz="4" w:space="0" w:color="auto"/>
            </w:tcBorders>
            <w:shd w:val="clear" w:color="auto" w:fill="auto"/>
            <w:noWrap/>
            <w:vAlign w:val="center"/>
            <w:hideMark/>
          </w:tcPr>
          <w:p w14:paraId="4050B57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734DD8F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3.59 </w:t>
            </w:r>
          </w:p>
        </w:tc>
        <w:tc>
          <w:tcPr>
            <w:tcW w:w="0" w:type="auto"/>
            <w:tcBorders>
              <w:top w:val="nil"/>
              <w:left w:val="nil"/>
              <w:bottom w:val="single" w:sz="4" w:space="0" w:color="auto"/>
              <w:right w:val="single" w:sz="4" w:space="0" w:color="auto"/>
            </w:tcBorders>
            <w:shd w:val="clear" w:color="auto" w:fill="auto"/>
            <w:noWrap/>
            <w:vAlign w:val="center"/>
            <w:hideMark/>
          </w:tcPr>
          <w:p w14:paraId="0C88591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4.04 </w:t>
            </w:r>
          </w:p>
        </w:tc>
        <w:tc>
          <w:tcPr>
            <w:tcW w:w="0" w:type="auto"/>
            <w:tcBorders>
              <w:top w:val="nil"/>
              <w:left w:val="nil"/>
              <w:bottom w:val="single" w:sz="4" w:space="0" w:color="auto"/>
              <w:right w:val="single" w:sz="4" w:space="0" w:color="auto"/>
            </w:tcBorders>
            <w:shd w:val="clear" w:color="auto" w:fill="auto"/>
            <w:noWrap/>
            <w:vAlign w:val="center"/>
            <w:hideMark/>
          </w:tcPr>
          <w:p w14:paraId="65CD879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4.26 </w:t>
            </w:r>
          </w:p>
        </w:tc>
        <w:tc>
          <w:tcPr>
            <w:tcW w:w="0" w:type="auto"/>
            <w:tcBorders>
              <w:top w:val="nil"/>
              <w:left w:val="nil"/>
              <w:bottom w:val="single" w:sz="4" w:space="0" w:color="auto"/>
              <w:right w:val="single" w:sz="4" w:space="0" w:color="auto"/>
            </w:tcBorders>
            <w:shd w:val="clear" w:color="auto" w:fill="auto"/>
            <w:noWrap/>
            <w:vAlign w:val="center"/>
            <w:hideMark/>
          </w:tcPr>
          <w:p w14:paraId="18D872D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3.95 </w:t>
            </w:r>
          </w:p>
        </w:tc>
        <w:tc>
          <w:tcPr>
            <w:tcW w:w="0" w:type="auto"/>
            <w:tcBorders>
              <w:top w:val="nil"/>
              <w:left w:val="nil"/>
              <w:bottom w:val="single" w:sz="4" w:space="0" w:color="auto"/>
              <w:right w:val="single" w:sz="4" w:space="0" w:color="auto"/>
            </w:tcBorders>
            <w:shd w:val="clear" w:color="auto" w:fill="auto"/>
            <w:noWrap/>
            <w:vAlign w:val="center"/>
            <w:hideMark/>
          </w:tcPr>
          <w:p w14:paraId="42BA9605"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4.45 </w:t>
            </w:r>
          </w:p>
        </w:tc>
        <w:tc>
          <w:tcPr>
            <w:tcW w:w="0" w:type="auto"/>
            <w:tcBorders>
              <w:top w:val="nil"/>
              <w:left w:val="nil"/>
              <w:bottom w:val="single" w:sz="4" w:space="0" w:color="auto"/>
              <w:right w:val="single" w:sz="4" w:space="0" w:color="auto"/>
            </w:tcBorders>
            <w:shd w:val="clear" w:color="auto" w:fill="auto"/>
            <w:noWrap/>
            <w:vAlign w:val="center"/>
            <w:hideMark/>
          </w:tcPr>
          <w:p w14:paraId="0B1A179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4.62 </w:t>
            </w:r>
          </w:p>
        </w:tc>
        <w:tc>
          <w:tcPr>
            <w:tcW w:w="0" w:type="auto"/>
            <w:tcBorders>
              <w:top w:val="nil"/>
              <w:left w:val="nil"/>
              <w:bottom w:val="single" w:sz="4" w:space="0" w:color="auto"/>
              <w:right w:val="single" w:sz="4" w:space="0" w:color="auto"/>
            </w:tcBorders>
            <w:shd w:val="clear" w:color="auto" w:fill="auto"/>
            <w:noWrap/>
            <w:vAlign w:val="center"/>
            <w:hideMark/>
          </w:tcPr>
          <w:p w14:paraId="030779D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3.94 </w:t>
            </w:r>
          </w:p>
        </w:tc>
      </w:tr>
      <w:tr w:rsidR="00C04029" w:rsidRPr="00C04029" w14:paraId="033250EA"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6A1AE"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Operating Cash Flow</w:t>
            </w:r>
          </w:p>
        </w:tc>
        <w:tc>
          <w:tcPr>
            <w:tcW w:w="0" w:type="auto"/>
            <w:tcBorders>
              <w:top w:val="nil"/>
              <w:left w:val="nil"/>
              <w:bottom w:val="single" w:sz="4" w:space="0" w:color="auto"/>
              <w:right w:val="single" w:sz="4" w:space="0" w:color="auto"/>
            </w:tcBorders>
            <w:shd w:val="clear" w:color="auto" w:fill="auto"/>
            <w:noWrap/>
            <w:vAlign w:val="center"/>
            <w:hideMark/>
          </w:tcPr>
          <w:p w14:paraId="3285767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14:paraId="451F70E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33.44 </w:t>
            </w:r>
          </w:p>
        </w:tc>
        <w:tc>
          <w:tcPr>
            <w:tcW w:w="0" w:type="auto"/>
            <w:tcBorders>
              <w:top w:val="nil"/>
              <w:left w:val="nil"/>
              <w:bottom w:val="single" w:sz="4" w:space="0" w:color="auto"/>
              <w:right w:val="single" w:sz="4" w:space="0" w:color="auto"/>
            </w:tcBorders>
            <w:shd w:val="clear" w:color="auto" w:fill="auto"/>
            <w:noWrap/>
            <w:vAlign w:val="center"/>
            <w:hideMark/>
          </w:tcPr>
          <w:p w14:paraId="623C13E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37.64 </w:t>
            </w:r>
          </w:p>
        </w:tc>
        <w:tc>
          <w:tcPr>
            <w:tcW w:w="0" w:type="auto"/>
            <w:tcBorders>
              <w:top w:val="nil"/>
              <w:left w:val="nil"/>
              <w:bottom w:val="single" w:sz="4" w:space="0" w:color="auto"/>
              <w:right w:val="single" w:sz="4" w:space="0" w:color="auto"/>
            </w:tcBorders>
            <w:shd w:val="clear" w:color="auto" w:fill="auto"/>
            <w:noWrap/>
            <w:vAlign w:val="center"/>
            <w:hideMark/>
          </w:tcPr>
          <w:p w14:paraId="35D57784"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54.17 </w:t>
            </w:r>
          </w:p>
        </w:tc>
        <w:tc>
          <w:tcPr>
            <w:tcW w:w="0" w:type="auto"/>
            <w:tcBorders>
              <w:top w:val="nil"/>
              <w:left w:val="nil"/>
              <w:bottom w:val="single" w:sz="4" w:space="0" w:color="auto"/>
              <w:right w:val="single" w:sz="4" w:space="0" w:color="auto"/>
            </w:tcBorders>
            <w:shd w:val="clear" w:color="auto" w:fill="auto"/>
            <w:noWrap/>
            <w:vAlign w:val="center"/>
            <w:hideMark/>
          </w:tcPr>
          <w:p w14:paraId="5956C59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32.25 </w:t>
            </w:r>
          </w:p>
        </w:tc>
        <w:tc>
          <w:tcPr>
            <w:tcW w:w="0" w:type="auto"/>
            <w:tcBorders>
              <w:top w:val="nil"/>
              <w:left w:val="nil"/>
              <w:bottom w:val="single" w:sz="4" w:space="0" w:color="auto"/>
              <w:right w:val="single" w:sz="4" w:space="0" w:color="auto"/>
            </w:tcBorders>
            <w:shd w:val="clear" w:color="auto" w:fill="auto"/>
            <w:noWrap/>
            <w:vAlign w:val="center"/>
            <w:hideMark/>
          </w:tcPr>
          <w:p w14:paraId="70E6118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49.63 </w:t>
            </w:r>
          </w:p>
        </w:tc>
        <w:tc>
          <w:tcPr>
            <w:tcW w:w="0" w:type="auto"/>
            <w:tcBorders>
              <w:top w:val="nil"/>
              <w:left w:val="nil"/>
              <w:bottom w:val="single" w:sz="4" w:space="0" w:color="auto"/>
              <w:right w:val="single" w:sz="4" w:space="0" w:color="auto"/>
            </w:tcBorders>
            <w:shd w:val="clear" w:color="auto" w:fill="auto"/>
            <w:noWrap/>
            <w:vAlign w:val="center"/>
            <w:hideMark/>
          </w:tcPr>
          <w:p w14:paraId="453A8D2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76.59 </w:t>
            </w:r>
          </w:p>
        </w:tc>
        <w:tc>
          <w:tcPr>
            <w:tcW w:w="0" w:type="auto"/>
            <w:tcBorders>
              <w:top w:val="nil"/>
              <w:left w:val="nil"/>
              <w:bottom w:val="single" w:sz="4" w:space="0" w:color="auto"/>
              <w:right w:val="single" w:sz="4" w:space="0" w:color="auto"/>
            </w:tcBorders>
            <w:shd w:val="clear" w:color="auto" w:fill="auto"/>
            <w:noWrap/>
            <w:vAlign w:val="center"/>
            <w:hideMark/>
          </w:tcPr>
          <w:p w14:paraId="724604C8"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51.01 </w:t>
            </w:r>
          </w:p>
        </w:tc>
      </w:tr>
      <w:tr w:rsidR="00C04029" w:rsidRPr="00C04029" w14:paraId="47D80F2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56D5D5" w14:textId="77777777" w:rsidR="00C04029" w:rsidRPr="00C04029" w:rsidRDefault="00C04029" w:rsidP="00C04029">
            <w:pPr>
              <w:spacing w:after="0" w:line="240" w:lineRule="auto"/>
              <w:rPr>
                <w:rFonts w:eastAsia="Times New Roman"/>
                <w:lang w:val="en-US"/>
              </w:rPr>
            </w:pPr>
            <w:r w:rsidRPr="00C04029">
              <w:rPr>
                <w:rFonts w:eastAsia="Times New Roman"/>
                <w:lang w:val="en-US"/>
              </w:rPr>
              <w:t>Investment (-)</w:t>
            </w:r>
          </w:p>
        </w:tc>
        <w:tc>
          <w:tcPr>
            <w:tcW w:w="0" w:type="auto"/>
            <w:tcBorders>
              <w:top w:val="nil"/>
              <w:left w:val="nil"/>
              <w:bottom w:val="single" w:sz="4" w:space="0" w:color="auto"/>
              <w:right w:val="single" w:sz="4" w:space="0" w:color="auto"/>
            </w:tcBorders>
            <w:shd w:val="clear" w:color="auto" w:fill="auto"/>
            <w:noWrap/>
            <w:vAlign w:val="center"/>
            <w:hideMark/>
          </w:tcPr>
          <w:p w14:paraId="6A56286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(173.73)</w:t>
            </w:r>
          </w:p>
        </w:tc>
        <w:tc>
          <w:tcPr>
            <w:tcW w:w="0" w:type="auto"/>
            <w:tcBorders>
              <w:top w:val="nil"/>
              <w:left w:val="nil"/>
              <w:bottom w:val="single" w:sz="4" w:space="0" w:color="auto"/>
              <w:right w:val="single" w:sz="4" w:space="0" w:color="auto"/>
            </w:tcBorders>
            <w:shd w:val="clear" w:color="auto" w:fill="auto"/>
            <w:noWrap/>
            <w:vAlign w:val="center"/>
            <w:hideMark/>
          </w:tcPr>
          <w:p w14:paraId="065877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AE45DF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5F5CD0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1C69E5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B6517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61246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BEE80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45E15B79"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98D34"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Residual Value </w:t>
            </w:r>
          </w:p>
        </w:tc>
        <w:tc>
          <w:tcPr>
            <w:tcW w:w="0" w:type="auto"/>
            <w:tcBorders>
              <w:top w:val="nil"/>
              <w:left w:val="nil"/>
              <w:bottom w:val="single" w:sz="4" w:space="0" w:color="auto"/>
              <w:right w:val="single" w:sz="4" w:space="0" w:color="auto"/>
            </w:tcBorders>
            <w:shd w:val="clear" w:color="auto" w:fill="auto"/>
            <w:noWrap/>
            <w:vAlign w:val="center"/>
            <w:hideMark/>
          </w:tcPr>
          <w:p w14:paraId="3D3AD56A"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51A0EF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3BCC9D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C97E1B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9BC2F6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3738C8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2E24E5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EE5184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4665A462"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7EF836" w14:textId="77777777" w:rsidR="00C04029" w:rsidRPr="00C04029" w:rsidRDefault="00C04029" w:rsidP="00C04029">
            <w:pPr>
              <w:spacing w:after="0" w:line="240" w:lineRule="auto"/>
              <w:rPr>
                <w:rFonts w:eastAsia="Times New Roman"/>
                <w:lang w:val="en-US"/>
              </w:rPr>
            </w:pPr>
            <w:r w:rsidRPr="00C04029">
              <w:rPr>
                <w:rFonts w:eastAsia="Times New Roman"/>
                <w:lang w:val="en-US"/>
              </w:rPr>
              <w:t>Working Capital (-)</w:t>
            </w:r>
          </w:p>
        </w:tc>
        <w:tc>
          <w:tcPr>
            <w:tcW w:w="0" w:type="auto"/>
            <w:tcBorders>
              <w:top w:val="nil"/>
              <w:left w:val="nil"/>
              <w:bottom w:val="single" w:sz="4" w:space="0" w:color="auto"/>
              <w:right w:val="single" w:sz="4" w:space="0" w:color="auto"/>
            </w:tcBorders>
            <w:shd w:val="clear" w:color="auto" w:fill="auto"/>
            <w:noWrap/>
            <w:vAlign w:val="center"/>
            <w:hideMark/>
          </w:tcPr>
          <w:p w14:paraId="2F0525D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38A0E2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24E1F4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138FB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7DF31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9E2AF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817F3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FA10D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01ABE809"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6022FC" w14:textId="77777777" w:rsidR="00C04029" w:rsidRPr="00C04029" w:rsidRDefault="00C04029" w:rsidP="00C04029">
            <w:pPr>
              <w:spacing w:after="0" w:line="240" w:lineRule="auto"/>
              <w:rPr>
                <w:rFonts w:eastAsia="Times New Roman"/>
                <w:b/>
                <w:bCs/>
                <w:lang w:val="en-US"/>
              </w:rPr>
            </w:pPr>
            <w:r w:rsidRPr="00C04029">
              <w:rPr>
                <w:rFonts w:eastAsia="Times New Roman"/>
                <w:b/>
                <w:bCs/>
                <w:lang w:val="en-US"/>
              </w:rPr>
              <w:t xml:space="preserve">Cash Flows </w:t>
            </w:r>
          </w:p>
        </w:tc>
        <w:tc>
          <w:tcPr>
            <w:tcW w:w="0" w:type="auto"/>
            <w:tcBorders>
              <w:top w:val="nil"/>
              <w:left w:val="nil"/>
              <w:bottom w:val="single" w:sz="4" w:space="0" w:color="auto"/>
              <w:right w:val="single" w:sz="4" w:space="0" w:color="auto"/>
            </w:tcBorders>
            <w:shd w:val="clear" w:color="auto" w:fill="auto"/>
            <w:noWrap/>
            <w:vAlign w:val="center"/>
            <w:hideMark/>
          </w:tcPr>
          <w:p w14:paraId="372B002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(173.73)</w:t>
            </w:r>
          </w:p>
        </w:tc>
        <w:tc>
          <w:tcPr>
            <w:tcW w:w="0" w:type="auto"/>
            <w:tcBorders>
              <w:top w:val="nil"/>
              <w:left w:val="nil"/>
              <w:bottom w:val="single" w:sz="4" w:space="0" w:color="auto"/>
              <w:right w:val="single" w:sz="4" w:space="0" w:color="auto"/>
            </w:tcBorders>
            <w:shd w:val="clear" w:color="auto" w:fill="auto"/>
            <w:noWrap/>
            <w:vAlign w:val="center"/>
            <w:hideMark/>
          </w:tcPr>
          <w:p w14:paraId="07B1B38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33.44 </w:t>
            </w:r>
          </w:p>
        </w:tc>
        <w:tc>
          <w:tcPr>
            <w:tcW w:w="0" w:type="auto"/>
            <w:tcBorders>
              <w:top w:val="nil"/>
              <w:left w:val="nil"/>
              <w:bottom w:val="single" w:sz="4" w:space="0" w:color="auto"/>
              <w:right w:val="single" w:sz="4" w:space="0" w:color="auto"/>
            </w:tcBorders>
            <w:shd w:val="clear" w:color="auto" w:fill="auto"/>
            <w:noWrap/>
            <w:vAlign w:val="center"/>
            <w:hideMark/>
          </w:tcPr>
          <w:p w14:paraId="474045D0"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37.64 </w:t>
            </w:r>
          </w:p>
        </w:tc>
        <w:tc>
          <w:tcPr>
            <w:tcW w:w="0" w:type="auto"/>
            <w:tcBorders>
              <w:top w:val="nil"/>
              <w:left w:val="nil"/>
              <w:bottom w:val="single" w:sz="4" w:space="0" w:color="auto"/>
              <w:right w:val="single" w:sz="4" w:space="0" w:color="auto"/>
            </w:tcBorders>
            <w:shd w:val="clear" w:color="auto" w:fill="auto"/>
            <w:noWrap/>
            <w:vAlign w:val="center"/>
            <w:hideMark/>
          </w:tcPr>
          <w:p w14:paraId="07C31043"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54.17 </w:t>
            </w:r>
          </w:p>
        </w:tc>
        <w:tc>
          <w:tcPr>
            <w:tcW w:w="0" w:type="auto"/>
            <w:tcBorders>
              <w:top w:val="nil"/>
              <w:left w:val="nil"/>
              <w:bottom w:val="single" w:sz="4" w:space="0" w:color="auto"/>
              <w:right w:val="single" w:sz="4" w:space="0" w:color="auto"/>
            </w:tcBorders>
            <w:shd w:val="clear" w:color="auto" w:fill="auto"/>
            <w:noWrap/>
            <w:vAlign w:val="center"/>
            <w:hideMark/>
          </w:tcPr>
          <w:p w14:paraId="615389B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32.25 </w:t>
            </w:r>
          </w:p>
        </w:tc>
        <w:tc>
          <w:tcPr>
            <w:tcW w:w="0" w:type="auto"/>
            <w:tcBorders>
              <w:top w:val="nil"/>
              <w:left w:val="nil"/>
              <w:bottom w:val="single" w:sz="4" w:space="0" w:color="auto"/>
              <w:right w:val="single" w:sz="4" w:space="0" w:color="auto"/>
            </w:tcBorders>
            <w:shd w:val="clear" w:color="auto" w:fill="auto"/>
            <w:noWrap/>
            <w:vAlign w:val="center"/>
            <w:hideMark/>
          </w:tcPr>
          <w:p w14:paraId="5CD643B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49.63 </w:t>
            </w:r>
          </w:p>
        </w:tc>
        <w:tc>
          <w:tcPr>
            <w:tcW w:w="0" w:type="auto"/>
            <w:tcBorders>
              <w:top w:val="nil"/>
              <w:left w:val="nil"/>
              <w:bottom w:val="single" w:sz="4" w:space="0" w:color="auto"/>
              <w:right w:val="single" w:sz="4" w:space="0" w:color="auto"/>
            </w:tcBorders>
            <w:shd w:val="clear" w:color="auto" w:fill="auto"/>
            <w:noWrap/>
            <w:vAlign w:val="center"/>
            <w:hideMark/>
          </w:tcPr>
          <w:p w14:paraId="22F072FD"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76.59 </w:t>
            </w:r>
          </w:p>
        </w:tc>
        <w:tc>
          <w:tcPr>
            <w:tcW w:w="0" w:type="auto"/>
            <w:tcBorders>
              <w:top w:val="nil"/>
              <w:left w:val="nil"/>
              <w:bottom w:val="single" w:sz="4" w:space="0" w:color="auto"/>
              <w:right w:val="single" w:sz="4" w:space="0" w:color="auto"/>
            </w:tcBorders>
            <w:shd w:val="clear" w:color="auto" w:fill="auto"/>
            <w:noWrap/>
            <w:vAlign w:val="center"/>
            <w:hideMark/>
          </w:tcPr>
          <w:p w14:paraId="7D780D87"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51.01 </w:t>
            </w:r>
          </w:p>
        </w:tc>
      </w:tr>
      <w:tr w:rsidR="00C04029" w:rsidRPr="00C04029" w14:paraId="6187D903"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F15BA4" w14:textId="77777777" w:rsidR="00C04029" w:rsidRPr="00C04029" w:rsidRDefault="00C04029" w:rsidP="00C04029">
            <w:pPr>
              <w:spacing w:after="0" w:line="240" w:lineRule="auto"/>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855692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B03EC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765664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811BA0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B19E779"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D1D36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A77346"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1FE3D7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r>
      <w:tr w:rsidR="00C04029" w:rsidRPr="00C04029" w14:paraId="2CCC5F2F"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9D3470" w14:textId="77777777" w:rsidR="00C04029" w:rsidRPr="00C04029" w:rsidRDefault="00C04029" w:rsidP="00C04029">
            <w:pPr>
              <w:spacing w:after="0" w:line="240" w:lineRule="auto"/>
              <w:rPr>
                <w:rFonts w:eastAsia="Times New Roman"/>
                <w:lang w:val="en-US"/>
              </w:rPr>
            </w:pPr>
            <w:r w:rsidRPr="00C04029">
              <w:rPr>
                <w:rFonts w:eastAsia="Times New Roman"/>
                <w:lang w:val="en-US"/>
              </w:rPr>
              <w:t xml:space="preserve">Discounting </w:t>
            </w:r>
            <w:proofErr w:type="spellStart"/>
            <w:r w:rsidRPr="00C04029">
              <w:rPr>
                <w:rFonts w:eastAsia="Times New Roman"/>
                <w:lang w:val="en-US"/>
              </w:rPr>
              <w:t>Fator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0F17931"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1.00 </w:t>
            </w:r>
          </w:p>
        </w:tc>
        <w:tc>
          <w:tcPr>
            <w:tcW w:w="0" w:type="auto"/>
            <w:tcBorders>
              <w:top w:val="nil"/>
              <w:left w:val="nil"/>
              <w:bottom w:val="single" w:sz="4" w:space="0" w:color="auto"/>
              <w:right w:val="single" w:sz="4" w:space="0" w:color="auto"/>
            </w:tcBorders>
            <w:shd w:val="clear" w:color="auto" w:fill="auto"/>
            <w:noWrap/>
            <w:vAlign w:val="center"/>
            <w:hideMark/>
          </w:tcPr>
          <w:p w14:paraId="3AC311B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1.09 </w:t>
            </w:r>
          </w:p>
        </w:tc>
        <w:tc>
          <w:tcPr>
            <w:tcW w:w="0" w:type="auto"/>
            <w:tcBorders>
              <w:top w:val="nil"/>
              <w:left w:val="nil"/>
              <w:bottom w:val="single" w:sz="4" w:space="0" w:color="auto"/>
              <w:right w:val="single" w:sz="4" w:space="0" w:color="auto"/>
            </w:tcBorders>
            <w:shd w:val="clear" w:color="auto" w:fill="auto"/>
            <w:noWrap/>
            <w:vAlign w:val="center"/>
            <w:hideMark/>
          </w:tcPr>
          <w:p w14:paraId="688C375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1.19 </w:t>
            </w:r>
          </w:p>
        </w:tc>
        <w:tc>
          <w:tcPr>
            <w:tcW w:w="0" w:type="auto"/>
            <w:tcBorders>
              <w:top w:val="nil"/>
              <w:left w:val="nil"/>
              <w:bottom w:val="single" w:sz="4" w:space="0" w:color="auto"/>
              <w:right w:val="single" w:sz="4" w:space="0" w:color="auto"/>
            </w:tcBorders>
            <w:shd w:val="clear" w:color="auto" w:fill="auto"/>
            <w:noWrap/>
            <w:vAlign w:val="center"/>
            <w:hideMark/>
          </w:tcPr>
          <w:p w14:paraId="66339024"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1.30 </w:t>
            </w:r>
          </w:p>
        </w:tc>
        <w:tc>
          <w:tcPr>
            <w:tcW w:w="0" w:type="auto"/>
            <w:tcBorders>
              <w:top w:val="nil"/>
              <w:left w:val="nil"/>
              <w:bottom w:val="single" w:sz="4" w:space="0" w:color="auto"/>
              <w:right w:val="single" w:sz="4" w:space="0" w:color="auto"/>
            </w:tcBorders>
            <w:shd w:val="clear" w:color="auto" w:fill="auto"/>
            <w:noWrap/>
            <w:vAlign w:val="center"/>
            <w:hideMark/>
          </w:tcPr>
          <w:p w14:paraId="632DB43B"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1.42 </w:t>
            </w:r>
          </w:p>
        </w:tc>
        <w:tc>
          <w:tcPr>
            <w:tcW w:w="0" w:type="auto"/>
            <w:tcBorders>
              <w:top w:val="nil"/>
              <w:left w:val="nil"/>
              <w:bottom w:val="single" w:sz="4" w:space="0" w:color="auto"/>
              <w:right w:val="single" w:sz="4" w:space="0" w:color="auto"/>
            </w:tcBorders>
            <w:shd w:val="clear" w:color="auto" w:fill="auto"/>
            <w:noWrap/>
            <w:vAlign w:val="center"/>
            <w:hideMark/>
          </w:tcPr>
          <w:p w14:paraId="6B681EA3"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1.55 </w:t>
            </w:r>
          </w:p>
        </w:tc>
        <w:tc>
          <w:tcPr>
            <w:tcW w:w="0" w:type="auto"/>
            <w:tcBorders>
              <w:top w:val="nil"/>
              <w:left w:val="nil"/>
              <w:bottom w:val="single" w:sz="4" w:space="0" w:color="auto"/>
              <w:right w:val="single" w:sz="4" w:space="0" w:color="auto"/>
            </w:tcBorders>
            <w:shd w:val="clear" w:color="auto" w:fill="auto"/>
            <w:noWrap/>
            <w:vAlign w:val="center"/>
            <w:hideMark/>
          </w:tcPr>
          <w:p w14:paraId="146C3FF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1.69 </w:t>
            </w:r>
          </w:p>
        </w:tc>
        <w:tc>
          <w:tcPr>
            <w:tcW w:w="0" w:type="auto"/>
            <w:tcBorders>
              <w:top w:val="nil"/>
              <w:left w:val="nil"/>
              <w:bottom w:val="single" w:sz="4" w:space="0" w:color="auto"/>
              <w:right w:val="single" w:sz="4" w:space="0" w:color="auto"/>
            </w:tcBorders>
            <w:shd w:val="clear" w:color="auto" w:fill="auto"/>
            <w:noWrap/>
            <w:vAlign w:val="center"/>
            <w:hideMark/>
          </w:tcPr>
          <w:p w14:paraId="17DDA33F"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1.85 </w:t>
            </w:r>
          </w:p>
        </w:tc>
      </w:tr>
      <w:tr w:rsidR="00C04029" w:rsidRPr="00C04029" w14:paraId="40A0C64B"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6C69DD" w14:textId="77777777" w:rsidR="00C04029" w:rsidRPr="00C04029" w:rsidRDefault="00C04029" w:rsidP="00C04029">
            <w:pPr>
              <w:spacing w:after="0" w:line="240" w:lineRule="auto"/>
              <w:rPr>
                <w:rFonts w:eastAsia="Times New Roman"/>
                <w:b/>
                <w:bCs/>
                <w:lang w:val="en-US"/>
              </w:rPr>
            </w:pPr>
            <w:proofErr w:type="spellStart"/>
            <w:r w:rsidRPr="00C04029">
              <w:rPr>
                <w:rFonts w:eastAsia="Times New Roman"/>
                <w:b/>
                <w:bCs/>
                <w:lang w:val="en-US"/>
              </w:rPr>
              <w:t>Discouted</w:t>
            </w:r>
            <w:proofErr w:type="spellEnd"/>
            <w:r w:rsidRPr="00C04029">
              <w:rPr>
                <w:rFonts w:eastAsia="Times New Roman"/>
                <w:b/>
                <w:bCs/>
                <w:lang w:val="en-US"/>
              </w:rPr>
              <w:t xml:space="preserve"> Cash Flow</w:t>
            </w:r>
          </w:p>
        </w:tc>
        <w:tc>
          <w:tcPr>
            <w:tcW w:w="0" w:type="auto"/>
            <w:tcBorders>
              <w:top w:val="nil"/>
              <w:left w:val="nil"/>
              <w:bottom w:val="single" w:sz="4" w:space="0" w:color="auto"/>
              <w:right w:val="single" w:sz="4" w:space="0" w:color="auto"/>
            </w:tcBorders>
            <w:shd w:val="clear" w:color="auto" w:fill="auto"/>
            <w:noWrap/>
            <w:vAlign w:val="center"/>
            <w:hideMark/>
          </w:tcPr>
          <w:p w14:paraId="55260A51"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(173.73)</w:t>
            </w:r>
          </w:p>
        </w:tc>
        <w:tc>
          <w:tcPr>
            <w:tcW w:w="0" w:type="auto"/>
            <w:tcBorders>
              <w:top w:val="nil"/>
              <w:left w:val="nil"/>
              <w:bottom w:val="single" w:sz="4" w:space="0" w:color="auto"/>
              <w:right w:val="single" w:sz="4" w:space="0" w:color="auto"/>
            </w:tcBorders>
            <w:shd w:val="clear" w:color="auto" w:fill="auto"/>
            <w:noWrap/>
            <w:vAlign w:val="center"/>
            <w:hideMark/>
          </w:tcPr>
          <w:p w14:paraId="2F66A6C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30.63 </w:t>
            </w:r>
          </w:p>
        </w:tc>
        <w:tc>
          <w:tcPr>
            <w:tcW w:w="0" w:type="auto"/>
            <w:tcBorders>
              <w:top w:val="nil"/>
              <w:left w:val="nil"/>
              <w:bottom w:val="single" w:sz="4" w:space="0" w:color="auto"/>
              <w:right w:val="single" w:sz="4" w:space="0" w:color="auto"/>
            </w:tcBorders>
            <w:shd w:val="clear" w:color="auto" w:fill="auto"/>
            <w:noWrap/>
            <w:vAlign w:val="center"/>
            <w:hideMark/>
          </w:tcPr>
          <w:p w14:paraId="10183872"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31.58 </w:t>
            </w:r>
          </w:p>
        </w:tc>
        <w:tc>
          <w:tcPr>
            <w:tcW w:w="0" w:type="auto"/>
            <w:tcBorders>
              <w:top w:val="nil"/>
              <w:left w:val="nil"/>
              <w:bottom w:val="single" w:sz="4" w:space="0" w:color="auto"/>
              <w:right w:val="single" w:sz="4" w:space="0" w:color="auto"/>
            </w:tcBorders>
            <w:shd w:val="clear" w:color="auto" w:fill="auto"/>
            <w:noWrap/>
            <w:vAlign w:val="center"/>
            <w:hideMark/>
          </w:tcPr>
          <w:p w14:paraId="0C3A2A56"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41.62 </w:t>
            </w:r>
          </w:p>
        </w:tc>
        <w:tc>
          <w:tcPr>
            <w:tcW w:w="0" w:type="auto"/>
            <w:tcBorders>
              <w:top w:val="nil"/>
              <w:left w:val="nil"/>
              <w:bottom w:val="single" w:sz="4" w:space="0" w:color="auto"/>
              <w:right w:val="single" w:sz="4" w:space="0" w:color="auto"/>
            </w:tcBorders>
            <w:shd w:val="clear" w:color="auto" w:fill="auto"/>
            <w:noWrap/>
            <w:vAlign w:val="center"/>
            <w:hideMark/>
          </w:tcPr>
          <w:p w14:paraId="2E76CC3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22.69 </w:t>
            </w:r>
          </w:p>
        </w:tc>
        <w:tc>
          <w:tcPr>
            <w:tcW w:w="0" w:type="auto"/>
            <w:tcBorders>
              <w:top w:val="nil"/>
              <w:left w:val="nil"/>
              <w:bottom w:val="single" w:sz="4" w:space="0" w:color="auto"/>
              <w:right w:val="single" w:sz="4" w:space="0" w:color="auto"/>
            </w:tcBorders>
            <w:shd w:val="clear" w:color="auto" w:fill="auto"/>
            <w:noWrap/>
            <w:vAlign w:val="center"/>
            <w:hideMark/>
          </w:tcPr>
          <w:p w14:paraId="1E84D21E"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31.99 </w:t>
            </w:r>
          </w:p>
        </w:tc>
        <w:tc>
          <w:tcPr>
            <w:tcW w:w="0" w:type="auto"/>
            <w:tcBorders>
              <w:top w:val="nil"/>
              <w:left w:val="nil"/>
              <w:bottom w:val="single" w:sz="4" w:space="0" w:color="auto"/>
              <w:right w:val="single" w:sz="4" w:space="0" w:color="auto"/>
            </w:tcBorders>
            <w:shd w:val="clear" w:color="auto" w:fill="auto"/>
            <w:noWrap/>
            <w:vAlign w:val="center"/>
            <w:hideMark/>
          </w:tcPr>
          <w:p w14:paraId="687D799A"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45.22 </w:t>
            </w:r>
          </w:p>
        </w:tc>
        <w:tc>
          <w:tcPr>
            <w:tcW w:w="0" w:type="auto"/>
            <w:tcBorders>
              <w:top w:val="nil"/>
              <w:left w:val="nil"/>
              <w:bottom w:val="single" w:sz="4" w:space="0" w:color="auto"/>
              <w:right w:val="single" w:sz="4" w:space="0" w:color="auto"/>
            </w:tcBorders>
            <w:shd w:val="clear" w:color="auto" w:fill="auto"/>
            <w:noWrap/>
            <w:vAlign w:val="center"/>
            <w:hideMark/>
          </w:tcPr>
          <w:p w14:paraId="30AEE555" w14:textId="77777777" w:rsidR="00C04029" w:rsidRPr="00C04029" w:rsidRDefault="00C04029" w:rsidP="00C04029">
            <w:pPr>
              <w:spacing w:after="0" w:line="240" w:lineRule="auto"/>
              <w:jc w:val="center"/>
              <w:rPr>
                <w:rFonts w:eastAsia="Times New Roman"/>
                <w:b/>
                <w:bCs/>
                <w:lang w:val="en-US"/>
              </w:rPr>
            </w:pPr>
            <w:r w:rsidRPr="00C04029">
              <w:rPr>
                <w:rFonts w:eastAsia="Times New Roman"/>
                <w:b/>
                <w:bCs/>
                <w:lang w:val="en-US"/>
              </w:rPr>
              <w:t xml:space="preserve">27.59 </w:t>
            </w:r>
          </w:p>
        </w:tc>
      </w:tr>
      <w:tr w:rsidR="00C04029" w:rsidRPr="00C04029" w14:paraId="30994231" w14:textId="77777777" w:rsidTr="00C0402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411F8" w14:textId="77777777" w:rsidR="00C04029" w:rsidRPr="00C04029" w:rsidRDefault="00C04029" w:rsidP="00C04029">
            <w:pPr>
              <w:spacing w:after="0" w:line="240" w:lineRule="auto"/>
              <w:rPr>
                <w:rFonts w:eastAsia="Times New Roman"/>
                <w:lang w:val="en-US"/>
              </w:rPr>
            </w:pPr>
            <w:r w:rsidRPr="00C04029">
              <w:rPr>
                <w:rFonts w:eastAsia="Times New Roman"/>
                <w:lang w:val="en-US"/>
              </w:rPr>
              <w:t>Pay back</w:t>
            </w:r>
          </w:p>
        </w:tc>
        <w:tc>
          <w:tcPr>
            <w:tcW w:w="0" w:type="auto"/>
            <w:tcBorders>
              <w:top w:val="nil"/>
              <w:left w:val="nil"/>
              <w:bottom w:val="single" w:sz="4" w:space="0" w:color="auto"/>
              <w:right w:val="single" w:sz="4" w:space="0" w:color="auto"/>
            </w:tcBorders>
            <w:shd w:val="clear" w:color="auto" w:fill="auto"/>
            <w:noWrap/>
            <w:vAlign w:val="center"/>
            <w:hideMark/>
          </w:tcPr>
          <w:p w14:paraId="3292586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56EE5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(143.09)</w:t>
            </w:r>
          </w:p>
        </w:tc>
        <w:tc>
          <w:tcPr>
            <w:tcW w:w="0" w:type="auto"/>
            <w:tcBorders>
              <w:top w:val="nil"/>
              <w:left w:val="nil"/>
              <w:bottom w:val="single" w:sz="4" w:space="0" w:color="auto"/>
              <w:right w:val="single" w:sz="4" w:space="0" w:color="auto"/>
            </w:tcBorders>
            <w:shd w:val="clear" w:color="auto" w:fill="auto"/>
            <w:noWrap/>
            <w:vAlign w:val="center"/>
            <w:hideMark/>
          </w:tcPr>
          <w:p w14:paraId="290267E8"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(111.52)</w:t>
            </w:r>
          </w:p>
        </w:tc>
        <w:tc>
          <w:tcPr>
            <w:tcW w:w="0" w:type="auto"/>
            <w:tcBorders>
              <w:top w:val="nil"/>
              <w:left w:val="nil"/>
              <w:bottom w:val="single" w:sz="4" w:space="0" w:color="auto"/>
              <w:right w:val="single" w:sz="4" w:space="0" w:color="auto"/>
            </w:tcBorders>
            <w:shd w:val="clear" w:color="auto" w:fill="auto"/>
            <w:noWrap/>
            <w:vAlign w:val="center"/>
            <w:hideMark/>
          </w:tcPr>
          <w:p w14:paraId="5C590320"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(69.90)</w:t>
            </w:r>
          </w:p>
        </w:tc>
        <w:tc>
          <w:tcPr>
            <w:tcW w:w="0" w:type="auto"/>
            <w:tcBorders>
              <w:top w:val="nil"/>
              <w:left w:val="nil"/>
              <w:bottom w:val="single" w:sz="4" w:space="0" w:color="auto"/>
              <w:right w:val="single" w:sz="4" w:space="0" w:color="auto"/>
            </w:tcBorders>
            <w:shd w:val="clear" w:color="auto" w:fill="auto"/>
            <w:noWrap/>
            <w:vAlign w:val="center"/>
            <w:hideMark/>
          </w:tcPr>
          <w:p w14:paraId="5DD9C64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(47.20)</w:t>
            </w:r>
          </w:p>
        </w:tc>
        <w:tc>
          <w:tcPr>
            <w:tcW w:w="0" w:type="auto"/>
            <w:tcBorders>
              <w:top w:val="nil"/>
              <w:left w:val="nil"/>
              <w:bottom w:val="single" w:sz="4" w:space="0" w:color="auto"/>
              <w:right w:val="single" w:sz="4" w:space="0" w:color="auto"/>
            </w:tcBorders>
            <w:shd w:val="clear" w:color="auto" w:fill="auto"/>
            <w:noWrap/>
            <w:vAlign w:val="center"/>
            <w:hideMark/>
          </w:tcPr>
          <w:p w14:paraId="069881F7"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(15.21)</w:t>
            </w:r>
          </w:p>
        </w:tc>
        <w:tc>
          <w:tcPr>
            <w:tcW w:w="0" w:type="auto"/>
            <w:tcBorders>
              <w:top w:val="nil"/>
              <w:left w:val="nil"/>
              <w:bottom w:val="single" w:sz="4" w:space="0" w:color="auto"/>
              <w:right w:val="single" w:sz="4" w:space="0" w:color="auto"/>
            </w:tcBorders>
            <w:shd w:val="clear" w:color="auto" w:fill="auto"/>
            <w:noWrap/>
            <w:vAlign w:val="center"/>
            <w:hideMark/>
          </w:tcPr>
          <w:p w14:paraId="23BE90FD"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30.01 </w:t>
            </w:r>
          </w:p>
        </w:tc>
        <w:tc>
          <w:tcPr>
            <w:tcW w:w="0" w:type="auto"/>
            <w:tcBorders>
              <w:top w:val="nil"/>
              <w:left w:val="nil"/>
              <w:bottom w:val="single" w:sz="4" w:space="0" w:color="auto"/>
              <w:right w:val="single" w:sz="4" w:space="0" w:color="auto"/>
            </w:tcBorders>
            <w:shd w:val="clear" w:color="auto" w:fill="auto"/>
            <w:noWrap/>
            <w:vAlign w:val="center"/>
            <w:hideMark/>
          </w:tcPr>
          <w:p w14:paraId="60CCEC7C" w14:textId="77777777" w:rsidR="00C04029" w:rsidRPr="00C04029" w:rsidRDefault="00C04029" w:rsidP="00C04029">
            <w:pPr>
              <w:spacing w:after="0" w:line="240" w:lineRule="auto"/>
              <w:jc w:val="center"/>
              <w:rPr>
                <w:rFonts w:eastAsia="Times New Roman"/>
                <w:lang w:val="en-US"/>
              </w:rPr>
            </w:pPr>
            <w:r w:rsidRPr="00C04029">
              <w:rPr>
                <w:rFonts w:eastAsia="Times New Roman"/>
                <w:lang w:val="en-US"/>
              </w:rPr>
              <w:t xml:space="preserve">57.59 </w:t>
            </w:r>
          </w:p>
        </w:tc>
      </w:tr>
    </w:tbl>
    <w:p w14:paraId="78A87419" w14:textId="77777777" w:rsidR="00C04029" w:rsidRPr="00C04029" w:rsidRDefault="00C04029" w:rsidP="00C04029">
      <w:pPr>
        <w:spacing w:before="240"/>
        <w:rPr>
          <w:rFonts w:eastAsia="Times New Roman"/>
          <w:b/>
          <w:bCs/>
          <w:sz w:val="20"/>
          <w:lang w:val="en-US" w:eastAsia="pt-BR"/>
        </w:rPr>
      </w:pPr>
      <w:r w:rsidRPr="00C04029">
        <w:rPr>
          <w:rFonts w:eastAsia="Times New Roman"/>
          <w:b/>
          <w:bCs/>
          <w:sz w:val="20"/>
          <w:lang w:val="en-US" w:eastAsia="pt-BR"/>
        </w:rPr>
        <w:t>* 2005 values</w:t>
      </w:r>
    </w:p>
    <w:p w14:paraId="2DD56C86" w14:textId="77777777" w:rsidR="00C04029" w:rsidRPr="00C04029" w:rsidRDefault="00C04029" w:rsidP="00831A2A">
      <w:pPr>
        <w:spacing w:before="240"/>
        <w:rPr>
          <w:lang w:val="en-US"/>
        </w:rPr>
      </w:pPr>
    </w:p>
    <w:sectPr w:rsidR="00C04029" w:rsidRPr="00C04029" w:rsidSect="001E35D2">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BD63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EF903" w14:textId="77777777" w:rsidR="000614CF" w:rsidRDefault="000614CF" w:rsidP="00754ABD">
      <w:pPr>
        <w:spacing w:after="0" w:line="240" w:lineRule="auto"/>
      </w:pPr>
      <w:r>
        <w:separator/>
      </w:r>
    </w:p>
  </w:endnote>
  <w:endnote w:type="continuationSeparator" w:id="0">
    <w:p w14:paraId="2E8B2B2F" w14:textId="77777777" w:rsidR="000614CF" w:rsidRDefault="000614CF" w:rsidP="0075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A958" w14:textId="77777777" w:rsidR="000614CF" w:rsidRDefault="000614CF" w:rsidP="00754ABD">
      <w:pPr>
        <w:spacing w:after="0" w:line="240" w:lineRule="auto"/>
      </w:pPr>
      <w:r>
        <w:separator/>
      </w:r>
    </w:p>
  </w:footnote>
  <w:footnote w:type="continuationSeparator" w:id="0">
    <w:p w14:paraId="31A32D64" w14:textId="77777777" w:rsidR="000614CF" w:rsidRDefault="000614CF" w:rsidP="00754ABD">
      <w:pPr>
        <w:spacing w:after="0" w:line="240" w:lineRule="auto"/>
      </w:pPr>
      <w:r>
        <w:continuationSeparator/>
      </w:r>
    </w:p>
  </w:footnote>
  <w:footnote w:id="1">
    <w:p w14:paraId="1BE69A99" w14:textId="77777777" w:rsidR="00754ABD" w:rsidRPr="00BB33AC" w:rsidRDefault="00754ABD" w:rsidP="00754ABD">
      <w:pPr>
        <w:pStyle w:val="Textodenotaderodap"/>
        <w:ind w:left="0" w:firstLine="0"/>
        <w:jc w:val="both"/>
        <w:rPr>
          <w:lang w:val="en-GB"/>
        </w:rPr>
      </w:pPr>
      <w:r>
        <w:rPr>
          <w:rStyle w:val="Refdenotaderodap"/>
        </w:rPr>
        <w:footnoteRef/>
      </w:r>
      <w:r w:rsidRPr="00BB33AC">
        <w:rPr>
          <w:lang w:val="en-GB"/>
        </w:rPr>
        <w:t xml:space="preserve"> These values were esta</w:t>
      </w:r>
      <w:r>
        <w:rPr>
          <w:lang w:val="en-GB"/>
        </w:rPr>
        <w:t>blished after discussions with farmers</w:t>
      </w:r>
      <w:r w:rsidRPr="00BB33AC">
        <w:rPr>
          <w:lang w:val="en-GB"/>
        </w:rPr>
        <w:t xml:space="preserve"> and consultants who worked in the region in 2005.</w:t>
      </w:r>
    </w:p>
  </w:footnote>
  <w:footnote w:id="2">
    <w:p w14:paraId="78C5965A" w14:textId="77777777" w:rsidR="00754ABD" w:rsidRPr="00BB33AC" w:rsidRDefault="00754ABD" w:rsidP="00754ABD">
      <w:pPr>
        <w:pStyle w:val="Textodenotaderodap"/>
        <w:ind w:left="0" w:firstLine="0"/>
        <w:jc w:val="both"/>
        <w:rPr>
          <w:lang w:val="en-GB"/>
        </w:rPr>
      </w:pPr>
      <w:r>
        <w:rPr>
          <w:rStyle w:val="Refdenotaderodap"/>
        </w:rPr>
        <w:footnoteRef/>
      </w:r>
      <w:r w:rsidRPr="006E52AD">
        <w:rPr>
          <w:lang w:val="en-GB"/>
        </w:rPr>
        <w:t xml:space="preserve"> </w:t>
      </w:r>
      <w:r>
        <w:rPr>
          <w:lang w:val="en-GB"/>
        </w:rPr>
        <w:t>I</w:t>
      </w:r>
      <w:r w:rsidRPr="00BB33AC">
        <w:rPr>
          <w:lang w:val="en-GB"/>
        </w:rPr>
        <w:t>t was established in 1995</w:t>
      </w:r>
      <w:r>
        <w:rPr>
          <w:lang w:val="en-GB"/>
        </w:rPr>
        <w:t xml:space="preserve"> in Brazil</w:t>
      </w:r>
      <w:r w:rsidRPr="00BB33AC">
        <w:rPr>
          <w:lang w:val="en-GB"/>
        </w:rPr>
        <w:t>, the Credit Guarantee Fund. This institution, linked to the National Monetary Council and the Central Bank</w:t>
      </w:r>
      <w:r>
        <w:rPr>
          <w:lang w:val="en-GB"/>
        </w:rPr>
        <w:t>, set</w:t>
      </w:r>
      <w:r w:rsidRPr="00BB33AC">
        <w:rPr>
          <w:lang w:val="en-GB"/>
        </w:rPr>
        <w:t xml:space="preserve"> rules and guarantees for investments in the capital market in B</w:t>
      </w:r>
      <w:r>
        <w:rPr>
          <w:lang w:val="en-GB"/>
        </w:rPr>
        <w:t xml:space="preserve">razil. In the set of rules there is the definition </w:t>
      </w:r>
      <w:r w:rsidRPr="00BB33AC">
        <w:rPr>
          <w:lang w:val="en-GB"/>
        </w:rPr>
        <w:t xml:space="preserve">of the maximum guaranteed to the creditor in events of financial difficulties of the agencies that are depositories of its resources. Currently, this </w:t>
      </w:r>
      <w:r w:rsidRPr="00F97222">
        <w:rPr>
          <w:lang w:val="en-GB"/>
        </w:rPr>
        <w:t>value is R$ 250,000.00. For</w:t>
      </w:r>
      <w:r w:rsidRPr="00BB33AC">
        <w:rPr>
          <w:lang w:val="en-GB"/>
        </w:rPr>
        <w:t xml:space="preserve"> more information about this, visit: http://www.fgc.org.br/</w:t>
      </w:r>
    </w:p>
  </w:footnote>
  <w:footnote w:id="3">
    <w:p w14:paraId="4F25F26E" w14:textId="77777777" w:rsidR="00754ABD" w:rsidRPr="00340E96" w:rsidRDefault="00754ABD" w:rsidP="00754ABD">
      <w:pPr>
        <w:pStyle w:val="Textodenotaderodap"/>
        <w:ind w:left="0" w:firstLine="0"/>
        <w:jc w:val="both"/>
        <w:rPr>
          <w:lang w:val="en-GB"/>
        </w:rPr>
      </w:pPr>
      <w:r>
        <w:rPr>
          <w:rStyle w:val="Refdenotaderodap"/>
        </w:rPr>
        <w:footnoteRef/>
      </w:r>
      <w:r w:rsidRPr="00340E96">
        <w:rPr>
          <w:lang w:val="en-GB"/>
        </w:rPr>
        <w:t xml:space="preserve"> </w:t>
      </w:r>
      <w:r>
        <w:rPr>
          <w:lang w:val="en-GB"/>
        </w:rPr>
        <w:t>This bond</w:t>
      </w:r>
      <w:r w:rsidRPr="006E52AD">
        <w:rPr>
          <w:lang w:val="en-GB"/>
        </w:rPr>
        <w:t xml:space="preserve"> is taken as a reference to the capital market brokers to </w:t>
      </w:r>
      <w:r>
        <w:rPr>
          <w:lang w:val="en-GB"/>
        </w:rPr>
        <w:t xml:space="preserve">define the </w:t>
      </w:r>
      <w:r w:rsidRPr="006E52AD">
        <w:rPr>
          <w:lang w:val="en-GB"/>
        </w:rPr>
        <w:t>expected</w:t>
      </w:r>
      <w:r>
        <w:rPr>
          <w:lang w:val="en-GB"/>
        </w:rPr>
        <w:t xml:space="preserve"> return</w:t>
      </w:r>
      <w:r w:rsidRPr="006E52AD">
        <w:rPr>
          <w:lang w:val="en-GB"/>
        </w:rPr>
        <w:t xml:space="preserve"> to be paid to its c</w:t>
      </w:r>
      <w:r>
        <w:rPr>
          <w:lang w:val="en-GB"/>
        </w:rPr>
        <w:t xml:space="preserve">ustomers. The final amount </w:t>
      </w:r>
      <w:r w:rsidRPr="006E52AD">
        <w:rPr>
          <w:lang w:val="en-GB"/>
        </w:rPr>
        <w:t xml:space="preserve">was deducted from the </w:t>
      </w:r>
      <w:r>
        <w:rPr>
          <w:lang w:val="en-GB"/>
        </w:rPr>
        <w:t>income tax</w:t>
      </w:r>
      <w:r w:rsidRPr="006E52AD">
        <w:rPr>
          <w:lang w:val="en-GB"/>
        </w:rPr>
        <w:t xml:space="preserve">. </w:t>
      </w:r>
      <w:r>
        <w:rPr>
          <w:lang w:val="en-GB"/>
        </w:rPr>
        <w:t xml:space="preserve">CDB </w:t>
      </w:r>
      <w:r w:rsidRPr="00340E96">
        <w:rPr>
          <w:lang w:val="en-GB"/>
        </w:rPr>
        <w:t>interest in 2005 was 17.56%.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BD"/>
    <w:rsid w:val="000614CF"/>
    <w:rsid w:val="0019036F"/>
    <w:rsid w:val="001E35D2"/>
    <w:rsid w:val="002E1642"/>
    <w:rsid w:val="002E5775"/>
    <w:rsid w:val="00533E1A"/>
    <w:rsid w:val="00754ABD"/>
    <w:rsid w:val="00831A2A"/>
    <w:rsid w:val="008415FB"/>
    <w:rsid w:val="008417F3"/>
    <w:rsid w:val="008568E2"/>
    <w:rsid w:val="00874FF3"/>
    <w:rsid w:val="009728FB"/>
    <w:rsid w:val="009B1318"/>
    <w:rsid w:val="00A053D8"/>
    <w:rsid w:val="00A16F7B"/>
    <w:rsid w:val="00A61B61"/>
    <w:rsid w:val="00AA147D"/>
    <w:rsid w:val="00B70AC2"/>
    <w:rsid w:val="00BA3BA5"/>
    <w:rsid w:val="00C04029"/>
    <w:rsid w:val="00CA5344"/>
    <w:rsid w:val="00D76618"/>
    <w:rsid w:val="00E11C45"/>
    <w:rsid w:val="00FE0503"/>
    <w:rsid w:val="00FF2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BD"/>
    <w:pPr>
      <w:spacing w:after="200" w:line="276" w:lineRule="auto"/>
    </w:pPr>
    <w:rPr>
      <w:rFonts w:ascii="Times New Roman" w:eastAsia="Calibri" w:hAnsi="Times New Roman" w:cs="Times New Roman"/>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754ABD"/>
    <w:rPr>
      <w:sz w:val="16"/>
      <w:szCs w:val="16"/>
    </w:rPr>
  </w:style>
  <w:style w:type="paragraph" w:styleId="Textodecomentrio">
    <w:name w:val="annotation text"/>
    <w:basedOn w:val="Normal"/>
    <w:link w:val="TextodecomentrioChar"/>
    <w:uiPriority w:val="99"/>
    <w:unhideWhenUsed/>
    <w:rsid w:val="00754ABD"/>
    <w:pPr>
      <w:spacing w:line="240" w:lineRule="auto"/>
    </w:pPr>
    <w:rPr>
      <w:rFonts w:ascii="Calibri" w:hAnsi="Calibri"/>
      <w:sz w:val="20"/>
      <w:szCs w:val="20"/>
      <w:lang w:val="en-US"/>
    </w:rPr>
  </w:style>
  <w:style w:type="character" w:customStyle="1" w:styleId="TextodecomentrioChar">
    <w:name w:val="Texto de comentário Char"/>
    <w:basedOn w:val="Fontepargpadro"/>
    <w:link w:val="Textodecomentrio"/>
    <w:uiPriority w:val="99"/>
    <w:rsid w:val="00754ABD"/>
    <w:rPr>
      <w:rFonts w:ascii="Calibri" w:eastAsia="Calibri" w:hAnsi="Calibri" w:cs="Times New Roman"/>
      <w:sz w:val="20"/>
      <w:szCs w:val="20"/>
    </w:rPr>
  </w:style>
  <w:style w:type="paragraph" w:styleId="Textodenotaderodap">
    <w:name w:val="footnote text"/>
    <w:basedOn w:val="Normal"/>
    <w:link w:val="TextodenotaderodapChar"/>
    <w:uiPriority w:val="99"/>
    <w:rsid w:val="00754ABD"/>
    <w:pPr>
      <w:widowControl w:val="0"/>
      <w:suppressLineNumbers/>
      <w:suppressAutoHyphens/>
      <w:spacing w:after="0" w:line="240" w:lineRule="auto"/>
      <w:ind w:left="283" w:hanging="283"/>
    </w:pPr>
    <w:rPr>
      <w:rFonts w:eastAsia="Times New Roman"/>
      <w:kern w:val="1"/>
      <w:sz w:val="20"/>
      <w:szCs w:val="20"/>
      <w:lang w:eastAsia="ar-SA"/>
    </w:rPr>
  </w:style>
  <w:style w:type="character" w:customStyle="1" w:styleId="TextodenotaderodapChar">
    <w:name w:val="Texto de nota de rodapé Char"/>
    <w:basedOn w:val="Fontepargpadro"/>
    <w:link w:val="Textodenotaderodap"/>
    <w:uiPriority w:val="99"/>
    <w:rsid w:val="00754ABD"/>
    <w:rPr>
      <w:rFonts w:ascii="Times New Roman" w:eastAsia="Times New Roman" w:hAnsi="Times New Roman" w:cs="Times New Roman"/>
      <w:kern w:val="1"/>
      <w:sz w:val="20"/>
      <w:szCs w:val="20"/>
      <w:lang w:val="pt-BR" w:eastAsia="ar-SA"/>
    </w:rPr>
  </w:style>
  <w:style w:type="character" w:styleId="Refdenotaderodap">
    <w:name w:val="footnote reference"/>
    <w:uiPriority w:val="99"/>
    <w:unhideWhenUsed/>
    <w:rsid w:val="00754ABD"/>
    <w:rPr>
      <w:vertAlign w:val="superscript"/>
    </w:rPr>
  </w:style>
  <w:style w:type="paragraph" w:styleId="Textodebalo">
    <w:name w:val="Balloon Text"/>
    <w:basedOn w:val="Normal"/>
    <w:link w:val="TextodebaloChar"/>
    <w:uiPriority w:val="99"/>
    <w:semiHidden/>
    <w:unhideWhenUsed/>
    <w:rsid w:val="00754ABD"/>
    <w:pPr>
      <w:spacing w:after="0" w:line="240" w:lineRule="auto"/>
    </w:pPr>
    <w:rPr>
      <w:sz w:val="18"/>
      <w:szCs w:val="18"/>
    </w:rPr>
  </w:style>
  <w:style w:type="character" w:customStyle="1" w:styleId="TextodebaloChar">
    <w:name w:val="Texto de balão Char"/>
    <w:basedOn w:val="Fontepargpadro"/>
    <w:link w:val="Textodebalo"/>
    <w:uiPriority w:val="99"/>
    <w:semiHidden/>
    <w:rsid w:val="00754ABD"/>
    <w:rPr>
      <w:rFonts w:ascii="Times New Roman" w:eastAsia="Calibri" w:hAnsi="Times New Roman" w:cs="Times New Roman"/>
      <w:sz w:val="18"/>
      <w:szCs w:val="1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ABD"/>
    <w:pPr>
      <w:spacing w:after="200" w:line="276" w:lineRule="auto"/>
    </w:pPr>
    <w:rPr>
      <w:rFonts w:ascii="Times New Roman" w:eastAsia="Calibri" w:hAnsi="Times New Roman" w:cs="Times New Roman"/>
      <w:sz w:val="22"/>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754ABD"/>
    <w:rPr>
      <w:sz w:val="16"/>
      <w:szCs w:val="16"/>
    </w:rPr>
  </w:style>
  <w:style w:type="paragraph" w:styleId="Textodecomentrio">
    <w:name w:val="annotation text"/>
    <w:basedOn w:val="Normal"/>
    <w:link w:val="TextodecomentrioChar"/>
    <w:uiPriority w:val="99"/>
    <w:unhideWhenUsed/>
    <w:rsid w:val="00754ABD"/>
    <w:pPr>
      <w:spacing w:line="240" w:lineRule="auto"/>
    </w:pPr>
    <w:rPr>
      <w:rFonts w:ascii="Calibri" w:hAnsi="Calibri"/>
      <w:sz w:val="20"/>
      <w:szCs w:val="20"/>
      <w:lang w:val="en-US"/>
    </w:rPr>
  </w:style>
  <w:style w:type="character" w:customStyle="1" w:styleId="TextodecomentrioChar">
    <w:name w:val="Texto de comentário Char"/>
    <w:basedOn w:val="Fontepargpadro"/>
    <w:link w:val="Textodecomentrio"/>
    <w:uiPriority w:val="99"/>
    <w:rsid w:val="00754ABD"/>
    <w:rPr>
      <w:rFonts w:ascii="Calibri" w:eastAsia="Calibri" w:hAnsi="Calibri" w:cs="Times New Roman"/>
      <w:sz w:val="20"/>
      <w:szCs w:val="20"/>
    </w:rPr>
  </w:style>
  <w:style w:type="paragraph" w:styleId="Textodenotaderodap">
    <w:name w:val="footnote text"/>
    <w:basedOn w:val="Normal"/>
    <w:link w:val="TextodenotaderodapChar"/>
    <w:uiPriority w:val="99"/>
    <w:rsid w:val="00754ABD"/>
    <w:pPr>
      <w:widowControl w:val="0"/>
      <w:suppressLineNumbers/>
      <w:suppressAutoHyphens/>
      <w:spacing w:after="0" w:line="240" w:lineRule="auto"/>
      <w:ind w:left="283" w:hanging="283"/>
    </w:pPr>
    <w:rPr>
      <w:rFonts w:eastAsia="Times New Roman"/>
      <w:kern w:val="1"/>
      <w:sz w:val="20"/>
      <w:szCs w:val="20"/>
      <w:lang w:eastAsia="ar-SA"/>
    </w:rPr>
  </w:style>
  <w:style w:type="character" w:customStyle="1" w:styleId="TextodenotaderodapChar">
    <w:name w:val="Texto de nota de rodapé Char"/>
    <w:basedOn w:val="Fontepargpadro"/>
    <w:link w:val="Textodenotaderodap"/>
    <w:uiPriority w:val="99"/>
    <w:rsid w:val="00754ABD"/>
    <w:rPr>
      <w:rFonts w:ascii="Times New Roman" w:eastAsia="Times New Roman" w:hAnsi="Times New Roman" w:cs="Times New Roman"/>
      <w:kern w:val="1"/>
      <w:sz w:val="20"/>
      <w:szCs w:val="20"/>
      <w:lang w:val="pt-BR" w:eastAsia="ar-SA"/>
    </w:rPr>
  </w:style>
  <w:style w:type="character" w:styleId="Refdenotaderodap">
    <w:name w:val="footnote reference"/>
    <w:uiPriority w:val="99"/>
    <w:unhideWhenUsed/>
    <w:rsid w:val="00754ABD"/>
    <w:rPr>
      <w:vertAlign w:val="superscript"/>
    </w:rPr>
  </w:style>
  <w:style w:type="paragraph" w:styleId="Textodebalo">
    <w:name w:val="Balloon Text"/>
    <w:basedOn w:val="Normal"/>
    <w:link w:val="TextodebaloChar"/>
    <w:uiPriority w:val="99"/>
    <w:semiHidden/>
    <w:unhideWhenUsed/>
    <w:rsid w:val="00754ABD"/>
    <w:pPr>
      <w:spacing w:after="0" w:line="240" w:lineRule="auto"/>
    </w:pPr>
    <w:rPr>
      <w:sz w:val="18"/>
      <w:szCs w:val="18"/>
    </w:rPr>
  </w:style>
  <w:style w:type="character" w:customStyle="1" w:styleId="TextodebaloChar">
    <w:name w:val="Texto de balão Char"/>
    <w:basedOn w:val="Fontepargpadro"/>
    <w:link w:val="Textodebalo"/>
    <w:uiPriority w:val="99"/>
    <w:semiHidden/>
    <w:rsid w:val="00754ABD"/>
    <w:rPr>
      <w:rFonts w:ascii="Times New Roman" w:eastAsia="Calibri" w:hAnsi="Times New Roman" w:cs="Times New Roman"/>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89380">
      <w:bodyDiv w:val="1"/>
      <w:marLeft w:val="0"/>
      <w:marRight w:val="0"/>
      <w:marTop w:val="0"/>
      <w:marBottom w:val="0"/>
      <w:divBdr>
        <w:top w:val="none" w:sz="0" w:space="0" w:color="auto"/>
        <w:left w:val="none" w:sz="0" w:space="0" w:color="auto"/>
        <w:bottom w:val="none" w:sz="0" w:space="0" w:color="auto"/>
        <w:right w:val="none" w:sz="0" w:space="0" w:color="auto"/>
      </w:divBdr>
    </w:div>
    <w:div w:id="1649238221">
      <w:bodyDiv w:val="1"/>
      <w:marLeft w:val="0"/>
      <w:marRight w:val="0"/>
      <w:marTop w:val="0"/>
      <w:marBottom w:val="0"/>
      <w:divBdr>
        <w:top w:val="none" w:sz="0" w:space="0" w:color="auto"/>
        <w:left w:val="none" w:sz="0" w:space="0" w:color="auto"/>
        <w:bottom w:val="none" w:sz="0" w:space="0" w:color="auto"/>
        <w:right w:val="none" w:sz="0" w:space="0" w:color="auto"/>
      </w:divBdr>
    </w:div>
    <w:div w:id="1940521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1241</Words>
  <Characters>7074</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Garrett</dc:creator>
  <cp:keywords/>
  <dc:description/>
  <cp:lastModifiedBy>Julio Cesar Reis</cp:lastModifiedBy>
  <cp:revision>14</cp:revision>
  <dcterms:created xsi:type="dcterms:W3CDTF">2018-05-09T18:30:00Z</dcterms:created>
  <dcterms:modified xsi:type="dcterms:W3CDTF">2019-07-09T18:02:00Z</dcterms:modified>
</cp:coreProperties>
</file>