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5459" w14:textId="77777777" w:rsidR="006B547D" w:rsidRPr="003474F7" w:rsidRDefault="006B547D" w:rsidP="006B547D">
      <w:pPr>
        <w:pStyle w:val="Heading1"/>
        <w:spacing w:before="0" w:after="0"/>
        <w:rPr>
          <w:lang w:val="en-US"/>
        </w:rPr>
      </w:pPr>
      <w:commentRangeStart w:id="0"/>
      <w:commentRangeStart w:id="1"/>
      <w:r>
        <w:rPr>
          <w:lang w:val="en-US"/>
        </w:rPr>
        <w:t>Appendix</w:t>
      </w:r>
      <w:commentRangeEnd w:id="0"/>
      <w:r>
        <w:rPr>
          <w:rStyle w:val="CommentReference"/>
          <w:rFonts w:eastAsiaTheme="minorEastAsia" w:cstheme="minorBidi"/>
          <w:b w:val="0"/>
        </w:rPr>
        <w:commentReference w:id="0"/>
      </w:r>
      <w:commentRangeEnd w:id="1"/>
      <w:r>
        <w:rPr>
          <w:rStyle w:val="CommentReference"/>
          <w:rFonts w:eastAsiaTheme="minorEastAsia" w:cstheme="minorBidi"/>
          <w:b w:val="0"/>
        </w:rPr>
        <w:commentReference w:id="1"/>
      </w:r>
      <w:r w:rsidRPr="003474F7">
        <w:rPr>
          <w:lang w:val="en-US"/>
        </w:rPr>
        <w:t xml:space="preserve">  – </w:t>
      </w:r>
      <w:r>
        <w:rPr>
          <w:lang w:val="en-US"/>
        </w:rPr>
        <w:t>Annual Reports</w:t>
      </w:r>
    </w:p>
    <w:p w14:paraId="5313D91C" w14:textId="77777777" w:rsidR="006B547D" w:rsidRDefault="006B547D" w:rsidP="006B547D">
      <w:pPr>
        <w:pStyle w:val="Prrafo1"/>
        <w:rPr>
          <w:color w:val="323E4F" w:themeColor="text2" w:themeShade="BF"/>
          <w:lang w:val="en-US"/>
        </w:rPr>
      </w:pPr>
      <w:r w:rsidRPr="003474F7">
        <w:rPr>
          <w:lang w:val="en-US"/>
        </w:rPr>
        <w:t xml:space="preserve">The chapter on the normative framework contains the approved norms regarding affirmative action to favor the Afro-descendant population in the workplace. This is illustrated in Table </w:t>
      </w:r>
      <w:r>
        <w:rPr>
          <w:lang w:val="en-US"/>
        </w:rPr>
        <w:t>A</w:t>
      </w:r>
      <w:r w:rsidRPr="003474F7">
        <w:rPr>
          <w:lang w:val="en-US"/>
        </w:rPr>
        <w:t>1</w:t>
      </w:r>
      <w:r w:rsidRPr="003474F7">
        <w:rPr>
          <w:color w:val="323E4F" w:themeColor="text2" w:themeShade="BF"/>
          <w:lang w:val="en-US"/>
        </w:rPr>
        <w:t>.</w:t>
      </w:r>
    </w:p>
    <w:p w14:paraId="5675397C" w14:textId="77777777" w:rsidR="001F2BFA" w:rsidRPr="003474F7" w:rsidRDefault="001F2BFA" w:rsidP="006B547D">
      <w:pPr>
        <w:pStyle w:val="Prrafo1"/>
        <w:rPr>
          <w:color w:val="323E4F" w:themeColor="text2" w:themeShade="BF"/>
          <w:lang w:val="en-US"/>
        </w:rPr>
      </w:pPr>
    </w:p>
    <w:p w14:paraId="3B7CEDE6" w14:textId="77777777" w:rsidR="006B547D" w:rsidRPr="001F2BFA" w:rsidRDefault="006B547D" w:rsidP="006B547D">
      <w:pPr>
        <w:pStyle w:val="Prrafo1"/>
        <w:rPr>
          <w:b/>
          <w:lang w:val="en-US"/>
        </w:rPr>
      </w:pPr>
      <w:r w:rsidRPr="001F2BFA">
        <w:rPr>
          <w:b/>
          <w:lang w:val="en-US"/>
        </w:rPr>
        <w:t xml:space="preserve">Table A1. </w:t>
      </w:r>
      <w:r w:rsidRPr="001F2BFA">
        <w:rPr>
          <w:bCs/>
          <w:lang w:val="en-US"/>
        </w:rPr>
        <w:t>Legislation relating to affirmative actions to favor the Afro-descendant population in the workplace</w:t>
      </w:r>
    </w:p>
    <w:tbl>
      <w:tblPr>
        <w:tblStyle w:val="TableGrid"/>
        <w:tblW w:w="0" w:type="auto"/>
        <w:jc w:val="center"/>
        <w:tblLook w:val="04A0" w:firstRow="1" w:lastRow="0" w:firstColumn="1" w:lastColumn="0" w:noHBand="0" w:noVBand="1"/>
      </w:tblPr>
      <w:tblGrid>
        <w:gridCol w:w="2405"/>
        <w:gridCol w:w="6945"/>
      </w:tblGrid>
      <w:tr w:rsidR="006B547D" w:rsidRPr="00BD2C84" w14:paraId="6026DB88" w14:textId="77777777" w:rsidTr="00B5795D">
        <w:trPr>
          <w:jc w:val="center"/>
        </w:trPr>
        <w:tc>
          <w:tcPr>
            <w:tcW w:w="2405" w:type="dxa"/>
          </w:tcPr>
          <w:p w14:paraId="42BF6B85" w14:textId="77777777" w:rsidR="006B547D" w:rsidRPr="00BD2C84" w:rsidRDefault="006B547D" w:rsidP="00B5795D">
            <w:pPr>
              <w:pStyle w:val="Cuadros"/>
              <w:spacing w:line="240" w:lineRule="auto"/>
              <w:rPr>
                <w:b/>
                <w:szCs w:val="20"/>
                <w:lang w:val="en-US"/>
              </w:rPr>
            </w:pPr>
            <w:r w:rsidRPr="00BD2C84">
              <w:rPr>
                <w:b/>
                <w:szCs w:val="20"/>
                <w:lang w:val="en-US"/>
              </w:rPr>
              <w:t>Legislation</w:t>
            </w:r>
          </w:p>
        </w:tc>
        <w:tc>
          <w:tcPr>
            <w:tcW w:w="6947" w:type="dxa"/>
          </w:tcPr>
          <w:p w14:paraId="448C946C" w14:textId="77777777" w:rsidR="006B547D" w:rsidRPr="00BD2C84" w:rsidRDefault="006B547D" w:rsidP="00B5795D">
            <w:pPr>
              <w:pStyle w:val="Cuadros"/>
              <w:spacing w:line="240" w:lineRule="auto"/>
              <w:rPr>
                <w:b/>
                <w:szCs w:val="20"/>
                <w:lang w:val="en-US"/>
              </w:rPr>
            </w:pPr>
            <w:r w:rsidRPr="00BD2C84">
              <w:rPr>
                <w:b/>
                <w:szCs w:val="20"/>
                <w:lang w:val="en-US"/>
              </w:rPr>
              <w:t>Content</w:t>
            </w:r>
          </w:p>
        </w:tc>
      </w:tr>
      <w:tr w:rsidR="006B547D" w:rsidRPr="00BD2C84" w14:paraId="2AE7147C" w14:textId="77777777" w:rsidTr="00B5795D">
        <w:trPr>
          <w:jc w:val="center"/>
        </w:trPr>
        <w:tc>
          <w:tcPr>
            <w:tcW w:w="2405" w:type="dxa"/>
          </w:tcPr>
          <w:p w14:paraId="4DC0EA9D" w14:textId="77777777" w:rsidR="006B547D" w:rsidRPr="00BD2C84" w:rsidRDefault="006B547D" w:rsidP="00B5795D">
            <w:pPr>
              <w:pStyle w:val="Cuadros"/>
              <w:spacing w:line="240" w:lineRule="auto"/>
              <w:rPr>
                <w:szCs w:val="20"/>
                <w:lang w:val="en-US"/>
              </w:rPr>
            </w:pPr>
            <w:r w:rsidRPr="00BD2C84">
              <w:rPr>
                <w:szCs w:val="20"/>
                <w:lang w:val="en-US"/>
              </w:rPr>
              <w:t>Law No. 19122 of</w:t>
            </w:r>
          </w:p>
          <w:p w14:paraId="7CF56CB0" w14:textId="77777777" w:rsidR="006B547D" w:rsidRPr="00BD2C84" w:rsidRDefault="006B547D" w:rsidP="00B5795D">
            <w:pPr>
              <w:pStyle w:val="Cuadros"/>
              <w:spacing w:line="240" w:lineRule="auto"/>
              <w:rPr>
                <w:szCs w:val="20"/>
                <w:lang w:val="en-US"/>
              </w:rPr>
            </w:pPr>
            <w:r w:rsidRPr="00BD2C84">
              <w:rPr>
                <w:szCs w:val="20"/>
                <w:lang w:val="en-US"/>
              </w:rPr>
              <w:t>21/08/2013</w:t>
            </w:r>
          </w:p>
        </w:tc>
        <w:tc>
          <w:tcPr>
            <w:tcW w:w="6947" w:type="dxa"/>
          </w:tcPr>
          <w:p w14:paraId="6E578C1A" w14:textId="77777777" w:rsidR="006B547D" w:rsidRPr="00BD2C84" w:rsidRDefault="006B547D" w:rsidP="00B5795D">
            <w:pPr>
              <w:pStyle w:val="Cuadros"/>
              <w:spacing w:line="240" w:lineRule="auto"/>
              <w:rPr>
                <w:szCs w:val="20"/>
                <w:lang w:val="en-US"/>
              </w:rPr>
            </w:pPr>
            <w:r w:rsidRPr="00BD2C84">
              <w:rPr>
                <w:szCs w:val="20"/>
                <w:lang w:val="en-US"/>
              </w:rPr>
              <w:t>This Law recognizes the discrimination and historical stigmatization of the Afro-descendant population in the country, which promotes affirmative actions. Among them, it establishes that the powers of the State, the Court of Auditors, the Electoral Commission, the Administrative Court, departmental governments, autonomous entities, decentralized services and persons under non-State public law are obliged to allocate 8% of the jobs to be filled in the year to Afro-descendant persons through public competitions. A period of 15 years is established from the promulgation of this Law. The Honorary Commission against Racism, Xenophobia and all Other Forms of Discrimination is created.</w:t>
            </w:r>
          </w:p>
          <w:p w14:paraId="2FA6BE81" w14:textId="77777777" w:rsidR="006B547D" w:rsidRPr="00BD2C84" w:rsidRDefault="006B547D" w:rsidP="00B5795D">
            <w:pPr>
              <w:pStyle w:val="Cuadros"/>
              <w:spacing w:line="240" w:lineRule="auto"/>
              <w:rPr>
                <w:szCs w:val="20"/>
                <w:lang w:val="en-US"/>
              </w:rPr>
            </w:pPr>
          </w:p>
        </w:tc>
      </w:tr>
      <w:tr w:rsidR="006B547D" w:rsidRPr="00BD2C84" w14:paraId="78DB0F77" w14:textId="77777777" w:rsidTr="00B5795D">
        <w:trPr>
          <w:jc w:val="center"/>
        </w:trPr>
        <w:tc>
          <w:tcPr>
            <w:tcW w:w="2405" w:type="dxa"/>
          </w:tcPr>
          <w:p w14:paraId="7E09A6AB" w14:textId="77777777" w:rsidR="006B547D" w:rsidRPr="00BD2C84" w:rsidRDefault="006B547D" w:rsidP="00B5795D">
            <w:pPr>
              <w:pStyle w:val="Cuadros"/>
              <w:spacing w:line="240" w:lineRule="auto"/>
              <w:rPr>
                <w:szCs w:val="20"/>
                <w:lang w:val="en-US"/>
              </w:rPr>
            </w:pPr>
            <w:r w:rsidRPr="00BD2C84">
              <w:rPr>
                <w:szCs w:val="20"/>
                <w:lang w:val="en-US"/>
              </w:rPr>
              <w:t>Section 23 Law No. 19133</w:t>
            </w:r>
          </w:p>
          <w:p w14:paraId="534BF537" w14:textId="77777777" w:rsidR="006B547D" w:rsidRPr="00BD2C84" w:rsidRDefault="006B547D" w:rsidP="00B5795D">
            <w:pPr>
              <w:pStyle w:val="Cuadros"/>
              <w:spacing w:line="240" w:lineRule="auto"/>
              <w:rPr>
                <w:szCs w:val="20"/>
                <w:lang w:val="en-US"/>
              </w:rPr>
            </w:pPr>
            <w:r w:rsidRPr="00BD2C84">
              <w:rPr>
                <w:szCs w:val="20"/>
                <w:lang w:val="en-US"/>
              </w:rPr>
              <w:t>(Youth employment)</w:t>
            </w:r>
          </w:p>
          <w:p w14:paraId="240B2C01" w14:textId="77777777" w:rsidR="006B547D" w:rsidRPr="00BD2C84" w:rsidRDefault="006B547D" w:rsidP="00B5795D">
            <w:pPr>
              <w:pStyle w:val="Cuadros"/>
              <w:spacing w:line="240" w:lineRule="auto"/>
              <w:rPr>
                <w:szCs w:val="20"/>
                <w:lang w:val="en-US"/>
              </w:rPr>
            </w:pPr>
            <w:r w:rsidRPr="00BD2C84">
              <w:rPr>
                <w:szCs w:val="20"/>
                <w:lang w:val="en-US"/>
              </w:rPr>
              <w:t>(20/9/2013) and Regulatory Decree 115/015</w:t>
            </w:r>
          </w:p>
          <w:p w14:paraId="5BA3E0DA" w14:textId="77777777" w:rsidR="006B547D" w:rsidRPr="00BD2C84" w:rsidRDefault="006B547D" w:rsidP="00B5795D">
            <w:pPr>
              <w:pStyle w:val="Cuadros"/>
              <w:spacing w:line="240" w:lineRule="auto"/>
              <w:rPr>
                <w:szCs w:val="20"/>
                <w:lang w:val="en-US"/>
              </w:rPr>
            </w:pPr>
          </w:p>
          <w:p w14:paraId="38F5F7C4" w14:textId="77777777" w:rsidR="006B547D" w:rsidRPr="00BD2C84" w:rsidRDefault="006B547D" w:rsidP="00B5795D">
            <w:pPr>
              <w:pStyle w:val="Cuadros"/>
              <w:spacing w:line="240" w:lineRule="auto"/>
              <w:rPr>
                <w:szCs w:val="20"/>
                <w:lang w:val="en-US"/>
              </w:rPr>
            </w:pPr>
            <w:r w:rsidRPr="00BD2C84">
              <w:rPr>
                <w:szCs w:val="20"/>
                <w:lang w:val="en-US"/>
              </w:rPr>
              <w:t>(27/04/2015)</w:t>
            </w:r>
          </w:p>
          <w:p w14:paraId="4F2EFB9C" w14:textId="77777777" w:rsidR="006B547D" w:rsidRPr="00BD2C84" w:rsidRDefault="006B547D" w:rsidP="00B5795D">
            <w:pPr>
              <w:pStyle w:val="Cuadros"/>
              <w:spacing w:line="240" w:lineRule="auto"/>
              <w:rPr>
                <w:szCs w:val="20"/>
                <w:lang w:val="en-US"/>
              </w:rPr>
            </w:pPr>
          </w:p>
        </w:tc>
        <w:tc>
          <w:tcPr>
            <w:tcW w:w="6947" w:type="dxa"/>
          </w:tcPr>
          <w:p w14:paraId="58776E9B" w14:textId="77777777" w:rsidR="006B547D" w:rsidRPr="00BD2C84" w:rsidRDefault="006B547D" w:rsidP="00B5795D">
            <w:pPr>
              <w:pStyle w:val="Cuadros"/>
              <w:spacing w:line="240" w:lineRule="auto"/>
              <w:rPr>
                <w:szCs w:val="20"/>
                <w:lang w:val="en-US"/>
              </w:rPr>
            </w:pPr>
            <w:r w:rsidRPr="00BD2C84">
              <w:rPr>
                <w:szCs w:val="20"/>
                <w:lang w:val="en-US"/>
              </w:rPr>
              <w:t>It promotes decent work for young people, linking employment, education and vocational training. It regulates the proportion of young people to be hired by State agencies and non-State public persons in the form of first work experience, fellows and interns, with a quota of 8% for the recruitment of young people of African descent.</w:t>
            </w:r>
          </w:p>
        </w:tc>
      </w:tr>
      <w:tr w:rsidR="006B547D" w:rsidRPr="00BD2C84" w14:paraId="3F1520BF" w14:textId="77777777" w:rsidTr="00B5795D">
        <w:trPr>
          <w:jc w:val="center"/>
        </w:trPr>
        <w:tc>
          <w:tcPr>
            <w:tcW w:w="2405" w:type="dxa"/>
          </w:tcPr>
          <w:p w14:paraId="06ED3C4C" w14:textId="77777777" w:rsidR="006B547D" w:rsidRPr="00BD2C84" w:rsidRDefault="006B547D" w:rsidP="00B5795D">
            <w:pPr>
              <w:pStyle w:val="Cuadros"/>
              <w:spacing w:line="240" w:lineRule="auto"/>
              <w:rPr>
                <w:szCs w:val="20"/>
                <w:lang w:val="en-US"/>
              </w:rPr>
            </w:pPr>
            <w:r w:rsidRPr="00BD2C84">
              <w:rPr>
                <w:szCs w:val="20"/>
                <w:lang w:val="en-US"/>
              </w:rPr>
              <w:t>Section 6 Law No. 19149</w:t>
            </w:r>
          </w:p>
          <w:p w14:paraId="562EF105" w14:textId="77777777" w:rsidR="006B547D" w:rsidRPr="00BD2C84" w:rsidRDefault="006B547D" w:rsidP="00B5795D">
            <w:pPr>
              <w:pStyle w:val="Cuadros"/>
              <w:spacing w:line="240" w:lineRule="auto"/>
              <w:rPr>
                <w:szCs w:val="20"/>
                <w:lang w:val="en-US"/>
              </w:rPr>
            </w:pPr>
            <w:r w:rsidRPr="00BD2C84">
              <w:rPr>
                <w:szCs w:val="20"/>
                <w:lang w:val="en-US"/>
              </w:rPr>
              <w:t>(11/11/2013)</w:t>
            </w:r>
          </w:p>
        </w:tc>
        <w:tc>
          <w:tcPr>
            <w:tcW w:w="6947" w:type="dxa"/>
          </w:tcPr>
          <w:p w14:paraId="61E13C9C" w14:textId="77777777" w:rsidR="006B547D" w:rsidRPr="00BD2C84" w:rsidRDefault="006B547D" w:rsidP="00B5795D">
            <w:pPr>
              <w:pStyle w:val="Cuadros"/>
              <w:spacing w:line="240" w:lineRule="auto"/>
              <w:rPr>
                <w:szCs w:val="20"/>
                <w:lang w:val="en-US"/>
              </w:rPr>
            </w:pPr>
            <w:r w:rsidRPr="00BD2C84">
              <w:rPr>
                <w:szCs w:val="20"/>
                <w:lang w:val="en-US"/>
              </w:rPr>
              <w:t xml:space="preserve">Section 6 incorporates into the aims of the ONSC the control of compliance with the quotas of positive discrimination determined by the specific rules in paragraphs 02 to 15. In case of non-compliance, the National Civil Service Office may not authorize competitions made through the Uruguay </w:t>
            </w:r>
            <w:proofErr w:type="spellStart"/>
            <w:r w:rsidRPr="00BD2C84">
              <w:rPr>
                <w:szCs w:val="20"/>
                <w:lang w:val="en-US"/>
              </w:rPr>
              <w:t>Concursa</w:t>
            </w:r>
            <w:proofErr w:type="spellEnd"/>
            <w:r w:rsidRPr="00BD2C84">
              <w:rPr>
                <w:szCs w:val="20"/>
                <w:lang w:val="en-US"/>
              </w:rPr>
              <w:t xml:space="preserve"> Recruitment and Selection System.</w:t>
            </w:r>
          </w:p>
          <w:p w14:paraId="18DF06D0" w14:textId="77777777" w:rsidR="006B547D" w:rsidRPr="00BD2C84" w:rsidRDefault="006B547D" w:rsidP="00B5795D">
            <w:pPr>
              <w:pStyle w:val="Cuadros"/>
              <w:spacing w:line="240" w:lineRule="auto"/>
              <w:rPr>
                <w:szCs w:val="20"/>
                <w:lang w:val="en-US"/>
              </w:rPr>
            </w:pPr>
          </w:p>
        </w:tc>
      </w:tr>
      <w:tr w:rsidR="006B547D" w:rsidRPr="00BD2C84" w14:paraId="01471BA9" w14:textId="77777777" w:rsidTr="00B5795D">
        <w:trPr>
          <w:jc w:val="center"/>
        </w:trPr>
        <w:tc>
          <w:tcPr>
            <w:tcW w:w="2405" w:type="dxa"/>
          </w:tcPr>
          <w:p w14:paraId="2896084B" w14:textId="77777777" w:rsidR="006B547D" w:rsidRPr="00BD2C84" w:rsidRDefault="006B547D" w:rsidP="00B5795D">
            <w:pPr>
              <w:pStyle w:val="Cuadros"/>
              <w:spacing w:line="240" w:lineRule="auto"/>
              <w:rPr>
                <w:szCs w:val="20"/>
                <w:lang w:val="en-US"/>
              </w:rPr>
            </w:pPr>
            <w:r w:rsidRPr="00BD2C84">
              <w:rPr>
                <w:szCs w:val="20"/>
                <w:lang w:val="en-US"/>
              </w:rPr>
              <w:t>Decree 144/014</w:t>
            </w:r>
          </w:p>
          <w:p w14:paraId="1EC8F4F9" w14:textId="77777777" w:rsidR="006B547D" w:rsidRPr="00BD2C84" w:rsidRDefault="006B547D" w:rsidP="00B5795D">
            <w:pPr>
              <w:pStyle w:val="Cuadros"/>
              <w:spacing w:line="240" w:lineRule="auto"/>
              <w:rPr>
                <w:szCs w:val="20"/>
                <w:lang w:val="en-US"/>
              </w:rPr>
            </w:pPr>
            <w:r w:rsidRPr="00BD2C84">
              <w:rPr>
                <w:szCs w:val="20"/>
                <w:lang w:val="en-US"/>
              </w:rPr>
              <w:t>(22/05/2014)</w:t>
            </w:r>
          </w:p>
        </w:tc>
        <w:tc>
          <w:tcPr>
            <w:tcW w:w="6947" w:type="dxa"/>
          </w:tcPr>
          <w:p w14:paraId="1E6AB220" w14:textId="77777777" w:rsidR="006B547D" w:rsidRPr="00BD2C84" w:rsidRDefault="006B547D" w:rsidP="00B5795D">
            <w:pPr>
              <w:pStyle w:val="Cuadros"/>
              <w:spacing w:line="240" w:lineRule="auto"/>
              <w:rPr>
                <w:szCs w:val="20"/>
                <w:lang w:val="en-US"/>
              </w:rPr>
            </w:pPr>
            <w:r w:rsidRPr="00BD2C84">
              <w:rPr>
                <w:szCs w:val="20"/>
                <w:lang w:val="en-US"/>
              </w:rPr>
              <w:t xml:space="preserve">The decree establishes the criterion of self-perception to define the race or ethnic ancestry of each person, following the criteria applied by the National Institute of Statistics. It regulates the procedure of drawings, if any, as well as an equitable distribution among the different grades. For </w:t>
            </w:r>
            <w:r>
              <w:rPr>
                <w:szCs w:val="20"/>
                <w:lang w:val="en-US"/>
              </w:rPr>
              <w:t>sub</w:t>
            </w:r>
            <w:r w:rsidRPr="00BD2C84">
              <w:rPr>
                <w:szCs w:val="20"/>
                <w:lang w:val="en-US"/>
              </w:rPr>
              <w:t>paragraphs 2 to 15 of the National Budget, it establishes the obligation to include, in the annual planning of their needs for human resources, the jobs to be filled by persons of African descent, specifying their description and the profiles required. This plan will be sent to the ONSC. It is stipulated that by December 31 of each year, all legal persons required to, shall inform the ONSC of the number of persons of African descent hired during the previous year, with a detail of the position occupied and any information that the Office may request. The calculation formula is set. The resulting figure will be rounded up.</w:t>
            </w:r>
          </w:p>
          <w:p w14:paraId="7E403BE7" w14:textId="77777777" w:rsidR="006B547D" w:rsidRPr="00BD2C84" w:rsidRDefault="006B547D" w:rsidP="00B5795D">
            <w:pPr>
              <w:pStyle w:val="Cuadros"/>
              <w:spacing w:line="240" w:lineRule="auto"/>
              <w:rPr>
                <w:szCs w:val="20"/>
                <w:lang w:val="en-US"/>
              </w:rPr>
            </w:pPr>
          </w:p>
        </w:tc>
      </w:tr>
      <w:tr w:rsidR="006B547D" w:rsidRPr="00BD2C84" w14:paraId="07315814" w14:textId="77777777" w:rsidTr="00B5795D">
        <w:trPr>
          <w:jc w:val="center"/>
        </w:trPr>
        <w:tc>
          <w:tcPr>
            <w:tcW w:w="2405" w:type="dxa"/>
          </w:tcPr>
          <w:p w14:paraId="1FFCD6EC" w14:textId="77777777" w:rsidR="006B547D" w:rsidRPr="00BD2C84" w:rsidRDefault="006B547D" w:rsidP="00B5795D">
            <w:pPr>
              <w:pStyle w:val="Cuadros"/>
              <w:spacing w:line="240" w:lineRule="auto"/>
              <w:rPr>
                <w:szCs w:val="20"/>
                <w:lang w:val="en-US"/>
              </w:rPr>
            </w:pPr>
            <w:r w:rsidRPr="00BD2C84">
              <w:rPr>
                <w:szCs w:val="20"/>
                <w:lang w:val="en-US"/>
              </w:rPr>
              <w:t>Section 4 Law No. 19438</w:t>
            </w:r>
          </w:p>
          <w:p w14:paraId="41CDDBE0" w14:textId="77777777" w:rsidR="006B547D" w:rsidRPr="00BD2C84" w:rsidRDefault="006B547D" w:rsidP="00B5795D">
            <w:pPr>
              <w:pStyle w:val="Cuadros"/>
              <w:spacing w:line="240" w:lineRule="auto"/>
              <w:rPr>
                <w:szCs w:val="20"/>
                <w:lang w:val="en-US"/>
              </w:rPr>
            </w:pPr>
            <w:r w:rsidRPr="00BD2C84">
              <w:rPr>
                <w:szCs w:val="20"/>
                <w:lang w:val="en-US"/>
              </w:rPr>
              <w:t>(14/10/2016)</w:t>
            </w:r>
          </w:p>
        </w:tc>
        <w:tc>
          <w:tcPr>
            <w:tcW w:w="6947" w:type="dxa"/>
          </w:tcPr>
          <w:p w14:paraId="1178F1F0" w14:textId="77777777" w:rsidR="006B547D" w:rsidRPr="00BD2C84" w:rsidRDefault="006B547D" w:rsidP="00B5795D">
            <w:pPr>
              <w:pStyle w:val="Cuadros"/>
              <w:spacing w:line="240" w:lineRule="auto"/>
              <w:rPr>
                <w:szCs w:val="20"/>
                <w:lang w:val="en-US"/>
              </w:rPr>
            </w:pPr>
            <w:r w:rsidRPr="00BD2C84">
              <w:rPr>
                <w:szCs w:val="20"/>
                <w:lang w:val="en-US"/>
              </w:rPr>
              <w:t xml:space="preserve">This section establishes that each time the public bodies covered by subparagraph 1 of section 49 of Law No. 18651, of 19 February 2010, and section 4 of Law No. 19122, of 21 August 2013, initiate the process of selecting staff to fill vacancies, </w:t>
            </w:r>
            <w:r w:rsidRPr="00BD2C84">
              <w:rPr>
                <w:szCs w:val="20"/>
                <w:lang w:val="en-US"/>
              </w:rPr>
              <w:lastRenderedPageBreak/>
              <w:t>they must expressly indicate the profile(s) to be covered by the positions, the functions and the budgetary credits involved in the fulfilment of these provisions. It also provides that subparagraphs 2 to 15 of the National Budget shall communicate to the National Civil Service Office and the General Accounting Office of the Nation the data arising from the budget in force by December 31 of the previous immediate year, concerning all permanent positions and contracted functions of any rank and grade, that meet the requirements of the regulations mentioned in this section, the total amount of budgetary credit corresponding to permanent positions and contracted functions, as well as the vacant positions and contracted functions that will be affected in order to meet the statutory minimum percentages.</w:t>
            </w:r>
          </w:p>
          <w:p w14:paraId="67E63FFA" w14:textId="77777777" w:rsidR="006B547D" w:rsidRPr="00BD2C84" w:rsidRDefault="006B547D" w:rsidP="00B5795D">
            <w:pPr>
              <w:pStyle w:val="Cuadros"/>
              <w:spacing w:line="240" w:lineRule="auto"/>
              <w:rPr>
                <w:szCs w:val="20"/>
                <w:lang w:val="en-US"/>
              </w:rPr>
            </w:pPr>
          </w:p>
        </w:tc>
      </w:tr>
    </w:tbl>
    <w:p w14:paraId="0B0CAD38" w14:textId="77777777" w:rsidR="006B547D" w:rsidRPr="00BD2C84" w:rsidRDefault="006B547D" w:rsidP="006B547D">
      <w:pPr>
        <w:pStyle w:val="PieCuadro"/>
        <w:spacing w:before="0"/>
        <w:ind w:hanging="1"/>
        <w:jc w:val="left"/>
        <w:rPr>
          <w:szCs w:val="20"/>
          <w:lang w:val="en-US"/>
        </w:rPr>
      </w:pPr>
      <w:r w:rsidRPr="00BD2C84">
        <w:rPr>
          <w:szCs w:val="20"/>
          <w:lang w:val="en-US"/>
        </w:rPr>
        <w:lastRenderedPageBreak/>
        <w:t>Data from 01-Jan-2019 to 31-Dec-2019. Source: ONSC (2019), p. 4.</w:t>
      </w:r>
    </w:p>
    <w:p w14:paraId="005DE86F" w14:textId="77777777" w:rsidR="006B547D" w:rsidRPr="003474F7" w:rsidRDefault="006B547D" w:rsidP="006B547D">
      <w:pPr>
        <w:pStyle w:val="Prrafo1"/>
        <w:jc w:val="center"/>
        <w:rPr>
          <w:lang w:val="en-US"/>
        </w:rPr>
      </w:pPr>
    </w:p>
    <w:p w14:paraId="2DAA8872" w14:textId="6A2B2A54" w:rsidR="006B547D" w:rsidRDefault="006B547D" w:rsidP="006B547D">
      <w:pPr>
        <w:rPr>
          <w:lang w:val="en-US"/>
        </w:rPr>
      </w:pPr>
      <w:r w:rsidRPr="003474F7">
        <w:rPr>
          <w:lang w:val="en-US"/>
        </w:rPr>
        <w:t xml:space="preserve">The chapter </w:t>
      </w:r>
      <w:r>
        <w:rPr>
          <w:lang w:val="en-US"/>
        </w:rPr>
        <w:t>“</w:t>
      </w:r>
      <w:r w:rsidRPr="003474F7">
        <w:rPr>
          <w:lang w:val="en-US"/>
        </w:rPr>
        <w:t>Organic grouping of State bodies and legal persons under non-State public law</w:t>
      </w:r>
      <w:r>
        <w:rPr>
          <w:lang w:val="en-US"/>
        </w:rPr>
        <w:t xml:space="preserve">” </w:t>
      </w:r>
      <w:r w:rsidRPr="003474F7">
        <w:rPr>
          <w:lang w:val="en-US"/>
        </w:rPr>
        <w:t xml:space="preserve">details who </w:t>
      </w:r>
      <w:r>
        <w:rPr>
          <w:lang w:val="en-US"/>
        </w:rPr>
        <w:t>is</w:t>
      </w:r>
      <w:r w:rsidRPr="003474F7">
        <w:rPr>
          <w:lang w:val="en-US"/>
        </w:rPr>
        <w:t xml:space="preserve"> required to apply this Law. </w:t>
      </w:r>
      <w:r>
        <w:rPr>
          <w:lang w:val="en-US"/>
        </w:rPr>
        <w:t xml:space="preserve">This </w:t>
      </w:r>
      <w:r w:rsidRPr="003474F7">
        <w:rPr>
          <w:lang w:val="en-US"/>
        </w:rPr>
        <w:t>includes the Legislative Branch, the Executive Branch, public bodies of section 220 of the Constitution, public bodies of section 221 of the Constitution, and departmental governments</w:t>
      </w:r>
      <w:r>
        <w:rPr>
          <w:lang w:val="en-US"/>
        </w:rPr>
        <w:t>.</w:t>
      </w:r>
    </w:p>
    <w:p w14:paraId="4C36E3B3" w14:textId="77777777" w:rsidR="001F2BFA" w:rsidRPr="003474F7" w:rsidRDefault="001F2BFA" w:rsidP="006B547D">
      <w:pPr>
        <w:rPr>
          <w:lang w:val="en-US"/>
        </w:rPr>
      </w:pPr>
    </w:p>
    <w:p w14:paraId="02415802" w14:textId="77777777" w:rsidR="006B547D" w:rsidRPr="001F2BFA" w:rsidRDefault="006B547D" w:rsidP="006B547D">
      <w:pPr>
        <w:pStyle w:val="Prrafo1"/>
        <w:rPr>
          <w:b/>
          <w:lang w:val="en-US"/>
        </w:rPr>
      </w:pPr>
      <w:r w:rsidRPr="001F2BFA">
        <w:rPr>
          <w:b/>
          <w:lang w:val="en-US"/>
        </w:rPr>
        <w:t xml:space="preserve">Table A2. </w:t>
      </w:r>
      <w:r w:rsidRPr="001F2BFA">
        <w:rPr>
          <w:bCs/>
          <w:lang w:val="en-US"/>
        </w:rPr>
        <w:t>Organic grouping of State entities</w:t>
      </w:r>
    </w:p>
    <w:tbl>
      <w:tblPr>
        <w:tblStyle w:val="TableGrid"/>
        <w:tblW w:w="0" w:type="auto"/>
        <w:jc w:val="center"/>
        <w:tblLook w:val="04A0" w:firstRow="1" w:lastRow="0" w:firstColumn="1" w:lastColumn="0" w:noHBand="0" w:noVBand="1"/>
      </w:tblPr>
      <w:tblGrid>
        <w:gridCol w:w="1838"/>
        <w:gridCol w:w="1539"/>
        <w:gridCol w:w="5529"/>
      </w:tblGrid>
      <w:tr w:rsidR="006B547D" w:rsidRPr="00314840" w14:paraId="4A2C9886" w14:textId="77777777" w:rsidTr="00B5795D">
        <w:trPr>
          <w:jc w:val="center"/>
        </w:trPr>
        <w:tc>
          <w:tcPr>
            <w:tcW w:w="1838" w:type="dxa"/>
          </w:tcPr>
          <w:p w14:paraId="1FD9F761" w14:textId="77777777" w:rsidR="006B547D" w:rsidRPr="00BD2C84" w:rsidRDefault="006B547D" w:rsidP="00B5795D">
            <w:pPr>
              <w:pStyle w:val="Cuadros"/>
              <w:spacing w:line="240" w:lineRule="auto"/>
              <w:rPr>
                <w:b/>
                <w:szCs w:val="20"/>
                <w:lang w:val="en-US"/>
              </w:rPr>
            </w:pPr>
            <w:r w:rsidRPr="00BD2C84">
              <w:rPr>
                <w:b/>
                <w:szCs w:val="20"/>
                <w:lang w:val="en-US"/>
              </w:rPr>
              <w:t>Classification</w:t>
            </w:r>
          </w:p>
        </w:tc>
        <w:tc>
          <w:tcPr>
            <w:tcW w:w="1539" w:type="dxa"/>
          </w:tcPr>
          <w:p w14:paraId="07F415FE" w14:textId="77777777" w:rsidR="006B547D" w:rsidRPr="00BD2C84" w:rsidRDefault="006B547D" w:rsidP="00B5795D">
            <w:pPr>
              <w:pStyle w:val="Cuadros"/>
              <w:spacing w:line="240" w:lineRule="auto"/>
              <w:rPr>
                <w:b/>
                <w:szCs w:val="20"/>
                <w:lang w:val="en-US"/>
              </w:rPr>
            </w:pPr>
            <w:r w:rsidRPr="00BD2C84">
              <w:rPr>
                <w:b/>
                <w:szCs w:val="20"/>
                <w:lang w:val="en-US"/>
              </w:rPr>
              <w:t>Subparagraphs</w:t>
            </w:r>
          </w:p>
        </w:tc>
        <w:tc>
          <w:tcPr>
            <w:tcW w:w="5529" w:type="dxa"/>
          </w:tcPr>
          <w:p w14:paraId="39FC5BE9" w14:textId="77777777" w:rsidR="006B547D" w:rsidRPr="00BD2C84" w:rsidRDefault="006B547D" w:rsidP="00B5795D">
            <w:pPr>
              <w:pStyle w:val="Cuadros"/>
              <w:spacing w:line="240" w:lineRule="auto"/>
              <w:rPr>
                <w:b/>
                <w:szCs w:val="20"/>
                <w:lang w:val="en-US"/>
              </w:rPr>
            </w:pPr>
            <w:r w:rsidRPr="00BD2C84">
              <w:rPr>
                <w:b/>
                <w:szCs w:val="20"/>
                <w:lang w:val="en-US"/>
              </w:rPr>
              <w:t>Public bodies</w:t>
            </w:r>
          </w:p>
          <w:p w14:paraId="215EBAAF" w14:textId="77777777" w:rsidR="006B547D" w:rsidRPr="00BD2C84" w:rsidRDefault="006B547D" w:rsidP="00B5795D">
            <w:pPr>
              <w:pStyle w:val="Cuadros"/>
              <w:spacing w:line="240" w:lineRule="auto"/>
              <w:rPr>
                <w:b/>
                <w:szCs w:val="20"/>
                <w:lang w:val="en-US"/>
              </w:rPr>
            </w:pPr>
          </w:p>
        </w:tc>
      </w:tr>
      <w:tr w:rsidR="006B547D" w:rsidRPr="00314840" w14:paraId="0581FC3C" w14:textId="77777777" w:rsidTr="00B5795D">
        <w:trPr>
          <w:jc w:val="center"/>
        </w:trPr>
        <w:tc>
          <w:tcPr>
            <w:tcW w:w="1838" w:type="dxa"/>
          </w:tcPr>
          <w:p w14:paraId="2BE43B6D" w14:textId="77777777" w:rsidR="006B547D" w:rsidRPr="00BD2C84" w:rsidRDefault="006B547D" w:rsidP="00B5795D">
            <w:pPr>
              <w:pStyle w:val="Cuadros"/>
              <w:spacing w:line="240" w:lineRule="auto"/>
              <w:rPr>
                <w:szCs w:val="20"/>
                <w:lang w:val="en-US"/>
              </w:rPr>
            </w:pPr>
            <w:r w:rsidRPr="00BD2C84">
              <w:rPr>
                <w:szCs w:val="20"/>
                <w:lang w:val="en-US"/>
              </w:rPr>
              <w:t>Legislative Branch</w:t>
            </w:r>
          </w:p>
        </w:tc>
        <w:tc>
          <w:tcPr>
            <w:tcW w:w="1539" w:type="dxa"/>
          </w:tcPr>
          <w:p w14:paraId="6DC889E7" w14:textId="77777777" w:rsidR="006B547D" w:rsidRPr="00BD2C84" w:rsidRDefault="006B547D" w:rsidP="00B5795D">
            <w:pPr>
              <w:pStyle w:val="Cuadros"/>
              <w:spacing w:line="240" w:lineRule="auto"/>
              <w:rPr>
                <w:szCs w:val="20"/>
                <w:lang w:val="en-US"/>
              </w:rPr>
            </w:pPr>
            <w:r w:rsidRPr="00BD2C84">
              <w:rPr>
                <w:szCs w:val="20"/>
                <w:lang w:val="en-US"/>
              </w:rPr>
              <w:t>01</w:t>
            </w:r>
          </w:p>
        </w:tc>
        <w:tc>
          <w:tcPr>
            <w:tcW w:w="5529" w:type="dxa"/>
          </w:tcPr>
          <w:p w14:paraId="415F63CB" w14:textId="77777777" w:rsidR="006B547D" w:rsidRPr="00BD2C84" w:rsidRDefault="006B547D" w:rsidP="00B5795D">
            <w:pPr>
              <w:pStyle w:val="Cuadros"/>
              <w:spacing w:line="240" w:lineRule="auto"/>
              <w:rPr>
                <w:szCs w:val="20"/>
                <w:lang w:val="en-US"/>
              </w:rPr>
            </w:pPr>
            <w:r w:rsidRPr="00BD2C84">
              <w:rPr>
                <w:szCs w:val="20"/>
                <w:lang w:val="en-US"/>
              </w:rPr>
              <w:t>Legislative Branch</w:t>
            </w:r>
          </w:p>
          <w:p w14:paraId="03844CC6" w14:textId="77777777" w:rsidR="006B547D" w:rsidRPr="00BD2C84" w:rsidRDefault="006B547D" w:rsidP="00B5795D">
            <w:pPr>
              <w:pStyle w:val="Cuadros"/>
              <w:spacing w:line="240" w:lineRule="auto"/>
              <w:rPr>
                <w:szCs w:val="20"/>
                <w:lang w:val="en-US"/>
              </w:rPr>
            </w:pPr>
          </w:p>
        </w:tc>
      </w:tr>
      <w:tr w:rsidR="006B547D" w:rsidRPr="00314840" w14:paraId="5069D420" w14:textId="77777777" w:rsidTr="00B5795D">
        <w:trPr>
          <w:jc w:val="center"/>
        </w:trPr>
        <w:tc>
          <w:tcPr>
            <w:tcW w:w="1838" w:type="dxa"/>
          </w:tcPr>
          <w:p w14:paraId="66B63507" w14:textId="77777777" w:rsidR="006B547D" w:rsidRPr="00BD2C84" w:rsidRDefault="006B547D" w:rsidP="00B5795D">
            <w:pPr>
              <w:pStyle w:val="Cuadros"/>
              <w:spacing w:line="240" w:lineRule="auto"/>
              <w:rPr>
                <w:szCs w:val="20"/>
                <w:lang w:val="en-US"/>
              </w:rPr>
            </w:pPr>
            <w:r w:rsidRPr="00BD2C84">
              <w:rPr>
                <w:szCs w:val="20"/>
                <w:lang w:val="en-US"/>
              </w:rPr>
              <w:t>Executive Branch</w:t>
            </w:r>
          </w:p>
        </w:tc>
        <w:tc>
          <w:tcPr>
            <w:tcW w:w="1539" w:type="dxa"/>
          </w:tcPr>
          <w:p w14:paraId="771D4653" w14:textId="77777777" w:rsidR="006B547D" w:rsidRPr="00BD2C84" w:rsidRDefault="006B547D" w:rsidP="00B5795D">
            <w:pPr>
              <w:pStyle w:val="Cuadros"/>
              <w:spacing w:line="240" w:lineRule="auto"/>
              <w:rPr>
                <w:szCs w:val="20"/>
                <w:lang w:val="en-US"/>
              </w:rPr>
            </w:pPr>
            <w:r w:rsidRPr="00BD2C84">
              <w:rPr>
                <w:szCs w:val="20"/>
                <w:lang w:val="en-US"/>
              </w:rPr>
              <w:t>02 to 15</w:t>
            </w:r>
          </w:p>
        </w:tc>
        <w:tc>
          <w:tcPr>
            <w:tcW w:w="5529" w:type="dxa"/>
          </w:tcPr>
          <w:p w14:paraId="391FD6DD" w14:textId="77777777" w:rsidR="006B547D" w:rsidRPr="00BD2C84" w:rsidRDefault="006B547D" w:rsidP="00B5795D">
            <w:pPr>
              <w:pStyle w:val="Cuadros"/>
              <w:spacing w:line="240" w:lineRule="auto"/>
              <w:rPr>
                <w:szCs w:val="20"/>
                <w:lang w:val="en-US"/>
              </w:rPr>
            </w:pPr>
            <w:r w:rsidRPr="00BD2C84">
              <w:rPr>
                <w:szCs w:val="20"/>
                <w:lang w:val="en-US"/>
              </w:rPr>
              <w:t>Presidency of the Republic and ministries</w:t>
            </w:r>
          </w:p>
          <w:p w14:paraId="1582A7BE" w14:textId="77777777" w:rsidR="006B547D" w:rsidRPr="00BD2C84" w:rsidRDefault="006B547D" w:rsidP="00B5795D">
            <w:pPr>
              <w:pStyle w:val="Cuadros"/>
              <w:spacing w:line="240" w:lineRule="auto"/>
              <w:rPr>
                <w:szCs w:val="20"/>
                <w:lang w:val="en-US"/>
              </w:rPr>
            </w:pPr>
          </w:p>
        </w:tc>
      </w:tr>
      <w:tr w:rsidR="006B547D" w:rsidRPr="00314840" w14:paraId="2412F98E" w14:textId="77777777" w:rsidTr="00B5795D">
        <w:trPr>
          <w:jc w:val="center"/>
        </w:trPr>
        <w:tc>
          <w:tcPr>
            <w:tcW w:w="1838" w:type="dxa"/>
          </w:tcPr>
          <w:p w14:paraId="06FBC0FF" w14:textId="77777777" w:rsidR="006B547D" w:rsidRPr="00BD2C84" w:rsidRDefault="006B547D" w:rsidP="00B5795D">
            <w:pPr>
              <w:pStyle w:val="Cuadros"/>
              <w:spacing w:line="240" w:lineRule="auto"/>
              <w:rPr>
                <w:szCs w:val="20"/>
                <w:lang w:val="en-US"/>
              </w:rPr>
            </w:pPr>
            <w:r w:rsidRPr="00BD2C84">
              <w:rPr>
                <w:szCs w:val="20"/>
                <w:lang w:val="en-US"/>
              </w:rPr>
              <w:t>Public Bodies of section 220 of the Constitution</w:t>
            </w:r>
          </w:p>
          <w:p w14:paraId="0327A34C" w14:textId="77777777" w:rsidR="006B547D" w:rsidRPr="00BD2C84" w:rsidRDefault="006B547D" w:rsidP="00B5795D">
            <w:pPr>
              <w:pStyle w:val="Cuadros"/>
              <w:spacing w:line="240" w:lineRule="auto"/>
              <w:rPr>
                <w:szCs w:val="20"/>
                <w:lang w:val="en-US"/>
              </w:rPr>
            </w:pPr>
          </w:p>
          <w:p w14:paraId="22B057FA" w14:textId="77777777" w:rsidR="006B547D" w:rsidRPr="00BD2C84" w:rsidRDefault="006B547D" w:rsidP="00B5795D">
            <w:pPr>
              <w:pStyle w:val="Cuadros"/>
              <w:spacing w:line="240" w:lineRule="auto"/>
              <w:rPr>
                <w:szCs w:val="20"/>
                <w:lang w:val="en-US"/>
              </w:rPr>
            </w:pPr>
          </w:p>
        </w:tc>
        <w:tc>
          <w:tcPr>
            <w:tcW w:w="1539" w:type="dxa"/>
          </w:tcPr>
          <w:p w14:paraId="622BE298" w14:textId="77777777" w:rsidR="006B547D" w:rsidRPr="00BD2C84" w:rsidRDefault="006B547D" w:rsidP="00B5795D">
            <w:pPr>
              <w:pStyle w:val="Cuadros"/>
              <w:spacing w:line="240" w:lineRule="auto"/>
              <w:rPr>
                <w:szCs w:val="20"/>
                <w:lang w:val="en-US"/>
              </w:rPr>
            </w:pPr>
            <w:r w:rsidRPr="00BD2C84">
              <w:rPr>
                <w:szCs w:val="20"/>
                <w:lang w:val="en-US"/>
              </w:rPr>
              <w:t>16 to 27, 29 and 31 to 35</w:t>
            </w:r>
          </w:p>
        </w:tc>
        <w:tc>
          <w:tcPr>
            <w:tcW w:w="5529" w:type="dxa"/>
          </w:tcPr>
          <w:p w14:paraId="48A0CAB8" w14:textId="77777777" w:rsidR="006B547D" w:rsidRPr="00BD2C84" w:rsidRDefault="006B547D" w:rsidP="00B5795D">
            <w:pPr>
              <w:pStyle w:val="Cuadros"/>
              <w:spacing w:line="240" w:lineRule="auto"/>
              <w:rPr>
                <w:szCs w:val="20"/>
                <w:lang w:val="en-US"/>
              </w:rPr>
            </w:pPr>
            <w:r w:rsidRPr="00BD2C84">
              <w:rPr>
                <w:szCs w:val="20"/>
                <w:lang w:val="en-US"/>
              </w:rPr>
              <w:t>Judicial Branch (PJ)</w:t>
            </w:r>
          </w:p>
          <w:p w14:paraId="5B8DC517" w14:textId="77777777" w:rsidR="006B547D" w:rsidRPr="00BD2C84" w:rsidRDefault="006B547D" w:rsidP="00B5795D">
            <w:pPr>
              <w:pStyle w:val="Cuadros"/>
              <w:spacing w:line="240" w:lineRule="auto"/>
              <w:rPr>
                <w:szCs w:val="20"/>
                <w:lang w:val="en-US"/>
              </w:rPr>
            </w:pPr>
            <w:r w:rsidRPr="00BD2C84">
              <w:rPr>
                <w:szCs w:val="20"/>
                <w:lang w:val="en-US"/>
              </w:rPr>
              <w:t>Court of Auditors (TCR)</w:t>
            </w:r>
          </w:p>
          <w:p w14:paraId="68CEF1CC" w14:textId="77777777" w:rsidR="006B547D" w:rsidRPr="00BD2C84" w:rsidRDefault="006B547D" w:rsidP="00B5795D">
            <w:pPr>
              <w:pStyle w:val="Cuadros"/>
              <w:spacing w:line="240" w:lineRule="auto"/>
              <w:rPr>
                <w:szCs w:val="20"/>
                <w:lang w:val="en-US"/>
              </w:rPr>
            </w:pPr>
            <w:r w:rsidRPr="00BD2C84">
              <w:rPr>
                <w:szCs w:val="20"/>
                <w:lang w:val="en-US"/>
              </w:rPr>
              <w:t>Electoral Commission (EC)</w:t>
            </w:r>
          </w:p>
          <w:p w14:paraId="661F1545" w14:textId="77777777" w:rsidR="006B547D" w:rsidRPr="00BD2C84" w:rsidRDefault="006B547D" w:rsidP="00B5795D">
            <w:pPr>
              <w:pStyle w:val="Cuadros"/>
              <w:spacing w:line="240" w:lineRule="auto"/>
              <w:rPr>
                <w:szCs w:val="20"/>
                <w:lang w:val="en-US"/>
              </w:rPr>
            </w:pPr>
            <w:r w:rsidRPr="00BD2C84">
              <w:rPr>
                <w:szCs w:val="20"/>
                <w:lang w:val="en-US"/>
              </w:rPr>
              <w:t>Administrative Court (TCA)</w:t>
            </w:r>
          </w:p>
          <w:p w14:paraId="517FE310" w14:textId="77777777" w:rsidR="006B547D" w:rsidRPr="00BD2C84" w:rsidRDefault="006B547D" w:rsidP="00B5795D">
            <w:pPr>
              <w:pStyle w:val="Cuadros"/>
              <w:spacing w:line="240" w:lineRule="auto"/>
              <w:rPr>
                <w:szCs w:val="20"/>
                <w:lang w:val="en-US"/>
              </w:rPr>
            </w:pPr>
            <w:r w:rsidRPr="00BD2C84">
              <w:rPr>
                <w:szCs w:val="20"/>
                <w:lang w:val="en-US"/>
              </w:rPr>
              <w:t>National Administration of Public Education (ANEP)</w:t>
            </w:r>
          </w:p>
          <w:p w14:paraId="3236C557" w14:textId="77777777" w:rsidR="006B547D" w:rsidRPr="00BD2C84" w:rsidRDefault="006B547D" w:rsidP="00B5795D">
            <w:pPr>
              <w:pStyle w:val="Cuadros"/>
              <w:spacing w:line="240" w:lineRule="auto"/>
              <w:rPr>
                <w:szCs w:val="20"/>
                <w:lang w:val="en-US"/>
              </w:rPr>
            </w:pPr>
            <w:r w:rsidRPr="00BD2C84">
              <w:rPr>
                <w:szCs w:val="20"/>
                <w:lang w:val="en-US"/>
              </w:rPr>
              <w:t>University of the Republic (</w:t>
            </w:r>
            <w:proofErr w:type="spellStart"/>
            <w:r w:rsidRPr="00BD2C84">
              <w:rPr>
                <w:szCs w:val="20"/>
                <w:lang w:val="en-US"/>
              </w:rPr>
              <w:t>UdelaR</w:t>
            </w:r>
            <w:proofErr w:type="spellEnd"/>
            <w:r w:rsidRPr="00BD2C84">
              <w:rPr>
                <w:szCs w:val="20"/>
                <w:lang w:val="en-US"/>
              </w:rPr>
              <w:t>)</w:t>
            </w:r>
          </w:p>
          <w:p w14:paraId="7A3D5CFD" w14:textId="77777777" w:rsidR="006B547D" w:rsidRPr="00BD2C84" w:rsidRDefault="006B547D" w:rsidP="00B5795D">
            <w:pPr>
              <w:pStyle w:val="Cuadros"/>
              <w:spacing w:line="240" w:lineRule="auto"/>
              <w:rPr>
                <w:szCs w:val="20"/>
                <w:lang w:val="en-US"/>
              </w:rPr>
            </w:pPr>
            <w:r w:rsidRPr="00BD2C84">
              <w:rPr>
                <w:szCs w:val="20"/>
                <w:lang w:val="en-US"/>
              </w:rPr>
              <w:t>Institute for Children and Adolescents of Uruguay (INAU)</w:t>
            </w:r>
          </w:p>
          <w:p w14:paraId="1F255391" w14:textId="77777777" w:rsidR="006B547D" w:rsidRPr="00BD2C84" w:rsidRDefault="006B547D" w:rsidP="00B5795D">
            <w:pPr>
              <w:pStyle w:val="Cuadros"/>
              <w:spacing w:line="240" w:lineRule="auto"/>
              <w:rPr>
                <w:szCs w:val="20"/>
                <w:lang w:val="en-US"/>
              </w:rPr>
            </w:pPr>
            <w:r w:rsidRPr="00BD2C84">
              <w:rPr>
                <w:szCs w:val="20"/>
                <w:lang w:val="en-US"/>
              </w:rPr>
              <w:t>State Health Services Administration (ASSE)</w:t>
            </w:r>
          </w:p>
          <w:p w14:paraId="7603ACAD" w14:textId="77777777" w:rsidR="006B547D" w:rsidRPr="00BD2C84" w:rsidRDefault="006B547D" w:rsidP="00B5795D">
            <w:pPr>
              <w:pStyle w:val="Cuadros"/>
              <w:spacing w:line="240" w:lineRule="auto"/>
              <w:rPr>
                <w:szCs w:val="20"/>
                <w:lang w:val="en-US"/>
              </w:rPr>
            </w:pPr>
            <w:r w:rsidRPr="00BD2C84">
              <w:rPr>
                <w:szCs w:val="20"/>
                <w:lang w:val="en-US"/>
              </w:rPr>
              <w:t>Technological University of Uruguay (UTEC)</w:t>
            </w:r>
          </w:p>
          <w:p w14:paraId="0604623C" w14:textId="77777777" w:rsidR="006B547D" w:rsidRPr="00BD2C84" w:rsidRDefault="006B547D" w:rsidP="00B5795D">
            <w:pPr>
              <w:pStyle w:val="Cuadros"/>
              <w:spacing w:line="240" w:lineRule="auto"/>
              <w:rPr>
                <w:szCs w:val="20"/>
                <w:lang w:val="en-US"/>
              </w:rPr>
            </w:pPr>
            <w:r w:rsidRPr="00BD2C84">
              <w:rPr>
                <w:szCs w:val="20"/>
                <w:lang w:val="en-US"/>
              </w:rPr>
              <w:t>Uruguayan Institute of Meteorology (INUMET)</w:t>
            </w:r>
          </w:p>
          <w:p w14:paraId="71395529" w14:textId="77777777" w:rsidR="006B547D" w:rsidRPr="00BD2C84" w:rsidRDefault="006B547D" w:rsidP="00B5795D">
            <w:pPr>
              <w:pStyle w:val="Cuadros"/>
              <w:spacing w:line="240" w:lineRule="auto"/>
              <w:rPr>
                <w:szCs w:val="20"/>
                <w:lang w:val="en-US"/>
              </w:rPr>
            </w:pPr>
            <w:r w:rsidRPr="00BD2C84">
              <w:rPr>
                <w:szCs w:val="20"/>
                <w:lang w:val="en-US"/>
              </w:rPr>
              <w:t>Office of the Attorney General</w:t>
            </w:r>
          </w:p>
          <w:p w14:paraId="3F84FD08" w14:textId="77777777" w:rsidR="006B547D" w:rsidRPr="00BD2C84" w:rsidRDefault="006B547D" w:rsidP="00B5795D">
            <w:pPr>
              <w:pStyle w:val="Cuadros"/>
              <w:spacing w:line="240" w:lineRule="auto"/>
              <w:rPr>
                <w:szCs w:val="20"/>
                <w:lang w:val="en-US"/>
              </w:rPr>
            </w:pPr>
            <w:r w:rsidRPr="00BD2C84">
              <w:rPr>
                <w:szCs w:val="20"/>
                <w:lang w:val="en-US"/>
              </w:rPr>
              <w:t>Board of Transparency and Public Ethics (JUTEP)</w:t>
            </w:r>
          </w:p>
          <w:p w14:paraId="6BEBEE66" w14:textId="77777777" w:rsidR="006B547D" w:rsidRPr="00BD2C84" w:rsidRDefault="006B547D" w:rsidP="00B5795D">
            <w:pPr>
              <w:pStyle w:val="Cuadros"/>
              <w:spacing w:line="240" w:lineRule="auto"/>
              <w:rPr>
                <w:szCs w:val="20"/>
                <w:lang w:val="en-US"/>
              </w:rPr>
            </w:pPr>
            <w:r w:rsidRPr="00BD2C84">
              <w:rPr>
                <w:szCs w:val="20"/>
                <w:lang w:val="en-US"/>
              </w:rPr>
              <w:t>National Institute for Adolescent Social Inclusion (INISA)</w:t>
            </w:r>
          </w:p>
          <w:p w14:paraId="5525BEBB" w14:textId="77777777" w:rsidR="006B547D" w:rsidRPr="00BD2C84" w:rsidRDefault="006B547D" w:rsidP="00B5795D">
            <w:pPr>
              <w:pStyle w:val="Cuadros"/>
              <w:spacing w:line="240" w:lineRule="auto"/>
              <w:rPr>
                <w:szCs w:val="20"/>
                <w:lang w:val="en-US"/>
              </w:rPr>
            </w:pPr>
          </w:p>
        </w:tc>
      </w:tr>
      <w:tr w:rsidR="006B547D" w:rsidRPr="00314840" w14:paraId="46CFC407" w14:textId="77777777" w:rsidTr="00B5795D">
        <w:trPr>
          <w:jc w:val="center"/>
        </w:trPr>
        <w:tc>
          <w:tcPr>
            <w:tcW w:w="1838" w:type="dxa"/>
          </w:tcPr>
          <w:p w14:paraId="06FC8C77" w14:textId="77777777" w:rsidR="006B547D" w:rsidRPr="00BD2C84" w:rsidRDefault="006B547D" w:rsidP="00B5795D">
            <w:pPr>
              <w:pStyle w:val="Cuadros"/>
              <w:spacing w:line="240" w:lineRule="auto"/>
              <w:rPr>
                <w:szCs w:val="20"/>
                <w:lang w:val="en-US"/>
              </w:rPr>
            </w:pPr>
            <w:r w:rsidRPr="00BD2C84">
              <w:rPr>
                <w:szCs w:val="20"/>
                <w:lang w:val="en-US"/>
              </w:rPr>
              <w:t>Public Bodies of section 221 of the Constitution</w:t>
            </w:r>
          </w:p>
          <w:p w14:paraId="21A55679" w14:textId="77777777" w:rsidR="006B547D" w:rsidRPr="00BD2C84" w:rsidRDefault="006B547D" w:rsidP="00B5795D">
            <w:pPr>
              <w:pStyle w:val="Cuadros"/>
              <w:spacing w:line="240" w:lineRule="auto"/>
              <w:rPr>
                <w:szCs w:val="20"/>
                <w:lang w:val="en-US"/>
              </w:rPr>
            </w:pPr>
          </w:p>
          <w:p w14:paraId="5EF31DFF" w14:textId="77777777" w:rsidR="006B547D" w:rsidRPr="00BD2C84" w:rsidRDefault="006B547D" w:rsidP="00B5795D">
            <w:pPr>
              <w:pStyle w:val="Cuadros"/>
              <w:spacing w:line="240" w:lineRule="auto"/>
              <w:rPr>
                <w:szCs w:val="20"/>
                <w:lang w:val="en-US"/>
              </w:rPr>
            </w:pPr>
          </w:p>
        </w:tc>
        <w:tc>
          <w:tcPr>
            <w:tcW w:w="1539" w:type="dxa"/>
          </w:tcPr>
          <w:p w14:paraId="2FD2A8C3" w14:textId="77777777" w:rsidR="006B547D" w:rsidRPr="00BD2C84" w:rsidRDefault="006B547D" w:rsidP="00B5795D">
            <w:pPr>
              <w:pStyle w:val="Cuadros"/>
              <w:spacing w:line="240" w:lineRule="auto"/>
              <w:rPr>
                <w:szCs w:val="20"/>
                <w:lang w:val="en-US"/>
              </w:rPr>
            </w:pPr>
            <w:r w:rsidRPr="00BD2C84">
              <w:rPr>
                <w:szCs w:val="20"/>
                <w:lang w:val="en-US"/>
              </w:rPr>
              <w:t>28 and 50</w:t>
            </w:r>
          </w:p>
          <w:p w14:paraId="3FA1149C" w14:textId="77777777" w:rsidR="006B547D" w:rsidRPr="00BD2C84" w:rsidRDefault="006B547D" w:rsidP="00B5795D">
            <w:pPr>
              <w:pStyle w:val="Cuadros"/>
              <w:spacing w:line="240" w:lineRule="auto"/>
              <w:rPr>
                <w:szCs w:val="20"/>
                <w:lang w:val="en-US"/>
              </w:rPr>
            </w:pPr>
            <w:r w:rsidRPr="00BD2C84">
              <w:rPr>
                <w:szCs w:val="20"/>
                <w:lang w:val="en-US"/>
              </w:rPr>
              <w:t>to 70</w:t>
            </w:r>
          </w:p>
        </w:tc>
        <w:tc>
          <w:tcPr>
            <w:tcW w:w="5529" w:type="dxa"/>
          </w:tcPr>
          <w:p w14:paraId="21A0815C" w14:textId="77777777" w:rsidR="006B547D" w:rsidRPr="00BD2C84" w:rsidRDefault="006B547D" w:rsidP="00B5795D">
            <w:pPr>
              <w:pStyle w:val="Cuadros"/>
              <w:spacing w:line="240" w:lineRule="auto"/>
              <w:rPr>
                <w:szCs w:val="20"/>
                <w:lang w:val="en-US"/>
              </w:rPr>
            </w:pPr>
            <w:r w:rsidRPr="00BD2C84">
              <w:rPr>
                <w:szCs w:val="20"/>
                <w:lang w:val="en-US"/>
              </w:rPr>
              <w:t>Social Security Bank (BPS)</w:t>
            </w:r>
          </w:p>
          <w:p w14:paraId="258F7459" w14:textId="77777777" w:rsidR="006B547D" w:rsidRPr="00BD2C84" w:rsidRDefault="006B547D" w:rsidP="00B5795D">
            <w:pPr>
              <w:pStyle w:val="Cuadros"/>
              <w:spacing w:line="240" w:lineRule="auto"/>
              <w:rPr>
                <w:szCs w:val="20"/>
                <w:lang w:val="en-US"/>
              </w:rPr>
            </w:pPr>
            <w:r w:rsidRPr="00BD2C84">
              <w:rPr>
                <w:szCs w:val="20"/>
                <w:lang w:val="en-US"/>
              </w:rPr>
              <w:t>Central Bank of Uruguay (BCU)</w:t>
            </w:r>
          </w:p>
          <w:p w14:paraId="0B6F5094" w14:textId="77777777" w:rsidR="006B547D" w:rsidRPr="00BD2C84" w:rsidRDefault="006B547D" w:rsidP="00B5795D">
            <w:pPr>
              <w:pStyle w:val="Cuadros"/>
              <w:spacing w:line="240" w:lineRule="auto"/>
              <w:rPr>
                <w:szCs w:val="20"/>
                <w:lang w:val="en-US"/>
              </w:rPr>
            </w:pPr>
            <w:r w:rsidRPr="00BD2C84">
              <w:rPr>
                <w:szCs w:val="20"/>
                <w:lang w:val="en-US"/>
              </w:rPr>
              <w:t>Bank of the Republic of Uruguay (BROU)</w:t>
            </w:r>
          </w:p>
          <w:p w14:paraId="4872F3DD" w14:textId="77777777" w:rsidR="006B547D" w:rsidRPr="00BD2C84" w:rsidRDefault="006B547D" w:rsidP="00B5795D">
            <w:pPr>
              <w:pStyle w:val="Cuadros"/>
              <w:spacing w:line="240" w:lineRule="auto"/>
              <w:rPr>
                <w:szCs w:val="20"/>
                <w:lang w:val="en-US"/>
              </w:rPr>
            </w:pPr>
            <w:r w:rsidRPr="00BD2C84">
              <w:rPr>
                <w:szCs w:val="20"/>
                <w:lang w:val="en-US"/>
              </w:rPr>
              <w:t>Mortgage Bank of Uruguay (BHU)</w:t>
            </w:r>
          </w:p>
          <w:p w14:paraId="7D0244AA" w14:textId="77777777" w:rsidR="006B547D" w:rsidRPr="00BD2C84" w:rsidRDefault="006B547D" w:rsidP="00B5795D">
            <w:pPr>
              <w:pStyle w:val="Cuadros"/>
              <w:spacing w:line="240" w:lineRule="auto"/>
              <w:rPr>
                <w:szCs w:val="20"/>
                <w:lang w:val="en-US"/>
              </w:rPr>
            </w:pPr>
            <w:r w:rsidRPr="00BD2C84">
              <w:rPr>
                <w:szCs w:val="20"/>
                <w:lang w:val="en-US"/>
              </w:rPr>
              <w:t>State Insurance Bank (BSE)</w:t>
            </w:r>
          </w:p>
          <w:p w14:paraId="5B1136BA" w14:textId="77777777" w:rsidR="006B547D" w:rsidRPr="00BD2C84" w:rsidRDefault="006B547D" w:rsidP="00B5795D">
            <w:pPr>
              <w:pStyle w:val="Cuadros"/>
              <w:spacing w:line="240" w:lineRule="auto"/>
              <w:rPr>
                <w:szCs w:val="20"/>
                <w:lang w:val="en-US"/>
              </w:rPr>
            </w:pPr>
            <w:r w:rsidRPr="00BD2C84">
              <w:rPr>
                <w:szCs w:val="20"/>
                <w:lang w:val="en-US"/>
              </w:rPr>
              <w:t>National Administration of Fuel, Alcohol and Portland</w:t>
            </w:r>
          </w:p>
          <w:p w14:paraId="3E6D58E9" w14:textId="77777777" w:rsidR="006B547D" w:rsidRPr="00BD2C84" w:rsidRDefault="006B547D" w:rsidP="00B5795D">
            <w:pPr>
              <w:pStyle w:val="Cuadros"/>
              <w:spacing w:line="240" w:lineRule="auto"/>
              <w:rPr>
                <w:szCs w:val="20"/>
                <w:lang w:val="en-US"/>
              </w:rPr>
            </w:pPr>
            <w:r w:rsidRPr="00BD2C84">
              <w:rPr>
                <w:szCs w:val="20"/>
                <w:lang w:val="en-US"/>
              </w:rPr>
              <w:lastRenderedPageBreak/>
              <w:t>(ANCAP)</w:t>
            </w:r>
          </w:p>
          <w:p w14:paraId="03F8A63C" w14:textId="77777777" w:rsidR="006B547D" w:rsidRPr="00BD2C84" w:rsidRDefault="006B547D" w:rsidP="00B5795D">
            <w:pPr>
              <w:pStyle w:val="Cuadros"/>
              <w:spacing w:line="240" w:lineRule="auto"/>
              <w:rPr>
                <w:szCs w:val="20"/>
                <w:lang w:val="en-US"/>
              </w:rPr>
            </w:pPr>
            <w:r w:rsidRPr="00BD2C84">
              <w:rPr>
                <w:szCs w:val="20"/>
                <w:lang w:val="en-US"/>
              </w:rPr>
              <w:t>National Administration of Power Plants and Power Transfer (UTE)</w:t>
            </w:r>
          </w:p>
          <w:p w14:paraId="750DF920" w14:textId="77777777" w:rsidR="006B547D" w:rsidRPr="00BD2C84" w:rsidRDefault="006B547D" w:rsidP="00B5795D">
            <w:pPr>
              <w:pStyle w:val="Cuadros"/>
              <w:spacing w:line="240" w:lineRule="auto"/>
              <w:rPr>
                <w:szCs w:val="20"/>
                <w:lang w:val="en-US"/>
              </w:rPr>
            </w:pPr>
            <w:r w:rsidRPr="00BD2C84">
              <w:rPr>
                <w:szCs w:val="20"/>
                <w:lang w:val="en-US"/>
              </w:rPr>
              <w:t>National Administration of Railways (AFE)</w:t>
            </w:r>
          </w:p>
          <w:p w14:paraId="341B3CB5" w14:textId="77777777" w:rsidR="006B547D" w:rsidRPr="00BD2C84" w:rsidRDefault="006B547D" w:rsidP="00B5795D">
            <w:pPr>
              <w:pStyle w:val="Cuadros"/>
              <w:spacing w:line="240" w:lineRule="auto"/>
              <w:rPr>
                <w:szCs w:val="20"/>
                <w:lang w:val="en-US"/>
              </w:rPr>
            </w:pPr>
            <w:r w:rsidRPr="00BD2C84">
              <w:rPr>
                <w:szCs w:val="20"/>
                <w:lang w:val="en-US"/>
              </w:rPr>
              <w:t>National Administration of Ports (ANP)</w:t>
            </w:r>
          </w:p>
          <w:p w14:paraId="13F4BDCE" w14:textId="77777777" w:rsidR="006B547D" w:rsidRPr="00BD2C84" w:rsidRDefault="006B547D" w:rsidP="00B5795D">
            <w:pPr>
              <w:pStyle w:val="Cuadros"/>
              <w:spacing w:line="240" w:lineRule="auto"/>
              <w:rPr>
                <w:szCs w:val="20"/>
                <w:lang w:val="en-US"/>
              </w:rPr>
            </w:pPr>
            <w:r w:rsidRPr="00BD2C84">
              <w:rPr>
                <w:szCs w:val="20"/>
                <w:lang w:val="en-US"/>
              </w:rPr>
              <w:t>National Administration of Telecommunications (ANTEL)</w:t>
            </w:r>
          </w:p>
          <w:p w14:paraId="2F223758" w14:textId="77777777" w:rsidR="006B547D" w:rsidRPr="00BD2C84" w:rsidRDefault="006B547D" w:rsidP="00B5795D">
            <w:pPr>
              <w:pStyle w:val="Cuadros"/>
              <w:spacing w:line="240" w:lineRule="auto"/>
              <w:rPr>
                <w:szCs w:val="20"/>
                <w:lang w:val="en-US"/>
              </w:rPr>
            </w:pPr>
            <w:r w:rsidRPr="00BD2C84">
              <w:rPr>
                <w:szCs w:val="20"/>
                <w:lang w:val="en-US"/>
              </w:rPr>
              <w:t>National Administration of Water Works (OSE)</w:t>
            </w:r>
          </w:p>
          <w:p w14:paraId="4EB1E497" w14:textId="77777777" w:rsidR="006B547D" w:rsidRPr="00BD2C84" w:rsidRDefault="006B547D" w:rsidP="00B5795D">
            <w:pPr>
              <w:pStyle w:val="Cuadros"/>
              <w:spacing w:line="240" w:lineRule="auto"/>
              <w:rPr>
                <w:szCs w:val="20"/>
                <w:lang w:val="en-US"/>
              </w:rPr>
            </w:pPr>
            <w:r w:rsidRPr="00BD2C84">
              <w:rPr>
                <w:szCs w:val="20"/>
                <w:lang w:val="en-US"/>
              </w:rPr>
              <w:t>National Post Office Administration (ANC)</w:t>
            </w:r>
          </w:p>
          <w:p w14:paraId="199B427C" w14:textId="77777777" w:rsidR="006B547D" w:rsidRPr="00BD2C84" w:rsidRDefault="006B547D" w:rsidP="00B5795D">
            <w:pPr>
              <w:pStyle w:val="Cuadros"/>
              <w:spacing w:line="240" w:lineRule="auto"/>
              <w:rPr>
                <w:szCs w:val="20"/>
                <w:lang w:val="en-US"/>
              </w:rPr>
            </w:pPr>
            <w:r w:rsidRPr="00BD2C84">
              <w:rPr>
                <w:szCs w:val="20"/>
                <w:lang w:val="en-US"/>
              </w:rPr>
              <w:t>National Housing Agency (ANV)</w:t>
            </w:r>
          </w:p>
          <w:p w14:paraId="7452496A" w14:textId="77777777" w:rsidR="006B547D" w:rsidRPr="00BD2C84" w:rsidRDefault="006B547D" w:rsidP="00B5795D">
            <w:pPr>
              <w:pStyle w:val="Cuadros"/>
              <w:spacing w:line="240" w:lineRule="auto"/>
              <w:rPr>
                <w:szCs w:val="20"/>
                <w:lang w:val="en-US"/>
              </w:rPr>
            </w:pPr>
            <w:r w:rsidRPr="00BD2C84">
              <w:rPr>
                <w:szCs w:val="20"/>
                <w:lang w:val="en-US"/>
              </w:rPr>
              <w:t>National Institute of Colonization (INC)</w:t>
            </w:r>
          </w:p>
          <w:p w14:paraId="13D75475" w14:textId="77777777" w:rsidR="006B547D" w:rsidRPr="00BD2C84" w:rsidRDefault="006B547D" w:rsidP="00B5795D">
            <w:pPr>
              <w:pStyle w:val="Cuadros"/>
              <w:spacing w:line="240" w:lineRule="auto"/>
              <w:rPr>
                <w:szCs w:val="20"/>
                <w:lang w:val="en-US"/>
              </w:rPr>
            </w:pPr>
          </w:p>
        </w:tc>
      </w:tr>
      <w:tr w:rsidR="006B547D" w:rsidRPr="00314840" w14:paraId="4B07DBEB" w14:textId="77777777" w:rsidTr="00B5795D">
        <w:trPr>
          <w:jc w:val="center"/>
        </w:trPr>
        <w:tc>
          <w:tcPr>
            <w:tcW w:w="1838" w:type="dxa"/>
          </w:tcPr>
          <w:p w14:paraId="2BA00AE0" w14:textId="77777777" w:rsidR="006B547D" w:rsidRPr="00BD2C84" w:rsidRDefault="006B547D" w:rsidP="00B5795D">
            <w:pPr>
              <w:pStyle w:val="Cuadros"/>
              <w:spacing w:line="240" w:lineRule="auto"/>
              <w:rPr>
                <w:szCs w:val="20"/>
                <w:lang w:val="en-US"/>
              </w:rPr>
            </w:pPr>
            <w:r w:rsidRPr="00BD2C84">
              <w:rPr>
                <w:szCs w:val="20"/>
                <w:lang w:val="en-US"/>
              </w:rPr>
              <w:lastRenderedPageBreak/>
              <w:t>Local governments</w:t>
            </w:r>
          </w:p>
        </w:tc>
        <w:tc>
          <w:tcPr>
            <w:tcW w:w="1539" w:type="dxa"/>
          </w:tcPr>
          <w:p w14:paraId="35CDEE0B" w14:textId="77777777" w:rsidR="006B547D" w:rsidRPr="00BD2C84" w:rsidRDefault="006B547D" w:rsidP="00B5795D">
            <w:pPr>
              <w:pStyle w:val="Cuadros"/>
              <w:spacing w:line="240" w:lineRule="auto"/>
              <w:rPr>
                <w:szCs w:val="20"/>
                <w:lang w:val="en-US"/>
              </w:rPr>
            </w:pPr>
            <w:r w:rsidRPr="00BD2C84">
              <w:rPr>
                <w:szCs w:val="20"/>
                <w:lang w:val="en-US"/>
              </w:rPr>
              <w:t>80 to 98</w:t>
            </w:r>
          </w:p>
        </w:tc>
        <w:tc>
          <w:tcPr>
            <w:tcW w:w="5529" w:type="dxa"/>
          </w:tcPr>
          <w:p w14:paraId="3831FE74" w14:textId="77777777" w:rsidR="006B547D" w:rsidRPr="00BD2C84" w:rsidRDefault="006B547D" w:rsidP="00B5795D">
            <w:pPr>
              <w:pStyle w:val="Cuadros"/>
              <w:spacing w:line="240" w:lineRule="auto"/>
              <w:rPr>
                <w:szCs w:val="20"/>
                <w:lang w:val="en-US"/>
              </w:rPr>
            </w:pPr>
            <w:r w:rsidRPr="00BD2C84">
              <w:rPr>
                <w:szCs w:val="20"/>
                <w:lang w:val="en-US"/>
              </w:rPr>
              <w:t>Departmental governments</w:t>
            </w:r>
          </w:p>
          <w:p w14:paraId="70FB758A" w14:textId="77777777" w:rsidR="006B547D" w:rsidRPr="00BD2C84" w:rsidRDefault="006B547D" w:rsidP="00B5795D">
            <w:pPr>
              <w:pStyle w:val="Cuadros"/>
              <w:spacing w:line="240" w:lineRule="auto"/>
              <w:rPr>
                <w:szCs w:val="20"/>
                <w:lang w:val="en-US"/>
              </w:rPr>
            </w:pPr>
            <w:r w:rsidRPr="00BD2C84">
              <w:rPr>
                <w:szCs w:val="20"/>
                <w:lang w:val="en-US"/>
              </w:rPr>
              <w:t>Departmental boards</w:t>
            </w:r>
          </w:p>
          <w:p w14:paraId="79D92152" w14:textId="77777777" w:rsidR="006B547D" w:rsidRPr="00BD2C84" w:rsidRDefault="006B547D" w:rsidP="00B5795D">
            <w:pPr>
              <w:pStyle w:val="Cuadros"/>
              <w:spacing w:line="240" w:lineRule="auto"/>
              <w:rPr>
                <w:szCs w:val="20"/>
                <w:lang w:val="en-US"/>
              </w:rPr>
            </w:pPr>
            <w:r w:rsidRPr="00BD2C84">
              <w:rPr>
                <w:szCs w:val="20"/>
                <w:lang w:val="en-US"/>
              </w:rPr>
              <w:t>Congress of Mayors</w:t>
            </w:r>
          </w:p>
          <w:p w14:paraId="19E0401A" w14:textId="77777777" w:rsidR="006B547D" w:rsidRPr="00BD2C84" w:rsidRDefault="006B547D" w:rsidP="00B5795D">
            <w:pPr>
              <w:pStyle w:val="Cuadros"/>
              <w:spacing w:line="240" w:lineRule="auto"/>
              <w:rPr>
                <w:szCs w:val="20"/>
                <w:lang w:val="en-US"/>
              </w:rPr>
            </w:pPr>
          </w:p>
        </w:tc>
      </w:tr>
    </w:tbl>
    <w:p w14:paraId="078CA23D" w14:textId="77777777" w:rsidR="006B547D" w:rsidRPr="003474F7" w:rsidRDefault="006B547D" w:rsidP="006B547D">
      <w:pPr>
        <w:pStyle w:val="PieCuadro"/>
        <w:spacing w:before="0"/>
        <w:ind w:hanging="1"/>
        <w:jc w:val="left"/>
        <w:rPr>
          <w:lang w:val="en-US"/>
        </w:rPr>
      </w:pPr>
      <w:r w:rsidRPr="003474F7">
        <w:rPr>
          <w:lang w:val="en-US"/>
        </w:rPr>
        <w:t>Data from 01-Jan-2019 to 31-Dec-2019. Source: ONSC (2019), p. 5.</w:t>
      </w:r>
    </w:p>
    <w:p w14:paraId="4D3D6052" w14:textId="77777777" w:rsidR="006B547D" w:rsidRPr="003474F7" w:rsidRDefault="006B547D" w:rsidP="006B547D">
      <w:pPr>
        <w:rPr>
          <w:lang w:val="en-US"/>
        </w:rPr>
      </w:pPr>
      <w:r w:rsidRPr="003474F7">
        <w:rPr>
          <w:lang w:val="en-US"/>
        </w:rPr>
        <w:t xml:space="preserve">The difference between the reports was the inclusion of paragraph </w:t>
      </w:r>
      <w:r>
        <w:rPr>
          <w:lang w:val="en-US"/>
        </w:rPr>
        <w:t>thirty-four</w:t>
      </w:r>
      <w:r w:rsidRPr="003474F7">
        <w:rPr>
          <w:lang w:val="en-US"/>
        </w:rPr>
        <w:t xml:space="preserve"> from 2015 and paragraph </w:t>
      </w:r>
      <w:r>
        <w:rPr>
          <w:lang w:val="en-US"/>
        </w:rPr>
        <w:t>thirty-five</w:t>
      </w:r>
      <w:r w:rsidRPr="003474F7">
        <w:rPr>
          <w:lang w:val="en-US"/>
        </w:rPr>
        <w:t xml:space="preserve"> from 2016 in the public bodies of section 220 of the Constitution. The first of the abovementioned reports adds the following public bodies: Uruguayan Institute of Meteorology (INUMET), Office of the Attorney General, Board of Transparency and Public Ethics (JUTEP). In the second, the National Institute for Adolescent Social Inclusion (INISA) is incorporated.</w:t>
      </w:r>
    </w:p>
    <w:p w14:paraId="46A50221" w14:textId="77777777" w:rsidR="006B547D" w:rsidRPr="003474F7" w:rsidRDefault="006B547D" w:rsidP="006B547D">
      <w:pPr>
        <w:rPr>
          <w:lang w:val="en-US"/>
        </w:rPr>
      </w:pPr>
      <w:r w:rsidRPr="003474F7">
        <w:rPr>
          <w:lang w:val="en-US"/>
        </w:rPr>
        <w:t>As for the two preceding chapters, a data table has been included, for legal persons under non-State public law, for 2019, the last year included in this research.</w:t>
      </w:r>
    </w:p>
    <w:p w14:paraId="511A0F44" w14:textId="77777777" w:rsidR="001F2BFA" w:rsidRDefault="001F2BFA">
      <w:pPr>
        <w:spacing w:line="240" w:lineRule="auto"/>
        <w:ind w:firstLine="0"/>
        <w:rPr>
          <w:b/>
          <w:lang w:val="en-US"/>
        </w:rPr>
      </w:pPr>
      <w:r>
        <w:rPr>
          <w:b/>
          <w:lang w:val="en-US"/>
        </w:rPr>
        <w:br w:type="page"/>
      </w:r>
    </w:p>
    <w:p w14:paraId="434F8BBF" w14:textId="34F90AA4" w:rsidR="006B547D" w:rsidRPr="001F2BFA" w:rsidRDefault="006B547D" w:rsidP="006B547D">
      <w:pPr>
        <w:pStyle w:val="Prrafo1"/>
        <w:rPr>
          <w:b/>
          <w:lang w:val="en-US"/>
        </w:rPr>
      </w:pPr>
      <w:r w:rsidRPr="001F2BFA">
        <w:rPr>
          <w:b/>
          <w:lang w:val="en-US"/>
        </w:rPr>
        <w:lastRenderedPageBreak/>
        <w:t xml:space="preserve">Table A3. </w:t>
      </w:r>
      <w:r w:rsidRPr="001F2BFA">
        <w:rPr>
          <w:bCs/>
          <w:lang w:val="en-US"/>
        </w:rPr>
        <w:t>Legal Persons under Non-State Public Law (PJDPNE)</w:t>
      </w:r>
    </w:p>
    <w:tbl>
      <w:tblPr>
        <w:tblStyle w:val="TableGrid"/>
        <w:tblW w:w="0" w:type="auto"/>
        <w:jc w:val="center"/>
        <w:tblLook w:val="04A0" w:firstRow="1" w:lastRow="0" w:firstColumn="1" w:lastColumn="0" w:noHBand="0" w:noVBand="1"/>
      </w:tblPr>
      <w:tblGrid>
        <w:gridCol w:w="9350"/>
      </w:tblGrid>
      <w:tr w:rsidR="006B547D" w:rsidRPr="00314840" w14:paraId="41E6084F" w14:textId="77777777" w:rsidTr="00B5795D">
        <w:trPr>
          <w:jc w:val="center"/>
        </w:trPr>
        <w:tc>
          <w:tcPr>
            <w:tcW w:w="9352" w:type="dxa"/>
          </w:tcPr>
          <w:p w14:paraId="5DB0FD78" w14:textId="77777777" w:rsidR="006B547D" w:rsidRPr="00BD2C84" w:rsidRDefault="006B547D" w:rsidP="00B5795D">
            <w:pPr>
              <w:pStyle w:val="Cuadros"/>
              <w:spacing w:line="240" w:lineRule="auto"/>
              <w:rPr>
                <w:szCs w:val="20"/>
                <w:lang w:val="en-US"/>
              </w:rPr>
            </w:pPr>
            <w:r w:rsidRPr="00BD2C84">
              <w:rPr>
                <w:szCs w:val="20"/>
                <w:lang w:val="en-US"/>
              </w:rPr>
              <w:t>Electricity Market Administration (ADME)</w:t>
            </w:r>
          </w:p>
          <w:p w14:paraId="69F8D1B0" w14:textId="77777777" w:rsidR="006B547D" w:rsidRPr="00BD2C84" w:rsidRDefault="006B547D" w:rsidP="00B5795D">
            <w:pPr>
              <w:pStyle w:val="Cuadros"/>
              <w:spacing w:line="240" w:lineRule="auto"/>
              <w:rPr>
                <w:szCs w:val="20"/>
                <w:lang w:val="en-US"/>
              </w:rPr>
            </w:pPr>
            <w:r w:rsidRPr="00BD2C84">
              <w:rPr>
                <w:szCs w:val="20"/>
                <w:lang w:val="en-US"/>
              </w:rPr>
              <w:t>National Agency for Research and Innovation (ANII)</w:t>
            </w:r>
          </w:p>
          <w:p w14:paraId="099138C3" w14:textId="77777777" w:rsidR="006B547D" w:rsidRPr="00BD2C84" w:rsidRDefault="006B547D" w:rsidP="00B5795D">
            <w:pPr>
              <w:pStyle w:val="Cuadros"/>
              <w:spacing w:line="240" w:lineRule="auto"/>
              <w:rPr>
                <w:szCs w:val="20"/>
                <w:lang w:val="en-US"/>
              </w:rPr>
            </w:pPr>
            <w:r w:rsidRPr="00BD2C84">
              <w:rPr>
                <w:szCs w:val="20"/>
                <w:lang w:val="en-US"/>
              </w:rPr>
              <w:t>National Agency for Development (ANDE)</w:t>
            </w:r>
          </w:p>
          <w:p w14:paraId="233B52EE" w14:textId="77777777" w:rsidR="006B547D" w:rsidRPr="00BD2C84" w:rsidRDefault="006B547D" w:rsidP="00B5795D">
            <w:pPr>
              <w:pStyle w:val="Cuadros"/>
              <w:spacing w:line="240" w:lineRule="auto"/>
              <w:rPr>
                <w:szCs w:val="20"/>
                <w:lang w:val="en-US"/>
              </w:rPr>
            </w:pPr>
            <w:r w:rsidRPr="00BD2C84">
              <w:rPr>
                <w:szCs w:val="20"/>
                <w:lang w:val="en-US"/>
              </w:rPr>
              <w:t>Banks Retirement and Pension Fund (CJPB)</w:t>
            </w:r>
          </w:p>
          <w:p w14:paraId="35E92FE1" w14:textId="77777777" w:rsidR="006B547D" w:rsidRPr="00BD2C84" w:rsidRDefault="006B547D" w:rsidP="00B5795D">
            <w:pPr>
              <w:pStyle w:val="Cuadros"/>
              <w:spacing w:line="240" w:lineRule="auto"/>
              <w:rPr>
                <w:szCs w:val="20"/>
                <w:lang w:val="en-US"/>
              </w:rPr>
            </w:pPr>
            <w:r w:rsidRPr="00BD2C84">
              <w:rPr>
                <w:szCs w:val="20"/>
                <w:lang w:val="en-US"/>
              </w:rPr>
              <w:t>University Professionals Retirement and Pension Fund (CJPPU)</w:t>
            </w:r>
          </w:p>
          <w:p w14:paraId="4DDEA626" w14:textId="77777777" w:rsidR="006B547D" w:rsidRPr="00BD2C84" w:rsidRDefault="006B547D" w:rsidP="00B5795D">
            <w:pPr>
              <w:pStyle w:val="Cuadros"/>
              <w:spacing w:line="240" w:lineRule="auto"/>
              <w:rPr>
                <w:szCs w:val="20"/>
                <w:lang w:val="en-US"/>
              </w:rPr>
            </w:pPr>
            <w:r w:rsidRPr="00BD2C84">
              <w:rPr>
                <w:szCs w:val="20"/>
                <w:lang w:val="en-US"/>
              </w:rPr>
              <w:t>Social Security Notary Fund (CNSS)</w:t>
            </w:r>
          </w:p>
          <w:p w14:paraId="7198F0B8" w14:textId="77777777" w:rsidR="006B547D" w:rsidRPr="00BD2C84" w:rsidRDefault="006B547D" w:rsidP="00B5795D">
            <w:pPr>
              <w:pStyle w:val="Cuadros"/>
              <w:spacing w:line="240" w:lineRule="auto"/>
              <w:rPr>
                <w:szCs w:val="20"/>
                <w:lang w:val="en-US"/>
              </w:rPr>
            </w:pPr>
            <w:proofErr w:type="spellStart"/>
            <w:r w:rsidRPr="00BD2C84">
              <w:rPr>
                <w:szCs w:val="20"/>
                <w:lang w:val="en-US"/>
              </w:rPr>
              <w:t>Ceibal</w:t>
            </w:r>
            <w:proofErr w:type="spellEnd"/>
            <w:r w:rsidRPr="00BD2C84">
              <w:rPr>
                <w:szCs w:val="20"/>
                <w:lang w:val="en-US"/>
              </w:rPr>
              <w:t xml:space="preserve"> Center for Support to Education for Children and Adolescents (Plan </w:t>
            </w:r>
            <w:proofErr w:type="spellStart"/>
            <w:r w:rsidRPr="00BD2C84">
              <w:rPr>
                <w:szCs w:val="20"/>
                <w:lang w:val="en-US"/>
              </w:rPr>
              <w:t>Ceibal</w:t>
            </w:r>
            <w:proofErr w:type="spellEnd"/>
            <w:r w:rsidRPr="00BD2C84">
              <w:rPr>
                <w:szCs w:val="20"/>
                <w:lang w:val="en-US"/>
              </w:rPr>
              <w:t>)</w:t>
            </w:r>
          </w:p>
          <w:p w14:paraId="1357B8C9" w14:textId="77777777" w:rsidR="006B547D" w:rsidRPr="00BD2C84" w:rsidRDefault="006B547D" w:rsidP="00B5795D">
            <w:pPr>
              <w:pStyle w:val="Cuadros"/>
              <w:spacing w:line="240" w:lineRule="auto"/>
              <w:rPr>
                <w:szCs w:val="20"/>
                <w:lang w:val="en-US"/>
              </w:rPr>
            </w:pPr>
            <w:r w:rsidRPr="00BD2C84">
              <w:rPr>
                <w:szCs w:val="20"/>
                <w:lang w:val="en-US"/>
              </w:rPr>
              <w:t>Centre for Fiscal Studies</w:t>
            </w:r>
          </w:p>
          <w:p w14:paraId="2758A6C0" w14:textId="77777777" w:rsidR="006B547D" w:rsidRPr="00BD2C84" w:rsidRDefault="006B547D" w:rsidP="00B5795D">
            <w:pPr>
              <w:pStyle w:val="Cuadros"/>
              <w:spacing w:line="240" w:lineRule="auto"/>
              <w:rPr>
                <w:szCs w:val="20"/>
                <w:lang w:val="en-US"/>
              </w:rPr>
            </w:pPr>
            <w:r w:rsidRPr="00BD2C84">
              <w:rPr>
                <w:szCs w:val="20"/>
                <w:lang w:val="en-US"/>
              </w:rPr>
              <w:t>Uruguayan Center for Molecular Imaging (CUDIM)</w:t>
            </w:r>
          </w:p>
          <w:p w14:paraId="0F01E247" w14:textId="77777777" w:rsidR="006B547D" w:rsidRPr="00BD2C84" w:rsidRDefault="006B547D" w:rsidP="00B5795D">
            <w:pPr>
              <w:pStyle w:val="Cuadros"/>
              <w:spacing w:line="240" w:lineRule="auto"/>
              <w:rPr>
                <w:szCs w:val="20"/>
                <w:lang w:val="en-US"/>
              </w:rPr>
            </w:pPr>
            <w:r w:rsidRPr="00BD2C84">
              <w:rPr>
                <w:szCs w:val="20"/>
                <w:lang w:val="en-US"/>
              </w:rPr>
              <w:t>Medical College of Uruguay</w:t>
            </w:r>
          </w:p>
          <w:p w14:paraId="56527F0E" w14:textId="77777777" w:rsidR="006B547D" w:rsidRPr="00BD2C84" w:rsidRDefault="006B547D" w:rsidP="00B5795D">
            <w:pPr>
              <w:pStyle w:val="Cuadros"/>
              <w:spacing w:line="240" w:lineRule="auto"/>
              <w:rPr>
                <w:szCs w:val="20"/>
                <w:lang w:val="en-US"/>
              </w:rPr>
            </w:pPr>
            <w:r w:rsidRPr="00BD2C84">
              <w:rPr>
                <w:szCs w:val="20"/>
                <w:lang w:val="en-US"/>
              </w:rPr>
              <w:t>Honorary Administrative Commission of the Health Insurance Fund for OSE Staff</w:t>
            </w:r>
          </w:p>
          <w:p w14:paraId="35E11DF1" w14:textId="77777777" w:rsidR="006B547D" w:rsidRPr="00BD2C84" w:rsidRDefault="006B547D" w:rsidP="00B5795D">
            <w:pPr>
              <w:pStyle w:val="Cuadros"/>
              <w:spacing w:line="240" w:lineRule="auto"/>
              <w:rPr>
                <w:szCs w:val="20"/>
                <w:lang w:val="en-US"/>
              </w:rPr>
            </w:pPr>
            <w:r w:rsidRPr="00BD2C84">
              <w:rPr>
                <w:szCs w:val="20"/>
                <w:lang w:val="en-US"/>
              </w:rPr>
              <w:t>Honorary Commission for the Control of Tuberculosis and Prevalent Diseases (CHLAEP)</w:t>
            </w:r>
          </w:p>
          <w:p w14:paraId="184688EF" w14:textId="77777777" w:rsidR="006B547D" w:rsidRPr="00BD2C84" w:rsidRDefault="006B547D" w:rsidP="00B5795D">
            <w:pPr>
              <w:pStyle w:val="Cuadros"/>
              <w:spacing w:line="240" w:lineRule="auto"/>
              <w:rPr>
                <w:szCs w:val="20"/>
                <w:lang w:val="en-US"/>
              </w:rPr>
            </w:pPr>
            <w:r w:rsidRPr="00BD2C84">
              <w:rPr>
                <w:szCs w:val="20"/>
                <w:lang w:val="en-US"/>
              </w:rPr>
              <w:t>Honorary Commission for the Fight Against Cancer (CHLCC)</w:t>
            </w:r>
          </w:p>
          <w:p w14:paraId="64FFFF41" w14:textId="77777777" w:rsidR="006B547D" w:rsidRPr="00BD2C84" w:rsidRDefault="006B547D" w:rsidP="00B5795D">
            <w:pPr>
              <w:pStyle w:val="Cuadros"/>
              <w:spacing w:line="240" w:lineRule="auto"/>
              <w:rPr>
                <w:szCs w:val="20"/>
                <w:lang w:val="en-US"/>
              </w:rPr>
            </w:pPr>
            <w:r w:rsidRPr="00BD2C84">
              <w:rPr>
                <w:szCs w:val="20"/>
                <w:lang w:val="en-US"/>
              </w:rPr>
              <w:t>Honorary Commission of the Board for the Protection of Psychopaths</w:t>
            </w:r>
          </w:p>
          <w:p w14:paraId="4BF056ED" w14:textId="77777777" w:rsidR="006B547D" w:rsidRPr="00BD2C84" w:rsidRDefault="006B547D" w:rsidP="00B5795D">
            <w:pPr>
              <w:pStyle w:val="Cuadros"/>
              <w:spacing w:line="240" w:lineRule="auto"/>
              <w:rPr>
                <w:szCs w:val="20"/>
                <w:lang w:val="en-US"/>
              </w:rPr>
            </w:pPr>
            <w:r w:rsidRPr="00BD2C84">
              <w:rPr>
                <w:szCs w:val="20"/>
                <w:lang w:val="en-US"/>
              </w:rPr>
              <w:t>Honorary Commission for Cardiovascular Health (CHSC)</w:t>
            </w:r>
          </w:p>
          <w:p w14:paraId="5E4394AB" w14:textId="77777777" w:rsidR="006B547D" w:rsidRPr="00BD2C84" w:rsidRDefault="006B547D" w:rsidP="00B5795D">
            <w:pPr>
              <w:pStyle w:val="Cuadros"/>
              <w:spacing w:line="240" w:lineRule="auto"/>
              <w:rPr>
                <w:szCs w:val="20"/>
                <w:lang w:val="en-US"/>
              </w:rPr>
            </w:pPr>
            <w:r w:rsidRPr="00BD2C84">
              <w:rPr>
                <w:szCs w:val="20"/>
                <w:lang w:val="en-US"/>
              </w:rPr>
              <w:t>Professional Training Council (COCAP)</w:t>
            </w:r>
          </w:p>
          <w:p w14:paraId="61AB4467" w14:textId="77777777" w:rsidR="006B547D" w:rsidRPr="00BD2C84" w:rsidRDefault="006B547D" w:rsidP="00B5795D">
            <w:pPr>
              <w:pStyle w:val="Cuadros"/>
              <w:spacing w:line="240" w:lineRule="auto"/>
              <w:rPr>
                <w:szCs w:val="20"/>
                <w:lang w:val="en-US"/>
              </w:rPr>
            </w:pPr>
            <w:r w:rsidRPr="00BD2C84">
              <w:rPr>
                <w:szCs w:val="20"/>
                <w:lang w:val="en-US"/>
              </w:rPr>
              <w:t>National Cooperative of Milk Producers (CONAPROLE)</w:t>
            </w:r>
          </w:p>
          <w:p w14:paraId="026C0CEC" w14:textId="77777777" w:rsidR="006B547D" w:rsidRPr="00BD2C84" w:rsidRDefault="006B547D" w:rsidP="00B5795D">
            <w:pPr>
              <w:pStyle w:val="Cuadros"/>
              <w:spacing w:line="240" w:lineRule="auto"/>
              <w:rPr>
                <w:szCs w:val="20"/>
                <w:lang w:val="en-US"/>
              </w:rPr>
            </w:pPr>
            <w:r w:rsidRPr="00BD2C84">
              <w:rPr>
                <w:szCs w:val="20"/>
                <w:lang w:val="en-US"/>
              </w:rPr>
              <w:t>Corporation for the Protection of Bank Savings (COPAB)</w:t>
            </w:r>
          </w:p>
          <w:p w14:paraId="063863A0" w14:textId="77777777" w:rsidR="006B547D" w:rsidRPr="00BD2C84" w:rsidRDefault="006B547D" w:rsidP="00B5795D">
            <w:pPr>
              <w:pStyle w:val="Cuadros"/>
              <w:spacing w:line="240" w:lineRule="auto"/>
              <w:rPr>
                <w:szCs w:val="20"/>
                <w:lang w:val="en-US"/>
              </w:rPr>
            </w:pPr>
            <w:r w:rsidRPr="00BD2C84">
              <w:rPr>
                <w:szCs w:val="20"/>
                <w:lang w:val="en-US"/>
              </w:rPr>
              <w:t>National Corporation for Development (CND)</w:t>
            </w:r>
          </w:p>
          <w:p w14:paraId="3C5292D8" w14:textId="77777777" w:rsidR="006B547D" w:rsidRPr="00BD2C84" w:rsidRDefault="006B547D" w:rsidP="00B5795D">
            <w:pPr>
              <w:pStyle w:val="Cuadros"/>
              <w:spacing w:line="240" w:lineRule="auto"/>
              <w:rPr>
                <w:szCs w:val="20"/>
                <w:lang w:val="en-US"/>
              </w:rPr>
            </w:pPr>
            <w:r w:rsidRPr="00BD2C84">
              <w:rPr>
                <w:szCs w:val="20"/>
                <w:lang w:val="en-US"/>
              </w:rPr>
              <w:t>National Directorate of Official Printing and Publications (IMPO)</w:t>
            </w:r>
          </w:p>
          <w:p w14:paraId="46D84F44" w14:textId="77777777" w:rsidR="006B547D" w:rsidRPr="00BD2C84" w:rsidRDefault="006B547D" w:rsidP="00B5795D">
            <w:pPr>
              <w:pStyle w:val="Cuadros"/>
              <w:spacing w:line="240" w:lineRule="auto"/>
              <w:rPr>
                <w:szCs w:val="20"/>
                <w:lang w:val="en-US"/>
              </w:rPr>
            </w:pPr>
            <w:r w:rsidRPr="00BD2C84">
              <w:rPr>
                <w:szCs w:val="20"/>
                <w:lang w:val="en-US"/>
              </w:rPr>
              <w:t>Unemployment and Retirement Fund for Construction Workers (FOCER)</w:t>
            </w:r>
          </w:p>
          <w:p w14:paraId="7365BDFD" w14:textId="77777777" w:rsidR="006B547D" w:rsidRPr="00BD2C84" w:rsidRDefault="006B547D" w:rsidP="00B5795D">
            <w:pPr>
              <w:pStyle w:val="Cuadros"/>
              <w:spacing w:line="240" w:lineRule="auto"/>
              <w:rPr>
                <w:szCs w:val="20"/>
                <w:lang w:val="en-US"/>
              </w:rPr>
            </w:pPr>
            <w:r w:rsidRPr="00BD2C84">
              <w:rPr>
                <w:szCs w:val="20"/>
                <w:lang w:val="en-US"/>
              </w:rPr>
              <w:t>Financing and Sustainable Development Fund for Dairy Activities (FFDSAL)</w:t>
            </w:r>
          </w:p>
          <w:p w14:paraId="21368E65" w14:textId="77777777" w:rsidR="006B547D" w:rsidRPr="00BD2C84" w:rsidRDefault="006B547D" w:rsidP="00B5795D">
            <w:pPr>
              <w:pStyle w:val="Cuadros"/>
              <w:spacing w:line="240" w:lineRule="auto"/>
              <w:rPr>
                <w:szCs w:val="20"/>
                <w:lang w:val="en-US"/>
              </w:rPr>
            </w:pPr>
            <w:r w:rsidRPr="00BD2C84">
              <w:rPr>
                <w:szCs w:val="20"/>
                <w:lang w:val="en-US"/>
              </w:rPr>
              <w:t>Solidarity Fund (FS)</w:t>
            </w:r>
          </w:p>
          <w:p w14:paraId="4501795B" w14:textId="77777777" w:rsidR="006B547D" w:rsidRPr="00BD2C84" w:rsidRDefault="006B547D" w:rsidP="00B5795D">
            <w:pPr>
              <w:pStyle w:val="Cuadros"/>
              <w:spacing w:line="240" w:lineRule="auto"/>
              <w:rPr>
                <w:szCs w:val="20"/>
                <w:lang w:val="en-US"/>
              </w:rPr>
            </w:pPr>
            <w:r w:rsidRPr="00BD2C84">
              <w:rPr>
                <w:szCs w:val="20"/>
                <w:lang w:val="en-US"/>
              </w:rPr>
              <w:t>National Music Fund (FNM)</w:t>
            </w:r>
          </w:p>
          <w:p w14:paraId="64996888" w14:textId="77777777" w:rsidR="006B547D" w:rsidRPr="00BD2C84" w:rsidRDefault="006B547D" w:rsidP="00B5795D">
            <w:pPr>
              <w:pStyle w:val="Cuadros"/>
              <w:spacing w:line="240" w:lineRule="auto"/>
              <w:rPr>
                <w:szCs w:val="20"/>
                <w:lang w:val="en-US"/>
              </w:rPr>
            </w:pPr>
            <w:r w:rsidRPr="00BD2C84">
              <w:rPr>
                <w:szCs w:val="20"/>
                <w:lang w:val="en-US"/>
              </w:rPr>
              <w:t>National Resources Fund (FNR)</w:t>
            </w:r>
          </w:p>
          <w:p w14:paraId="6C4C0664" w14:textId="77777777" w:rsidR="006B547D" w:rsidRPr="00BD2C84" w:rsidRDefault="006B547D" w:rsidP="00B5795D">
            <w:pPr>
              <w:pStyle w:val="Cuadros"/>
              <w:spacing w:line="240" w:lineRule="auto"/>
              <w:rPr>
                <w:szCs w:val="20"/>
                <w:lang w:val="en-US"/>
              </w:rPr>
            </w:pPr>
            <w:r w:rsidRPr="00BD2C84">
              <w:rPr>
                <w:szCs w:val="20"/>
                <w:lang w:val="en-US"/>
              </w:rPr>
              <w:t>Institute for the Promotion of Investment and Exports of Goods and Services (Uruguay XXI)</w:t>
            </w:r>
          </w:p>
          <w:p w14:paraId="3B9E1421" w14:textId="77777777" w:rsidR="006B547D" w:rsidRPr="00BD2C84" w:rsidRDefault="006B547D" w:rsidP="00B5795D">
            <w:pPr>
              <w:pStyle w:val="Cuadros"/>
              <w:spacing w:line="240" w:lineRule="auto"/>
              <w:rPr>
                <w:szCs w:val="20"/>
                <w:lang w:val="en-US"/>
              </w:rPr>
            </w:pPr>
            <w:r w:rsidRPr="00BD2C84">
              <w:rPr>
                <w:szCs w:val="20"/>
                <w:lang w:val="en-US"/>
              </w:rPr>
              <w:t>Institute for Cannabis Regulation and Control (IRCCA)</w:t>
            </w:r>
          </w:p>
          <w:p w14:paraId="3A76FBBF" w14:textId="77777777" w:rsidR="006B547D" w:rsidRPr="00BD2C84" w:rsidRDefault="006B547D" w:rsidP="00B5795D">
            <w:pPr>
              <w:pStyle w:val="Cuadros"/>
              <w:spacing w:line="240" w:lineRule="auto"/>
              <w:rPr>
                <w:szCs w:val="20"/>
                <w:lang w:val="en-US"/>
              </w:rPr>
            </w:pPr>
            <w:r w:rsidRPr="00BD2C84">
              <w:rPr>
                <w:szCs w:val="20"/>
                <w:lang w:val="en-US"/>
              </w:rPr>
              <w:t>National Institute of Quality (INACAL)</w:t>
            </w:r>
          </w:p>
          <w:p w14:paraId="01A4AC5A" w14:textId="77777777" w:rsidR="006B547D" w:rsidRPr="00BD2C84" w:rsidRDefault="006B547D" w:rsidP="00B5795D">
            <w:pPr>
              <w:pStyle w:val="Cuadros"/>
              <w:spacing w:line="240" w:lineRule="auto"/>
              <w:rPr>
                <w:szCs w:val="20"/>
                <w:lang w:val="en-US"/>
              </w:rPr>
            </w:pPr>
            <w:r w:rsidRPr="00BD2C84">
              <w:rPr>
                <w:szCs w:val="20"/>
                <w:lang w:val="en-US"/>
              </w:rPr>
              <w:t>National Institute of Meat (INAC)</w:t>
            </w:r>
          </w:p>
          <w:p w14:paraId="2574A3A2" w14:textId="77777777" w:rsidR="006B547D" w:rsidRPr="00BD2C84" w:rsidRDefault="006B547D" w:rsidP="00B5795D">
            <w:pPr>
              <w:pStyle w:val="Cuadros"/>
              <w:spacing w:line="240" w:lineRule="auto"/>
              <w:rPr>
                <w:szCs w:val="20"/>
                <w:lang w:val="en-US"/>
              </w:rPr>
            </w:pPr>
            <w:r w:rsidRPr="00BD2C84">
              <w:rPr>
                <w:szCs w:val="20"/>
                <w:lang w:val="en-US"/>
              </w:rPr>
              <w:t>National Institute for Employment and Vocational Training (INEFOP)</w:t>
            </w:r>
          </w:p>
          <w:p w14:paraId="06B63468" w14:textId="77777777" w:rsidR="006B547D" w:rsidRPr="00BD2C84" w:rsidRDefault="006B547D" w:rsidP="00B5795D">
            <w:pPr>
              <w:pStyle w:val="Cuadros"/>
              <w:spacing w:line="240" w:lineRule="auto"/>
              <w:rPr>
                <w:szCs w:val="20"/>
                <w:lang w:val="en-US"/>
              </w:rPr>
            </w:pPr>
            <w:r w:rsidRPr="00BD2C84">
              <w:rPr>
                <w:szCs w:val="20"/>
                <w:lang w:val="en-US"/>
              </w:rPr>
              <w:t>National Institute of Educational Evaluation (INEED)</w:t>
            </w:r>
          </w:p>
          <w:p w14:paraId="17051B64" w14:textId="77777777" w:rsidR="006B547D" w:rsidRPr="00BD2C84" w:rsidRDefault="006B547D" w:rsidP="00B5795D">
            <w:pPr>
              <w:pStyle w:val="Cuadros"/>
              <w:spacing w:line="240" w:lineRule="auto"/>
              <w:rPr>
                <w:szCs w:val="20"/>
                <w:lang w:val="en-US"/>
              </w:rPr>
            </w:pPr>
            <w:r w:rsidRPr="00BD2C84">
              <w:rPr>
                <w:szCs w:val="20"/>
                <w:lang w:val="en-US"/>
              </w:rPr>
              <w:t>National Institute of Agricultural Research (INIA)</w:t>
            </w:r>
          </w:p>
          <w:p w14:paraId="39F87D7E" w14:textId="77777777" w:rsidR="006B547D" w:rsidRPr="00BD2C84" w:rsidRDefault="006B547D" w:rsidP="00B5795D">
            <w:pPr>
              <w:pStyle w:val="Cuadros"/>
              <w:spacing w:line="240" w:lineRule="auto"/>
              <w:rPr>
                <w:szCs w:val="20"/>
                <w:lang w:val="en-US"/>
              </w:rPr>
            </w:pPr>
            <w:r w:rsidRPr="00BD2C84">
              <w:rPr>
                <w:szCs w:val="20"/>
                <w:lang w:val="en-US"/>
              </w:rPr>
              <w:t>National Institute of Milk (INALE)</w:t>
            </w:r>
          </w:p>
          <w:p w14:paraId="0CF328C6" w14:textId="77777777" w:rsidR="006B547D" w:rsidRPr="00BD2C84" w:rsidRDefault="006B547D" w:rsidP="00B5795D">
            <w:pPr>
              <w:pStyle w:val="Cuadros"/>
              <w:spacing w:line="240" w:lineRule="auto"/>
              <w:rPr>
                <w:szCs w:val="20"/>
                <w:lang w:val="en-US"/>
              </w:rPr>
            </w:pPr>
            <w:r w:rsidRPr="00BD2C84">
              <w:rPr>
                <w:szCs w:val="20"/>
                <w:lang w:val="en-US"/>
              </w:rPr>
              <w:t>National Institute of Logistics (INALOG)</w:t>
            </w:r>
          </w:p>
          <w:p w14:paraId="676FF591" w14:textId="77777777" w:rsidR="006B547D" w:rsidRPr="00BD2C84" w:rsidRDefault="006B547D" w:rsidP="00B5795D">
            <w:pPr>
              <w:pStyle w:val="Cuadros"/>
              <w:spacing w:line="240" w:lineRule="auto"/>
              <w:rPr>
                <w:szCs w:val="20"/>
                <w:lang w:val="en-US"/>
              </w:rPr>
            </w:pPr>
            <w:r w:rsidRPr="00BD2C84">
              <w:rPr>
                <w:szCs w:val="20"/>
                <w:lang w:val="en-US"/>
              </w:rPr>
              <w:t>National Institute of Seeds (INASE)</w:t>
            </w:r>
          </w:p>
          <w:p w14:paraId="4D2C9A03" w14:textId="77777777" w:rsidR="006B547D" w:rsidRPr="00BD2C84" w:rsidRDefault="006B547D" w:rsidP="00B5795D">
            <w:pPr>
              <w:pStyle w:val="Cuadros"/>
              <w:spacing w:line="240" w:lineRule="auto"/>
              <w:rPr>
                <w:szCs w:val="20"/>
                <w:lang w:val="en-US"/>
              </w:rPr>
            </w:pPr>
            <w:r w:rsidRPr="00BD2C84">
              <w:rPr>
                <w:szCs w:val="20"/>
                <w:lang w:val="en-US"/>
              </w:rPr>
              <w:t>National Institute of Wine (INAVI)</w:t>
            </w:r>
          </w:p>
          <w:p w14:paraId="431D32DE" w14:textId="77777777" w:rsidR="006B547D" w:rsidRPr="00BD2C84" w:rsidRDefault="006B547D" w:rsidP="00B5795D">
            <w:pPr>
              <w:pStyle w:val="Cuadros"/>
              <w:spacing w:line="240" w:lineRule="auto"/>
              <w:rPr>
                <w:szCs w:val="20"/>
                <w:lang w:val="en-US"/>
              </w:rPr>
            </w:pPr>
            <w:r w:rsidRPr="00BD2C84">
              <w:rPr>
                <w:szCs w:val="20"/>
                <w:lang w:val="en-US"/>
              </w:rPr>
              <w:t>National Institute of Cooperatives (INACOOP)</w:t>
            </w:r>
          </w:p>
          <w:p w14:paraId="523536F4" w14:textId="77777777" w:rsidR="006B547D" w:rsidRPr="00BD2C84" w:rsidRDefault="006B547D" w:rsidP="00B5795D">
            <w:pPr>
              <w:pStyle w:val="Cuadros"/>
              <w:spacing w:line="240" w:lineRule="auto"/>
              <w:rPr>
                <w:szCs w:val="20"/>
                <w:lang w:val="en-US"/>
              </w:rPr>
            </w:pPr>
            <w:r w:rsidRPr="00BD2C84">
              <w:rPr>
                <w:szCs w:val="20"/>
                <w:lang w:val="en-US"/>
              </w:rPr>
              <w:t>Agricultural Plan Institute (IPA)</w:t>
            </w:r>
          </w:p>
          <w:p w14:paraId="5E8A1358" w14:textId="77777777" w:rsidR="006B547D" w:rsidRPr="00BD2C84" w:rsidRDefault="006B547D" w:rsidP="00B5795D">
            <w:pPr>
              <w:pStyle w:val="Cuadros"/>
              <w:spacing w:line="240" w:lineRule="auto"/>
              <w:rPr>
                <w:szCs w:val="20"/>
                <w:lang w:val="en-US"/>
              </w:rPr>
            </w:pPr>
            <w:r w:rsidRPr="00BD2C84">
              <w:rPr>
                <w:szCs w:val="20"/>
                <w:lang w:val="en-US"/>
              </w:rPr>
              <w:t>Technological Laboratory of Uruguay (LATU)</w:t>
            </w:r>
          </w:p>
          <w:p w14:paraId="7214F59A" w14:textId="77777777" w:rsidR="006B547D" w:rsidRPr="00BD2C84" w:rsidRDefault="006B547D" w:rsidP="00B5795D">
            <w:pPr>
              <w:pStyle w:val="Cuadros"/>
              <w:spacing w:line="240" w:lineRule="auto"/>
              <w:rPr>
                <w:szCs w:val="20"/>
                <w:lang w:val="en-US"/>
              </w:rPr>
            </w:pPr>
            <w:r w:rsidRPr="00BD2C84">
              <w:rPr>
                <w:szCs w:val="20"/>
                <w:lang w:val="en-US"/>
              </w:rPr>
              <w:t>Movement for the Eradication of Unhealthy Rural Housing (MEVIR)</w:t>
            </w:r>
          </w:p>
          <w:p w14:paraId="291EFE99" w14:textId="77777777" w:rsidR="006B547D" w:rsidRPr="00BD2C84" w:rsidRDefault="006B547D" w:rsidP="00B5795D">
            <w:pPr>
              <w:pStyle w:val="Cuadros"/>
              <w:spacing w:line="240" w:lineRule="auto"/>
              <w:rPr>
                <w:szCs w:val="20"/>
                <w:lang w:val="en-US"/>
              </w:rPr>
            </w:pPr>
            <w:r w:rsidRPr="00BD2C84">
              <w:rPr>
                <w:szCs w:val="20"/>
                <w:lang w:val="en-US"/>
              </w:rPr>
              <w:t>Science and Technology Park of Pando</w:t>
            </w:r>
          </w:p>
          <w:p w14:paraId="2519EB68" w14:textId="77777777" w:rsidR="006B547D" w:rsidRPr="00BD2C84" w:rsidRDefault="006B547D" w:rsidP="00B5795D">
            <w:pPr>
              <w:pStyle w:val="Cuadros"/>
              <w:spacing w:line="240" w:lineRule="auto"/>
              <w:rPr>
                <w:szCs w:val="20"/>
                <w:lang w:val="en-US"/>
              </w:rPr>
            </w:pPr>
            <w:r w:rsidRPr="00BD2C84">
              <w:rPr>
                <w:szCs w:val="20"/>
                <w:lang w:val="en-US"/>
              </w:rPr>
              <w:t xml:space="preserve">Metropolitan </w:t>
            </w:r>
            <w:proofErr w:type="spellStart"/>
            <w:r w:rsidRPr="00BD2C84">
              <w:rPr>
                <w:szCs w:val="20"/>
                <w:lang w:val="en-US"/>
              </w:rPr>
              <w:t>Agro</w:t>
            </w:r>
            <w:proofErr w:type="spellEnd"/>
            <w:r w:rsidRPr="00BD2C84">
              <w:rPr>
                <w:szCs w:val="20"/>
                <w:lang w:val="en-US"/>
              </w:rPr>
              <w:t>-alimentary Unit</w:t>
            </w:r>
          </w:p>
          <w:p w14:paraId="6E68B49E" w14:textId="77777777" w:rsidR="006B547D" w:rsidRPr="00BD2C84" w:rsidRDefault="006B547D" w:rsidP="00B5795D">
            <w:pPr>
              <w:pStyle w:val="Cuadros"/>
              <w:spacing w:line="240" w:lineRule="auto"/>
              <w:rPr>
                <w:szCs w:val="20"/>
                <w:lang w:val="en-US"/>
              </w:rPr>
            </w:pPr>
          </w:p>
        </w:tc>
      </w:tr>
    </w:tbl>
    <w:p w14:paraId="30D9A2BB" w14:textId="77777777" w:rsidR="006B547D" w:rsidRPr="00BD2C84" w:rsidRDefault="006B547D" w:rsidP="006B547D">
      <w:pPr>
        <w:pStyle w:val="PieCuadro"/>
        <w:spacing w:before="0"/>
        <w:ind w:hanging="1"/>
        <w:jc w:val="left"/>
        <w:rPr>
          <w:szCs w:val="20"/>
          <w:lang w:val="en-US"/>
        </w:rPr>
      </w:pPr>
      <w:r w:rsidRPr="00BD2C84">
        <w:rPr>
          <w:szCs w:val="20"/>
          <w:lang w:val="en-US"/>
        </w:rPr>
        <w:t>Data from 01-Jan-2019 to 31-Dec-2019.  Source: ONSC (2019), p. 6.</w:t>
      </w:r>
    </w:p>
    <w:p w14:paraId="2844A638" w14:textId="77777777" w:rsidR="006B547D" w:rsidRPr="003474F7" w:rsidRDefault="006B547D" w:rsidP="006B547D">
      <w:pPr>
        <w:pStyle w:val="Prrafo1"/>
        <w:jc w:val="center"/>
        <w:rPr>
          <w:lang w:val="en-US"/>
        </w:rPr>
      </w:pPr>
    </w:p>
    <w:p w14:paraId="6CA9745A" w14:textId="77777777" w:rsidR="006B547D" w:rsidRPr="003474F7" w:rsidRDefault="006B547D" w:rsidP="006B547D">
      <w:pPr>
        <w:ind w:firstLine="0"/>
        <w:rPr>
          <w:lang w:val="en-US"/>
        </w:rPr>
      </w:pPr>
      <w:r w:rsidRPr="003474F7">
        <w:rPr>
          <w:lang w:val="en-US"/>
        </w:rPr>
        <w:t xml:space="preserve">It is worth noting the inclusion, since the 2017 report, of the Food Unit of Montevideo, renamed in 2018 as Metropolitan </w:t>
      </w:r>
      <w:proofErr w:type="spellStart"/>
      <w:r w:rsidRPr="003474F7">
        <w:rPr>
          <w:lang w:val="en-US"/>
        </w:rPr>
        <w:t>Agro</w:t>
      </w:r>
      <w:proofErr w:type="spellEnd"/>
      <w:r w:rsidRPr="003474F7">
        <w:rPr>
          <w:lang w:val="en-US"/>
        </w:rPr>
        <w:t>-alimentary Unit.</w:t>
      </w:r>
    </w:p>
    <w:p w14:paraId="3BE1A1DF" w14:textId="77777777" w:rsidR="006B547D" w:rsidRPr="003474F7" w:rsidRDefault="006B547D" w:rsidP="006B547D">
      <w:pPr>
        <w:rPr>
          <w:lang w:val="en-US"/>
        </w:rPr>
      </w:pPr>
      <w:r w:rsidRPr="003474F7">
        <w:rPr>
          <w:lang w:val="en-US"/>
        </w:rPr>
        <w:lastRenderedPageBreak/>
        <w:t>The report also presents a table summarizing the public bodies that did not provide the mandatory information and those that did so incompletely. For the period considered, 2014</w:t>
      </w:r>
      <w:r>
        <w:rPr>
          <w:lang w:val="en-US"/>
        </w:rPr>
        <w:t>–</w:t>
      </w:r>
      <w:r w:rsidRPr="003474F7">
        <w:rPr>
          <w:lang w:val="en-US"/>
        </w:rPr>
        <w:t>2019, the number of public bodies that do not comply with providing the required information decreases, while one or more than one provides the information but the data is incomplete. All reports show that the National Cooperative of Milk Producers (CONAPROLE) has never provided the information.</w:t>
      </w:r>
    </w:p>
    <w:p w14:paraId="5A0BC78B" w14:textId="77777777" w:rsidR="006B547D" w:rsidRPr="003474F7" w:rsidRDefault="006B547D" w:rsidP="006B547D">
      <w:pPr>
        <w:rPr>
          <w:lang w:val="en-US"/>
        </w:rPr>
      </w:pPr>
      <w:r w:rsidRPr="003474F7">
        <w:rPr>
          <w:lang w:val="en-US"/>
        </w:rPr>
        <w:t xml:space="preserve">Subsequent reports have an introduction that restates the current objective for each one, the provisions of Law No. 19122, which establishes affirmative action aimed at achieving </w:t>
      </w:r>
      <w:r>
        <w:rPr>
          <w:lang w:val="en-US"/>
        </w:rPr>
        <w:t>“</w:t>
      </w:r>
      <w:r w:rsidRPr="003474F7">
        <w:rPr>
          <w:lang w:val="en-US"/>
        </w:rPr>
        <w:t>effective equality</w:t>
      </w:r>
      <w:r>
        <w:rPr>
          <w:lang w:val="en-US"/>
        </w:rPr>
        <w:t>”</w:t>
      </w:r>
      <w:r w:rsidRPr="003474F7">
        <w:rPr>
          <w:lang w:val="en-US"/>
        </w:rPr>
        <w:t xml:space="preserve"> for the fulfilment of the rights of persons of African descent. Some of the disadvantages of this population in relation to the situation of the non-African population are shown, and some aspects identified as relevant in the final declaration of the Santiago Conference are recalled. For example, in several countries poverty is increasing in sectors composed of Afro-descendants, indigenous peoples</w:t>
      </w:r>
      <w:r>
        <w:rPr>
          <w:lang w:val="en-US"/>
        </w:rPr>
        <w:t>,</w:t>
      </w:r>
      <w:r w:rsidRPr="003474F7">
        <w:rPr>
          <w:lang w:val="en-US"/>
        </w:rPr>
        <w:t xml:space="preserve"> and migrants, and </w:t>
      </w:r>
      <w:r>
        <w:rPr>
          <w:lang w:val="en-US"/>
        </w:rPr>
        <w:t xml:space="preserve">in </w:t>
      </w:r>
      <w:r w:rsidRPr="003474F7">
        <w:rPr>
          <w:lang w:val="en-US"/>
        </w:rPr>
        <w:t>quantitative studies on the situation of Afro-descendants in Uruguay. For 2016 and 2017, data on compliance with the quota by the public bodies required to do so is introduced, a study that seeks to provide information on the actions being taken to comply, and the advice required. ONSC introduces questions on the form, to address the above</w:t>
      </w:r>
      <w:r>
        <w:rPr>
          <w:lang w:val="en-US"/>
        </w:rPr>
        <w:t xml:space="preserve"> </w:t>
      </w:r>
      <w:r w:rsidRPr="003474F7">
        <w:rPr>
          <w:lang w:val="en-US"/>
        </w:rPr>
        <w:t>mentioned issues at the request of MIDES, in their capacity as a member of the Implementing Commission of Law No. 19122.</w:t>
      </w:r>
    </w:p>
    <w:p w14:paraId="10F3100B" w14:textId="77777777" w:rsidR="006B547D" w:rsidRPr="003474F7" w:rsidRDefault="006B547D" w:rsidP="006B547D">
      <w:pPr>
        <w:rPr>
          <w:lang w:val="en-US"/>
        </w:rPr>
      </w:pPr>
      <w:r w:rsidRPr="003474F7">
        <w:rPr>
          <w:lang w:val="en-US"/>
        </w:rPr>
        <w:t>This is followed by a conceptual framework defining discrimination, equal opportunities, and other issues in the Durban Declaration and Program of Action (2001).</w:t>
      </w:r>
    </w:p>
    <w:p w14:paraId="66E9B1C1" w14:textId="57BB22BA" w:rsidR="00566B46" w:rsidRDefault="006B547D" w:rsidP="006B547D">
      <w:r w:rsidRPr="003474F7">
        <w:rPr>
          <w:lang w:val="en-US"/>
        </w:rPr>
        <w:t>Each report continues with the analysis of the information, a final synthesis, bibliography</w:t>
      </w:r>
      <w:r>
        <w:rPr>
          <w:lang w:val="en-US"/>
        </w:rPr>
        <w:t>,</w:t>
      </w:r>
      <w:r w:rsidRPr="003474F7">
        <w:rPr>
          <w:lang w:val="en-US"/>
        </w:rPr>
        <w:t xml:space="preserve"> and annex. The analysis refers to the recruitment of persons of African descent according to the period considered, the profile of persons hired, and the characteristics of the job. Since 2016, the </w:t>
      </w:r>
      <w:r w:rsidRPr="003474F7">
        <w:rPr>
          <w:lang w:val="en-US"/>
        </w:rPr>
        <w:lastRenderedPageBreak/>
        <w:t>reports include an evolutionary analysis, and the 2016 and 2017 reports also include the data requested by MIDES: a survey on training, planning and advice required for competitions, a survey of ethnic-racial self-definition, training, planning</w:t>
      </w:r>
      <w:r>
        <w:rPr>
          <w:lang w:val="en-US"/>
        </w:rPr>
        <w:t>,</w:t>
      </w:r>
      <w:r w:rsidRPr="003474F7">
        <w:rPr>
          <w:lang w:val="en-US"/>
        </w:rPr>
        <w:t xml:space="preserve"> and advice required to carry out competitions for the hiring of persons of African descent, conducting or planning an ethnic-racial self-definition survey, and hiring Afro-descendant young people through the I Study and Work program (</w:t>
      </w:r>
      <w:proofErr w:type="spellStart"/>
      <w:r w:rsidRPr="003474F7">
        <w:rPr>
          <w:lang w:val="en-US"/>
        </w:rPr>
        <w:t>Yo</w:t>
      </w:r>
      <w:proofErr w:type="spellEnd"/>
      <w:r w:rsidRPr="003474F7">
        <w:rPr>
          <w:lang w:val="en-US"/>
        </w:rPr>
        <w:t xml:space="preserve"> </w:t>
      </w:r>
      <w:proofErr w:type="spellStart"/>
      <w:r w:rsidRPr="003474F7">
        <w:rPr>
          <w:lang w:val="en-US"/>
        </w:rPr>
        <w:t>Estudio</w:t>
      </w:r>
      <w:proofErr w:type="spellEnd"/>
      <w:r w:rsidRPr="003474F7">
        <w:rPr>
          <w:lang w:val="en-US"/>
        </w:rPr>
        <w:t xml:space="preserve"> y </w:t>
      </w:r>
      <w:proofErr w:type="spellStart"/>
      <w:r w:rsidRPr="003474F7">
        <w:rPr>
          <w:lang w:val="en-US"/>
        </w:rPr>
        <w:t>Trabajo</w:t>
      </w:r>
      <w:proofErr w:type="spellEnd"/>
      <w:r w:rsidRPr="003474F7">
        <w:rPr>
          <w:lang w:val="en-US"/>
        </w:rPr>
        <w:t>). The reports for 2018 and 2019 do not include the above</w:t>
      </w:r>
      <w:r>
        <w:rPr>
          <w:lang w:val="en-US"/>
        </w:rPr>
        <w:t xml:space="preserve"> </w:t>
      </w:r>
      <w:r w:rsidRPr="003474F7">
        <w:rPr>
          <w:lang w:val="en-US"/>
        </w:rPr>
        <w:t>mentioned points.</w:t>
      </w:r>
    </w:p>
    <w:sectPr w:rsidR="00566B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ya, Sara A." w:date="2023-07-28T15:37:00Z" w:initials="SB">
    <w:p w14:paraId="41302445" w14:textId="77777777" w:rsidR="006B547D" w:rsidRDefault="006B547D" w:rsidP="006B547D">
      <w:r>
        <w:rPr>
          <w:rStyle w:val="CommentReference"/>
        </w:rPr>
        <w:annotationRef/>
      </w:r>
      <w:r>
        <w:rPr>
          <w:color w:val="000000"/>
          <w:sz w:val="20"/>
          <w:szCs w:val="20"/>
        </w:rPr>
        <w:t>Please include a reference to the Appendix somewhere in the main article.</w:t>
      </w:r>
    </w:p>
  </w:comment>
  <w:comment w:id="1" w:author="Alexia Cortes Maquieira" w:date="2023-08-12T19:23:00Z" w:initials="ACM">
    <w:p w14:paraId="6EEC37B7" w14:textId="77777777" w:rsidR="006B547D" w:rsidRDefault="006B547D" w:rsidP="006B547D">
      <w:pPr>
        <w:pStyle w:val="CommentText"/>
        <w:ind w:firstLine="0"/>
      </w:pPr>
      <w:r>
        <w:rPr>
          <w:rStyle w:val="CommentReference"/>
        </w:rPr>
        <w:annotationRef/>
      </w:r>
      <w:r>
        <w:t>Added to "</w:t>
      </w:r>
      <w:r>
        <w:rPr>
          <w:lang w:val="en-US"/>
        </w:rPr>
        <w:t>General Structure of the ONSC Annual Reports" p.9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02445" w15:done="0"/>
  <w15:commentEx w15:paraId="6EEC37B7" w15:paraIdParent="413024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5F21" w16cex:dateUtc="2023-07-28T19:37:00Z"/>
  <w16cex:commentExtensible w16cex:durableId="28825A9D" w16cex:dateUtc="2023-08-12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02445" w16cid:durableId="286E5F21"/>
  <w16cid:commentId w16cid:paraId="6EEC37B7" w16cid:durableId="28825A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ya, Sara A.">
    <w15:presenceInfo w15:providerId="AD" w15:userId="S::sbruya@fas.harvard.edu::db427428-de3e-4636-9a39-c97e78e741c3"/>
  </w15:person>
  <w15:person w15:author="Alexia Cortes Maquieira">
    <w15:presenceInfo w15:providerId="AD" w15:userId="S::ac786@st-andrews.ac.uk::ed721435-db06-4bed-aaf4-8214b4a9b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7D"/>
    <w:rsid w:val="001F2BFA"/>
    <w:rsid w:val="004E7B80"/>
    <w:rsid w:val="00566B46"/>
    <w:rsid w:val="006B547D"/>
    <w:rsid w:val="006F6078"/>
    <w:rsid w:val="00AF09D8"/>
    <w:rsid w:val="00B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32A90"/>
  <w15:chartTrackingRefBased/>
  <w15:docId w15:val="{D7ACE88D-AF42-C941-A713-86624AB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7D"/>
    <w:pPr>
      <w:spacing w:line="480" w:lineRule="auto"/>
      <w:ind w:firstLine="709"/>
    </w:pPr>
    <w:rPr>
      <w:rFonts w:ascii="Times New Roman" w:eastAsiaTheme="minorEastAsia" w:hAnsi="Times New Roman"/>
      <w:kern w:val="0"/>
      <w:lang w:val="en-GB" w:eastAsia="es-ES"/>
      <w14:ligatures w14:val="none"/>
    </w:rPr>
  </w:style>
  <w:style w:type="paragraph" w:styleId="Heading1">
    <w:name w:val="heading 1"/>
    <w:basedOn w:val="Normal"/>
    <w:next w:val="Normal"/>
    <w:link w:val="Heading1Char"/>
    <w:uiPriority w:val="9"/>
    <w:qFormat/>
    <w:rsid w:val="006B547D"/>
    <w:pPr>
      <w:keepNext/>
      <w:keepLines/>
      <w:spacing w:before="360" w:after="240"/>
      <w:ind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7D"/>
    <w:rPr>
      <w:rFonts w:ascii="Times New Roman" w:eastAsiaTheme="majorEastAsia" w:hAnsi="Times New Roman" w:cstheme="majorBidi"/>
      <w:b/>
      <w:kern w:val="0"/>
      <w:szCs w:val="32"/>
      <w:lang w:val="en-GB" w:eastAsia="es-ES"/>
      <w14:ligatures w14:val="none"/>
    </w:rPr>
  </w:style>
  <w:style w:type="table" w:styleId="TableGrid">
    <w:name w:val="Table Grid"/>
    <w:basedOn w:val="TableNormal"/>
    <w:uiPriority w:val="59"/>
    <w:rsid w:val="006B547D"/>
    <w:rPr>
      <w:rFonts w:eastAsiaTheme="minorEastAsia"/>
      <w:kern w:val="0"/>
      <w:lang w:val="en-GB"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1">
    <w:name w:val="Párrafo1"/>
    <w:basedOn w:val="Normal"/>
    <w:qFormat/>
    <w:rsid w:val="006B547D"/>
    <w:pPr>
      <w:ind w:firstLine="0"/>
    </w:pPr>
  </w:style>
  <w:style w:type="character" w:styleId="CommentReference">
    <w:name w:val="annotation reference"/>
    <w:basedOn w:val="DefaultParagraphFont"/>
    <w:uiPriority w:val="99"/>
    <w:semiHidden/>
    <w:unhideWhenUsed/>
    <w:rsid w:val="006B547D"/>
    <w:rPr>
      <w:sz w:val="16"/>
      <w:szCs w:val="16"/>
    </w:rPr>
  </w:style>
  <w:style w:type="paragraph" w:styleId="CommentText">
    <w:name w:val="annotation text"/>
    <w:basedOn w:val="Normal"/>
    <w:link w:val="CommentTextChar"/>
    <w:uiPriority w:val="99"/>
    <w:unhideWhenUsed/>
    <w:rsid w:val="006B547D"/>
    <w:pPr>
      <w:spacing w:line="240" w:lineRule="auto"/>
    </w:pPr>
    <w:rPr>
      <w:sz w:val="20"/>
      <w:szCs w:val="20"/>
    </w:rPr>
  </w:style>
  <w:style w:type="character" w:customStyle="1" w:styleId="CommentTextChar">
    <w:name w:val="Comment Text Char"/>
    <w:basedOn w:val="DefaultParagraphFont"/>
    <w:link w:val="CommentText"/>
    <w:uiPriority w:val="99"/>
    <w:rsid w:val="006B547D"/>
    <w:rPr>
      <w:rFonts w:ascii="Times New Roman" w:eastAsiaTheme="minorEastAsia" w:hAnsi="Times New Roman"/>
      <w:kern w:val="0"/>
      <w:sz w:val="20"/>
      <w:szCs w:val="20"/>
      <w:lang w:val="en-GB" w:eastAsia="es-ES"/>
      <w14:ligatures w14:val="none"/>
    </w:rPr>
  </w:style>
  <w:style w:type="paragraph" w:customStyle="1" w:styleId="Cuadros">
    <w:name w:val="Cuadros"/>
    <w:basedOn w:val="Prrafo1"/>
    <w:qFormat/>
    <w:rsid w:val="006B547D"/>
    <w:rPr>
      <w:sz w:val="20"/>
    </w:rPr>
  </w:style>
  <w:style w:type="paragraph" w:customStyle="1" w:styleId="PieCuadro">
    <w:name w:val="PieCuadro"/>
    <w:basedOn w:val="Normal"/>
    <w:qFormat/>
    <w:rsid w:val="006B547D"/>
    <w:pPr>
      <w:spacing w:before="120"/>
      <w:ind w:left="709" w:hanging="709"/>
      <w:jc w:val="center"/>
    </w:pPr>
    <w:rPr>
      <w:rFonts w:eastAsia="Times New Roman" w:cs="Times New Roman"/>
      <w:kern w:val="28"/>
      <w:sz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5241AFD9CAD4E90F56FD547249FC3" ma:contentTypeVersion="17" ma:contentTypeDescription="Create a new document." ma:contentTypeScope="" ma:versionID="33ce7c151fb1e3b3ea81ab38da3a0bba">
  <xsd:schema xmlns:xsd="http://www.w3.org/2001/XMLSchema" xmlns:xs="http://www.w3.org/2001/XMLSchema" xmlns:p="http://schemas.microsoft.com/office/2006/metadata/properties" xmlns:ns2="49b895eb-aed7-4132-9f99-f8ef5af8b77f" xmlns:ns3="ba64709b-e739-46d1-b553-719312727e2e" targetNamespace="http://schemas.microsoft.com/office/2006/metadata/properties" ma:root="true" ma:fieldsID="2f537ef6cbaca83bb9fa0e0e041b1bbd" ns2:_="" ns3:_="">
    <xsd:import namespace="49b895eb-aed7-4132-9f99-f8ef5af8b77f"/>
    <xsd:import namespace="ba64709b-e739-46d1-b553-719312727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895eb-aed7-4132-9f99-f8ef5af8b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709b-e739-46d1-b553-719312727e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9310c-fa31-4fbb-ab42-1e8190d82a93}" ma:internalName="TaxCatchAll" ma:showField="CatchAllData" ma:web="ba64709b-e739-46d1-b553-719312727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895eb-aed7-4132-9f99-f8ef5af8b77f">
      <Terms xmlns="http://schemas.microsoft.com/office/infopath/2007/PartnerControls"/>
    </lcf76f155ced4ddcb4097134ff3c332f>
    <TaxCatchAll xmlns="ba64709b-e739-46d1-b553-719312727e2e" xsi:nil="true"/>
  </documentManagement>
</p:properties>
</file>

<file path=customXml/itemProps1.xml><?xml version="1.0" encoding="utf-8"?>
<ds:datastoreItem xmlns:ds="http://schemas.openxmlformats.org/officeDocument/2006/customXml" ds:itemID="{41B704E7-28B6-4CD5-B34F-9F2F4BABDCC3}"/>
</file>

<file path=customXml/itemProps2.xml><?xml version="1.0" encoding="utf-8"?>
<ds:datastoreItem xmlns:ds="http://schemas.openxmlformats.org/officeDocument/2006/customXml" ds:itemID="{ABFB073E-4797-426F-909F-5C8DF403F81D}"/>
</file>

<file path=customXml/itemProps3.xml><?xml version="1.0" encoding="utf-8"?>
<ds:datastoreItem xmlns:ds="http://schemas.openxmlformats.org/officeDocument/2006/customXml" ds:itemID="{0FD6A1D8-5F2F-48F7-A8AD-A177B67FC3A9}"/>
</file>

<file path=docProps/app.xml><?xml version="1.0" encoding="utf-8"?>
<Properties xmlns="http://schemas.openxmlformats.org/officeDocument/2006/extended-properties" xmlns:vt="http://schemas.openxmlformats.org/officeDocument/2006/docPropsVTypes">
  <Template>Normal.dotm</Template>
  <TotalTime>2</TotalTime>
  <Pages>6</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Bruya, Sara A.</dc:creator>
  <cp:keywords/>
  <dc:description/>
  <cp:lastModifiedBy>Bruya, Sara A.</cp:lastModifiedBy>
  <cp:revision>2</cp:revision>
  <dcterms:created xsi:type="dcterms:W3CDTF">2023-08-25T13:49:00Z</dcterms:created>
  <dcterms:modified xsi:type="dcterms:W3CDTF">2023-08-25T13:51:00Z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0x010100B6E5241AFD9CAD4E90F56FD547249FC3</vt:lpwstr>
  </property>
</Properties>
</file>