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054E" w14:textId="77777777" w:rsidR="00331AB6" w:rsidRPr="00DE219C" w:rsidRDefault="00331AB6" w:rsidP="00331AB6">
      <w:pPr>
        <w:tabs>
          <w:tab w:val="left" w:pos="2090"/>
        </w:tabs>
        <w:spacing w:after="0" w:line="480" w:lineRule="auto"/>
        <w:rPr>
          <w:rFonts w:ascii="Times New Roman" w:hAnsi="Times New Roman" w:cs="Times New Roman"/>
          <w:b/>
          <w:bCs/>
          <w:sz w:val="24"/>
          <w:szCs w:val="24"/>
        </w:rPr>
      </w:pPr>
      <w:bookmarkStart w:id="0" w:name="_Hlk101951698"/>
      <w:r w:rsidRPr="00DE219C">
        <w:rPr>
          <w:rFonts w:ascii="Times New Roman" w:hAnsi="Times New Roman" w:cs="Times New Roman"/>
          <w:b/>
          <w:bCs/>
          <w:sz w:val="24"/>
          <w:szCs w:val="24"/>
        </w:rPr>
        <w:t xml:space="preserve">APPENDIX I </w:t>
      </w:r>
    </w:p>
    <w:p w14:paraId="5E7167FC" w14:textId="77777777" w:rsidR="00331AB6" w:rsidRPr="00DE219C" w:rsidRDefault="00331AB6" w:rsidP="00331AB6">
      <w:pPr>
        <w:tabs>
          <w:tab w:val="left" w:pos="2090"/>
        </w:tabs>
        <w:spacing w:after="0" w:line="480" w:lineRule="auto"/>
        <w:rPr>
          <w:rFonts w:ascii="Times New Roman" w:hAnsi="Times New Roman" w:cs="Times New Roman"/>
          <w:b/>
          <w:bCs/>
          <w:sz w:val="24"/>
          <w:szCs w:val="24"/>
        </w:rPr>
      </w:pPr>
      <w:r w:rsidRPr="00DE219C">
        <w:rPr>
          <w:rFonts w:ascii="Times New Roman" w:hAnsi="Times New Roman" w:cs="Times New Roman"/>
          <w:b/>
          <w:bCs/>
          <w:sz w:val="24"/>
          <w:szCs w:val="24"/>
        </w:rPr>
        <w:t>Research Context</w:t>
      </w:r>
    </w:p>
    <w:p w14:paraId="3FAF28E8" w14:textId="77777777" w:rsidR="00331AB6" w:rsidRPr="00DE219C" w:rsidRDefault="00331AB6" w:rsidP="00331AB6">
      <w:pPr>
        <w:spacing w:after="0" w:line="480" w:lineRule="auto"/>
        <w:rPr>
          <w:rFonts w:ascii="Times New Roman" w:hAnsi="Times New Roman" w:cs="Times New Roman"/>
          <w:sz w:val="24"/>
          <w:szCs w:val="24"/>
        </w:rPr>
      </w:pPr>
      <w:r w:rsidRPr="00DE219C">
        <w:rPr>
          <w:rFonts w:ascii="Times New Roman" w:hAnsi="Times New Roman" w:cs="Times New Roman"/>
          <w:sz w:val="24"/>
          <w:szCs w:val="24"/>
        </w:rPr>
        <w:t xml:space="preserve">We examined our hypotheses using data from knowledge-intensive manufacturing sectors, where scientific knowledge is embedded in firms’ product and processes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{"citationID":"1umgot7rb8","properties":{"formattedCitation":"(Bell et al., 2004; Cavaliere et al., 2015)","plainCitation":"(Bell et al., 2004; Cavaliere et al., 2015)","dontUpdate":true,"noteIndex":0},"citationItems":[{"id":3204,"uris":["http://zotero.org/users/2437094/items/EPH2JEMZ"],"itemData":{"id":3204,"type":"article-journal","abstract":"The objective of this study was to explore the linkages between the overall business                strategies of small firms and their patterns, processes and pace of                internationalization. A qualitative approach was adopted, involving 30 indepth                interviews with key decision makers of internationalizing small firms based in 3 UK                regions (15 ‘knowledge-intensive’ and 15                ‘traditional’ firms). The findings suggest that business                policies, including those linked to ownership and/or management changes, had an                important influence upon the international orientation of many firms. There were                close relationships between product policies and market focus, with product or                process innovation often providing an important stimulus to international expansion.                However, differences existed in the patterns, processes and pace of                internationalization between small ‘knowledge-intensive’ and                ‘traditional’ manufacturing firms. The implications of these                results on firm strategy, public policy and theory development are discussed and a                series of research questions are postulated for future investigation.","container-title":"International Small Business Journal","DOI":"10.1177/0266242604039479","ISSN":"0266-2426","issue":"1","journalAbbreviation":"International Small Business Journal","language":"en","page":"23-56","source":"SAGE Journals","title":"Small Firm Internationalization and Business Strategy: An Exploratory Study of ‘Knowledge-Intensive’ and                ‘Traditional’ Manufacturing Firms in the UK","title-short":"Small Firm Internationalization and Business Strategy","volume":"22","author":[{"family":"Bell","given":"Jim"},{"family":"Crick","given":"Dave"},{"family":"Young","given":"Stephen"}],"issued":{"date-parts":[["2004",2,1]]}}},{"id":3202,"uris":["http://zotero.org/users/2437094/items/43JV9HZD"],"itemData":{"id":3202,"type":"article-journal","container-title":"Journal of Knowledge Management","DOI":"10.1108/JKM-12-2014-0538","ISSN":"1367-3270","issue":"6","journalAbbreviation":"J of Knowledge Management","page":"1124-1145","source":"emeraldinsight.com (Atypon)","title":"Knowledge sharing in knowledge-intensive manufacturing firms. An empirical study of its enablers","volume":"19","author":[{"family":"Cavaliere","given":"Vincenzo"},{"family":"Lombardi","given":"Sara"},{"family":"Giustiniano","given":"Luca"}],"issued":{"date-parts":[["2015",9,17]]}}}],"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(Cavaliere et al., 2015)</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In such sectors, high level of technical knowledge is required across the entire value chain functions, including manufacturing, sales and marketing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{"citationID":"5gdsd266v","properties":{"formattedCitation":"(Bell et al., 2004; L\\uc0\\u246{}\\uc0\\u246{}f &amp; Heshmati, 2002)","plainCitation":"(Bell et al., 2004; Lööf &amp; Heshmati, 2002)","noteIndex":0},"citationItems":[{"id":3204,"uris":["http://zotero.org/users/2437094/items/EPH2JEMZ"],"itemData":{"id":3204,"type":"article-journal","abstract":"The objective of this study was to explore the linkages between the overall business                strategies of small firms and their patterns, processes and pace of                internationalization. A qualitative approach was adopted, involving 30 indepth                interviews with key decision makers of internationalizing small firms based in 3 UK                regions (15 ‘knowledge-intensive’ and 15                ‘traditional’ firms). The findings suggest that business                policies, including those linked to ownership and/or management changes, had an                important influence upon the international orientation of many firms. There were                close relationships between product policies and market focus, with product or                process innovation often providing an important stimulus to international expansion.                However, differences existed in the patterns, processes and pace of                internationalization between small ‘knowledge-intensive’ and                ‘traditional’ manufacturing firms. The implications of these                results on firm strategy, public policy and theory development are discussed and a                series of research questions are postulated for future investigation.","container-title":"International Small Business Journal","DOI":"10.1177/0266242604039479","ISSN":"0266-2426","issue":"1","journalAbbreviation":"International Small Business Journal","language":"en","page":"23-56","source":"SAGE Journals","title":"Small Firm Internationalization and Business Strategy: An Exploratory Study of ‘Knowledge-Intensive’ and                ‘Traditional’ Manufacturing Firms in the UK","title-short":"Small Firm Internationalization and Business Strategy","volume":"22","author":[{"family":"Bell","given":"Jim"},{"family":"Crick","given":"Dave"},{"family":"Young","given":"Stephen"}],"issued":{"date-parts":[["2004",2,1]]}}},{"id":3203,"uris":["http://zotero.org/users/2437094/items/VCUTKNN4"],"itemData":{"id":3203,"type":"article-journal","abstract":"This paper is an empirical analysis of knowledge capital and performance heterogeneity at the firm level. We apply new econometric methods to extensive data on innovation and innovative activities in Swedish manufacturing. A number of interesting results emerge. First, the results show that knowledge capital, defined as the ratio of innovation sales to total sales, is found to be a significant factor contributing to performance heterogeneity among firms. This relationship holds even when we control for human capital, type of output, firm size, and the entry, merger, partial closure or exit of firms. Second, knowledge capital rises with innovation input, the firm's internal knowledge for innovation, and co-operation on innovation with domestic universities. Third, when controlling for differences in innovation investments and human capital, knowledge-intensive firms are not more innovative than labor-intensive or capital-intensive firms. Fourth, organizational rigidities in innovation projects and a lack of appropriate investment sources for innovative activities are found to have a negative impact on productivity. Finally, we find a positive association between an outspoken aggressive innovation strategy, customers and a firm's internal resources for innovation and the size of innovation investment.","container-title":"International Journal of Production Economics","DOI":"10.1016/S0925-5273(01)00147-5","ISSN":"0925-5273","issue":"1","journalAbbreviation":"International Journal of Production Economics","page":"61-85","source":"ScienceDirect","title":"Knowledge capital and performance heterogeneity:: A firm-level innovation study","title-short":"Knowledge capital and performance heterogeneity","volume":"76","author":[{"family":"Lööf","given":"Hans"},{"family":"Heshmati","given":"Almas"}],"issued":{"date-parts":[["2002",3,1]]}}}],"schema":"https://github.com/citation-style-language/schema/raw/master/csl-citation.json"}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 xml:space="preserve">(Bell, Crick, &amp; Young, 2004; </w:t>
      </w:r>
      <w:proofErr w:type="spellStart"/>
      <w:r w:rsidRPr="00DE219C">
        <w:rPr>
          <w:rFonts w:ascii="Times New Roman" w:hAnsi="Times New Roman" w:cs="Times New Roman"/>
          <w:sz w:val="24"/>
          <w:szCs w:val="24"/>
        </w:rPr>
        <w:t>Lööf</w:t>
      </w:r>
      <w:proofErr w:type="spellEnd"/>
      <w:r w:rsidRPr="00DE219C">
        <w:rPr>
          <w:rFonts w:ascii="Times New Roman" w:hAnsi="Times New Roman" w:cs="Times New Roman"/>
          <w:sz w:val="24"/>
          <w:szCs w:val="24"/>
        </w:rPr>
        <w:t xml:space="preserve"> &amp; </w:t>
      </w:r>
      <w:proofErr w:type="spellStart"/>
      <w:r w:rsidRPr="00DE219C">
        <w:rPr>
          <w:rFonts w:ascii="Times New Roman" w:hAnsi="Times New Roman" w:cs="Times New Roman"/>
          <w:sz w:val="24"/>
          <w:szCs w:val="24"/>
        </w:rPr>
        <w:t>Heshmati</w:t>
      </w:r>
      <w:proofErr w:type="spellEnd"/>
      <w:r w:rsidRPr="00DE219C">
        <w:rPr>
          <w:rFonts w:ascii="Times New Roman" w:hAnsi="Times New Roman" w:cs="Times New Roman"/>
          <w:sz w:val="24"/>
          <w:szCs w:val="24"/>
        </w:rPr>
        <w:t>, 2002)</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Firms in knowledge-intensive manufacturing sector produce technologically sophisticated products such as electronic equipment, control systems, telecom equipment, industrial equipment, electric transformers, and electric machineries</w:t>
      </w:r>
      <w:r>
        <w:rPr>
          <w:rFonts w:ascii="Times New Roman" w:hAnsi="Times New Roman" w:cs="Times New Roman"/>
          <w:sz w:val="24"/>
          <w:szCs w:val="24"/>
        </w:rPr>
        <w:t>,</w:t>
      </w:r>
      <w:r w:rsidRPr="00DE219C">
        <w:rPr>
          <w:rFonts w:ascii="Times New Roman" w:hAnsi="Times New Roman" w:cs="Times New Roman"/>
          <w:sz w:val="24"/>
          <w:szCs w:val="24"/>
        </w:rPr>
        <w:t xml:space="preserve"> and share 35 and 36 as two-digit Standard Industrial Classification (SIC) codes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{"citationID":"kJgdWyrN","properties":{"formattedCitation":"(Bell et al., 2004; L\\uc0\\u246{}\\uc0\\u246{}f &amp; Heshmati, 2002)","plainCitation":"(Bell et al., 2004; Lööf &amp; Heshmati, 2002)","noteIndex":0},"citationItems":[{"id":3204,"uris":["http://zotero.org/users/2437094/items/EPH2JEMZ"],"itemData":{"id":3204,"type":"article-journal","abstract":"The objective of this study was to explore the linkages between the overall business                strategies of small firms and their patterns, processes and pace of                internationalization. A qualitative approach was adopted, involving 30 indepth                interviews with key decision makers of internationalizing small firms based in 3 UK                regions (15 ‘knowledge-intensive’ and 15                ‘traditional’ firms). The findings suggest that business                policies, including those linked to ownership and/or management changes, had an                important influence upon the international orientation of many firms. There were                close relationships between product policies and market focus, with product or                process innovation often providing an important stimulus to international expansion.                However, differences existed in the patterns, processes and pace of                internationalization between small ‘knowledge-intensive’ and                ‘traditional’ manufacturing firms. The implications of these                results on firm strategy, public policy and theory development are discussed and a                series of research questions are postulated for future investigation.","container-title":"International Small Business Journal","DOI":"10.1177/0266242604039479","ISSN":"0266-2426","issue":"1","journalAbbreviation":"International Small Business Journal","language":"en","page":"23-56","source":"SAGE Journals","title":"Small Firm Internationalization and Business Strategy: An Exploratory Study of ‘Knowledge-Intensive’ and                ‘Traditional’ Manufacturing Firms in the UK","title-short":"Small Firm Internationalization and Business Strategy","volume":"22","author":[{"family":"Bell","given":"Jim"},{"family":"Crick","given":"Dave"},{"family":"Young","given":"Stephen"}],"issued":{"date-parts":[["2004",2,1]]}}},{"id":3203,"uris":["http://zotero.org/users/2437094/items/VCUTKNN4"],"itemData":{"id":3203,"type":"article-journal","abstract":"This paper is an empirical analysis of knowledge capital and performance heterogeneity at the firm level. We apply new econometric methods to extensive data on innovation and innovative activities in Swedish manufacturing. A number of interesting results emerge. First, the results show that knowledge capital, defined as the ratio of innovation sales to total sales, is found to be a significant factor contributing to performance heterogeneity among firms. This relationship holds even when we control for human capital, type of output, firm size, and the entry, merger, partial closure or exit of firms. Second, knowledge capital rises with innovation input, the firm's internal knowledge for innovation, and co-operation on innovation with domestic universities. Third, when controlling for differences in innovation investments and human capital, knowledge-intensive firms are not more innovative than labor-intensive or capital-intensive firms. Fourth, organizational rigidities in innovation projects and a lack of appropriate investment sources for innovative activities are found to have a negative impact on productivity. Finally, we find a positive association between an outspoken aggressive innovation strategy, customers and a firm's internal resources for innovation and the size of innovation investment.","container-title":"International Journal of Production Economics","DOI":"10.1016/S0925-5273(01)00147-5","ISSN":"0925-5273","issue":"1","journalAbbreviation":"International Journal of Production Economics","page":"61-85","source":"ScienceDirect","title":"Knowledge capital and performance heterogeneity:: A firm-level innovation study","title-short":"Knowledge capital and performance heterogeneity","volume":"76","author":[{"family":"Lööf","given":"Hans"},{"family":"Heshmati","given":"Almas"}],"issued":{"date-parts":[["2002",3,1]]}}}],"schema":"https://github.com/citation-style-language/schema/raw/master/csl-citation.json"}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 xml:space="preserve">(Bell et al., 2004; </w:t>
      </w:r>
      <w:proofErr w:type="spellStart"/>
      <w:r w:rsidRPr="00DE219C">
        <w:rPr>
          <w:rFonts w:ascii="Times New Roman" w:hAnsi="Times New Roman" w:cs="Times New Roman"/>
          <w:sz w:val="24"/>
          <w:szCs w:val="24"/>
        </w:rPr>
        <w:t>Lööf</w:t>
      </w:r>
      <w:proofErr w:type="spellEnd"/>
      <w:r w:rsidRPr="00DE219C">
        <w:rPr>
          <w:rFonts w:ascii="Times New Roman" w:hAnsi="Times New Roman" w:cs="Times New Roman"/>
          <w:sz w:val="24"/>
          <w:szCs w:val="24"/>
        </w:rPr>
        <w:t xml:space="preserve"> &amp; </w:t>
      </w:r>
      <w:proofErr w:type="spellStart"/>
      <w:r w:rsidRPr="00DE219C">
        <w:rPr>
          <w:rFonts w:ascii="Times New Roman" w:hAnsi="Times New Roman" w:cs="Times New Roman"/>
          <w:sz w:val="24"/>
          <w:szCs w:val="24"/>
        </w:rPr>
        <w:t>Heshmati</w:t>
      </w:r>
      <w:proofErr w:type="spellEnd"/>
      <w:r w:rsidRPr="00DE219C">
        <w:rPr>
          <w:rFonts w:ascii="Times New Roman" w:hAnsi="Times New Roman" w:cs="Times New Roman"/>
          <w:sz w:val="24"/>
          <w:szCs w:val="24"/>
        </w:rPr>
        <w:t>, 2002)</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We have taken sample firms from these two-digit SIC codes. These two sectors are appropriate empirical context for this study as the high-valued knowledge embedded in people, </w:t>
      </w:r>
      <w:proofErr w:type="gramStart"/>
      <w:r w:rsidRPr="00DE219C">
        <w:rPr>
          <w:rFonts w:ascii="Times New Roman" w:hAnsi="Times New Roman" w:cs="Times New Roman"/>
          <w:sz w:val="24"/>
          <w:szCs w:val="24"/>
        </w:rPr>
        <w:t>product</w:t>
      </w:r>
      <w:proofErr w:type="gramEnd"/>
      <w:r w:rsidRPr="00DE219C">
        <w:rPr>
          <w:rFonts w:ascii="Times New Roman" w:hAnsi="Times New Roman" w:cs="Times New Roman"/>
          <w:sz w:val="24"/>
          <w:szCs w:val="24"/>
        </w:rPr>
        <w:t xml:space="preserve"> and processes of firms from these sectors emphasize the importance of learning. Knowledge accumulation and utilization is crucial for sustaining competitive advantage in these sectors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{"citationID":"HkvHGHoV","properties":{"formattedCitation":"(Bell et al., 2004; Cavaliere et al., 2015)","plainCitation":"(Bell et al., 2004; Cavaliere et al., 2015)","dontUpdate":true,"noteIndex":0},"citationItems":[{"id":3204,"uris":["http://zotero.org/users/2437094/items/EPH2JEMZ"],"itemData":{"id":3204,"type":"article-journal","abstract":"The objective of this study was to explore the linkages between the overall business                strategies of small firms and their patterns, processes and pace of                internationalization. A qualitative approach was adopted, involving 30 indepth                interviews with key decision makers of internationalizing small firms based in 3 UK                regions (15 ‘knowledge-intensive’ and 15                ‘traditional’ firms). The findings suggest that business                policies, including those linked to ownership and/or management changes, had an                important influence upon the international orientation of many firms. There were                close relationships between product policies and market focus, with product or                process innovation often providing an important stimulus to international expansion.                However, differences existed in the patterns, processes and pace of                internationalization between small ‘knowledge-intensive’ and                ‘traditional’ manufacturing firms. The implications of these                results on firm strategy, public policy and theory development are discussed and a                series of research questions are postulated for future investigation.","container-title":"International Small Business Journal","DOI":"10.1177/0266242604039479","ISSN":"0266-2426","issue":"1","journalAbbreviation":"International Small Business Journal","language":"en","page":"23-56","source":"SAGE Journals","title":"Small Firm Internationalization and Business Strategy: An Exploratory Study of ‘Knowledge-Intensive’ and                ‘Traditional’ Manufacturing Firms in the UK","title-short":"Small Firm Internationalization and Business Strategy","volume":"22","author":[{"family":"Bell","given":"Jim"},{"family":"Crick","given":"Dave"},{"family":"Young","given":"Stephen"}],"issued":{"date-parts":[["2004",2,1]]}}},{"id":3202,"uris":["http://zotero.org/users/2437094/items/43JV9HZD"],"itemData":{"id":3202,"type":"article-journal","container-title":"Journal of Knowledge Management","DOI":"10.1108/JKM-12-2014-0538","ISSN":"1367-3270","issue":"6","journalAbbreviation":"J of Knowledge Management","page":"1124-1145","source":"emeraldinsight.com (Atypon)","title":"Knowledge sharing in knowledge-intensive manufacturing firms. An empirical study of its enablers","volume":"19","author":[{"family":"Cavaliere","given":"Vincenzo"},{"family":"Lombardi","given":"Sara"},{"family":"Giustiniano","given":"Luca"}],"issued":{"date-parts":[["2015",9,17]]}}}],"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(Cavaliere et al., 2015)</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w:t>
      </w:r>
    </w:p>
    <w:p w14:paraId="3DC11782" w14:textId="77777777" w:rsidR="00331AB6" w:rsidRPr="00DE219C" w:rsidRDefault="00331AB6" w:rsidP="00331AB6">
      <w:pPr>
        <w:tabs>
          <w:tab w:val="left" w:pos="2090"/>
        </w:tabs>
        <w:spacing w:after="0" w:line="480" w:lineRule="auto"/>
        <w:rPr>
          <w:rFonts w:ascii="Times New Roman" w:hAnsi="Times New Roman" w:cs="Times New Roman"/>
          <w:b/>
          <w:bCs/>
          <w:i/>
          <w:iCs/>
          <w:sz w:val="24"/>
          <w:szCs w:val="24"/>
        </w:rPr>
      </w:pPr>
    </w:p>
    <w:p w14:paraId="33AFBE27" w14:textId="77777777" w:rsidR="00331AB6" w:rsidRPr="00DE219C" w:rsidRDefault="00331AB6" w:rsidP="00331AB6">
      <w:pPr>
        <w:tabs>
          <w:tab w:val="left" w:pos="2090"/>
        </w:tabs>
        <w:spacing w:after="0" w:line="480" w:lineRule="auto"/>
        <w:rPr>
          <w:rFonts w:ascii="Times New Roman" w:hAnsi="Times New Roman" w:cs="Times New Roman"/>
          <w:b/>
          <w:bCs/>
          <w:i/>
          <w:iCs/>
          <w:sz w:val="24"/>
          <w:szCs w:val="24"/>
        </w:rPr>
      </w:pPr>
      <w:r w:rsidRPr="00DE219C">
        <w:rPr>
          <w:rFonts w:ascii="Times New Roman" w:hAnsi="Times New Roman" w:cs="Times New Roman"/>
          <w:i/>
          <w:iCs/>
          <w:sz w:val="24"/>
          <w:szCs w:val="24"/>
        </w:rPr>
        <w:t>Data collection.</w:t>
      </w:r>
      <w:r w:rsidRPr="00DE219C">
        <w:rPr>
          <w:rFonts w:ascii="Times New Roman" w:hAnsi="Times New Roman" w:cs="Times New Roman"/>
          <w:b/>
          <w:bCs/>
          <w:i/>
          <w:iCs/>
          <w:sz w:val="24"/>
          <w:szCs w:val="24"/>
        </w:rPr>
        <w:t xml:space="preserve"> </w:t>
      </w:r>
      <w:r w:rsidRPr="00DE219C">
        <w:rPr>
          <w:rFonts w:ascii="Times New Roman" w:hAnsi="Times New Roman" w:cs="Times New Roman"/>
          <w:sz w:val="24"/>
          <w:szCs w:val="24"/>
        </w:rPr>
        <w:t xml:space="preserve">We gathered data from several sources: Prowess, Thomson Reuters Eikon, India Business Insight, and Indian patent office. We identified publicly listed firms from the above-mentioned two sectors from the Prowess database, which is an established source of financial data for Indian firms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{"citationID":"abqgtsmahp","properties":{"formattedCitation":"(Chittoor &amp; Aulakh, 2015)","plainCitation":"(Chittoor &amp; Aulakh, 2015)","noteIndex":0},"citationItems":[{"id":1920,"uris":["http://zotero.org/users/2437094/items/Q4GH9HBS"],"itemData":{"id":1920,"type":"article-journal","abstract":"Since its independence in 1947, India has undertaken several different paths towards economic development and growth. These paths have evolved due to the unique internal political-economic context emanating from a history of colonization and the external pressures arising from global institutional and economic considerations. The need to accommodate domestic realities and external pressures led to the emergence of diverse organizational forms in India. Placing the contemporary organizational landscape within the historical political-economic context, we discuss the plurality of organizational forms that dominate the Indian economy, their evolution in the period after economic liberalization in 1991, and their attempts to catch-up and participate in global markets. Furthermore, using the four papers published in the special issue as a starting point, we discuss how the organizational landscape in India offers opportunities to contribute to practice and research, particularly in the domains of business groups, emerging market multinationals, and reverse innovation.","collection-title":"Organizational Landscape in India","container-title":"Long Range Planning","DOI":"10.1016/j.lrp.2015.07.005","ISSN":"0024-6301","issue":"5","journalAbbreviation":"Long Range Planning","page":"291-300","source":"ScienceDirect","title":"Organizational Landscape in India: Historical Development, Multiplicity of Forms and Implications for Practice and Research","title-short":"Organizational Landscape in India","volume":"48","author":[{"family":"Chittoor","given":"Raveendra (Ravee)"},{"family":"Aulakh","given":"Preet S."}],"issued":{"date-parts":[["2015",10]]}}}],"schema":"https://github.com/citation-style-language/schema/raw/master/csl-citation.json"}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 xml:space="preserve">(Chittoor &amp; </w:t>
      </w:r>
      <w:proofErr w:type="spellStart"/>
      <w:r w:rsidRPr="00DE219C">
        <w:rPr>
          <w:rFonts w:ascii="Times New Roman" w:hAnsi="Times New Roman" w:cs="Times New Roman"/>
          <w:sz w:val="24"/>
          <w:szCs w:val="24"/>
        </w:rPr>
        <w:t>Aulakh</w:t>
      </w:r>
      <w:proofErr w:type="spellEnd"/>
      <w:r w:rsidRPr="00DE219C">
        <w:rPr>
          <w:rFonts w:ascii="Times New Roman" w:hAnsi="Times New Roman" w:cs="Times New Roman"/>
          <w:sz w:val="24"/>
          <w:szCs w:val="24"/>
        </w:rPr>
        <w:t>, 2015)</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Financial data on variables such as market capitalization, total assets, net income, revenue, R&amp;D investments, employee compensation, </w:t>
      </w:r>
      <w:proofErr w:type="gramStart"/>
      <w:r w:rsidRPr="00DE219C">
        <w:rPr>
          <w:rFonts w:ascii="Times New Roman" w:hAnsi="Times New Roman" w:cs="Times New Roman"/>
          <w:sz w:val="24"/>
          <w:szCs w:val="24"/>
        </w:rPr>
        <w:t>sales</w:t>
      </w:r>
      <w:proofErr w:type="gramEnd"/>
      <w:r w:rsidRPr="00DE219C">
        <w:rPr>
          <w:rFonts w:ascii="Times New Roman" w:hAnsi="Times New Roman" w:cs="Times New Roman"/>
          <w:sz w:val="24"/>
          <w:szCs w:val="24"/>
        </w:rPr>
        <w:t xml:space="preserve"> and general administration expenses (SG&amp;A), debt, common equity, share prices, business and geographic segment names and other information were drawn from this database. We referred to the news data from Thomson Reuters Eikon and India Business Insight database (IBID) to extract information on diversification moves. Both Thomson </w:t>
      </w:r>
      <w:r w:rsidRPr="00DE219C">
        <w:rPr>
          <w:rFonts w:ascii="Times New Roman" w:hAnsi="Times New Roman" w:cs="Times New Roman"/>
          <w:sz w:val="24"/>
          <w:szCs w:val="24"/>
        </w:rPr>
        <w:lastRenderedPageBreak/>
        <w:t xml:space="preserve">Reuters Eikon and IBID provide summary of news related to the various corporate activities, including diversification, international expansion, alliances, and acquisitions, of publicly listed firms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{"citationID":"MgZJp9uy","properties":{"formattedCitation":"(Gertler &amp; Horvath, 2018; Shukla et al., 2019)","plainCitation":"(Gertler &amp; Horvath, 2018; Shukla et al., 2019)","dontUpdate":true,"noteIndex":0},"citationItems":[{"id":8662,"uris":["http://zotero.org/users/2437094/items/MHZC9J7M"],"itemData":{"id":8662,"type":"article-journal","abstract":"This paper examines the financial market impact of intermeeting communication of the members of the European Central Bank’s Governing Council (GC) using high frequency data between July 2008 and January 2014. Constructing a rich dataset of GC members’ public statements (speeches, conference discussions and media interviews) between monetary policy meetings allows us to investigate a detailed pattern of market responses to the ad-hoc communication of central bankers. Using least squares and quantile regressions, we document the impact of policymakers’ public statements on interest rates and the stock market with very little or no impact on exchange rates. In general, we find little evidence that the timing, sequencing or content of communication matters in immediate response. On the contrary, the results suggest that the market concentrates on the communication of key members of the committee.","container-title":"Journal of Financial Stability","DOI":"10.1016/j.jfs.2018.03.002","ISSN":"1572-3089","journalAbbreviation":"Journal of Financial Stability","language":"en","page":"336-345","source":"ScienceDirect","title":"Central bank communication and financial markets: New high-frequency evidence","title-short":"Central bank communication and financial markets","volume":"36","author":[{"family":"Gertler","given":"Pavel"},{"family":"Horvath","given":"Roman"}],"issued":{"date-parts":[["2018",6,1]]}}},{"id":"vPVCgwIY/5drVxTSe","uris":["http://zotero.org/users/2437094/items/A4ZP7DAS"],"itemData":{"id":8226,"type":"article-journal","container-title":"Journal of Business Research","note":"publisher: Elsevier","source":"Google Scholar","title":"Valuation effects of alliance portfolio expansion speed and strength: Evidence from high-tech firms","title-short":"Valuation effects of alliance portfolio expansion speed and strength","author":[{"family":"Shukla","given":"Dhirendra Mani"},{"family":"Mital","given":"Amita"},{"family":"Qureshi","given":"Israr"},{"family":"Wang","given":"Taiyuan"}],"issued":{"date-parts":[["2019"]]}}}],"schema":"https://github.com/citation-style-language/schema/raw/master/csl-citation.json"}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(Gertler &amp; Horvath, 2018; Shukla</w:t>
      </w:r>
      <w:r>
        <w:rPr>
          <w:rFonts w:ascii="Times New Roman" w:hAnsi="Times New Roman" w:cs="Times New Roman"/>
          <w:sz w:val="24"/>
          <w:szCs w:val="24"/>
        </w:rPr>
        <w:t>,</w:t>
      </w:r>
      <w:r w:rsidRPr="00DE219C">
        <w:rPr>
          <w:rFonts w:ascii="Times New Roman" w:hAnsi="Times New Roman" w:cs="Times New Roman"/>
          <w:sz w:val="24"/>
          <w:szCs w:val="24"/>
        </w:rPr>
        <w:t xml:space="preserve"> </w:t>
      </w:r>
      <w:proofErr w:type="spellStart"/>
      <w:r w:rsidRPr="00C555AB">
        <w:rPr>
          <w:rFonts w:ascii="Times New Roman" w:hAnsi="Times New Roman" w:cs="Times New Roman"/>
          <w:sz w:val="24"/>
          <w:szCs w:val="24"/>
        </w:rPr>
        <w:t>Mital</w:t>
      </w:r>
      <w:proofErr w:type="spellEnd"/>
      <w:r w:rsidRPr="00C555AB">
        <w:rPr>
          <w:rFonts w:ascii="Times New Roman" w:hAnsi="Times New Roman" w:cs="Times New Roman"/>
          <w:sz w:val="24"/>
          <w:szCs w:val="24"/>
        </w:rPr>
        <w:t>, Qureshi, &amp; Wang,</w:t>
      </w:r>
      <w:r w:rsidRPr="00DE219C">
        <w:rPr>
          <w:rFonts w:ascii="Times New Roman" w:hAnsi="Times New Roman" w:cs="Times New Roman"/>
          <w:sz w:val="24"/>
          <w:szCs w:val="24"/>
        </w:rPr>
        <w:t xml:space="preserve"> 2020)</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The firms included in the sample engaged in a total of 1772 distinct diversification events during the period of 1998</w:t>
      </w:r>
      <w:r>
        <w:rPr>
          <w:rFonts w:ascii="Times New Roman" w:hAnsi="Times New Roman" w:cs="Times New Roman"/>
          <w:sz w:val="24"/>
          <w:szCs w:val="24"/>
        </w:rPr>
        <w:t>–</w:t>
      </w:r>
      <w:r w:rsidRPr="00DE219C">
        <w:rPr>
          <w:rFonts w:ascii="Times New Roman" w:hAnsi="Times New Roman" w:cs="Times New Roman"/>
          <w:sz w:val="24"/>
          <w:szCs w:val="24"/>
        </w:rPr>
        <w:t>2018, out of which 654 were related to product diversification whereas 1162 were related to international diversification. Detail of the coding the diversification events is presented in the next sub-section.</w:t>
      </w:r>
      <w:r>
        <w:rPr>
          <w:rFonts w:ascii="Times New Roman" w:hAnsi="Times New Roman" w:cs="Times New Roman"/>
          <w:sz w:val="24"/>
          <w:szCs w:val="24"/>
        </w:rPr>
        <w:t xml:space="preserve"> </w:t>
      </w:r>
    </w:p>
    <w:p w14:paraId="781EB588" w14:textId="77777777" w:rsidR="00331AB6" w:rsidRPr="00DE219C" w:rsidRDefault="00331AB6" w:rsidP="00331AB6">
      <w:pPr>
        <w:pStyle w:val="CommentText"/>
        <w:spacing w:after="0" w:line="480" w:lineRule="auto"/>
        <w:ind w:firstLine="720"/>
        <w:rPr>
          <w:rFonts w:ascii="Times New Roman" w:hAnsi="Times New Roman" w:cs="Times New Roman"/>
          <w:sz w:val="24"/>
          <w:szCs w:val="24"/>
        </w:rPr>
      </w:pPr>
      <w:r w:rsidRPr="00DE219C">
        <w:rPr>
          <w:rFonts w:ascii="Times New Roman" w:hAnsi="Times New Roman" w:cs="Times New Roman"/>
          <w:sz w:val="24"/>
          <w:szCs w:val="24"/>
        </w:rPr>
        <w:t xml:space="preserve">Further, to measure knowledge stock and absorptive capacity, patent data were collected from the Indian Patent Office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{"citationID":"1Xmzacb9","properties":{"formattedCitation":"(Abraham &amp; Moitra, 2001; Haley &amp; Haley, 2012)","plainCitation":"(Abraham &amp; Moitra, 2001; Haley &amp; Haley, 2012)","dontUpdate":true,"noteIndex":0},"citationItems":[{"id":3413,"uris":["http://zotero.org/users/2437094/items/DUXXR8CM"],"itemData":{"id":3413,"type":"article-journal","abstract":"Indian industry in the 1990s has had to cope both with the liberalization of imports into the country and rapid technological developments and innovations occurring in both product and process technologies. To come up with competitive new products and processes, Indian industry needs to have access to detailed information on technological innovations that it has to compete with. One major method of obtaining such information could be an analysis of Indian patent data. Since such data might signal the kinds of product and processes foreign companies are planning to introduce in India, an analysis of Indian patent data could provide firms with information that could help them with their strategic planning efforts. An analysis of patents accepted by the Indian patent office in the fields Electric Communication Techniques over the last five years is carried with the intention of assessing whether data available in these patent applications would enable Indian firms to accurately assess technological advances and innovations occurring in this sector. It is also compared with data on patents granted by the US Patent Office. Public policy measures that could make Indian patent data more useful for Indian firms are also suggested.","container-title":"Technovation","DOI":"10.1016/S0166-4972(00)00040-7","ISSN":"0166-4972","issue":"4","journalAbbreviation":"Technovation","page":"245-252","source":"ScienceDirect","title":"Innovation assessment through patent analysis","volume":"21","author":[{"family":"Abraham","given":"Biju Paul"},{"family":"Moitra","given":"Soumyo D"}],"issued":{"date-parts":[["2001",4,1]]}}},{"id":3412,"uris":["http://zotero.org/users/2437094/items/XP8VJL6G"],"itemData":{"id":3412,"type":"article-journal","abstract":"Recent patent-law changes in India's pharmaceutical industry provide opportunities to study changes of institutional and regulatory environments on innovation and social welfare in low-income markets. From 1972 to 2004 under its process-patent regime, India's pharmaceutical industry grew to become the world's fourth largest. Indian companies were becoming globally competitive in generics and clinical testing, and moving into product R&amp;D. Researchers have debated the effects of India's new product-patent laws' effects on these trends. The authors cover the domestic characteristics and global competitiveness of India's pharmaceutical industry. They contrast data (from 2001 to 2004) on patents in India's process-patent regime with preliminary data (from 2005 to 2008) on patents in the country's new product-patent regime. They argue that Indian pharmaceutical companies have changed their decision-making in response to changed patent laws by moving from process to product research. However, the preliminary results indicate that these changes may have hurt domestic innovation. They conclude with strategic implications for the Indian pharmaceutical industry and highlight the need for research and public policy to establish optimal social returns from product-patent regimes.","collection-title":"Contains Special Section: Innovation in India","container-title":"Technological Forecasting and Social Change","DOI":"10.1016/j.techfore.2011.05.012","ISSN":"0040-1625","issue":"4","journalAbbreviation":"Technological Forecasting and Social Change","page":"607-619","source":"ScienceDirect","title":"The effects of patent-law changes on innovation: The case of India's pharmaceutical industry","title-short":"The effects of patent-law changes on innovation","volume":"79","author":[{"family":"Haley","given":"George T."},{"family":"Haley","given":"Usha C. V."}],"issued":{"date-parts":[["2012",5,1]]}}}],"schema":"https://github.com/citation-style-language/schema/raw/master/csl-citation.json"}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(Haley &amp; Haley, 2012)</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which publishes a weekly journal with information on filed patents and provides an interface to search patents based on various criteria.</w:t>
      </w:r>
      <w:r w:rsidRPr="00DE219C">
        <w:rPr>
          <w:rFonts w:ascii="Times New Roman" w:hAnsi="Times New Roman" w:cs="Times New Roman"/>
          <w:sz w:val="24"/>
          <w:szCs w:val="24"/>
          <w:vertAlign w:val="superscript"/>
        </w:rPr>
        <w:t>[</w:t>
      </w:r>
      <w:r w:rsidRPr="00DE219C">
        <w:rPr>
          <w:rStyle w:val="FootnoteReference"/>
          <w:rFonts w:ascii="Times New Roman" w:hAnsi="Times New Roman" w:cs="Times New Roman"/>
          <w:sz w:val="24"/>
          <w:szCs w:val="24"/>
        </w:rPr>
        <w:t>1</w:t>
      </w:r>
      <w:r w:rsidRPr="00DE219C">
        <w:rPr>
          <w:rFonts w:ascii="Times New Roman" w:hAnsi="Times New Roman" w:cs="Times New Roman"/>
          <w:sz w:val="24"/>
          <w:szCs w:val="24"/>
          <w:vertAlign w:val="superscript"/>
        </w:rPr>
        <w:t>]</w:t>
      </w:r>
      <w:r w:rsidRPr="00DE219C">
        <w:rPr>
          <w:rFonts w:ascii="Times New Roman" w:hAnsi="Times New Roman" w:cs="Times New Roman"/>
          <w:sz w:val="24"/>
          <w:szCs w:val="24"/>
        </w:rPr>
        <w:t xml:space="preserve"> We gathered information about all the patents granted to the focal firm until the end of 2018. Finally, we referred to Securities Data Company (SDC) Platinum database to cross-check that the diversification (product or international) events where mode of diversification was alliance, joint-venture, or acquisition, were also reported in this database. All the acquisition (389) and joint-venture (352) events and around ninety percent of the non-equity alliance events (80 out of 88) were also captured by the SDC Platinum </w:t>
      </w:r>
      <w:proofErr w:type="gramStart"/>
      <w:r w:rsidRPr="00DE219C">
        <w:rPr>
          <w:rFonts w:ascii="Times New Roman" w:hAnsi="Times New Roman" w:cs="Times New Roman"/>
          <w:sz w:val="24"/>
          <w:szCs w:val="24"/>
        </w:rPr>
        <w:t>database.</w:t>
      </w:r>
      <w:r w:rsidRPr="00DE219C">
        <w:rPr>
          <w:rFonts w:ascii="Times New Roman" w:hAnsi="Times New Roman" w:cs="Times New Roman"/>
          <w:sz w:val="24"/>
          <w:szCs w:val="24"/>
          <w:vertAlign w:val="superscript"/>
        </w:rPr>
        <w:t>[</w:t>
      </w:r>
      <w:proofErr w:type="gramEnd"/>
      <w:r w:rsidRPr="00DE219C">
        <w:rPr>
          <w:rStyle w:val="FootnoteReference"/>
          <w:rFonts w:ascii="Times New Roman" w:hAnsi="Times New Roman" w:cs="Times New Roman"/>
          <w:sz w:val="24"/>
          <w:szCs w:val="24"/>
        </w:rPr>
        <w:t>2</w:t>
      </w:r>
      <w:r w:rsidRPr="00DE219C">
        <w:rPr>
          <w:rFonts w:ascii="Times New Roman" w:hAnsi="Times New Roman" w:cs="Times New Roman"/>
          <w:sz w:val="24"/>
          <w:szCs w:val="24"/>
          <w:vertAlign w:val="superscript"/>
        </w:rPr>
        <w:t>]</w:t>
      </w:r>
      <w:r w:rsidRPr="00DE219C">
        <w:rPr>
          <w:rFonts w:ascii="Times New Roman" w:hAnsi="Times New Roman" w:cs="Times New Roman"/>
          <w:sz w:val="24"/>
          <w:szCs w:val="24"/>
        </w:rPr>
        <w:t xml:space="preserve"> </w:t>
      </w:r>
    </w:p>
    <w:p w14:paraId="4D271AAA" w14:textId="77777777" w:rsidR="00331AB6" w:rsidRPr="00DE219C" w:rsidRDefault="00331AB6" w:rsidP="00331AB6">
      <w:pPr>
        <w:tabs>
          <w:tab w:val="left" w:pos="2090"/>
        </w:tabs>
        <w:spacing w:after="0" w:line="480" w:lineRule="auto"/>
        <w:rPr>
          <w:rFonts w:ascii="Times New Roman" w:hAnsi="Times New Roman" w:cs="Times New Roman"/>
          <w:b/>
          <w:bCs/>
          <w:i/>
          <w:iCs/>
          <w:sz w:val="24"/>
          <w:szCs w:val="24"/>
        </w:rPr>
      </w:pPr>
    </w:p>
    <w:p w14:paraId="7036DA20" w14:textId="77777777" w:rsidR="00331AB6" w:rsidRPr="00DE219C" w:rsidRDefault="00331AB6" w:rsidP="00331AB6">
      <w:pPr>
        <w:tabs>
          <w:tab w:val="left" w:pos="2090"/>
        </w:tabs>
        <w:spacing w:after="0" w:line="480" w:lineRule="auto"/>
        <w:rPr>
          <w:rFonts w:ascii="Times New Roman" w:hAnsi="Times New Roman" w:cs="Times New Roman"/>
          <w:b/>
          <w:bCs/>
          <w:i/>
          <w:iCs/>
          <w:sz w:val="24"/>
          <w:szCs w:val="24"/>
        </w:rPr>
      </w:pPr>
      <w:r w:rsidRPr="00DE219C">
        <w:rPr>
          <w:rFonts w:ascii="Times New Roman" w:hAnsi="Times New Roman" w:cs="Times New Roman"/>
          <w:i/>
          <w:iCs/>
          <w:sz w:val="24"/>
          <w:szCs w:val="24"/>
        </w:rPr>
        <w:t>Coding of diversification events.</w:t>
      </w:r>
      <w:r w:rsidRPr="00DE219C">
        <w:rPr>
          <w:rFonts w:ascii="Times New Roman" w:hAnsi="Times New Roman" w:cs="Times New Roman"/>
          <w:b/>
          <w:bCs/>
          <w:i/>
          <w:iCs/>
          <w:sz w:val="24"/>
          <w:szCs w:val="24"/>
        </w:rPr>
        <w:t xml:space="preserve"> </w:t>
      </w:r>
      <w:r w:rsidRPr="00DE219C">
        <w:rPr>
          <w:rFonts w:ascii="Times New Roman" w:hAnsi="Times New Roman" w:cs="Times New Roman"/>
          <w:sz w:val="24"/>
          <w:szCs w:val="24"/>
        </w:rPr>
        <w:t>We found a total of 16182 news summaries related to distinct corporate events by the sample firms, for the period 1993–2018, from the Thomson Reuters Eikon and IBID databases. Two coders separately screened these news items and selected and coded diversification events. In the first step, coders excluded all futuristic news summaries which implied that a decision is to be taken in future.</w:t>
      </w:r>
      <w:r>
        <w:rPr>
          <w:rFonts w:ascii="Times New Roman" w:hAnsi="Times New Roman" w:cs="Times New Roman"/>
          <w:sz w:val="24"/>
          <w:szCs w:val="24"/>
        </w:rPr>
        <w:t xml:space="preserve"> </w:t>
      </w:r>
      <w:r w:rsidRPr="00DE219C">
        <w:rPr>
          <w:rFonts w:ascii="Times New Roman" w:hAnsi="Times New Roman" w:cs="Times New Roman"/>
          <w:sz w:val="24"/>
          <w:szCs w:val="24"/>
        </w:rPr>
        <w:t xml:space="preserve">Next, other corporate events, such as corporate borrowing, plant restructuring, patenting, ecology and environment, and corporate social responsibilities, which did not relate to product or international </w:t>
      </w:r>
      <w:r w:rsidRPr="00DE219C">
        <w:rPr>
          <w:rFonts w:ascii="Times New Roman" w:hAnsi="Times New Roman" w:cs="Times New Roman"/>
          <w:sz w:val="24"/>
          <w:szCs w:val="24"/>
        </w:rPr>
        <w:lastRenderedPageBreak/>
        <w:t xml:space="preserve">diversification, were excluded. Further, coders excluded all events which were related to domestic expansion by the firm in their primary business lines (based on the four-digit standard industrial classification codes). The initial round of screening resulted in a total of 1962 product/international diversification events for the period 1993–2018. In the first iteration, the two coders agreed on around 98% of the 1962 events (i.e., 1920 out of 1962) that these events relate to either product or international diversification. Later, they discussed and resolved the cases of disagreement. Finally, the two coders classified events as product or international diversification based on the standard criteria: if an even involved venturing or expansion into a business segment different that the primary business segment of the focal firm it is classified as product diversification; if an event involved new or repeated investments in a country different than India, it is considered international diversification; if an event involved both moving into a new country and in the non-primary business segment, it is considered as both product and international diversification.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{"citationID":"iyEn7AXR","properties":{"formattedCitation":"(J. Cohen, 1960)","plainCitation":"(J. Cohen, 1960)","dontUpdate":true,"noteIndex":0},"citationItems":[{"id":3399,"uris":["http://zotero.org/users/2437094/items/GS5G2U7B"],"itemData":{"id":3399,"type":"article-journal","container-title":"Educational and psychological measurement","issue":"1","page":"37–46","source":"Google Scholar","title":"A coefficient of agreement for nominal scales","volume":"20","author":[{"family":"Cohen","given":"Jacob"}],"issued":{"date-parts":[["1960"]]}}}],"schema":"https://github.com/citation-style-language/schema/raw/master/csl-citation.json"}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Cohen's (1960)</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kappa statistics indicated that the inter-rater reliability of the coding process was 0.960 (p &lt; 0.000). The coders resolved the cases of disagreement through discussion. In sum, out of the 1962 diversification events for the period 1993–2018, 719 events were classified as product diversification, 1199 events were classified as international diversification; and 44 were classified as both product and international diversification. Since, we considered the prior 10-year window to measure product and international diversification experiences, we have reported the information for the period 1998</w:t>
      </w:r>
      <w:r>
        <w:rPr>
          <w:rFonts w:ascii="Times New Roman" w:hAnsi="Times New Roman" w:cs="Times New Roman"/>
          <w:sz w:val="24"/>
          <w:szCs w:val="24"/>
        </w:rPr>
        <w:t>–</w:t>
      </w:r>
      <w:r w:rsidRPr="00DE219C">
        <w:rPr>
          <w:rFonts w:ascii="Times New Roman" w:hAnsi="Times New Roman" w:cs="Times New Roman"/>
          <w:sz w:val="24"/>
          <w:szCs w:val="24"/>
        </w:rPr>
        <w:t>2018 (i.e., 1772 diversification events) in the main text.</w:t>
      </w:r>
    </w:p>
    <w:p w14:paraId="035AECD3" w14:textId="77777777" w:rsidR="00331AB6" w:rsidRPr="00DE219C" w:rsidRDefault="00331AB6" w:rsidP="00331AB6">
      <w:pPr>
        <w:spacing w:after="0" w:line="480" w:lineRule="auto"/>
        <w:rPr>
          <w:rFonts w:ascii="Times New Roman" w:hAnsi="Times New Roman" w:cs="Times New Roman"/>
          <w:b/>
          <w:bCs/>
          <w:sz w:val="24"/>
          <w:szCs w:val="24"/>
        </w:rPr>
      </w:pPr>
    </w:p>
    <w:p w14:paraId="523BFD0B" w14:textId="77777777" w:rsidR="00331AB6" w:rsidRPr="00DE219C" w:rsidRDefault="00331AB6" w:rsidP="00331AB6">
      <w:pPr>
        <w:spacing w:after="0" w:line="480" w:lineRule="auto"/>
        <w:rPr>
          <w:rFonts w:ascii="Times New Roman" w:hAnsi="Times New Roman" w:cs="Times New Roman"/>
          <w:b/>
          <w:bCs/>
          <w:sz w:val="24"/>
          <w:szCs w:val="24"/>
        </w:rPr>
      </w:pPr>
      <w:r w:rsidRPr="00DE219C">
        <w:rPr>
          <w:rFonts w:ascii="Times New Roman" w:hAnsi="Times New Roman" w:cs="Times New Roman"/>
          <w:b/>
          <w:bCs/>
          <w:sz w:val="24"/>
          <w:szCs w:val="24"/>
        </w:rPr>
        <w:t>APPENDIX II</w:t>
      </w:r>
    </w:p>
    <w:p w14:paraId="62677725" w14:textId="77777777" w:rsidR="00331AB6" w:rsidRPr="00DE219C" w:rsidRDefault="00331AB6" w:rsidP="00331AB6">
      <w:pPr>
        <w:spacing w:after="0" w:line="480" w:lineRule="auto"/>
        <w:rPr>
          <w:rFonts w:ascii="Times New Roman" w:hAnsi="Times New Roman" w:cs="Times New Roman"/>
          <w:b/>
          <w:bCs/>
          <w:sz w:val="24"/>
          <w:szCs w:val="24"/>
        </w:rPr>
      </w:pPr>
      <w:r w:rsidRPr="00DE219C">
        <w:rPr>
          <w:rFonts w:ascii="Times New Roman" w:hAnsi="Times New Roman" w:cs="Times New Roman"/>
          <w:b/>
          <w:bCs/>
          <w:sz w:val="24"/>
          <w:szCs w:val="24"/>
        </w:rPr>
        <w:t>Description of Absorptive Capacity Measurement</w:t>
      </w:r>
    </w:p>
    <w:p w14:paraId="3652B2B7" w14:textId="77777777" w:rsidR="00331AB6" w:rsidRPr="00DE219C" w:rsidRDefault="00331AB6" w:rsidP="00331AB6">
      <w:pPr>
        <w:spacing w:after="0" w:line="480" w:lineRule="auto"/>
        <w:rPr>
          <w:rFonts w:ascii="Times New Roman" w:hAnsi="Times New Roman" w:cs="Times New Roman"/>
          <w:sz w:val="24"/>
          <w:szCs w:val="24"/>
        </w:rPr>
      </w:pPr>
      <w:r w:rsidRPr="00DE219C">
        <w:rPr>
          <w:rFonts w:ascii="Times New Roman" w:hAnsi="Times New Roman" w:cs="Times New Roman"/>
          <w:sz w:val="24"/>
          <w:szCs w:val="24"/>
        </w:rPr>
        <w:lastRenderedPageBreak/>
        <w:t xml:space="preserve">Absorptive capacity refers to firms’ abilities to value, acquire, and utilize external knowledge and is reflected in firms’ extant knowledge stock and intellectual assets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{"citationID":"nmM7B4Z1","properties":{"formattedCitation":"(W. M. Cohen &amp; Levinthal, 1990; Nieto &amp; Quevedo, 2005)","plainCitation":"(W. M. Cohen &amp; Levinthal, 1990; Nieto &amp; Quevedo, 2005)","dontUpdate":true,"noteIndex":0},"citationItems":[{"id":3198,"uris":["http://zotero.org/users/2437094/items/AZSW9D49"],"itemData":{"id":3198,"type":"article-journal","container-title":"Administrative science quarterly","page":"128–152","source":"Google Scholar","title":"Absorptive capacity: a new perspective on learning and innovation","title-short":"Absorptive capacity","volume":"35","author":[{"family":"Cohen","given":"Wesley M."},{"family":"Levinthal","given":"Daniel A."}],"issued":{"date-parts":[["1990"]]}}},{"id":3481,"uris":["http://zotero.org/users/2437094/items/J3DFFRYX"],"itemData":{"id":3481,"type":"article-journal","container-title":"Technovation","issue":"10","page":"1141–1157","source":"Google Scholar","title":"Absorptive capacity, technological opportunity, knowledge spillovers, and innovative effort","volume":"25","author":[{"family":"Nieto","given":"Mariano"},{"family":"Quevedo","given":"Pilar"}],"issued":{"date-parts":[["2005"]]}}}],"schema":"https://github.com/citation-style-language/schema/raw/master/csl-citation.json"}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 xml:space="preserve">(Cohen &amp; Levinthal, 1990; </w:t>
      </w:r>
      <w:proofErr w:type="spellStart"/>
      <w:r w:rsidRPr="00DE219C">
        <w:rPr>
          <w:rFonts w:ascii="Times New Roman" w:hAnsi="Times New Roman" w:cs="Times New Roman"/>
          <w:sz w:val="24"/>
          <w:szCs w:val="24"/>
        </w:rPr>
        <w:t>Dushnitsky</w:t>
      </w:r>
      <w:proofErr w:type="spellEnd"/>
      <w:r w:rsidRPr="00DE219C">
        <w:rPr>
          <w:rFonts w:ascii="Times New Roman" w:hAnsi="Times New Roman" w:cs="Times New Roman"/>
          <w:sz w:val="24"/>
          <w:szCs w:val="24"/>
        </w:rPr>
        <w:t xml:space="preserve"> &amp; Lenox, 2005; Nieto &amp; Quevedo, 2005)</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There have been several approaches to operationalize this construct, which include R&amp;D intensity, patent-based measures, intellectual capital, and survey instruments (Cohen &amp; Levinthal, 1990; </w:t>
      </w:r>
      <w:proofErr w:type="spellStart"/>
      <w:r w:rsidRPr="00DE219C">
        <w:rPr>
          <w:rFonts w:ascii="Times New Roman" w:hAnsi="Times New Roman" w:cs="Times New Roman"/>
          <w:sz w:val="24"/>
          <w:szCs w:val="24"/>
        </w:rPr>
        <w:t>Dushnitsky</w:t>
      </w:r>
      <w:proofErr w:type="spellEnd"/>
      <w:r w:rsidRPr="00DE219C">
        <w:rPr>
          <w:rFonts w:ascii="Times New Roman" w:hAnsi="Times New Roman" w:cs="Times New Roman"/>
          <w:sz w:val="24"/>
          <w:szCs w:val="24"/>
        </w:rPr>
        <w:t xml:space="preserve"> &amp; Lenox, 2005; Nieto &amp; Quevedo, 2005). However, extant literature emphasizes that a single measure may not be able to capture this construct comprehensively, as it reflects two dimensions: </w:t>
      </w:r>
      <w:bookmarkStart w:id="1" w:name="_Hlk87880834"/>
      <w:r w:rsidRPr="00DE219C">
        <w:rPr>
          <w:rFonts w:ascii="Times New Roman" w:hAnsi="Times New Roman" w:cs="Times New Roman"/>
          <w:sz w:val="24"/>
          <w:szCs w:val="24"/>
        </w:rPr>
        <w:t>a.) firms’ abilities to identify and acquire external knowledge; b.) firms’ abilities to transform and utilize its knowledge into value (Nieto &amp; Quevedo, 2005; Zahra &amp; George, 2002</w:t>
      </w:r>
      <w:bookmarkEnd w:id="1"/>
      <w:r w:rsidRPr="00DE219C">
        <w:rPr>
          <w:rFonts w:ascii="Times New Roman" w:hAnsi="Times New Roman" w:cs="Times New Roman"/>
          <w:sz w:val="24"/>
          <w:szCs w:val="24"/>
        </w:rPr>
        <w:t xml:space="preserve">). Hence, to better capture the multidimensionality of this construct, we considered two measures: </w:t>
      </w:r>
      <w:proofErr w:type="spellStart"/>
      <w:r w:rsidRPr="00DE219C">
        <w:rPr>
          <w:rFonts w:ascii="Times New Roman" w:hAnsi="Times New Roman" w:cs="Times New Roman"/>
          <w:sz w:val="24"/>
          <w:szCs w:val="24"/>
        </w:rPr>
        <w:t>i</w:t>
      </w:r>
      <w:proofErr w:type="spellEnd"/>
      <w:r w:rsidRPr="00DE219C">
        <w:rPr>
          <w:rFonts w:ascii="Times New Roman" w:hAnsi="Times New Roman" w:cs="Times New Roman"/>
          <w:sz w:val="24"/>
          <w:szCs w:val="24"/>
        </w:rPr>
        <w:t xml:space="preserve">.) using patent data (e.g., </w:t>
      </w:r>
      <w:proofErr w:type="spellStart"/>
      <w:r w:rsidRPr="00DE219C">
        <w:rPr>
          <w:rFonts w:ascii="Times New Roman" w:hAnsi="Times New Roman" w:cs="Times New Roman"/>
          <w:sz w:val="24"/>
          <w:szCs w:val="24"/>
        </w:rPr>
        <w:t>Dushnitsky</w:t>
      </w:r>
      <w:proofErr w:type="spellEnd"/>
      <w:r w:rsidRPr="00DE219C">
        <w:rPr>
          <w:rFonts w:ascii="Times New Roman" w:hAnsi="Times New Roman" w:cs="Times New Roman"/>
          <w:sz w:val="24"/>
          <w:szCs w:val="24"/>
        </w:rPr>
        <w:t xml:space="preserve"> &amp; Lenox, 2005); ii.) using the efficiency of value created through human, structural, and relational assets of the firm (</w:t>
      </w:r>
      <w:proofErr w:type="spellStart"/>
      <w:r w:rsidRPr="00DE219C">
        <w:rPr>
          <w:rFonts w:ascii="Times New Roman" w:hAnsi="Times New Roman" w:cs="Times New Roman"/>
          <w:sz w:val="24"/>
          <w:szCs w:val="24"/>
        </w:rPr>
        <w:t>Pulic</w:t>
      </w:r>
      <w:proofErr w:type="spellEnd"/>
      <w:r w:rsidRPr="00DE219C">
        <w:rPr>
          <w:rFonts w:ascii="Times New Roman" w:hAnsi="Times New Roman" w:cs="Times New Roman"/>
          <w:sz w:val="24"/>
          <w:szCs w:val="24"/>
        </w:rPr>
        <w:t xml:space="preserve">, 2000). </w:t>
      </w:r>
    </w:p>
    <w:p w14:paraId="1D9EDC04" w14:textId="77777777" w:rsidR="00331AB6" w:rsidRPr="00DE219C" w:rsidRDefault="00331AB6" w:rsidP="00331AB6">
      <w:pPr>
        <w:spacing w:after="0" w:line="480" w:lineRule="auto"/>
        <w:ind w:firstLine="720"/>
        <w:rPr>
          <w:rFonts w:ascii="Times New Roman" w:hAnsi="Times New Roman" w:cs="Times New Roman"/>
          <w:sz w:val="24"/>
          <w:szCs w:val="24"/>
        </w:rPr>
      </w:pPr>
      <w:r w:rsidRPr="00DE219C">
        <w:rPr>
          <w:rFonts w:ascii="Times New Roman" w:hAnsi="Times New Roman" w:cs="Times New Roman"/>
          <w:sz w:val="24"/>
          <w:szCs w:val="24"/>
        </w:rPr>
        <w:t xml:space="preserve">Patent-based measures of absorptive capacity such as accumulated patent stock and diversity of patent classes reflects depth and diversity of a firm’s knowledge stock and capture its abilities to value and acquire external knowledge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{"citationID":"aujq6L5w","properties":{"formattedCitation":"(Dushnitsky &amp; Lenox, 2005; McCann &amp; Folta, 2011; Nieto &amp; Quevedo, 2005; Quintana-Garc\\uc0\\u237{}a &amp; Benavides-Velasco, 2011)","plainCitation":"(Dushnitsky &amp; Lenox, 2005; McCann &amp; Folta, 2011; Nieto &amp; Quevedo, 2005; Quintana-García &amp; Benavides-Velasco, 2011)","noteIndex":0},"citationItems":[{"id":8620,"uris":["http://zotero.org/users/2437094/items/IN3R7LUB"],"itemData":{"id":8620,"type":"article-journal","abstract":"We explore the conditions under which firms are likely to pursue equity investment in new ventures as a way to source innovative ideas. We find that firms invest more in new ventures—commonly referred to as ‘corporate venture capital’—in industries with weak intellectual property protection and, to some extent, in industries with high technological ferment and where complementary distribution capability is important. Furthermore, we find that the greater a firm's cash flow and absorptive capacity, the more likely it is to invest. Our results suggest that in Schumpeterian environments incumbents may supplement their innovative efforts by tapping into the knowledge generated by new ventures. Copyright © 2005 John Wiley &amp; Sons, Ltd.","container-title":"Strategic Management Journal","DOI":"10.1002/smj.488","ISSN":"1097-0266","issue":"10","language":"en","note":"_eprint: https://onlinelibrary.wiley.com/doi/pdf/10.1002/smj.488","page":"947-965","source":"Wiley Online Library","title":"When do firms undertake R&amp;D by investing in new ventures?","volume":"26","author":[{"family":"Dushnitsky","given":"Gary"},{"family":"Lenox","given":"Michael J."}],"issued":{"date-parts":[["2005"]]}}},{"id":8400,"uris":["http://zotero.org/users/2437094/items/S8N4GZGA"],"itemData":{"id":8400,"type":"article-journal","abstract":"Increasing evidence indicates that firms benefit from a location in a geographic cluster of similar firms. The literature is nearly silent, however, on whether agglomeration economies accrue symmetrically across clustered firms. Drawing from the knowledge-based view, we investigate which firms benefit most from agglomeration and discuss how the implications for entrepreneurs are significant if some firms benefit more from geographic agglomeration than others. We investigate three particular firm attributes that may accentuate or mitigate benefits tied to participation in a cluster. We test our hypotheses on a sample of biotechnology firms and find strong evidence that firms benefit asymmetrically. Younger firms and firms with higher knowledge stocks benefit more from agglomeration.","container-title":"Journal of Business Venturing","DOI":"10.1016/j.jbusvent.2009.04.004","ISSN":"0883-9026","issue":"1","journalAbbreviation":"Journal of Business Venturing","language":"en","page":"104-123","source":"ScienceDirect","title":"Performance differentials within geographic clusters","volume":"26","author":[{"family":"McCann","given":"Brian T."},{"family":"Folta","given":"Timothy B."}],"issued":{"date-parts":[["2011",1,1]]}}},{"id":3481,"uris":["http://zotero.org/users/2437094/items/J3DFFRYX"],"itemData":{"id":3481,"type":"article-journal","container-title":"Technovation","issue":"10","page":"1141–1157","source":"Google Scholar","title":"Absorptive capacity, technological opportunity, knowledge spillovers, and innovative effort","volume":"25","author":[{"family":"Nieto","given":"Mariano"},{"family":"Quevedo","given":"Pilar"}],"issued":{"date-parts":[["2005"]]}}},{"id":1740,"uris":["http://zotero.org/users/2437094/items/IKKQF5IF"],"itemData":{"id":1740,"type":"article-journal","abstract":"Based on the knowledge-based view of the firm, this paper analyses how alternative configurations of technological relatedness in interfirm research and development (R&amp;D) alliances influence specific types of product innovation. A longitudinal study of pharmaceutical firms provides support for the argument that complementary alliances contribute to the development of both radical and incremental innovation. Collaborating with partners that have similar technologies only enhances incremental innovation, although its impact is curvilinear. These evidences highlight the importance of designing a suitable portfolio of R&amp;D alliances in order to develop different innovative competences.","container-title":"Technology Analysis &amp; Strategic Management","DOI":"10.1080/09537325.2011.621300","ISSN":"0953-7325","issue":"10","page":"1047-1061","source":"Taylor and Francis+NEJM","title":"Knowledge organisation in R&amp;D alliances: its impact on product innovation","title-short":"Knowledge organisation in R&amp;D alliances","volume":"23","author":[{"family":"Quintana-García","given":"Cristina"},{"family":"Benavides-Velasco","given":"Carlos A."}],"issued":{"date-parts":[["2011",11,1]]}}}],"schema":"https://github.com/citation-style-language/schema/raw/master/csl-citation.json"}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w:t>
      </w:r>
      <w:proofErr w:type="spellStart"/>
      <w:r w:rsidRPr="00DE219C">
        <w:rPr>
          <w:rFonts w:ascii="Times New Roman" w:hAnsi="Times New Roman" w:cs="Times New Roman"/>
          <w:sz w:val="24"/>
          <w:szCs w:val="24"/>
        </w:rPr>
        <w:t>Dushnitsky</w:t>
      </w:r>
      <w:proofErr w:type="spellEnd"/>
      <w:r w:rsidRPr="00DE219C">
        <w:rPr>
          <w:rFonts w:ascii="Times New Roman" w:hAnsi="Times New Roman" w:cs="Times New Roman"/>
          <w:sz w:val="24"/>
          <w:szCs w:val="24"/>
        </w:rPr>
        <w:t xml:space="preserve"> &amp; Lenox, 2005; Nieto &amp; Quevedo, 2005; Quintana-García &amp; Benavides-Velasco, 2011)</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Compared to R&amp;D intensity, which is the most widely used measure of absorptive capacity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{"citationID":"ZZiZudnA","properties":{"formattedCitation":"(Nieto &amp; Quevedo, 2005; Tsai, 2001)","plainCitation":"(Nieto &amp; Quevedo, 2005; Tsai, 2001)","noteIndex":0},"citationItems":[{"id":3481,"uris":["http://zotero.org/users/2437094/items/J3DFFRYX"],"itemData":{"id":3481,"type":"article-journal","container-title":"Technovation","issue":"10","page":"1141–1157","source":"Google Scholar","title":"Absorptive capacity, technological opportunity, knowledge spillovers, and innovative effort","volume":"25","author":[{"family":"Nieto","given":"Mariano"},{"family":"Quevedo","given":"Pilar"}],"issued":{"date-parts":[["2005"]]}}},{"id":2214,"uris":["http://zotero.org/users/2437094/items/56IUZM2C"],"itemData":{"id":2214,"type":"article-journal","abstract":"Drawing on a network perspective on organizational learning, I argue that organizational units can produce more innovations and enjoy better performance if they occupy central network positions that provide access to new knowledge developed by other units. This effect, however, depends on units' absorptive capacity, or ability to successfully replicate new knowledge. Data from 24 business units in a petrochemical company and 36 business units in a food-manufacturing company show that the interaction between absorptive capacity and network position has significant, positive effects on business unit innovation and performance.","container-title":"The Academy of Management Journal","DOI":"10.2307/3069443","ISSN":"0001-4273","issue":"5","journalAbbreviation":"The Academy of Management Journal","page":"996-1004","source":"JSTOR","title":"Knowledge Transfer in Intraorganizational Networks: Effects of Network Position and Absorptive Capacity on Business Unit Innovation and Performance","title-short":"Knowledge Transfer in Intraorganizational Networks","volume":"44","author":[{"family":"Tsai","given":"Wenpin"}],"issued":{"date-parts":[["2001"]]}}}],"schema":"https://github.com/citation-style-language/schema/raw/master/csl-citation.json"}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(Nieto &amp; Quevedo, 2005; Tsai, 2001)</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patent-based measures are apparently more attractive proxies for absorptive capacity as they capture a firm’s learning potential based on the outcomes of the prior R&amp;D investments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{"citationID":"qDf5qq7H","properties":{"formattedCitation":"(Dushnitsky &amp; Lenox, 2005; Hall et al., 2001)","plainCitation":"(Dushnitsky &amp; Lenox, 2005; Hall et al., 2001)","dontUpdate":true,"noteIndex":0},"citationItems":[{"id":8620,"uris":["http://zotero.org/users/2437094/items/IN3R7LUB"],"itemData":{"id":8620,"type":"article-journal","abstract":"We explore the conditions under which firms are likely to pursue equity investment in new ventures as a way to source innovative ideas. We find that firms invest more in new ventures—commonly referred to as ‘corporate venture capital’—in industries with weak intellectual property protection and, to some extent, in industries with high technological ferment and where complementary distribution capability is important. Furthermore, we find that the greater a firm's cash flow and absorptive capacity, the more likely it is to invest. Our results suggest that in Schumpeterian environments incumbents may supplement their innovative efforts by tapping into the knowledge generated by new ventures. Copyright © 2005 John Wiley &amp; Sons, Ltd.","container-title":"Strategic Management Journal","DOI":"10.1002/smj.488","ISSN":"1097-0266","issue":"10","language":"en","note":"_eprint: https://onlinelibrary.wiley.com/doi/pdf/10.1002/smj.488","page":"947-965","source":"Wiley Online Library","title":"When do firms undertake R&amp;D by investing in new ventures?","volume":"26","author":[{"family":"Dushnitsky","given":"Gary"},{"family":"Lenox","given":"Michael J."}],"issued":{"date-parts":[["2005"]]}}},{"id":8683,"uris":["http://zotero.org/users/2437094/items/WBFH677R"],"itemData":{"id":8683,"type":"report","publisher":"National Bureau of Economic Research","source":"Google Scholar","title":"The NBER patent citation data file: Lessons, insights and methodological tools","title-short":"The NBER patent citation data file","author":[{"family":"Hall","given":"Bronwyn H."},{"family":"Jaffe","given":"Adam B."},{"family":"Trajtenberg","given":"Manuel"}],"issued":{"date-parts":[["2001"]]}}}],"schema":"https://github.com/citation-style-language/schema/raw/master/csl-citation.json"}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w:t>
      </w:r>
      <w:proofErr w:type="spellStart"/>
      <w:r w:rsidRPr="00DE219C">
        <w:rPr>
          <w:rFonts w:ascii="Times New Roman" w:hAnsi="Times New Roman" w:cs="Times New Roman"/>
          <w:sz w:val="24"/>
          <w:szCs w:val="24"/>
        </w:rPr>
        <w:t>Dushnitsky</w:t>
      </w:r>
      <w:proofErr w:type="spellEnd"/>
      <w:r w:rsidRPr="00DE219C">
        <w:rPr>
          <w:rFonts w:ascii="Times New Roman" w:hAnsi="Times New Roman" w:cs="Times New Roman"/>
          <w:sz w:val="24"/>
          <w:szCs w:val="24"/>
        </w:rPr>
        <w:t xml:space="preserve"> &amp; Lenox, 2005)</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In particular, we considered </w:t>
      </w:r>
      <w:r w:rsidRPr="00DE219C">
        <w:rPr>
          <w:rFonts w:ascii="Times New Roman" w:hAnsi="Times New Roman" w:cs="Times New Roman"/>
          <w:i/>
          <w:iCs/>
          <w:sz w:val="24"/>
          <w:szCs w:val="24"/>
        </w:rPr>
        <w:t>patent stock diversity</w:t>
      </w:r>
      <w:r w:rsidRPr="00DE219C">
        <w:rPr>
          <w:rFonts w:ascii="Times New Roman" w:hAnsi="Times New Roman" w:cs="Times New Roman"/>
          <w:sz w:val="24"/>
          <w:szCs w:val="24"/>
        </w:rPr>
        <w:t xml:space="preserve"> as the primary measure of absorptive capacity, as it captures a firm’s abilities to process and absorb diverse knowledge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{"citationID":"nZLTpShx","properties":{"formattedCitation":"(Quintana-Garc\\uc0\\u237{}a &amp; Benavides-Velasco, 2011)","plainCitation":"(Quintana-García &amp; Benavides-Velasco, 2011)","noteIndex":0},"citationItems":[{"id":1740,"uris":["http://zotero.org/users/2437094/items/IKKQF5IF"],"itemData":{"id":1740,"type":"article-journal","abstract":"Based on the knowledge-based view of the firm, this paper analyses how alternative configurations of technological relatedness in interfirm research and development (R&amp;D) alliances influence specific types of product innovation. A longitudinal study of pharmaceutical firms provides support for the argument that complementary alliances contribute to the development of both radical and incremental innovation. Collaborating with partners that have similar technologies only enhances incremental innovation, although its impact is curvilinear. These evidences highlight the importance of designing a suitable portfolio of R&amp;D alliances in order to develop different innovative competences.","container-title":"Technology Analysis &amp; Strategic Management","DOI":"10.1080/09537325.2011.621300","ISSN":"0953-7325","issue":"10","page":"1047-1061","source":"Taylor and Francis+NEJM","title":"Knowledge organisation in R&amp;D alliances: its impact on product innovation","title-short":"Knowledge organisation in R&amp;D alliances","volume":"23","author":[{"family":"Quintana-García","given":"Cristina"},{"family":"Benavides-Velasco","given":"Carlos A."}],"issued":{"date-parts":[["2011",11,1]]}}}],"schema":"https://github.com/citation-style-language/schema/raw/master/csl-citation.json"}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(Quintana-García &amp; Benavides-Velasco, 2011)</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We measured patent stock diversity using the Herfindahl index of diversification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{"citationID":"0jLCBpZ5","properties":{"formattedCitation":"(Berry, 1975; Quintana-Garc\\uc0\\u237{}a &amp; Benavides-Velasco, 2011)","plainCitation":"(Berry, 1975; Quintana-García &amp; Benavides-Velasco, 2011)","noteIndex":0},"citationItems":[{"id":8686,"uris":["http://zotero.org/users/2437094/items/4Y2IPSN6"],"itemData":{"id":8686,"type":"book","event-place":"Princetown, NJ","publisher":"Princetown University Press","publisher-place":"Princetown, NJ","source":"Google Scholar","title":"Corporate Growth and Diversification","author":[{"family":"Berry","given":"C."}],"issued":{"date-parts":[["1975"]]}}},{"id":1740,"uris":["http://zotero.org/users/2437094/items/IKKQF5IF"],"itemData":{"id":1740,"type":"article-journal","abstract":"Based on the knowledge-based view of the firm, this paper analyses how alternative configurations of technological relatedness in interfirm research and development (R&amp;D) alliances influence specific types of product innovation. A longitudinal study of pharmaceutical firms provides support for the argument that complementary alliances contribute to the development of both radical and incremental innovation. Collaborating with partners that have similar technologies only enhances incremental innovation, although its impact is curvilinear. These evidences highlight the importance of designing a suitable portfolio of R&amp;D alliances in order to develop different innovative competences.","container-title":"Technology Analysis &amp; Strategic Management","DOI":"10.1080/09537325.2011.621300","ISSN":"0953-7325","issue":"10","page":"1047-1061","source":"Taylor and Francis+NEJM","title":"Knowledge organisation in R&amp;D alliances: its impact on product innovation","title-short":"Knowledge organisation in R&amp;D alliances","volume":"23","author":[{"family":"Quintana-García","given":"Cristina"},{"family":"Benavides-Velasco","given":"Carlos A."}],"issued":{"date-parts":[["2011",11,1]]}}}],"schema":"https://github.com/citation-style-language/schema/raw/master/csl-citation.json"}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(Berry, 1975; Quintana-García &amp; Benavides-Velasco, 2011)</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The expression for the Herfindahl index of diversification is as below: </w:t>
      </w:r>
    </w:p>
    <w:p w14:paraId="726B4E81" w14:textId="77777777" w:rsidR="00331AB6" w:rsidRPr="00DE219C" w:rsidRDefault="00331AB6" w:rsidP="00331AB6">
      <w:pPr>
        <w:spacing w:after="0" w:line="480" w:lineRule="auto"/>
        <w:ind w:firstLine="720"/>
        <w:jc w:val="center"/>
        <w:rPr>
          <w:rFonts w:ascii="Times New Roman" w:eastAsiaTheme="minorEastAsia" w:hAnsi="Times New Roman" w:cs="Times New Roman"/>
          <w:sz w:val="24"/>
          <w:szCs w:val="24"/>
        </w:rPr>
      </w:pPr>
      <w:r w:rsidRPr="00DE219C">
        <w:rPr>
          <w:rFonts w:ascii="Times New Roman" w:hAnsi="Times New Roman" w:cs="Times New Roman"/>
          <w:sz w:val="24"/>
          <w:szCs w:val="24"/>
        </w:rPr>
        <w:lastRenderedPageBreak/>
        <w:t xml:space="preserve">Patent stock diversity = </w:t>
      </w:r>
      <m:oMath>
        <m:r>
          <w:rPr>
            <w:rFonts w:ascii="Cambria Math" w:hAnsi="Cambria Math" w:cs="Times New Roman"/>
            <w:sz w:val="24"/>
            <w:szCs w:val="24"/>
          </w:rPr>
          <m:t>1-</m:t>
        </m:r>
        <m:sSubSup>
          <m:sSubSupPr>
            <m:ctrlPr>
              <w:rPr>
                <w:rFonts w:ascii="Cambria Math" w:hAnsi="Cambria Math" w:cs="Times New Roman"/>
                <w:i/>
                <w:sz w:val="24"/>
                <w:szCs w:val="24"/>
              </w:rPr>
            </m:ctrlPr>
          </m:sSubSupPr>
          <m:e>
            <m:nary>
              <m:naryPr>
                <m:chr m:val="∑"/>
                <m:limLoc m:val="undOvr"/>
                <m:supHide m:val="1"/>
                <m:ctrlPr>
                  <w:rPr>
                    <w:rFonts w:ascii="Cambria Math" w:hAnsi="Cambria Math" w:cs="Times New Roman"/>
                    <w:i/>
                    <w:sz w:val="24"/>
                    <w:szCs w:val="24"/>
                  </w:rPr>
                </m:ctrlPr>
              </m:naryPr>
              <m:sub>
                <m:r>
                  <w:rPr>
                    <w:rFonts w:ascii="Cambria Math" w:hAnsi="Cambria Math" w:cs="Times New Roman"/>
                    <w:sz w:val="24"/>
                    <w:szCs w:val="24"/>
                  </w:rPr>
                  <m:t>i</m:t>
                </m:r>
              </m:sub>
              <m:sup/>
              <m:e>
                <m:r>
                  <w:rPr>
                    <w:rFonts w:ascii="Cambria Math" w:hAnsi="Cambria Math" w:cs="Times New Roman"/>
                    <w:sz w:val="24"/>
                    <w:szCs w:val="24"/>
                  </w:rPr>
                  <m:t>P</m:t>
                </m:r>
              </m:e>
            </m:nary>
          </m:e>
          <m:sub>
            <m:r>
              <w:rPr>
                <w:rFonts w:ascii="Cambria Math" w:hAnsi="Cambria Math" w:cs="Times New Roman"/>
                <w:sz w:val="24"/>
                <w:szCs w:val="24"/>
              </w:rPr>
              <m:t>i</m:t>
            </m:r>
          </m:sub>
          <m:sup>
            <m:r>
              <w:rPr>
                <w:rFonts w:ascii="Cambria Math" w:hAnsi="Cambria Math" w:cs="Times New Roman"/>
                <w:sz w:val="24"/>
                <w:szCs w:val="24"/>
              </w:rPr>
              <m:t>2</m:t>
            </m:r>
          </m:sup>
        </m:sSubSup>
      </m:oMath>
    </w:p>
    <w:p w14:paraId="19AFAEE4" w14:textId="77777777" w:rsidR="00331AB6" w:rsidRPr="00DE219C" w:rsidRDefault="00331AB6" w:rsidP="00331AB6">
      <w:pPr>
        <w:spacing w:after="0" w:line="480" w:lineRule="auto"/>
        <w:rPr>
          <w:rFonts w:ascii="Times New Roman" w:eastAsiaTheme="minorEastAsia" w:hAnsi="Times New Roman" w:cs="Times New Roman"/>
          <w:sz w:val="24"/>
          <w:szCs w:val="24"/>
        </w:rPr>
      </w:pPr>
      <w:r w:rsidRPr="00DE219C">
        <w:rPr>
          <w:rFonts w:ascii="Times New Roman" w:eastAsiaTheme="minorEastAsia" w:hAnsi="Times New Roman" w:cs="Times New Roman"/>
          <w:sz w:val="24"/>
          <w:szCs w:val="24"/>
        </w:rPr>
        <w:t xml:space="preserve">Where </w:t>
      </w:r>
      <w:r w:rsidRPr="00DE219C">
        <w:rPr>
          <w:rFonts w:ascii="Times New Roman" w:eastAsiaTheme="minorEastAsia" w:hAnsi="Times New Roman" w:cs="Times New Roman"/>
          <w:i/>
          <w:iCs/>
          <w:sz w:val="24"/>
          <w:szCs w:val="24"/>
        </w:rPr>
        <w:t>P</w:t>
      </w:r>
      <w:r w:rsidRPr="00DE219C">
        <w:rPr>
          <w:rFonts w:ascii="Times New Roman" w:eastAsiaTheme="minorEastAsia" w:hAnsi="Times New Roman" w:cs="Times New Roman"/>
          <w:i/>
          <w:iCs/>
          <w:sz w:val="24"/>
          <w:szCs w:val="24"/>
          <w:vertAlign w:val="subscript"/>
        </w:rPr>
        <w:t xml:space="preserve">i </w:t>
      </w:r>
      <w:r w:rsidRPr="00DE219C">
        <w:rPr>
          <w:rFonts w:ascii="Times New Roman" w:eastAsiaTheme="minorEastAsia" w:hAnsi="Times New Roman" w:cs="Times New Roman"/>
          <w:sz w:val="24"/>
          <w:szCs w:val="24"/>
        </w:rPr>
        <w:t>is the proportion of a firm’s accumulated patents (</w:t>
      </w:r>
      <w:proofErr w:type="gramStart"/>
      <w:r w:rsidRPr="00DE219C">
        <w:rPr>
          <w:rFonts w:ascii="Times New Roman" w:eastAsiaTheme="minorEastAsia" w:hAnsi="Times New Roman" w:cs="Times New Roman"/>
          <w:sz w:val="24"/>
          <w:szCs w:val="24"/>
        </w:rPr>
        <w:t>i.e.</w:t>
      </w:r>
      <w:proofErr w:type="gramEnd"/>
      <w:r w:rsidRPr="00DE219C">
        <w:rPr>
          <w:rFonts w:ascii="Times New Roman" w:eastAsiaTheme="minorEastAsia" w:hAnsi="Times New Roman" w:cs="Times New Roman"/>
          <w:sz w:val="24"/>
          <w:szCs w:val="24"/>
        </w:rPr>
        <w:t xml:space="preserve"> all granted patents till a time </w:t>
      </w:r>
      <w:r w:rsidRPr="00DE219C">
        <w:rPr>
          <w:rFonts w:ascii="Times New Roman" w:eastAsiaTheme="minorEastAsia" w:hAnsi="Times New Roman" w:cs="Times New Roman"/>
          <w:i/>
          <w:iCs/>
          <w:sz w:val="24"/>
          <w:szCs w:val="24"/>
        </w:rPr>
        <w:t>t</w:t>
      </w:r>
      <w:r w:rsidRPr="00DE219C">
        <w:rPr>
          <w:rFonts w:ascii="Times New Roman" w:eastAsiaTheme="minorEastAsia" w:hAnsi="Times New Roman" w:cs="Times New Roman"/>
          <w:sz w:val="24"/>
          <w:szCs w:val="24"/>
        </w:rPr>
        <w:t xml:space="preserve">) in technical field (i.e. patent class) </w:t>
      </w:r>
      <w:proofErr w:type="spellStart"/>
      <w:r w:rsidRPr="00DE219C">
        <w:rPr>
          <w:rFonts w:ascii="Times New Roman" w:eastAsiaTheme="minorEastAsia" w:hAnsi="Times New Roman" w:cs="Times New Roman"/>
          <w:i/>
          <w:iCs/>
          <w:sz w:val="24"/>
          <w:szCs w:val="24"/>
        </w:rPr>
        <w:t>i</w:t>
      </w:r>
      <w:proofErr w:type="spellEnd"/>
      <w:r w:rsidRPr="00DE219C">
        <w:rPr>
          <w:rFonts w:ascii="Times New Roman" w:eastAsiaTheme="minorEastAsia" w:hAnsi="Times New Roman" w:cs="Times New Roman"/>
          <w:i/>
          <w:iCs/>
          <w:sz w:val="24"/>
          <w:szCs w:val="24"/>
        </w:rPr>
        <w:t xml:space="preserve">. </w:t>
      </w:r>
      <w:r w:rsidRPr="00DE219C">
        <w:rPr>
          <w:rFonts w:ascii="Times New Roman" w:eastAsiaTheme="minorEastAsia" w:hAnsi="Times New Roman" w:cs="Times New Roman"/>
          <w:sz w:val="24"/>
          <w:szCs w:val="24"/>
        </w:rPr>
        <w:t xml:space="preserve">The minimum value of the diversity is zero when all the accumulated patents are in a single technical field, whereas it can attain maximum value (closer to 1) when a firm has a highly diversified knowledge base across several technical fields. The international patent classifications (IPC) was used to measure diversity, where each four-digit IPC was considered a unique technical field and patents are classified into different technical fields accordingly </w:t>
      </w:r>
      <w:r w:rsidRPr="00DE219C">
        <w:rPr>
          <w:rFonts w:ascii="Times New Roman" w:eastAsiaTheme="minorEastAsia" w:hAnsi="Times New Roman" w:cs="Times New Roman"/>
          <w:sz w:val="24"/>
          <w:szCs w:val="24"/>
        </w:rPr>
        <w:fldChar w:fldCharType="begin"/>
      </w:r>
      <w:r w:rsidRPr="00DE219C">
        <w:rPr>
          <w:rFonts w:ascii="Times New Roman" w:eastAsiaTheme="minorEastAsia" w:hAnsi="Times New Roman" w:cs="Times New Roman"/>
          <w:sz w:val="24"/>
          <w:szCs w:val="24"/>
        </w:rPr>
        <w:instrText xml:space="preserve"> ADDIN ZOTERO_ITEM CSL_CITATION {"citationID":"KAKJQQBu","properties":{"formattedCitation":"(Huang &amp; Chen, 2010; Lettl et al., 2009)","plainCitation":"(Huang &amp; Chen, 2010; Lettl et al., 2009)","noteIndex":0},"citationItems":[{"id":8517,"uris":["http://zotero.org/users/2437094/items/IW2WV9Y3"],"itemData":{"id":8517,"type":"article-journal","abstract":"This article examines the effects of technological diversity and organizational slack on innovation performance. Negative binomial regression is used to test the hypotheses in a panel data of 2745 cases. The results indicate that there is an inverse U-shaped relationship between technological diversity and innovation performance. Moreover, the moderating role of organizational slack is recognized and absorbed slack positively moderates while unabsorbed slack negatively moderates the effect of technological diversity on innovation performance. Managerial implications and future research directions are discussed.","container-title":"Technovation","DOI":"10.1016/j.technovation.2010.01.004","ISSN":"0166-4972","issue":"7","journalAbbreviation":"Technovation","language":"en","page":"420-428","source":"ScienceDirect","title":"The impact of technological diversity and organizational slack on innovation","volume":"30","author":[{"family":"Huang","given":"Yi-Fen"},{"family":"Chen","given":"Chung-Jen"}],"issued":{"date-parts":[["2010",7,1]]}}},{"id":8509,"uris":["http://zotero.org/users/2437094/items/HEC37S3X"],"itemData":{"id":8509,"type":"article-journal","abstract":"Despite a substantial body of research investigating the market significance of inventions by independent inventors, relatively little attention has been devoted to understanding their technological significance. A recent study conducted by [Dahlin, K., Taylor, M., Fichman, M., 2004. Today's Edisons or weekend hobbyists: technical impact and success of inventions by independent inventors. Res. Policy 33, 1167–1183] on the tennis racket industry shows that independent inventors are a heterogeneous group which includes both “heroes” who contribute substantially to technological progress and “hobbyists” who make only a marginal contribution. What is not asked – and therefore not explained – is why this distinction arises. In this paper, we focus on the type of prior technological knowledge (in terms of technological specialization and diversity) applied by independent inventors and their corporate counterparts as a factor explaining differences in technological impact. Our empirical setting is the field of medical equipment technology. We find that independent inventors are more sensitive to the negative effects of technological diversity than their corporate counterparts. Furthermore, our study reveals that technological specialization pays off more for independent inventors than for their corporate counterparts. Therefore, those independent inventors who apply low degrees of diversity and high degrees of specialization are capable of reaching the same level as or even outperforming their corporate counterparts, thus becoming “heroes”. Based on our findings, we discuss implications for research and corporate practice.","container-title":"Research Policy","DOI":"10.1016/j.respol.2008.12.004","ISSN":"0048-7333","issue":"2","journalAbbreviation":"Research Policy","language":"en","page":"243-254","source":"ScienceDirect","title":"Why are some independent inventors ‘heroes’ and others ‘hobbyists’? The moderating role of technological diversity and specialization","title-short":"Why are some independent inventors ‘heroes’ and others ‘hobbyists’?","volume":"38","author":[{"family":"Lettl","given":"Christopher"},{"family":"Rost","given":"Katja"},{"family":"Wartburg","given":"Iwan","non-dropping-particle":"von"}],"issued":{"date-parts":[["2009",3,1]]}}}],"schema":"https://github.com/citation-style-language/schema/raw/master/csl-citation.json"} </w:instrText>
      </w:r>
      <w:r w:rsidRPr="00DE219C">
        <w:rPr>
          <w:rFonts w:ascii="Times New Roman" w:eastAsiaTheme="minorEastAsia" w:hAnsi="Times New Roman" w:cs="Times New Roman"/>
          <w:sz w:val="24"/>
          <w:szCs w:val="24"/>
        </w:rPr>
        <w:fldChar w:fldCharType="separate"/>
      </w:r>
      <w:r w:rsidRPr="00DE219C">
        <w:rPr>
          <w:rFonts w:ascii="Times New Roman" w:hAnsi="Times New Roman" w:cs="Times New Roman"/>
          <w:sz w:val="24"/>
          <w:szCs w:val="24"/>
        </w:rPr>
        <w:t xml:space="preserve">(Huang &amp; Chen, 2010; </w:t>
      </w:r>
      <w:proofErr w:type="spellStart"/>
      <w:r w:rsidRPr="00DE219C">
        <w:rPr>
          <w:rFonts w:ascii="Times New Roman" w:hAnsi="Times New Roman" w:cs="Times New Roman"/>
          <w:sz w:val="24"/>
          <w:szCs w:val="24"/>
        </w:rPr>
        <w:t>Lettl</w:t>
      </w:r>
      <w:proofErr w:type="spellEnd"/>
      <w:r w:rsidRPr="00DE219C">
        <w:rPr>
          <w:rFonts w:ascii="Times New Roman" w:hAnsi="Times New Roman" w:cs="Times New Roman"/>
          <w:sz w:val="24"/>
          <w:szCs w:val="24"/>
        </w:rPr>
        <w:t>,</w:t>
      </w:r>
      <w:r w:rsidRPr="003F5007">
        <w:rPr>
          <w:rFonts w:ascii="Times New Roman" w:hAnsi="Times New Roman" w:cs="Times New Roman"/>
          <w:sz w:val="24"/>
          <w:szCs w:val="24"/>
        </w:rPr>
        <w:t xml:space="preserve"> </w:t>
      </w:r>
      <w:proofErr w:type="spellStart"/>
      <w:r w:rsidRPr="00C555AB">
        <w:rPr>
          <w:rFonts w:ascii="Times New Roman" w:hAnsi="Times New Roman" w:cs="Times New Roman"/>
          <w:sz w:val="24"/>
          <w:szCs w:val="24"/>
        </w:rPr>
        <w:t>Rost</w:t>
      </w:r>
      <w:proofErr w:type="spellEnd"/>
      <w:r w:rsidRPr="00C555AB">
        <w:rPr>
          <w:rFonts w:ascii="Times New Roman" w:hAnsi="Times New Roman" w:cs="Times New Roman"/>
          <w:sz w:val="24"/>
          <w:szCs w:val="24"/>
        </w:rPr>
        <w:t>, &amp; von Wartburg,</w:t>
      </w:r>
      <w:r w:rsidRPr="00DE219C">
        <w:rPr>
          <w:rFonts w:ascii="Times New Roman" w:hAnsi="Times New Roman" w:cs="Times New Roman"/>
          <w:sz w:val="24"/>
          <w:szCs w:val="24"/>
        </w:rPr>
        <w:t xml:space="preserve"> 2009)</w:t>
      </w:r>
      <w:r w:rsidRPr="00DE219C">
        <w:rPr>
          <w:rFonts w:ascii="Times New Roman" w:eastAsiaTheme="minorEastAsia" w:hAnsi="Times New Roman" w:cs="Times New Roman"/>
          <w:sz w:val="24"/>
          <w:szCs w:val="24"/>
        </w:rPr>
        <w:fldChar w:fldCharType="end"/>
      </w:r>
      <w:r w:rsidRPr="00DE219C">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p>
    <w:p w14:paraId="03D51668" w14:textId="77777777" w:rsidR="00331AB6" w:rsidRPr="00DE219C" w:rsidRDefault="00331AB6" w:rsidP="00331AB6">
      <w:pPr>
        <w:spacing w:after="0" w:line="480" w:lineRule="auto"/>
        <w:ind w:firstLine="720"/>
        <w:rPr>
          <w:rFonts w:ascii="Times New Roman" w:hAnsi="Times New Roman" w:cs="Times New Roman"/>
          <w:iCs/>
          <w:sz w:val="24"/>
          <w:szCs w:val="24"/>
        </w:rPr>
      </w:pPr>
      <w:r w:rsidRPr="00DE219C">
        <w:rPr>
          <w:rFonts w:ascii="Times New Roman" w:hAnsi="Times New Roman" w:cs="Times New Roman"/>
          <w:iCs/>
          <w:sz w:val="24"/>
          <w:szCs w:val="24"/>
        </w:rPr>
        <w:t>Additionally, a firm’s absorptive capacity can also be inferred from its intellectual assets (i.e., human, structural, and relational assets (</w:t>
      </w:r>
      <w:proofErr w:type="spellStart"/>
      <w:r w:rsidRPr="00DE219C">
        <w:rPr>
          <w:rFonts w:ascii="Times New Roman" w:hAnsi="Times New Roman" w:cs="Times New Roman"/>
          <w:iCs/>
          <w:sz w:val="24"/>
          <w:szCs w:val="24"/>
        </w:rPr>
        <w:t>Bontis</w:t>
      </w:r>
      <w:proofErr w:type="spellEnd"/>
      <w:r w:rsidRPr="00DE219C">
        <w:rPr>
          <w:rFonts w:ascii="Times New Roman" w:hAnsi="Times New Roman" w:cs="Times New Roman"/>
          <w:iCs/>
          <w:sz w:val="24"/>
          <w:szCs w:val="24"/>
        </w:rPr>
        <w:t>, 1998)</w:t>
      </w:r>
      <w:r>
        <w:rPr>
          <w:rFonts w:ascii="Times New Roman" w:hAnsi="Times New Roman" w:cs="Times New Roman"/>
          <w:iCs/>
          <w:sz w:val="24"/>
          <w:szCs w:val="24"/>
        </w:rPr>
        <w:t>)</w:t>
      </w:r>
      <w:r w:rsidRPr="00DE219C">
        <w:rPr>
          <w:rFonts w:ascii="Times New Roman" w:hAnsi="Times New Roman" w:cs="Times New Roman"/>
          <w:iCs/>
          <w:sz w:val="24"/>
          <w:szCs w:val="24"/>
        </w:rPr>
        <w:t>. Human assets, such as engineers, scientists, and managers, help firms identify, acquire, and utilize novel and diverse technological and market knowledge. Structural assets such as appropriate organizational structure, incentives, and information technology and knowledge management systems help firms absorb and manage knowledge from diverse businesses and geographies. Moreover, firms’ partnerships with buyers, suppliers, and complementors across diverse business segments and countries are useful in processing and acquiring external knowledge from these partners. Hence,</w:t>
      </w:r>
      <w:r w:rsidRPr="00DE219C">
        <w:rPr>
          <w:rFonts w:ascii="Times New Roman" w:hAnsi="Times New Roman" w:cs="Times New Roman"/>
          <w:i/>
          <w:sz w:val="24"/>
          <w:szCs w:val="24"/>
        </w:rPr>
        <w:t xml:space="preserve"> </w:t>
      </w:r>
      <w:r w:rsidRPr="00DE219C">
        <w:rPr>
          <w:rFonts w:ascii="Times New Roman" w:hAnsi="Times New Roman" w:cs="Times New Roman"/>
          <w:iCs/>
          <w:sz w:val="24"/>
          <w:szCs w:val="24"/>
        </w:rPr>
        <w:t xml:space="preserve">in addition to patent-based measures, we measured absorptive capacity as </w:t>
      </w:r>
      <w:r w:rsidRPr="00DE219C">
        <w:rPr>
          <w:rFonts w:ascii="Times New Roman" w:hAnsi="Times New Roman" w:cs="Times New Roman"/>
          <w:i/>
          <w:sz w:val="24"/>
          <w:szCs w:val="24"/>
        </w:rPr>
        <w:t>intellectual capital efficiency</w:t>
      </w:r>
      <w:r w:rsidRPr="00DE219C">
        <w:rPr>
          <w:rFonts w:ascii="Times New Roman" w:hAnsi="Times New Roman" w:cs="Times New Roman"/>
          <w:iCs/>
          <w:sz w:val="24"/>
          <w:szCs w:val="24"/>
        </w:rPr>
        <w:t>,</w:t>
      </w:r>
      <w:r w:rsidRPr="00DE219C">
        <w:rPr>
          <w:rFonts w:ascii="Times New Roman" w:hAnsi="Times New Roman" w:cs="Times New Roman"/>
          <w:i/>
          <w:sz w:val="24"/>
          <w:szCs w:val="24"/>
        </w:rPr>
        <w:t xml:space="preserve"> </w:t>
      </w:r>
      <w:r w:rsidRPr="00DE219C">
        <w:rPr>
          <w:rFonts w:ascii="Times New Roman" w:hAnsi="Times New Roman" w:cs="Times New Roman"/>
          <w:iCs/>
          <w:sz w:val="24"/>
          <w:szCs w:val="24"/>
        </w:rPr>
        <w:t>which</w:t>
      </w:r>
      <w:r w:rsidRPr="00DE219C">
        <w:rPr>
          <w:rFonts w:ascii="Times New Roman" w:hAnsi="Times New Roman" w:cs="Times New Roman"/>
          <w:i/>
          <w:sz w:val="24"/>
          <w:szCs w:val="24"/>
        </w:rPr>
        <w:t xml:space="preserve"> </w:t>
      </w:r>
      <w:r w:rsidRPr="00DE219C">
        <w:rPr>
          <w:rFonts w:ascii="Times New Roman" w:hAnsi="Times New Roman" w:cs="Times New Roman"/>
          <w:sz w:val="24"/>
          <w:szCs w:val="24"/>
        </w:rPr>
        <w:t xml:space="preserve">captures a firm’s ability to utilize and transform knowledge that reside in its intellectual assets (e.g., human, structural, and relational assets) into value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{"citationID":"p53BtPqh","properties":{"formattedCitation":"(Edvinsson &amp; Sullivan, 1996; Pulic, 2000)","plainCitation":"(Edvinsson &amp; Sullivan, 1996; Pulic, 2000)","dontUpdate":true,"noteIndex":0},"citationItems":[{"id":1330,"uris":["http://zotero.org/users/2437094/items/RAPD6NN7"],"itemData":{"id":1330,"type":"article-journal","abstract":"Although there has been an explosive interest in an intellectual capital and a thirst for information on how it might be managed, there has been little written to describe or define the concept. This article provides background and definition to the notion of intellectual capital and describes where and how it fits into the ‘knowledge company’. The article is written for theoreticians and practitioners alike. It is intended to provide an overview of intellectual capital, where it fits into the ‘knowledge firm’, what the component elements of it are, and what might be done to manage them. The article defines intellectual capital as well as its relationship to other elements of a knowledge company. The terms and definitions presented in this article are drawn from the experience of eight major international companies all of whom are actively managing their intellectual capital. The component elements of intellectual capital are identified, defined, and discussed. The management activities used in each of the component areas are described as are some of the techniques utilized by practitioners. Finally, there is a review of the actual practice of several major knowledge companies and how they manage their intellectual capital.","collection-title":"The Epistemological Challenge: Managing Knowledge and Intellectual Capital","container-title":"European Management Journal","DOI":"10.1016/0263-2373(96)00022-9","ISSN":"0263-2373","issue":"4","journalAbbreviation":"European Management Journal","page":"356-364","source":"ScienceDirect","title":"Developing a model for managing intellectual capital","volume":"14","author":[{"family":"Edvinsson","given":"Leif"},{"family":"Sullivan","given":"Patrick"}],"issued":{"date-parts":[["1996",8]]}}},{"id":1307,"uris":["http://zotero.org/users/2437094/items/26V55F4Q"],"itemData":{"id":1307,"type":"article-journal","container-title":"International journal of technology management","issue":"5","page":"702–714","source":"Google Scholar","title":"VAIC™–an accounting tool for IC management","volume":"20","author":[{"family":"Pulic","given":"Ante"}],"issued":{"date-parts":[["2000"]]}}}],"schema":"https://github.com/citation-style-language/schema/raw/master/csl-citation.json"}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w:t>
      </w:r>
      <w:proofErr w:type="spellStart"/>
      <w:r w:rsidRPr="00DE219C">
        <w:rPr>
          <w:rFonts w:ascii="Times New Roman" w:hAnsi="Times New Roman" w:cs="Times New Roman"/>
          <w:sz w:val="24"/>
          <w:szCs w:val="24"/>
        </w:rPr>
        <w:t>Edvinsson</w:t>
      </w:r>
      <w:proofErr w:type="spellEnd"/>
      <w:r w:rsidRPr="00DE219C">
        <w:rPr>
          <w:rFonts w:ascii="Times New Roman" w:hAnsi="Times New Roman" w:cs="Times New Roman"/>
          <w:sz w:val="24"/>
          <w:szCs w:val="24"/>
        </w:rPr>
        <w:t xml:space="preserve"> &amp; Sullivan, 1996; </w:t>
      </w:r>
      <w:proofErr w:type="spellStart"/>
      <w:r w:rsidRPr="00DE219C">
        <w:rPr>
          <w:rFonts w:ascii="Times New Roman" w:hAnsi="Times New Roman" w:cs="Times New Roman"/>
          <w:sz w:val="24"/>
          <w:szCs w:val="24"/>
        </w:rPr>
        <w:t>Pulic</w:t>
      </w:r>
      <w:proofErr w:type="spellEnd"/>
      <w:r w:rsidRPr="00DE219C">
        <w:rPr>
          <w:rFonts w:ascii="Times New Roman" w:hAnsi="Times New Roman" w:cs="Times New Roman"/>
          <w:sz w:val="24"/>
          <w:szCs w:val="24"/>
        </w:rPr>
        <w:t>, 2000; Zahra &amp; George, 2002)</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W</w:t>
      </w:r>
      <w:r w:rsidRPr="00DE219C">
        <w:rPr>
          <w:rFonts w:ascii="Times New Roman" w:hAnsi="Times New Roman" w:cs="Times New Roman"/>
          <w:iCs/>
          <w:sz w:val="24"/>
          <w:szCs w:val="24"/>
        </w:rPr>
        <w:t xml:space="preserve">hereas patent-based measures, such as </w:t>
      </w:r>
      <w:r w:rsidRPr="00DE219C">
        <w:rPr>
          <w:rFonts w:ascii="Times New Roman" w:hAnsi="Times New Roman" w:cs="Times New Roman"/>
          <w:i/>
          <w:sz w:val="24"/>
          <w:szCs w:val="24"/>
        </w:rPr>
        <w:t>patent stock diversity</w:t>
      </w:r>
      <w:r w:rsidRPr="00DE219C">
        <w:rPr>
          <w:rFonts w:ascii="Times New Roman" w:hAnsi="Times New Roman" w:cs="Times New Roman"/>
          <w:iCs/>
          <w:sz w:val="24"/>
          <w:szCs w:val="24"/>
        </w:rPr>
        <w:t xml:space="preserve">, capture </w:t>
      </w:r>
      <w:r w:rsidRPr="00DE219C">
        <w:rPr>
          <w:rFonts w:ascii="Times New Roman" w:hAnsi="Times New Roman" w:cs="Times New Roman"/>
          <w:sz w:val="24"/>
          <w:szCs w:val="24"/>
        </w:rPr>
        <w:t>firms’ abilities to identify and acquire external knowledge</w:t>
      </w:r>
      <w:r w:rsidRPr="00DE219C">
        <w:rPr>
          <w:rFonts w:ascii="Times New Roman" w:hAnsi="Times New Roman" w:cs="Times New Roman"/>
          <w:iCs/>
          <w:sz w:val="24"/>
          <w:szCs w:val="24"/>
        </w:rPr>
        <w:t xml:space="preserve"> from diverse businesses and geographies, intellectual assets-based measures, such as </w:t>
      </w:r>
      <w:r w:rsidRPr="00DE219C">
        <w:rPr>
          <w:rFonts w:ascii="Times New Roman" w:hAnsi="Times New Roman" w:cs="Times New Roman"/>
          <w:i/>
          <w:sz w:val="24"/>
          <w:szCs w:val="24"/>
        </w:rPr>
        <w:t>intellectual capital efficiency</w:t>
      </w:r>
      <w:r w:rsidRPr="00DE219C">
        <w:rPr>
          <w:rFonts w:ascii="Times New Roman" w:hAnsi="Times New Roman" w:cs="Times New Roman"/>
          <w:iCs/>
          <w:sz w:val="24"/>
          <w:szCs w:val="24"/>
        </w:rPr>
        <w:t xml:space="preserve">, capture </w:t>
      </w:r>
      <w:r w:rsidRPr="00DE219C">
        <w:rPr>
          <w:rFonts w:ascii="Times New Roman" w:hAnsi="Times New Roman" w:cs="Times New Roman"/>
          <w:sz w:val="24"/>
          <w:szCs w:val="24"/>
        </w:rPr>
        <w:t>firms’ abilities to transform and utilize its knowledge acquired from diverse businesses and geographies.</w:t>
      </w:r>
      <w:r w:rsidRPr="00DE219C">
        <w:rPr>
          <w:rFonts w:ascii="Times New Roman" w:hAnsi="Times New Roman" w:cs="Times New Roman"/>
          <w:iCs/>
          <w:sz w:val="24"/>
          <w:szCs w:val="24"/>
        </w:rPr>
        <w:t xml:space="preserve"> </w:t>
      </w:r>
    </w:p>
    <w:p w14:paraId="20C94264" w14:textId="77777777" w:rsidR="00331AB6" w:rsidRPr="00DE219C" w:rsidRDefault="00331AB6" w:rsidP="00331AB6">
      <w:pPr>
        <w:spacing w:after="0" w:line="480" w:lineRule="auto"/>
        <w:ind w:firstLine="720"/>
        <w:rPr>
          <w:rFonts w:ascii="Times New Roman" w:hAnsi="Times New Roman" w:cs="Times New Roman"/>
          <w:iCs/>
          <w:sz w:val="24"/>
          <w:szCs w:val="24"/>
        </w:rPr>
      </w:pPr>
      <w:r w:rsidRPr="00DE219C">
        <w:rPr>
          <w:rFonts w:ascii="Times New Roman" w:hAnsi="Times New Roman" w:cs="Times New Roman"/>
          <w:sz w:val="24"/>
          <w:szCs w:val="24"/>
        </w:rPr>
        <w:lastRenderedPageBreak/>
        <w:t>We measured intellectual capital efficiency using the ‘intellectual capital efficiency’ component of the value added intellectual coefficient (VAIC</w:t>
      </w:r>
      <w:r w:rsidRPr="00DE219C">
        <w:rPr>
          <w:rFonts w:ascii="Times New Roman" w:hAnsi="Times New Roman" w:cs="Times New Roman"/>
          <w:sz w:val="24"/>
          <w:szCs w:val="24"/>
          <w:vertAlign w:val="superscript"/>
        </w:rPr>
        <w:t>TM</w:t>
      </w:r>
      <w:r w:rsidRPr="00DE219C">
        <w:rPr>
          <w:rFonts w:ascii="Times New Roman" w:hAnsi="Times New Roman" w:cs="Times New Roman"/>
          <w:sz w:val="24"/>
          <w:szCs w:val="24"/>
        </w:rPr>
        <w:t xml:space="preserve">) model suggested by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{"citationID":"QsIJcnIf","properties":{"formattedCitation":"(Pulic, 1998, 2000)","plainCitation":"(Pulic, 1998, 2000)","dontUpdate":true,"noteIndex":0},"citationItems":[{"id":2040,"uris":["http://zotero.org/users/2437094/items/M3U9NW7B"],"itemData":{"id":2040,"type":"paper-conference","container-title":"2nd McMaster Word Congress on Measuring and Managing Intellectual Capital by the Austrian Team for Intellectual Potential","source":"Google Scholar","title":"Measuring the performance of intellectual potential in knowledge economy","URL":"www.vaic-on.net","author":[{"family":"Pulic","given":"Ante"}],"accessed":{"date-parts":[["2015",5,23]]},"issued":{"date-parts":[["1998"]]}}},{"id":1307,"uris":["http://zotero.org/users/2437094/items/26V55F4Q"],"itemData":{"id":1307,"type":"article-journal","container-title":"International journal of technology management","issue":"5","page":"702–714","source":"Google Scholar","title":"VAIC™–an accounting tool for IC management","volume":"20","author":[{"family":"Pulic","given":"Ante"}],"issued":{"date-parts":[["2000"]]}}}],"schema":"https://github.com/citation-style-language/schema/raw/master/csl-citation.json"}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w:t>
      </w:r>
      <w:proofErr w:type="spellStart"/>
      <w:r w:rsidRPr="00DE219C">
        <w:rPr>
          <w:rFonts w:ascii="Times New Roman" w:hAnsi="Times New Roman" w:cs="Times New Roman"/>
          <w:sz w:val="24"/>
          <w:szCs w:val="24"/>
        </w:rPr>
        <w:t>Pulic</w:t>
      </w:r>
      <w:proofErr w:type="spellEnd"/>
      <w:r w:rsidRPr="00DE219C">
        <w:rPr>
          <w:rFonts w:ascii="Times New Roman" w:hAnsi="Times New Roman" w:cs="Times New Roman"/>
          <w:sz w:val="24"/>
          <w:szCs w:val="24"/>
        </w:rPr>
        <w:t>, 2000)</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VAIC</w:t>
      </w:r>
      <w:r w:rsidRPr="00DE219C">
        <w:rPr>
          <w:rFonts w:ascii="Times New Roman" w:hAnsi="Times New Roman" w:cs="Times New Roman"/>
          <w:sz w:val="24"/>
          <w:szCs w:val="24"/>
          <w:vertAlign w:val="superscript"/>
        </w:rPr>
        <w:t xml:space="preserve">TM </w:t>
      </w:r>
      <w:r w:rsidRPr="00DE219C">
        <w:rPr>
          <w:rFonts w:ascii="Times New Roman" w:hAnsi="Times New Roman" w:cs="Times New Roman"/>
          <w:sz w:val="24"/>
          <w:szCs w:val="24"/>
        </w:rPr>
        <w:t>is widely used model to measure focal firm’s overall value creation efficiency, i.e.</w:t>
      </w:r>
      <w:r>
        <w:rPr>
          <w:rFonts w:ascii="Times New Roman" w:hAnsi="Times New Roman" w:cs="Times New Roman"/>
          <w:sz w:val="24"/>
          <w:szCs w:val="24"/>
        </w:rPr>
        <w:t>,</w:t>
      </w:r>
      <w:r w:rsidRPr="00DE219C">
        <w:rPr>
          <w:rFonts w:ascii="Times New Roman" w:hAnsi="Times New Roman" w:cs="Times New Roman"/>
          <w:sz w:val="24"/>
          <w:szCs w:val="24"/>
        </w:rPr>
        <w:t xml:space="preserve"> value created by both tangible and intangible assets.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{"citationID":"MYtjWhdO","properties":{"formattedCitation":"(W.-M. Lu et al., 2014; Pulic, 2000)","plainCitation":"(W.-M. Lu et al., 2014; Pulic, 2000)","dontUpdate":true,"noteIndex":0},"citationItems":[{"id":3327,"uris":["http://zotero.org/users/2437094/items/2SJQJ957"],"itemData":{"id":3327,"type":"article-journal","container-title":"Omega","issue":"1","page":"65–74","source":"Google Scholar","title":"Intellectual capital and performance in the Chinese life insurance industry","volume":"42","author":[{"family":"Lu","given":"Wen-Min"},{"family":"Wang","given":"Wei-Kang"},{"family":"Kweh","given":"Qian Long"}],"issued":{"date-parts":[["2014"]]}}},{"id":1307,"uris":["http://zotero.org/users/2437094/items/26V55F4Q"],"itemData":{"id":1307,"type":"article-journal","container-title":"International journal of technology management","issue":"5","page":"702–714","source":"Google Scholar","title":"VAIC™–an accounting tool for IC management","volume":"20","author":[{"family":"Pulic","given":"Ante"}],"issued":{"date-parts":[["2000"]]}}}],"schema":"https://github.com/citation-style-language/schema/raw/master/csl-citation.json"}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(Lu</w:t>
      </w:r>
      <w:r>
        <w:rPr>
          <w:rFonts w:ascii="Times New Roman" w:hAnsi="Times New Roman" w:cs="Times New Roman"/>
          <w:sz w:val="24"/>
          <w:szCs w:val="24"/>
        </w:rPr>
        <w:t>,</w:t>
      </w:r>
      <w:r w:rsidRPr="00665F54">
        <w:rPr>
          <w:rFonts w:ascii="Times New Roman" w:hAnsi="Times New Roman" w:cs="Times New Roman"/>
          <w:sz w:val="24"/>
          <w:szCs w:val="24"/>
        </w:rPr>
        <w:t xml:space="preserve"> </w:t>
      </w:r>
      <w:r w:rsidRPr="00C555AB">
        <w:rPr>
          <w:rFonts w:ascii="Times New Roman" w:hAnsi="Times New Roman" w:cs="Times New Roman"/>
          <w:sz w:val="24"/>
          <w:szCs w:val="24"/>
        </w:rPr>
        <w:t xml:space="preserve">Wang, &amp; </w:t>
      </w:r>
      <w:proofErr w:type="spellStart"/>
      <w:r w:rsidRPr="00C555AB">
        <w:rPr>
          <w:rFonts w:ascii="Times New Roman" w:hAnsi="Times New Roman" w:cs="Times New Roman"/>
          <w:sz w:val="24"/>
          <w:szCs w:val="24"/>
        </w:rPr>
        <w:t>Kweh</w:t>
      </w:r>
      <w:proofErr w:type="spellEnd"/>
      <w:r w:rsidRPr="00C555AB">
        <w:rPr>
          <w:rFonts w:ascii="Times New Roman" w:hAnsi="Times New Roman" w:cs="Times New Roman"/>
          <w:sz w:val="24"/>
          <w:szCs w:val="24"/>
        </w:rPr>
        <w:t>,</w:t>
      </w:r>
      <w:r w:rsidRPr="00DE219C">
        <w:rPr>
          <w:rFonts w:ascii="Times New Roman" w:hAnsi="Times New Roman" w:cs="Times New Roman"/>
          <w:sz w:val="24"/>
          <w:szCs w:val="24"/>
        </w:rPr>
        <w:t xml:space="preserve"> 2014; </w:t>
      </w:r>
      <w:proofErr w:type="spellStart"/>
      <w:r w:rsidRPr="00DE219C">
        <w:rPr>
          <w:rFonts w:ascii="Times New Roman" w:hAnsi="Times New Roman" w:cs="Times New Roman"/>
          <w:sz w:val="24"/>
          <w:szCs w:val="24"/>
        </w:rPr>
        <w:t>Pulic</w:t>
      </w:r>
      <w:proofErr w:type="spellEnd"/>
      <w:r w:rsidRPr="00DE219C">
        <w:rPr>
          <w:rFonts w:ascii="Times New Roman" w:hAnsi="Times New Roman" w:cs="Times New Roman"/>
          <w:sz w:val="24"/>
          <w:szCs w:val="24"/>
        </w:rPr>
        <w:t>, 2000)</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xml:space="preserve">. This efficiency model comprises three factors: capital employed efficiency, human capital efficiency, and structural capital efficiency. Firm’s intellectual capital efficiency is derived by adding human capital efficiency and structural capital efficiency. The </w:t>
      </w:r>
      <w:r w:rsidRPr="00DE219C">
        <w:rPr>
          <w:rFonts w:ascii="Times New Roman" w:hAnsi="Times New Roman" w:cs="Times New Roman"/>
          <w:i/>
          <w:iCs/>
          <w:sz w:val="24"/>
          <w:szCs w:val="24"/>
        </w:rPr>
        <w:t>intellectual capital efficiency</w:t>
      </w:r>
      <w:r w:rsidRPr="00DE219C">
        <w:rPr>
          <w:rFonts w:ascii="Times New Roman" w:hAnsi="Times New Roman" w:cs="Times New Roman"/>
          <w:sz w:val="24"/>
          <w:szCs w:val="24"/>
        </w:rPr>
        <w:t xml:space="preserve"> component of the VAIC</w:t>
      </w:r>
      <w:r w:rsidRPr="00DE219C">
        <w:rPr>
          <w:rFonts w:ascii="Times New Roman" w:hAnsi="Times New Roman" w:cs="Times New Roman"/>
          <w:sz w:val="24"/>
          <w:szCs w:val="24"/>
          <w:vertAlign w:val="superscript"/>
        </w:rPr>
        <w:t>TM</w:t>
      </w:r>
      <w:r w:rsidRPr="00DE219C">
        <w:rPr>
          <w:rFonts w:ascii="Times New Roman" w:hAnsi="Times New Roman" w:cs="Times New Roman"/>
          <w:sz w:val="24"/>
          <w:szCs w:val="24"/>
        </w:rPr>
        <w:t xml:space="preserve"> model appropriately measures a firm’s ability to convert its knowledge and intellectual assets into value. </w:t>
      </w:r>
    </w:p>
    <w:p w14:paraId="6404A90D" w14:textId="77777777" w:rsidR="00331AB6" w:rsidRPr="00DE219C" w:rsidRDefault="00331AB6" w:rsidP="00331AB6">
      <w:pPr>
        <w:spacing w:after="0" w:line="480" w:lineRule="auto"/>
        <w:ind w:firstLine="720"/>
        <w:rPr>
          <w:rFonts w:ascii="Times New Roman" w:hAnsi="Times New Roman" w:cs="Times New Roman"/>
          <w:sz w:val="24"/>
          <w:szCs w:val="24"/>
        </w:rPr>
      </w:pPr>
      <w:r w:rsidRPr="00DE219C">
        <w:rPr>
          <w:rFonts w:ascii="Times New Roman" w:hAnsi="Times New Roman" w:cs="Times New Roman"/>
          <w:sz w:val="24"/>
          <w:szCs w:val="24"/>
        </w:rPr>
        <w:t xml:space="preserve">Following prior studies </w:t>
      </w:r>
      <w:r w:rsidRPr="00DE219C">
        <w:rPr>
          <w:rFonts w:ascii="Times New Roman" w:hAnsi="Times New Roman" w:cs="Times New Roman"/>
          <w:sz w:val="24"/>
          <w:szCs w:val="24"/>
        </w:rPr>
        <w:fldChar w:fldCharType="begin"/>
      </w:r>
      <w:r w:rsidRPr="00DE219C">
        <w:rPr>
          <w:rFonts w:ascii="Times New Roman" w:hAnsi="Times New Roman" w:cs="Times New Roman"/>
          <w:sz w:val="24"/>
          <w:szCs w:val="24"/>
        </w:rPr>
        <w:instrText xml:space="preserve"> ADDIN ZOTERO_ITEM CSL_CITATION {"citationID":"d7t5o4pfl","properties":{"formattedCitation":"(Pulic, 2000, 2004)","plainCitation":"(Pulic, 2000, 2004)","dontUpdate":true,"noteIndex":0},"citationItems":[{"id":1307,"uris":["http://zotero.org/users/2437094/items/26V55F4Q"],"itemData":{"id":1307,"type":"article-journal","container-title":"International journal of technology management","issue":"5","page":"702–714","source":"Google Scholar","title":"VAIC™–an accounting tool for IC management","volume":"20","author":[{"family":"Pulic","given":"Ante"}],"issued":{"date-parts":[["2000"]]}}},{"id":2041,"uris":["http://zotero.org/users/2437094/items/A7TPDH7K"],"itemData":{"id":2041,"type":"article-journal","container-title":"Measuring Business Excellence","DOI":"10.1108/13683040410524757","ISSN":"1368-3047","issue":"1","journalAbbreviation":"Measuring Business Excellence","page":"62-68","source":"emeraldinsight.com (Atypon)","title":"Intellectual capital – does it create or destroy value?","volume":"8","author":[{"family":"Pulic","given":"Ante"}],"issued":{"date-parts":[["2004",3,1]]}}}],"schema":"https://github.com/citation-style-language/schema/raw/master/csl-citation.json"} </w:instrText>
      </w:r>
      <w:r w:rsidRPr="00DE219C">
        <w:rPr>
          <w:rFonts w:ascii="Times New Roman" w:hAnsi="Times New Roman" w:cs="Times New Roman"/>
          <w:sz w:val="24"/>
          <w:szCs w:val="24"/>
        </w:rPr>
        <w:fldChar w:fldCharType="separate"/>
      </w:r>
      <w:r w:rsidRPr="00DE219C">
        <w:rPr>
          <w:rFonts w:ascii="Times New Roman" w:hAnsi="Times New Roman" w:cs="Times New Roman"/>
          <w:sz w:val="24"/>
          <w:szCs w:val="24"/>
        </w:rPr>
        <w:t xml:space="preserve">(Lu et al., 2014; </w:t>
      </w:r>
      <w:proofErr w:type="spellStart"/>
      <w:r w:rsidRPr="00DE219C">
        <w:rPr>
          <w:rFonts w:ascii="Times New Roman" w:hAnsi="Times New Roman" w:cs="Times New Roman"/>
          <w:sz w:val="24"/>
          <w:szCs w:val="24"/>
        </w:rPr>
        <w:t>Pulic</w:t>
      </w:r>
      <w:proofErr w:type="spellEnd"/>
      <w:r w:rsidRPr="00DE219C">
        <w:rPr>
          <w:rFonts w:ascii="Times New Roman" w:hAnsi="Times New Roman" w:cs="Times New Roman"/>
          <w:sz w:val="24"/>
          <w:szCs w:val="24"/>
        </w:rPr>
        <w:t>, 2000)</w:t>
      </w:r>
      <w:r w:rsidRPr="00DE219C">
        <w:rPr>
          <w:rFonts w:ascii="Times New Roman" w:hAnsi="Times New Roman" w:cs="Times New Roman"/>
          <w:sz w:val="24"/>
          <w:szCs w:val="24"/>
        </w:rPr>
        <w:fldChar w:fldCharType="end"/>
      </w:r>
      <w:r w:rsidRPr="00DE219C">
        <w:rPr>
          <w:rFonts w:ascii="Times New Roman" w:hAnsi="Times New Roman" w:cs="Times New Roman"/>
          <w:sz w:val="24"/>
          <w:szCs w:val="24"/>
        </w:rPr>
        <w:t>, we calculate intellectual capital efficiency in following steps. First, we calculated value added as sum of net income, compensation to employees, interest expenses, corporate taxes, depreciation, and amortisation. Second, we calculated structural capital by subtracting human capital, i.e., compensation to employees, from value added. Third, we calculated human capital efficiency by dividing value added by human capital. We calculated structural capital efficiency by dividing structural capital by value added. Finally, intellectual capital efficiency is calculated by adding human capital efficiency and structural capital efficiency.</w:t>
      </w:r>
    </w:p>
    <w:p w14:paraId="21D656CE" w14:textId="77777777" w:rsidR="00331AB6" w:rsidRDefault="00331AB6" w:rsidP="00331AB6">
      <w:pPr>
        <w:tabs>
          <w:tab w:val="left" w:pos="2090"/>
        </w:tabs>
        <w:jc w:val="center"/>
        <w:rPr>
          <w:rFonts w:ascii="Times New Roman" w:hAnsi="Times New Roman" w:cs="Times New Roman"/>
          <w:b/>
          <w:bCs/>
          <w:sz w:val="24"/>
          <w:szCs w:val="24"/>
        </w:rPr>
        <w:sectPr w:rsidR="00331AB6">
          <w:footerReference w:type="default" r:id="rId5"/>
          <w:pgSz w:w="11906" w:h="16838"/>
          <w:pgMar w:top="1440" w:right="1440" w:bottom="1440" w:left="1440" w:header="708" w:footer="708" w:gutter="0"/>
          <w:cols w:space="708"/>
          <w:docGrid w:linePitch="360"/>
        </w:sectPr>
      </w:pPr>
    </w:p>
    <w:p w14:paraId="36CCD2B6" w14:textId="77777777" w:rsidR="00331AB6" w:rsidRPr="000C792D" w:rsidRDefault="00331AB6" w:rsidP="00331AB6">
      <w:pPr>
        <w:tabs>
          <w:tab w:val="left" w:pos="2090"/>
        </w:tabs>
        <w:rPr>
          <w:rFonts w:ascii="Times New Roman" w:hAnsi="Times New Roman" w:cs="Times New Roman"/>
          <w:b/>
          <w:bCs/>
        </w:rPr>
      </w:pPr>
      <w:r w:rsidRPr="000C792D">
        <w:rPr>
          <w:rFonts w:ascii="Times New Roman" w:hAnsi="Times New Roman" w:cs="Times New Roman"/>
          <w:b/>
          <w:bCs/>
        </w:rPr>
        <w:lastRenderedPageBreak/>
        <w:t>A</w:t>
      </w:r>
      <w:r>
        <w:rPr>
          <w:rFonts w:ascii="Times New Roman" w:hAnsi="Times New Roman" w:cs="Times New Roman"/>
          <w:b/>
          <w:bCs/>
        </w:rPr>
        <w:t>PPENDIX</w:t>
      </w:r>
      <w:r w:rsidRPr="000C792D">
        <w:rPr>
          <w:rFonts w:ascii="Times New Roman" w:hAnsi="Times New Roman" w:cs="Times New Roman"/>
          <w:b/>
          <w:bCs/>
        </w:rPr>
        <w:t xml:space="preserve"> III</w:t>
      </w:r>
    </w:p>
    <w:tbl>
      <w:tblPr>
        <w:tblStyle w:val="TableGrid"/>
        <w:tblW w:w="94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86"/>
        <w:gridCol w:w="4257"/>
        <w:gridCol w:w="2830"/>
      </w:tblGrid>
      <w:tr w:rsidR="00331AB6" w:rsidRPr="00E1789A" w14:paraId="56EC6830" w14:textId="77777777" w:rsidTr="00834F5A">
        <w:tc>
          <w:tcPr>
            <w:tcW w:w="9473" w:type="dxa"/>
            <w:gridSpan w:val="3"/>
          </w:tcPr>
          <w:p w14:paraId="6ABC5A98" w14:textId="77777777" w:rsidR="00331AB6" w:rsidRPr="00E1789A" w:rsidRDefault="00331AB6" w:rsidP="00834F5A">
            <w:pPr>
              <w:pBdr>
                <w:bottom w:val="single" w:sz="4" w:space="1" w:color="auto"/>
              </w:pBdr>
              <w:spacing w:line="360" w:lineRule="auto"/>
              <w:jc w:val="both"/>
              <w:rPr>
                <w:rFonts w:ascii="Times New Roman" w:hAnsi="Times New Roman" w:cs="Times New Roman"/>
                <w:bCs/>
                <w:sz w:val="16"/>
                <w:szCs w:val="16"/>
              </w:rPr>
            </w:pPr>
            <w:r w:rsidRPr="00E1789A">
              <w:rPr>
                <w:rFonts w:ascii="Times New Roman" w:hAnsi="Times New Roman" w:cs="Times New Roman"/>
                <w:bCs/>
                <w:sz w:val="16"/>
                <w:szCs w:val="16"/>
              </w:rPr>
              <w:t>Table A1. Measurement of variables used in this study</w:t>
            </w:r>
          </w:p>
        </w:tc>
      </w:tr>
      <w:tr w:rsidR="00331AB6" w:rsidRPr="00E1789A" w14:paraId="4B3C6500" w14:textId="77777777" w:rsidTr="00834F5A">
        <w:tc>
          <w:tcPr>
            <w:tcW w:w="2386" w:type="dxa"/>
            <w:tcBorders>
              <w:bottom w:val="single" w:sz="4" w:space="0" w:color="auto"/>
            </w:tcBorders>
          </w:tcPr>
          <w:p w14:paraId="4665D3A7" w14:textId="77777777" w:rsidR="00331AB6" w:rsidRPr="00E1789A" w:rsidRDefault="00331AB6" w:rsidP="00834F5A">
            <w:pPr>
              <w:spacing w:line="360" w:lineRule="auto"/>
              <w:jc w:val="both"/>
              <w:rPr>
                <w:rFonts w:ascii="Times New Roman" w:hAnsi="Times New Roman" w:cs="Times New Roman"/>
                <w:b/>
                <w:sz w:val="16"/>
                <w:szCs w:val="16"/>
              </w:rPr>
            </w:pPr>
            <w:r w:rsidRPr="00E1789A">
              <w:rPr>
                <w:rFonts w:ascii="Times New Roman" w:hAnsi="Times New Roman" w:cs="Times New Roman"/>
                <w:b/>
                <w:sz w:val="16"/>
                <w:szCs w:val="16"/>
              </w:rPr>
              <w:t>Variables</w:t>
            </w:r>
          </w:p>
        </w:tc>
        <w:tc>
          <w:tcPr>
            <w:tcW w:w="4257" w:type="dxa"/>
            <w:tcBorders>
              <w:bottom w:val="single" w:sz="4" w:space="0" w:color="auto"/>
            </w:tcBorders>
          </w:tcPr>
          <w:p w14:paraId="4B757BD1" w14:textId="77777777" w:rsidR="00331AB6" w:rsidRPr="00E1789A" w:rsidRDefault="00331AB6" w:rsidP="00834F5A">
            <w:pPr>
              <w:spacing w:line="360" w:lineRule="auto"/>
              <w:jc w:val="both"/>
              <w:rPr>
                <w:rFonts w:ascii="Times New Roman" w:hAnsi="Times New Roman" w:cs="Times New Roman"/>
                <w:b/>
                <w:sz w:val="16"/>
                <w:szCs w:val="16"/>
              </w:rPr>
            </w:pPr>
            <w:r w:rsidRPr="00E1789A">
              <w:rPr>
                <w:rFonts w:ascii="Times New Roman" w:hAnsi="Times New Roman" w:cs="Times New Roman"/>
                <w:b/>
                <w:sz w:val="16"/>
                <w:szCs w:val="16"/>
              </w:rPr>
              <w:t>Measurement</w:t>
            </w:r>
          </w:p>
        </w:tc>
        <w:tc>
          <w:tcPr>
            <w:tcW w:w="2830" w:type="dxa"/>
            <w:tcBorders>
              <w:bottom w:val="single" w:sz="4" w:space="0" w:color="auto"/>
            </w:tcBorders>
          </w:tcPr>
          <w:p w14:paraId="751BEC12" w14:textId="77777777" w:rsidR="00331AB6" w:rsidRPr="00E1789A" w:rsidRDefault="00331AB6" w:rsidP="00834F5A">
            <w:pPr>
              <w:spacing w:line="360" w:lineRule="auto"/>
              <w:jc w:val="both"/>
              <w:rPr>
                <w:rFonts w:ascii="Times New Roman" w:hAnsi="Times New Roman" w:cs="Times New Roman"/>
                <w:b/>
                <w:sz w:val="16"/>
                <w:szCs w:val="16"/>
              </w:rPr>
            </w:pPr>
            <w:r w:rsidRPr="00E1789A">
              <w:rPr>
                <w:rFonts w:ascii="Times New Roman" w:hAnsi="Times New Roman" w:cs="Times New Roman"/>
                <w:b/>
                <w:sz w:val="16"/>
                <w:szCs w:val="16"/>
              </w:rPr>
              <w:t>References</w:t>
            </w:r>
          </w:p>
        </w:tc>
      </w:tr>
      <w:tr w:rsidR="00331AB6" w:rsidRPr="00E1789A" w14:paraId="5C0CE023" w14:textId="77777777" w:rsidTr="00834F5A">
        <w:tc>
          <w:tcPr>
            <w:tcW w:w="9473" w:type="dxa"/>
            <w:gridSpan w:val="3"/>
            <w:tcBorders>
              <w:top w:val="single" w:sz="4" w:space="0" w:color="auto"/>
              <w:bottom w:val="single" w:sz="4" w:space="0" w:color="auto"/>
            </w:tcBorders>
          </w:tcPr>
          <w:p w14:paraId="66FB9195" w14:textId="77777777" w:rsidR="00331AB6" w:rsidRPr="001A2B1F" w:rsidRDefault="00331AB6" w:rsidP="00834F5A">
            <w:pPr>
              <w:spacing w:line="360" w:lineRule="auto"/>
              <w:jc w:val="both"/>
              <w:rPr>
                <w:rFonts w:ascii="Times New Roman" w:hAnsi="Times New Roman" w:cs="Times New Roman"/>
                <w:b/>
                <w:bCs/>
                <w:sz w:val="16"/>
                <w:szCs w:val="16"/>
              </w:rPr>
            </w:pPr>
            <w:r w:rsidRPr="001A2B1F">
              <w:rPr>
                <w:rFonts w:ascii="Times New Roman" w:hAnsi="Times New Roman" w:cs="Times New Roman"/>
                <w:b/>
                <w:bCs/>
                <w:sz w:val="16"/>
                <w:szCs w:val="16"/>
              </w:rPr>
              <w:t>Dependent Variables</w:t>
            </w:r>
          </w:p>
        </w:tc>
      </w:tr>
      <w:tr w:rsidR="00331AB6" w:rsidRPr="00E1789A" w14:paraId="574CA75E" w14:textId="77777777" w:rsidTr="00834F5A">
        <w:tc>
          <w:tcPr>
            <w:tcW w:w="2386" w:type="dxa"/>
            <w:tcBorders>
              <w:top w:val="single" w:sz="4" w:space="0" w:color="auto"/>
            </w:tcBorders>
          </w:tcPr>
          <w:p w14:paraId="74FF84D7"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Tobin’s Q</w:t>
            </w:r>
          </w:p>
        </w:tc>
        <w:tc>
          <w:tcPr>
            <w:tcW w:w="4257" w:type="dxa"/>
            <w:tcBorders>
              <w:top w:val="single" w:sz="4" w:space="0" w:color="auto"/>
            </w:tcBorders>
          </w:tcPr>
          <w:p w14:paraId="09981C0D"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Ratio of market to book value of a firm’s assets, where market value is calculated as market value of common equity plus book value of assets minus book value of common equity</w:t>
            </w:r>
            <w:r>
              <w:rPr>
                <w:rFonts w:ascii="Times New Roman" w:hAnsi="Times New Roman" w:cs="Times New Roman"/>
                <w:sz w:val="16"/>
                <w:szCs w:val="16"/>
              </w:rPr>
              <w:t xml:space="preserve">. </w:t>
            </w:r>
          </w:p>
        </w:tc>
        <w:tc>
          <w:tcPr>
            <w:tcW w:w="2830" w:type="dxa"/>
            <w:tcBorders>
              <w:top w:val="single" w:sz="4" w:space="0" w:color="auto"/>
            </w:tcBorders>
          </w:tcPr>
          <w:p w14:paraId="2B78E096"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Chang &amp; Wang (2007)</w:t>
            </w:r>
          </w:p>
        </w:tc>
      </w:tr>
      <w:tr w:rsidR="00331AB6" w:rsidRPr="00E1789A" w14:paraId="74F03041" w14:textId="77777777" w:rsidTr="00834F5A">
        <w:tc>
          <w:tcPr>
            <w:tcW w:w="2386" w:type="dxa"/>
            <w:tcBorders>
              <w:bottom w:val="single" w:sz="4" w:space="0" w:color="auto"/>
            </w:tcBorders>
          </w:tcPr>
          <w:p w14:paraId="32BDA8ED"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ROA</w:t>
            </w:r>
          </w:p>
        </w:tc>
        <w:tc>
          <w:tcPr>
            <w:tcW w:w="4257" w:type="dxa"/>
            <w:tcBorders>
              <w:bottom w:val="single" w:sz="4" w:space="0" w:color="auto"/>
            </w:tcBorders>
          </w:tcPr>
          <w:p w14:paraId="31065587"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Ratio of net profit to total assets</w:t>
            </w:r>
          </w:p>
        </w:tc>
        <w:tc>
          <w:tcPr>
            <w:tcW w:w="2830" w:type="dxa"/>
            <w:tcBorders>
              <w:bottom w:val="single" w:sz="4" w:space="0" w:color="auto"/>
            </w:tcBorders>
          </w:tcPr>
          <w:p w14:paraId="5B0BF62E" w14:textId="77777777" w:rsidR="00331AB6" w:rsidRPr="00E1789A" w:rsidRDefault="00331AB6" w:rsidP="00834F5A">
            <w:pPr>
              <w:spacing w:line="360" w:lineRule="auto"/>
              <w:jc w:val="both"/>
              <w:rPr>
                <w:rFonts w:ascii="Times New Roman" w:hAnsi="Times New Roman" w:cs="Times New Roman"/>
                <w:sz w:val="16"/>
                <w:szCs w:val="16"/>
              </w:rPr>
            </w:pPr>
            <w:proofErr w:type="spellStart"/>
            <w:r w:rsidRPr="00E1789A">
              <w:rPr>
                <w:rFonts w:ascii="Times New Roman" w:hAnsi="Times New Roman" w:cs="Times New Roman"/>
                <w:sz w:val="16"/>
                <w:szCs w:val="16"/>
              </w:rPr>
              <w:t>Delios</w:t>
            </w:r>
            <w:proofErr w:type="spellEnd"/>
            <w:r w:rsidRPr="00E1789A">
              <w:rPr>
                <w:rFonts w:ascii="Times New Roman" w:hAnsi="Times New Roman" w:cs="Times New Roman"/>
                <w:sz w:val="16"/>
                <w:szCs w:val="16"/>
              </w:rPr>
              <w:t xml:space="preserve"> and Beamish, (1999); Richard et al., (2009)</w:t>
            </w:r>
          </w:p>
        </w:tc>
      </w:tr>
      <w:tr w:rsidR="00331AB6" w:rsidRPr="00E1789A" w14:paraId="43F8D9E6" w14:textId="77777777" w:rsidTr="00834F5A">
        <w:tc>
          <w:tcPr>
            <w:tcW w:w="9473" w:type="dxa"/>
            <w:gridSpan w:val="3"/>
            <w:tcBorders>
              <w:top w:val="single" w:sz="4" w:space="0" w:color="auto"/>
              <w:bottom w:val="single" w:sz="4" w:space="0" w:color="auto"/>
            </w:tcBorders>
          </w:tcPr>
          <w:p w14:paraId="3D781CE2" w14:textId="77777777" w:rsidR="00331AB6" w:rsidRPr="00AD4DE4" w:rsidRDefault="00331AB6" w:rsidP="00834F5A">
            <w:pPr>
              <w:spacing w:line="360" w:lineRule="auto"/>
              <w:rPr>
                <w:rFonts w:ascii="Times New Roman" w:hAnsi="Times New Roman" w:cs="Times New Roman"/>
                <w:b/>
                <w:bCs/>
                <w:sz w:val="16"/>
                <w:szCs w:val="16"/>
              </w:rPr>
            </w:pPr>
            <w:r w:rsidRPr="00AD4DE4">
              <w:rPr>
                <w:rFonts w:ascii="Times New Roman" w:hAnsi="Times New Roman" w:cs="Times New Roman"/>
                <w:b/>
                <w:bCs/>
                <w:sz w:val="16"/>
                <w:szCs w:val="16"/>
              </w:rPr>
              <w:t>Independent Variables</w:t>
            </w:r>
          </w:p>
        </w:tc>
      </w:tr>
      <w:tr w:rsidR="00331AB6" w:rsidRPr="00E1789A" w14:paraId="58ABA202" w14:textId="77777777" w:rsidTr="00834F5A">
        <w:tc>
          <w:tcPr>
            <w:tcW w:w="2386" w:type="dxa"/>
            <w:tcBorders>
              <w:top w:val="single" w:sz="4" w:space="0" w:color="auto"/>
            </w:tcBorders>
          </w:tcPr>
          <w:p w14:paraId="3CCC378E" w14:textId="77777777" w:rsidR="00331AB6" w:rsidRPr="00E1789A" w:rsidRDefault="00331AB6" w:rsidP="00834F5A">
            <w:pPr>
              <w:spacing w:line="360" w:lineRule="auto"/>
              <w:rPr>
                <w:rFonts w:ascii="Times New Roman" w:hAnsi="Times New Roman" w:cs="Times New Roman"/>
                <w:iCs/>
                <w:sz w:val="16"/>
                <w:szCs w:val="16"/>
              </w:rPr>
            </w:pPr>
            <w:r w:rsidRPr="00E1789A">
              <w:rPr>
                <w:rFonts w:ascii="Times New Roman" w:hAnsi="Times New Roman" w:cs="Times New Roman"/>
                <w:iCs/>
                <w:sz w:val="16"/>
                <w:szCs w:val="16"/>
              </w:rPr>
              <w:t>Product diversification experience</w:t>
            </w:r>
          </w:p>
        </w:tc>
        <w:tc>
          <w:tcPr>
            <w:tcW w:w="4257" w:type="dxa"/>
            <w:tcBorders>
              <w:top w:val="single" w:sz="4" w:space="0" w:color="auto"/>
            </w:tcBorders>
          </w:tcPr>
          <w:p w14:paraId="017C04C0"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The number of diversifications made by a firm in the product-market domain in last ten years</w:t>
            </w:r>
          </w:p>
        </w:tc>
        <w:tc>
          <w:tcPr>
            <w:tcW w:w="2830" w:type="dxa"/>
            <w:tcBorders>
              <w:top w:val="single" w:sz="4" w:space="0" w:color="auto"/>
            </w:tcBorders>
          </w:tcPr>
          <w:p w14:paraId="0DCEFC24"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Haleblian</w:t>
            </w:r>
            <w:proofErr w:type="spellEnd"/>
            <w:r w:rsidRPr="00E1789A">
              <w:rPr>
                <w:rFonts w:ascii="Times New Roman" w:hAnsi="Times New Roman" w:cs="Times New Roman"/>
                <w:sz w:val="16"/>
                <w:szCs w:val="16"/>
              </w:rPr>
              <w:t xml:space="preserve"> &amp; Finkelstein (1999); Nguyen &amp; Cai (2016)</w:t>
            </w:r>
          </w:p>
        </w:tc>
      </w:tr>
      <w:tr w:rsidR="00331AB6" w:rsidRPr="00E1789A" w14:paraId="5E2D1042" w14:textId="77777777" w:rsidTr="00834F5A">
        <w:tc>
          <w:tcPr>
            <w:tcW w:w="2386" w:type="dxa"/>
          </w:tcPr>
          <w:p w14:paraId="4B72FD28" w14:textId="77777777" w:rsidR="00331AB6" w:rsidRPr="00E1789A" w:rsidRDefault="00331AB6" w:rsidP="00834F5A">
            <w:pPr>
              <w:spacing w:line="360" w:lineRule="auto"/>
              <w:rPr>
                <w:rFonts w:ascii="Times New Roman" w:hAnsi="Times New Roman" w:cs="Times New Roman"/>
                <w:iCs/>
                <w:sz w:val="16"/>
                <w:szCs w:val="16"/>
              </w:rPr>
            </w:pPr>
            <w:r w:rsidRPr="00E1789A">
              <w:rPr>
                <w:rFonts w:ascii="Times New Roman" w:hAnsi="Times New Roman" w:cs="Times New Roman"/>
                <w:iCs/>
                <w:sz w:val="16"/>
                <w:szCs w:val="16"/>
              </w:rPr>
              <w:t>International diversification experience</w:t>
            </w:r>
          </w:p>
        </w:tc>
        <w:tc>
          <w:tcPr>
            <w:tcW w:w="4257" w:type="dxa"/>
          </w:tcPr>
          <w:p w14:paraId="1566C233"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The number of countries in which a firm diversified in last ten years.</w:t>
            </w:r>
          </w:p>
        </w:tc>
        <w:tc>
          <w:tcPr>
            <w:tcW w:w="2830" w:type="dxa"/>
          </w:tcPr>
          <w:p w14:paraId="2234C9C3"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Delios</w:t>
            </w:r>
            <w:proofErr w:type="spellEnd"/>
            <w:r w:rsidRPr="00E1789A">
              <w:rPr>
                <w:rFonts w:ascii="Times New Roman" w:hAnsi="Times New Roman" w:cs="Times New Roman"/>
                <w:sz w:val="16"/>
                <w:szCs w:val="16"/>
              </w:rPr>
              <w:t xml:space="preserve"> &amp; Beamish (1999); Tallman &amp; Li, (1996)</w:t>
            </w:r>
          </w:p>
        </w:tc>
      </w:tr>
      <w:tr w:rsidR="00331AB6" w:rsidRPr="00E1789A" w14:paraId="3438733A" w14:textId="77777777" w:rsidTr="00834F5A">
        <w:tc>
          <w:tcPr>
            <w:tcW w:w="2386" w:type="dxa"/>
          </w:tcPr>
          <w:p w14:paraId="01D5ACB1" w14:textId="77777777" w:rsidR="00331AB6" w:rsidRPr="00E1789A" w:rsidRDefault="00331AB6" w:rsidP="00834F5A">
            <w:pPr>
              <w:spacing w:line="360" w:lineRule="auto"/>
              <w:rPr>
                <w:rFonts w:ascii="Times New Roman" w:hAnsi="Times New Roman" w:cs="Times New Roman"/>
                <w:iCs/>
                <w:sz w:val="16"/>
                <w:szCs w:val="16"/>
              </w:rPr>
            </w:pPr>
            <w:r w:rsidRPr="00E1789A">
              <w:rPr>
                <w:rFonts w:ascii="Times New Roman" w:hAnsi="Times New Roman" w:cs="Times New Roman"/>
                <w:iCs/>
                <w:sz w:val="16"/>
                <w:szCs w:val="16"/>
              </w:rPr>
              <w:t>Product diversification experience unrelatedness</w:t>
            </w:r>
          </w:p>
        </w:tc>
        <w:tc>
          <w:tcPr>
            <w:tcW w:w="4257" w:type="dxa"/>
          </w:tcPr>
          <w:p w14:paraId="7D4EA750"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 xml:space="preserve">The ratio of the number of </w:t>
            </w:r>
            <w:proofErr w:type="gramStart"/>
            <w:r w:rsidRPr="00E1789A">
              <w:rPr>
                <w:rFonts w:ascii="Times New Roman" w:hAnsi="Times New Roman" w:cs="Times New Roman"/>
                <w:sz w:val="16"/>
                <w:szCs w:val="16"/>
              </w:rPr>
              <w:t>diversification</w:t>
            </w:r>
            <w:proofErr w:type="gramEnd"/>
            <w:r w:rsidRPr="00E1789A">
              <w:rPr>
                <w:rFonts w:ascii="Times New Roman" w:hAnsi="Times New Roman" w:cs="Times New Roman"/>
                <w:sz w:val="16"/>
                <w:szCs w:val="16"/>
              </w:rPr>
              <w:t xml:space="preserve"> moves made by a firm in the unrelated industries to the total number of diversification moves made the firm in last ten years</w:t>
            </w:r>
          </w:p>
        </w:tc>
        <w:tc>
          <w:tcPr>
            <w:tcW w:w="2830" w:type="dxa"/>
          </w:tcPr>
          <w:p w14:paraId="4D759DED"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Haleblian</w:t>
            </w:r>
            <w:proofErr w:type="spellEnd"/>
            <w:r w:rsidRPr="00E1789A">
              <w:rPr>
                <w:rFonts w:ascii="Times New Roman" w:hAnsi="Times New Roman" w:cs="Times New Roman"/>
                <w:sz w:val="16"/>
                <w:szCs w:val="16"/>
              </w:rPr>
              <w:t xml:space="preserve"> &amp; Finkelstein (1999); Nguyen &amp; Cai (2016)</w:t>
            </w:r>
          </w:p>
        </w:tc>
      </w:tr>
      <w:tr w:rsidR="00331AB6" w:rsidRPr="00E1789A" w14:paraId="08D7C106" w14:textId="77777777" w:rsidTr="00834F5A">
        <w:tc>
          <w:tcPr>
            <w:tcW w:w="2386" w:type="dxa"/>
          </w:tcPr>
          <w:p w14:paraId="74A941A6" w14:textId="77777777" w:rsidR="00331AB6" w:rsidRPr="00E1789A" w:rsidRDefault="00331AB6" w:rsidP="00834F5A">
            <w:pPr>
              <w:spacing w:line="360" w:lineRule="auto"/>
              <w:rPr>
                <w:rFonts w:ascii="Times New Roman" w:hAnsi="Times New Roman" w:cs="Times New Roman"/>
                <w:iCs/>
                <w:sz w:val="16"/>
                <w:szCs w:val="16"/>
              </w:rPr>
            </w:pPr>
            <w:r w:rsidRPr="00E1789A">
              <w:rPr>
                <w:rFonts w:ascii="Times New Roman" w:hAnsi="Times New Roman" w:cs="Times New Roman"/>
                <w:iCs/>
                <w:sz w:val="16"/>
                <w:szCs w:val="16"/>
              </w:rPr>
              <w:t>International diversification experience unrelatedness</w:t>
            </w:r>
          </w:p>
        </w:tc>
        <w:tc>
          <w:tcPr>
            <w:tcW w:w="4257" w:type="dxa"/>
          </w:tcPr>
          <w:p w14:paraId="1C486562"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 xml:space="preserve">The ratio of number of unique countries in which a firm has diversified to the total number of international </w:t>
            </w:r>
            <w:proofErr w:type="gramStart"/>
            <w:r w:rsidRPr="00E1789A">
              <w:rPr>
                <w:rFonts w:ascii="Times New Roman" w:hAnsi="Times New Roman" w:cs="Times New Roman"/>
                <w:sz w:val="16"/>
                <w:szCs w:val="16"/>
              </w:rPr>
              <w:t>diversification</w:t>
            </w:r>
            <w:proofErr w:type="gramEnd"/>
            <w:r w:rsidRPr="00E1789A">
              <w:rPr>
                <w:rFonts w:ascii="Times New Roman" w:hAnsi="Times New Roman" w:cs="Times New Roman"/>
                <w:sz w:val="16"/>
                <w:szCs w:val="16"/>
              </w:rPr>
              <w:t xml:space="preserve"> moves taken by a firm in last ten years.</w:t>
            </w:r>
          </w:p>
        </w:tc>
        <w:tc>
          <w:tcPr>
            <w:tcW w:w="2830" w:type="dxa"/>
          </w:tcPr>
          <w:p w14:paraId="20661F9E"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Delios</w:t>
            </w:r>
            <w:proofErr w:type="spellEnd"/>
            <w:r w:rsidRPr="00E1789A">
              <w:rPr>
                <w:rFonts w:ascii="Times New Roman" w:hAnsi="Times New Roman" w:cs="Times New Roman"/>
                <w:sz w:val="16"/>
                <w:szCs w:val="16"/>
              </w:rPr>
              <w:t xml:space="preserve"> &amp; Beamish (1999); </w:t>
            </w:r>
            <w:proofErr w:type="spellStart"/>
            <w:r w:rsidRPr="00E1789A">
              <w:rPr>
                <w:rFonts w:ascii="Times New Roman" w:hAnsi="Times New Roman" w:cs="Times New Roman"/>
                <w:sz w:val="16"/>
                <w:szCs w:val="16"/>
              </w:rPr>
              <w:t>Vachani</w:t>
            </w:r>
            <w:proofErr w:type="spellEnd"/>
            <w:r w:rsidRPr="00E1789A">
              <w:rPr>
                <w:rFonts w:ascii="Times New Roman" w:hAnsi="Times New Roman" w:cs="Times New Roman"/>
                <w:sz w:val="16"/>
                <w:szCs w:val="16"/>
              </w:rPr>
              <w:t xml:space="preserve"> (1991)</w:t>
            </w:r>
          </w:p>
        </w:tc>
      </w:tr>
      <w:tr w:rsidR="00331AB6" w:rsidRPr="00E1789A" w14:paraId="19B77B1D" w14:textId="77777777" w:rsidTr="00834F5A">
        <w:tc>
          <w:tcPr>
            <w:tcW w:w="2386" w:type="dxa"/>
          </w:tcPr>
          <w:p w14:paraId="5814C7BD" w14:textId="77777777" w:rsidR="00331AB6" w:rsidRPr="00E1789A" w:rsidRDefault="00331AB6" w:rsidP="00834F5A">
            <w:pPr>
              <w:spacing w:line="360" w:lineRule="auto"/>
              <w:rPr>
                <w:rFonts w:ascii="Times New Roman" w:hAnsi="Times New Roman" w:cs="Times New Roman"/>
                <w:iCs/>
                <w:sz w:val="16"/>
                <w:szCs w:val="16"/>
              </w:rPr>
            </w:pPr>
            <w:r w:rsidRPr="00E1789A">
              <w:rPr>
                <w:rFonts w:ascii="Times New Roman" w:hAnsi="Times New Roman" w:cs="Times New Roman"/>
                <w:iCs/>
                <w:sz w:val="16"/>
                <w:szCs w:val="16"/>
              </w:rPr>
              <w:t>Patent stock diversity</w:t>
            </w:r>
          </w:p>
        </w:tc>
        <w:tc>
          <w:tcPr>
            <w:tcW w:w="4257" w:type="dxa"/>
          </w:tcPr>
          <w:p w14:paraId="303F7F38"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Measured using the Herfindahl index of diversification of accumulated patents in different classes</w:t>
            </w:r>
          </w:p>
        </w:tc>
        <w:tc>
          <w:tcPr>
            <w:tcW w:w="2830" w:type="dxa"/>
          </w:tcPr>
          <w:p w14:paraId="0F004DDB" w14:textId="77777777" w:rsidR="00331AB6" w:rsidRPr="00E1789A" w:rsidRDefault="00331AB6" w:rsidP="00834F5A">
            <w:pPr>
              <w:spacing w:line="360" w:lineRule="auto"/>
              <w:rPr>
                <w:rFonts w:ascii="Times New Roman" w:hAnsi="Times New Roman" w:cs="Times New Roman"/>
                <w:sz w:val="16"/>
                <w:szCs w:val="16"/>
              </w:rPr>
            </w:pPr>
            <w:r w:rsidRPr="00E1789A">
              <w:rPr>
                <w:rFonts w:ascii="Times New Roman" w:hAnsi="Times New Roman" w:cs="Times New Roman"/>
                <w:sz w:val="16"/>
                <w:szCs w:val="16"/>
              </w:rPr>
              <w:t xml:space="preserve">Berry (1975); Quintana-García &amp; Benavides-Velasco (2011); </w:t>
            </w:r>
            <w:proofErr w:type="spellStart"/>
            <w:r w:rsidRPr="00E1789A">
              <w:rPr>
                <w:rFonts w:ascii="Times New Roman" w:hAnsi="Times New Roman" w:cs="Times New Roman"/>
                <w:sz w:val="16"/>
                <w:szCs w:val="16"/>
              </w:rPr>
              <w:t>Dushnitsky</w:t>
            </w:r>
            <w:proofErr w:type="spellEnd"/>
            <w:r w:rsidRPr="00E1789A">
              <w:rPr>
                <w:rFonts w:ascii="Times New Roman" w:hAnsi="Times New Roman" w:cs="Times New Roman"/>
                <w:sz w:val="16"/>
                <w:szCs w:val="16"/>
              </w:rPr>
              <w:t xml:space="preserve"> &amp; Lenox (2005)</w:t>
            </w:r>
          </w:p>
        </w:tc>
      </w:tr>
      <w:tr w:rsidR="00331AB6" w:rsidRPr="00E1789A" w14:paraId="0DF703A8" w14:textId="77777777" w:rsidTr="00834F5A">
        <w:tc>
          <w:tcPr>
            <w:tcW w:w="2386" w:type="dxa"/>
            <w:tcBorders>
              <w:bottom w:val="single" w:sz="4" w:space="0" w:color="auto"/>
            </w:tcBorders>
          </w:tcPr>
          <w:p w14:paraId="2EFAD5FD" w14:textId="77777777" w:rsidR="00331AB6" w:rsidRPr="00E1789A" w:rsidRDefault="00331AB6" w:rsidP="00834F5A">
            <w:pPr>
              <w:spacing w:line="360" w:lineRule="auto"/>
              <w:rPr>
                <w:rFonts w:ascii="Times New Roman" w:hAnsi="Times New Roman" w:cs="Times New Roman"/>
                <w:iCs/>
                <w:sz w:val="16"/>
                <w:szCs w:val="16"/>
              </w:rPr>
            </w:pPr>
            <w:r w:rsidRPr="00E1789A">
              <w:rPr>
                <w:rFonts w:ascii="Times New Roman" w:hAnsi="Times New Roman" w:cs="Times New Roman"/>
                <w:iCs/>
                <w:sz w:val="16"/>
                <w:szCs w:val="16"/>
              </w:rPr>
              <w:t>Intellectual capital efficiency</w:t>
            </w:r>
          </w:p>
        </w:tc>
        <w:tc>
          <w:tcPr>
            <w:tcW w:w="4257" w:type="dxa"/>
            <w:tcBorders>
              <w:bottom w:val="single" w:sz="4" w:space="0" w:color="auto"/>
            </w:tcBorders>
          </w:tcPr>
          <w:p w14:paraId="67F00534"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Intellectual capital efficiency component of VAIC</w:t>
            </w:r>
            <w:r w:rsidRPr="00E1789A">
              <w:rPr>
                <w:rFonts w:ascii="Times New Roman" w:hAnsi="Times New Roman" w:cs="Times New Roman"/>
                <w:sz w:val="16"/>
                <w:szCs w:val="16"/>
                <w:vertAlign w:val="superscript"/>
              </w:rPr>
              <w:t xml:space="preserve">TM </w:t>
            </w:r>
            <w:r w:rsidRPr="00E1789A">
              <w:rPr>
                <w:rFonts w:ascii="Times New Roman" w:hAnsi="Times New Roman" w:cs="Times New Roman"/>
                <w:sz w:val="16"/>
                <w:szCs w:val="16"/>
              </w:rPr>
              <w:t>model</w:t>
            </w:r>
          </w:p>
        </w:tc>
        <w:tc>
          <w:tcPr>
            <w:tcW w:w="2830" w:type="dxa"/>
            <w:tcBorders>
              <w:bottom w:val="single" w:sz="4" w:space="0" w:color="auto"/>
            </w:tcBorders>
          </w:tcPr>
          <w:p w14:paraId="7E0481DD"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Pulic</w:t>
            </w:r>
            <w:proofErr w:type="spellEnd"/>
            <w:r w:rsidRPr="00E1789A">
              <w:rPr>
                <w:rFonts w:ascii="Times New Roman" w:hAnsi="Times New Roman" w:cs="Times New Roman"/>
                <w:sz w:val="16"/>
                <w:szCs w:val="16"/>
              </w:rPr>
              <w:t xml:space="preserve"> (2000); Lu et al., (2014) </w:t>
            </w:r>
          </w:p>
        </w:tc>
      </w:tr>
      <w:tr w:rsidR="00331AB6" w:rsidRPr="00E1789A" w14:paraId="2BA9611A" w14:textId="77777777" w:rsidTr="00834F5A">
        <w:tc>
          <w:tcPr>
            <w:tcW w:w="9473" w:type="dxa"/>
            <w:gridSpan w:val="3"/>
            <w:tcBorders>
              <w:top w:val="single" w:sz="4" w:space="0" w:color="auto"/>
              <w:bottom w:val="single" w:sz="4" w:space="0" w:color="auto"/>
            </w:tcBorders>
          </w:tcPr>
          <w:p w14:paraId="58540DFC" w14:textId="77777777" w:rsidR="00331AB6" w:rsidRPr="00AD4DE4" w:rsidRDefault="00331AB6" w:rsidP="00834F5A">
            <w:pPr>
              <w:spacing w:line="360" w:lineRule="auto"/>
              <w:rPr>
                <w:rFonts w:ascii="Times New Roman" w:hAnsi="Times New Roman" w:cs="Times New Roman"/>
                <w:b/>
                <w:bCs/>
                <w:sz w:val="16"/>
                <w:szCs w:val="16"/>
              </w:rPr>
            </w:pPr>
            <w:r w:rsidRPr="00AD4DE4">
              <w:rPr>
                <w:rFonts w:ascii="Times New Roman" w:hAnsi="Times New Roman" w:cs="Times New Roman"/>
                <w:b/>
                <w:bCs/>
                <w:sz w:val="16"/>
                <w:szCs w:val="16"/>
              </w:rPr>
              <w:t>Control Variables</w:t>
            </w:r>
          </w:p>
        </w:tc>
      </w:tr>
      <w:tr w:rsidR="00331AB6" w:rsidRPr="00E1789A" w14:paraId="610DF849" w14:textId="77777777" w:rsidTr="00834F5A">
        <w:tc>
          <w:tcPr>
            <w:tcW w:w="2386" w:type="dxa"/>
            <w:tcBorders>
              <w:top w:val="single" w:sz="4" w:space="0" w:color="auto"/>
            </w:tcBorders>
          </w:tcPr>
          <w:p w14:paraId="1BFEF325"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Firm size</w:t>
            </w:r>
          </w:p>
        </w:tc>
        <w:tc>
          <w:tcPr>
            <w:tcW w:w="4257" w:type="dxa"/>
            <w:tcBorders>
              <w:top w:val="single" w:sz="4" w:space="0" w:color="auto"/>
            </w:tcBorders>
          </w:tcPr>
          <w:p w14:paraId="1EC29DF9"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 xml:space="preserve">Natural logarithm of firm’s total assets </w:t>
            </w:r>
          </w:p>
        </w:tc>
        <w:tc>
          <w:tcPr>
            <w:tcW w:w="2830" w:type="dxa"/>
            <w:tcBorders>
              <w:top w:val="single" w:sz="4" w:space="0" w:color="auto"/>
            </w:tcBorders>
          </w:tcPr>
          <w:p w14:paraId="2B331088"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Zahavi</w:t>
            </w:r>
            <w:proofErr w:type="spellEnd"/>
            <w:r w:rsidRPr="00E1789A">
              <w:rPr>
                <w:rFonts w:ascii="Times New Roman" w:hAnsi="Times New Roman" w:cs="Times New Roman"/>
                <w:sz w:val="16"/>
                <w:szCs w:val="16"/>
              </w:rPr>
              <w:t xml:space="preserve"> &amp; </w:t>
            </w:r>
            <w:proofErr w:type="spellStart"/>
            <w:r w:rsidRPr="00E1789A">
              <w:rPr>
                <w:rFonts w:ascii="Times New Roman" w:hAnsi="Times New Roman" w:cs="Times New Roman"/>
                <w:sz w:val="16"/>
                <w:szCs w:val="16"/>
              </w:rPr>
              <w:t>Lavie</w:t>
            </w:r>
            <w:proofErr w:type="spellEnd"/>
            <w:r w:rsidRPr="00E1789A">
              <w:rPr>
                <w:rFonts w:ascii="Times New Roman" w:hAnsi="Times New Roman" w:cs="Times New Roman"/>
                <w:sz w:val="16"/>
                <w:szCs w:val="16"/>
              </w:rPr>
              <w:t xml:space="preserve"> </w:t>
            </w:r>
            <w:proofErr w:type="gramStart"/>
            <w:r w:rsidRPr="00E1789A">
              <w:rPr>
                <w:rFonts w:ascii="Times New Roman" w:hAnsi="Times New Roman" w:cs="Times New Roman"/>
                <w:sz w:val="16"/>
                <w:szCs w:val="16"/>
              </w:rPr>
              <w:t>( 2013</w:t>
            </w:r>
            <w:proofErr w:type="gramEnd"/>
            <w:r w:rsidRPr="00E1789A">
              <w:rPr>
                <w:rFonts w:ascii="Times New Roman" w:hAnsi="Times New Roman" w:cs="Times New Roman"/>
                <w:sz w:val="16"/>
                <w:szCs w:val="16"/>
              </w:rPr>
              <w:t>)</w:t>
            </w:r>
          </w:p>
        </w:tc>
      </w:tr>
      <w:tr w:rsidR="00331AB6" w:rsidRPr="00E1789A" w14:paraId="65BCFDC6" w14:textId="77777777" w:rsidTr="00834F5A">
        <w:trPr>
          <w:trHeight w:val="247"/>
        </w:trPr>
        <w:tc>
          <w:tcPr>
            <w:tcW w:w="2386" w:type="dxa"/>
          </w:tcPr>
          <w:p w14:paraId="6FFB0247"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Firm age</w:t>
            </w:r>
          </w:p>
        </w:tc>
        <w:tc>
          <w:tcPr>
            <w:tcW w:w="4257" w:type="dxa"/>
          </w:tcPr>
          <w:p w14:paraId="0B933E01"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Natural logarithm of the number of years since a firm was incorporated</w:t>
            </w:r>
          </w:p>
        </w:tc>
        <w:tc>
          <w:tcPr>
            <w:tcW w:w="2830" w:type="dxa"/>
          </w:tcPr>
          <w:p w14:paraId="2ABE6888" w14:textId="77777777" w:rsidR="00331AB6" w:rsidRPr="00E1789A" w:rsidRDefault="00331AB6" w:rsidP="00834F5A">
            <w:pPr>
              <w:spacing w:line="360" w:lineRule="auto"/>
              <w:rPr>
                <w:rFonts w:ascii="Times New Roman" w:hAnsi="Times New Roman" w:cs="Times New Roman"/>
                <w:sz w:val="16"/>
                <w:szCs w:val="16"/>
              </w:rPr>
            </w:pPr>
            <w:r w:rsidRPr="00E1789A">
              <w:rPr>
                <w:rFonts w:ascii="Times New Roman" w:hAnsi="Times New Roman" w:cs="Times New Roman"/>
                <w:sz w:val="16"/>
                <w:szCs w:val="16"/>
              </w:rPr>
              <w:t>Chakrabarti et al., (2007)</w:t>
            </w:r>
          </w:p>
        </w:tc>
      </w:tr>
      <w:tr w:rsidR="00331AB6" w:rsidRPr="00E1789A" w14:paraId="4774E445" w14:textId="77777777" w:rsidTr="00834F5A">
        <w:trPr>
          <w:trHeight w:val="389"/>
        </w:trPr>
        <w:tc>
          <w:tcPr>
            <w:tcW w:w="2386" w:type="dxa"/>
          </w:tcPr>
          <w:p w14:paraId="1E608300"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Leverage</w:t>
            </w:r>
          </w:p>
        </w:tc>
        <w:tc>
          <w:tcPr>
            <w:tcW w:w="4257" w:type="dxa"/>
          </w:tcPr>
          <w:p w14:paraId="778E6A51"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 xml:space="preserve">Debt-to-equity ratio </w:t>
            </w:r>
          </w:p>
        </w:tc>
        <w:tc>
          <w:tcPr>
            <w:tcW w:w="2830" w:type="dxa"/>
          </w:tcPr>
          <w:p w14:paraId="2D91A508"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Delios</w:t>
            </w:r>
            <w:proofErr w:type="spellEnd"/>
            <w:r w:rsidRPr="00E1789A">
              <w:rPr>
                <w:rFonts w:ascii="Times New Roman" w:hAnsi="Times New Roman" w:cs="Times New Roman"/>
                <w:sz w:val="16"/>
                <w:szCs w:val="16"/>
              </w:rPr>
              <w:t xml:space="preserve"> &amp; Beamish (1999); Chakrabarti et al., (2007)</w:t>
            </w:r>
          </w:p>
        </w:tc>
      </w:tr>
      <w:tr w:rsidR="00331AB6" w:rsidRPr="00E1789A" w14:paraId="3AB1472C" w14:textId="77777777" w:rsidTr="00834F5A">
        <w:trPr>
          <w:trHeight w:val="512"/>
        </w:trPr>
        <w:tc>
          <w:tcPr>
            <w:tcW w:w="2386" w:type="dxa"/>
          </w:tcPr>
          <w:p w14:paraId="6A660607"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Current ratio</w:t>
            </w:r>
          </w:p>
        </w:tc>
        <w:tc>
          <w:tcPr>
            <w:tcW w:w="4257" w:type="dxa"/>
          </w:tcPr>
          <w:p w14:paraId="67022803"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Ratio of current assets to current liabilities</w:t>
            </w:r>
          </w:p>
        </w:tc>
        <w:tc>
          <w:tcPr>
            <w:tcW w:w="2830" w:type="dxa"/>
          </w:tcPr>
          <w:p w14:paraId="58C5E364" w14:textId="77777777" w:rsidR="00331AB6" w:rsidRPr="00E1789A" w:rsidRDefault="00331AB6" w:rsidP="00834F5A">
            <w:pPr>
              <w:spacing w:line="360" w:lineRule="auto"/>
              <w:rPr>
                <w:rFonts w:ascii="Times New Roman" w:hAnsi="Times New Roman" w:cs="Times New Roman"/>
                <w:sz w:val="16"/>
                <w:szCs w:val="16"/>
              </w:rPr>
            </w:pPr>
            <w:r w:rsidRPr="00E1789A">
              <w:rPr>
                <w:rFonts w:ascii="Times New Roman" w:hAnsi="Times New Roman" w:cs="Times New Roman"/>
                <w:sz w:val="16"/>
                <w:szCs w:val="16"/>
              </w:rPr>
              <w:t>Chakrabarti et al. (2007)</w:t>
            </w:r>
          </w:p>
        </w:tc>
      </w:tr>
      <w:tr w:rsidR="00331AB6" w:rsidRPr="00E1789A" w14:paraId="11BD4E49" w14:textId="77777777" w:rsidTr="00834F5A">
        <w:trPr>
          <w:trHeight w:val="872"/>
        </w:trPr>
        <w:tc>
          <w:tcPr>
            <w:tcW w:w="2386" w:type="dxa"/>
          </w:tcPr>
          <w:p w14:paraId="3E0446A4" w14:textId="77777777" w:rsidR="00331AB6" w:rsidRPr="00E1789A" w:rsidRDefault="00331AB6" w:rsidP="00834F5A">
            <w:pPr>
              <w:spacing w:line="360" w:lineRule="auto"/>
              <w:rPr>
                <w:rFonts w:ascii="Times New Roman" w:hAnsi="Times New Roman" w:cs="Times New Roman"/>
                <w:iCs/>
                <w:sz w:val="16"/>
                <w:szCs w:val="16"/>
              </w:rPr>
            </w:pPr>
            <w:r w:rsidRPr="00E1789A">
              <w:rPr>
                <w:rFonts w:ascii="Times New Roman" w:hAnsi="Times New Roman" w:cs="Times New Roman"/>
                <w:iCs/>
                <w:sz w:val="16"/>
                <w:szCs w:val="16"/>
              </w:rPr>
              <w:t>Business group affiliation</w:t>
            </w:r>
          </w:p>
        </w:tc>
        <w:tc>
          <w:tcPr>
            <w:tcW w:w="4257" w:type="dxa"/>
          </w:tcPr>
          <w:p w14:paraId="4516CB62"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A dummy variable which captures whether a firm is affiliated to a business group or not</w:t>
            </w:r>
          </w:p>
        </w:tc>
        <w:tc>
          <w:tcPr>
            <w:tcW w:w="2830" w:type="dxa"/>
          </w:tcPr>
          <w:p w14:paraId="16854539" w14:textId="77777777" w:rsidR="00331AB6" w:rsidRPr="00E1789A" w:rsidRDefault="00331AB6" w:rsidP="00834F5A">
            <w:pPr>
              <w:spacing w:line="360" w:lineRule="auto"/>
              <w:rPr>
                <w:rFonts w:ascii="Times New Roman" w:hAnsi="Times New Roman" w:cs="Times New Roman"/>
                <w:sz w:val="16"/>
                <w:szCs w:val="16"/>
              </w:rPr>
            </w:pPr>
            <w:r w:rsidRPr="00E1789A">
              <w:rPr>
                <w:rFonts w:ascii="Times New Roman" w:hAnsi="Times New Roman" w:cs="Times New Roman"/>
                <w:sz w:val="16"/>
                <w:szCs w:val="16"/>
              </w:rPr>
              <w:t>Khanna &amp; Palepu, (2000); Kim et al., (2014)</w:t>
            </w:r>
          </w:p>
        </w:tc>
      </w:tr>
      <w:tr w:rsidR="00331AB6" w:rsidRPr="00E1789A" w14:paraId="5C93C4A4" w14:textId="77777777" w:rsidTr="00834F5A">
        <w:trPr>
          <w:trHeight w:val="353"/>
        </w:trPr>
        <w:tc>
          <w:tcPr>
            <w:tcW w:w="2386" w:type="dxa"/>
          </w:tcPr>
          <w:p w14:paraId="2671114D" w14:textId="77777777" w:rsidR="00331AB6" w:rsidRPr="00E1789A" w:rsidRDefault="00331AB6" w:rsidP="00834F5A">
            <w:pPr>
              <w:spacing w:line="360" w:lineRule="auto"/>
              <w:jc w:val="both"/>
              <w:rPr>
                <w:rFonts w:ascii="Times New Roman" w:hAnsi="Times New Roman" w:cs="Times New Roman"/>
                <w:b/>
                <w:bCs/>
                <w:iCs/>
                <w:sz w:val="16"/>
                <w:szCs w:val="16"/>
              </w:rPr>
            </w:pPr>
            <w:r w:rsidRPr="00E1789A">
              <w:rPr>
                <w:rFonts w:ascii="Times New Roman" w:hAnsi="Times New Roman" w:cs="Times New Roman"/>
                <w:iCs/>
                <w:sz w:val="16"/>
                <w:szCs w:val="16"/>
              </w:rPr>
              <w:t>R&amp;D intensity</w:t>
            </w:r>
          </w:p>
        </w:tc>
        <w:tc>
          <w:tcPr>
            <w:tcW w:w="4257" w:type="dxa"/>
          </w:tcPr>
          <w:p w14:paraId="5AB17516"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Ratio of a firm’s R&amp;D investments to total sales</w:t>
            </w:r>
          </w:p>
        </w:tc>
        <w:tc>
          <w:tcPr>
            <w:tcW w:w="2830" w:type="dxa"/>
          </w:tcPr>
          <w:p w14:paraId="64E5BD15"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Zahavi</w:t>
            </w:r>
            <w:proofErr w:type="spellEnd"/>
            <w:r w:rsidRPr="00E1789A">
              <w:rPr>
                <w:rFonts w:ascii="Times New Roman" w:hAnsi="Times New Roman" w:cs="Times New Roman"/>
                <w:sz w:val="16"/>
                <w:szCs w:val="16"/>
              </w:rPr>
              <w:t xml:space="preserve"> &amp; </w:t>
            </w:r>
            <w:proofErr w:type="spellStart"/>
            <w:r w:rsidRPr="00E1789A">
              <w:rPr>
                <w:rFonts w:ascii="Times New Roman" w:hAnsi="Times New Roman" w:cs="Times New Roman"/>
                <w:sz w:val="16"/>
                <w:szCs w:val="16"/>
              </w:rPr>
              <w:t>Lavie</w:t>
            </w:r>
            <w:proofErr w:type="spellEnd"/>
            <w:r w:rsidRPr="00E1789A">
              <w:rPr>
                <w:rFonts w:ascii="Times New Roman" w:hAnsi="Times New Roman" w:cs="Times New Roman"/>
                <w:sz w:val="16"/>
                <w:szCs w:val="16"/>
              </w:rPr>
              <w:t xml:space="preserve"> (2013)</w:t>
            </w:r>
          </w:p>
        </w:tc>
      </w:tr>
      <w:tr w:rsidR="00331AB6" w:rsidRPr="00E1789A" w14:paraId="64E57368" w14:textId="77777777" w:rsidTr="00834F5A">
        <w:trPr>
          <w:trHeight w:val="580"/>
        </w:trPr>
        <w:tc>
          <w:tcPr>
            <w:tcW w:w="2386" w:type="dxa"/>
          </w:tcPr>
          <w:p w14:paraId="2BEBA4A4"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Knowledge stock</w:t>
            </w:r>
          </w:p>
        </w:tc>
        <w:tc>
          <w:tcPr>
            <w:tcW w:w="4257" w:type="dxa"/>
          </w:tcPr>
          <w:p w14:paraId="0A17F1FC"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The cumulative number of patents that a firm holds till the beginning of the focal year</w:t>
            </w:r>
          </w:p>
        </w:tc>
        <w:tc>
          <w:tcPr>
            <w:tcW w:w="2830" w:type="dxa"/>
          </w:tcPr>
          <w:p w14:paraId="53AB122F"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Yamakawa</w:t>
            </w:r>
            <w:proofErr w:type="spellEnd"/>
            <w:r w:rsidRPr="00E1789A">
              <w:rPr>
                <w:rFonts w:ascii="Times New Roman" w:hAnsi="Times New Roman" w:cs="Times New Roman"/>
                <w:sz w:val="16"/>
                <w:szCs w:val="16"/>
              </w:rPr>
              <w:t xml:space="preserve"> et al., (2011)</w:t>
            </w:r>
          </w:p>
        </w:tc>
      </w:tr>
      <w:tr w:rsidR="00331AB6" w:rsidRPr="00E1789A" w14:paraId="1F367BE1" w14:textId="77777777" w:rsidTr="00834F5A">
        <w:trPr>
          <w:trHeight w:val="602"/>
        </w:trPr>
        <w:tc>
          <w:tcPr>
            <w:tcW w:w="2386" w:type="dxa"/>
          </w:tcPr>
          <w:p w14:paraId="518950EB"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Product diversity</w:t>
            </w:r>
          </w:p>
        </w:tc>
        <w:tc>
          <w:tcPr>
            <w:tcW w:w="4257" w:type="dxa"/>
          </w:tcPr>
          <w:p w14:paraId="1BF2360B"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 xml:space="preserve">Measured as the as entropy index of sales in different industries defined based on 4-digit SICs </w:t>
            </w:r>
          </w:p>
        </w:tc>
        <w:tc>
          <w:tcPr>
            <w:tcW w:w="2830" w:type="dxa"/>
          </w:tcPr>
          <w:p w14:paraId="36100256" w14:textId="77777777" w:rsidR="00331AB6" w:rsidRPr="00E1789A" w:rsidRDefault="00331AB6" w:rsidP="00834F5A">
            <w:pPr>
              <w:spacing w:line="360" w:lineRule="auto"/>
              <w:rPr>
                <w:rFonts w:ascii="Times New Roman" w:hAnsi="Times New Roman" w:cs="Times New Roman"/>
                <w:sz w:val="16"/>
                <w:szCs w:val="16"/>
              </w:rPr>
            </w:pPr>
            <w:r w:rsidRPr="00E1789A">
              <w:rPr>
                <w:rFonts w:ascii="Times New Roman" w:hAnsi="Times New Roman" w:cs="Times New Roman"/>
                <w:sz w:val="16"/>
                <w:szCs w:val="16"/>
              </w:rPr>
              <w:t>Palepu (1985)</w:t>
            </w:r>
          </w:p>
        </w:tc>
      </w:tr>
      <w:tr w:rsidR="00331AB6" w:rsidRPr="00E1789A" w14:paraId="130AD176" w14:textId="77777777" w:rsidTr="00834F5A">
        <w:trPr>
          <w:trHeight w:val="872"/>
        </w:trPr>
        <w:tc>
          <w:tcPr>
            <w:tcW w:w="2386" w:type="dxa"/>
          </w:tcPr>
          <w:p w14:paraId="083B2A07"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International diversity</w:t>
            </w:r>
          </w:p>
        </w:tc>
        <w:tc>
          <w:tcPr>
            <w:tcW w:w="4257" w:type="dxa"/>
          </w:tcPr>
          <w:p w14:paraId="60C8065D" w14:textId="77777777" w:rsidR="00331AB6" w:rsidRPr="00E1789A" w:rsidRDefault="00331AB6" w:rsidP="00834F5A">
            <w:pPr>
              <w:spacing w:line="360" w:lineRule="auto"/>
              <w:rPr>
                <w:rFonts w:ascii="Times New Roman" w:hAnsi="Times New Roman" w:cs="Times New Roman"/>
                <w:sz w:val="16"/>
                <w:szCs w:val="16"/>
              </w:rPr>
            </w:pPr>
            <w:r w:rsidRPr="00E1789A">
              <w:rPr>
                <w:rFonts w:ascii="Times New Roman" w:hAnsi="Times New Roman" w:cs="Times New Roman"/>
                <w:sz w:val="16"/>
                <w:szCs w:val="16"/>
              </w:rPr>
              <w:t>Measured as the number of countries where a firm has operating subsidiaries. Log transformed to reduce skewness.</w:t>
            </w:r>
          </w:p>
        </w:tc>
        <w:tc>
          <w:tcPr>
            <w:tcW w:w="2830" w:type="dxa"/>
          </w:tcPr>
          <w:p w14:paraId="74A903FC"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Delios</w:t>
            </w:r>
            <w:proofErr w:type="spellEnd"/>
            <w:r w:rsidRPr="00E1789A">
              <w:rPr>
                <w:rFonts w:ascii="Times New Roman" w:hAnsi="Times New Roman" w:cs="Times New Roman"/>
                <w:sz w:val="16"/>
                <w:szCs w:val="16"/>
              </w:rPr>
              <w:t xml:space="preserve"> &amp; Beamish (1999); Tallman &amp; Li, (1996)</w:t>
            </w:r>
          </w:p>
        </w:tc>
      </w:tr>
      <w:tr w:rsidR="00331AB6" w:rsidRPr="00E1789A" w14:paraId="0F9823E6" w14:textId="77777777" w:rsidTr="00834F5A">
        <w:trPr>
          <w:trHeight w:val="872"/>
        </w:trPr>
        <w:tc>
          <w:tcPr>
            <w:tcW w:w="2386" w:type="dxa"/>
            <w:tcBorders>
              <w:bottom w:val="single" w:sz="4" w:space="0" w:color="auto"/>
            </w:tcBorders>
          </w:tcPr>
          <w:p w14:paraId="21125989" w14:textId="77777777" w:rsidR="00331AB6" w:rsidRPr="00E1789A" w:rsidRDefault="00331AB6" w:rsidP="00834F5A">
            <w:pPr>
              <w:spacing w:line="360" w:lineRule="auto"/>
              <w:jc w:val="both"/>
              <w:rPr>
                <w:rFonts w:ascii="Times New Roman" w:hAnsi="Times New Roman" w:cs="Times New Roman"/>
                <w:iCs/>
                <w:sz w:val="16"/>
                <w:szCs w:val="16"/>
              </w:rPr>
            </w:pPr>
            <w:r w:rsidRPr="00E1789A">
              <w:rPr>
                <w:rFonts w:ascii="Times New Roman" w:hAnsi="Times New Roman" w:cs="Times New Roman"/>
                <w:iCs/>
                <w:sz w:val="16"/>
                <w:szCs w:val="16"/>
              </w:rPr>
              <w:t>Industry and Year dummies</w:t>
            </w:r>
          </w:p>
        </w:tc>
        <w:tc>
          <w:tcPr>
            <w:tcW w:w="4257" w:type="dxa"/>
            <w:tcBorders>
              <w:bottom w:val="single" w:sz="4" w:space="0" w:color="auto"/>
            </w:tcBorders>
          </w:tcPr>
          <w:p w14:paraId="5801A30D" w14:textId="77777777" w:rsidR="00331AB6" w:rsidRPr="00E1789A" w:rsidRDefault="00331AB6" w:rsidP="00834F5A">
            <w:pPr>
              <w:spacing w:line="360" w:lineRule="auto"/>
              <w:jc w:val="both"/>
              <w:rPr>
                <w:rFonts w:ascii="Times New Roman" w:hAnsi="Times New Roman" w:cs="Times New Roman"/>
                <w:sz w:val="16"/>
                <w:szCs w:val="16"/>
              </w:rPr>
            </w:pPr>
            <w:r w:rsidRPr="00E1789A">
              <w:rPr>
                <w:rFonts w:ascii="Times New Roman" w:hAnsi="Times New Roman" w:cs="Times New Roman"/>
                <w:sz w:val="16"/>
                <w:szCs w:val="16"/>
              </w:rPr>
              <w:t xml:space="preserve">Dummy variables for industries using two-digit SIC codes; and dummies for year </w:t>
            </w:r>
          </w:p>
        </w:tc>
        <w:tc>
          <w:tcPr>
            <w:tcW w:w="2830" w:type="dxa"/>
            <w:tcBorders>
              <w:bottom w:val="single" w:sz="4" w:space="0" w:color="auto"/>
            </w:tcBorders>
          </w:tcPr>
          <w:p w14:paraId="51D91219" w14:textId="77777777" w:rsidR="00331AB6" w:rsidRPr="00E1789A" w:rsidRDefault="00331AB6" w:rsidP="00834F5A">
            <w:pPr>
              <w:spacing w:line="360" w:lineRule="auto"/>
              <w:rPr>
                <w:rFonts w:ascii="Times New Roman" w:hAnsi="Times New Roman" w:cs="Times New Roman"/>
                <w:sz w:val="16"/>
                <w:szCs w:val="16"/>
              </w:rPr>
            </w:pPr>
            <w:proofErr w:type="spellStart"/>
            <w:r w:rsidRPr="00E1789A">
              <w:rPr>
                <w:rFonts w:ascii="Times New Roman" w:hAnsi="Times New Roman" w:cs="Times New Roman"/>
                <w:sz w:val="16"/>
                <w:szCs w:val="16"/>
              </w:rPr>
              <w:t>Su</w:t>
            </w:r>
            <w:proofErr w:type="spellEnd"/>
            <w:r w:rsidRPr="00E1789A">
              <w:rPr>
                <w:rFonts w:ascii="Times New Roman" w:hAnsi="Times New Roman" w:cs="Times New Roman"/>
                <w:sz w:val="16"/>
                <w:szCs w:val="16"/>
              </w:rPr>
              <w:t xml:space="preserve"> &amp; Tsang, (2014)</w:t>
            </w:r>
          </w:p>
        </w:tc>
      </w:tr>
    </w:tbl>
    <w:p w14:paraId="5AA5E7B9" w14:textId="77777777" w:rsidR="00331AB6" w:rsidRDefault="00331AB6" w:rsidP="00331AB6">
      <w:pPr>
        <w:rPr>
          <w:rFonts w:ascii="Times New Roman" w:hAnsi="Times New Roman" w:cs="Times New Roman"/>
          <w:b/>
          <w:bCs/>
          <w:sz w:val="24"/>
          <w:szCs w:val="24"/>
        </w:rPr>
        <w:sectPr w:rsidR="00331AB6">
          <w:pgSz w:w="11906" w:h="16838"/>
          <w:pgMar w:top="1440" w:right="1440" w:bottom="1440" w:left="1440" w:header="708" w:footer="708" w:gutter="0"/>
          <w:cols w:space="708"/>
          <w:docGrid w:linePitch="360"/>
        </w:sectPr>
      </w:pPr>
      <w:bookmarkStart w:id="2" w:name="_Hlk86745922"/>
    </w:p>
    <w:p w14:paraId="29B794C0" w14:textId="77777777" w:rsidR="00331AB6" w:rsidRPr="00661B0A" w:rsidRDefault="00331AB6" w:rsidP="00331AB6">
      <w:pPr>
        <w:rPr>
          <w:rFonts w:ascii="Times New Roman" w:hAnsi="Times New Roman" w:cs="Times New Roman"/>
          <w:b/>
          <w:bCs/>
          <w:sz w:val="24"/>
          <w:szCs w:val="24"/>
        </w:rPr>
      </w:pPr>
      <w:r w:rsidRPr="00661B0A">
        <w:rPr>
          <w:rFonts w:ascii="Times New Roman" w:hAnsi="Times New Roman" w:cs="Times New Roman"/>
          <w:b/>
          <w:bCs/>
          <w:sz w:val="24"/>
          <w:szCs w:val="24"/>
        </w:rPr>
        <w:lastRenderedPageBreak/>
        <w:t>A</w:t>
      </w:r>
      <w:r>
        <w:rPr>
          <w:rFonts w:ascii="Times New Roman" w:hAnsi="Times New Roman" w:cs="Times New Roman"/>
          <w:b/>
          <w:bCs/>
          <w:sz w:val="24"/>
          <w:szCs w:val="24"/>
        </w:rPr>
        <w:t>PPENDIX</w:t>
      </w:r>
      <w:r w:rsidRPr="00661B0A">
        <w:rPr>
          <w:rFonts w:ascii="Times New Roman" w:hAnsi="Times New Roman" w:cs="Times New Roman"/>
          <w:b/>
          <w:bCs/>
          <w:sz w:val="24"/>
          <w:szCs w:val="24"/>
        </w:rPr>
        <w:t xml:space="preserve"> IV </w:t>
      </w:r>
    </w:p>
    <w:p w14:paraId="02D25CD9" w14:textId="77777777" w:rsidR="00331AB6" w:rsidRPr="00661B0A" w:rsidRDefault="00331AB6" w:rsidP="00331AB6">
      <w:pPr>
        <w:rPr>
          <w:rFonts w:ascii="Times New Roman" w:hAnsi="Times New Roman" w:cs="Times New Roman"/>
          <w:b/>
          <w:bCs/>
          <w:sz w:val="24"/>
          <w:szCs w:val="24"/>
        </w:rPr>
      </w:pPr>
      <w:r w:rsidRPr="00661B0A">
        <w:rPr>
          <w:rFonts w:ascii="Times New Roman" w:hAnsi="Times New Roman" w:cs="Times New Roman"/>
          <w:b/>
          <w:bCs/>
          <w:sz w:val="24"/>
          <w:szCs w:val="24"/>
        </w:rPr>
        <w:t xml:space="preserve">Results of the Heckman First Stage </w:t>
      </w:r>
      <w:proofErr w:type="spellStart"/>
      <w:r w:rsidRPr="00661B0A">
        <w:rPr>
          <w:rFonts w:ascii="Times New Roman" w:hAnsi="Times New Roman" w:cs="Times New Roman"/>
          <w:b/>
          <w:bCs/>
          <w:sz w:val="24"/>
          <w:szCs w:val="24"/>
        </w:rPr>
        <w:t>Probit</w:t>
      </w:r>
      <w:proofErr w:type="spellEnd"/>
      <w:r w:rsidRPr="00661B0A">
        <w:rPr>
          <w:rFonts w:ascii="Times New Roman" w:hAnsi="Times New Roman" w:cs="Times New Roman"/>
          <w:b/>
          <w:bCs/>
          <w:sz w:val="24"/>
          <w:szCs w:val="24"/>
        </w:rPr>
        <w:t xml:space="preserve"> Panel Models</w:t>
      </w:r>
    </w:p>
    <w:p w14:paraId="5B40B52A" w14:textId="77777777" w:rsidR="00331AB6" w:rsidRPr="00661B0A" w:rsidRDefault="00331AB6" w:rsidP="00331AB6">
      <w:pPr>
        <w:widowControl w:val="0"/>
        <w:spacing w:after="0" w:line="480" w:lineRule="auto"/>
        <w:rPr>
          <w:rFonts w:ascii="Times New Roman" w:hAnsi="Times New Roman" w:cs="Times New Roman"/>
          <w:b/>
          <w:bCs/>
          <w:sz w:val="24"/>
          <w:szCs w:val="24"/>
        </w:rPr>
      </w:pPr>
      <w:r w:rsidRPr="00661B0A">
        <w:rPr>
          <w:rFonts w:ascii="Times New Roman" w:hAnsi="Times New Roman" w:cs="Times New Roman"/>
          <w:bCs/>
          <w:sz w:val="24"/>
          <w:szCs w:val="24"/>
        </w:rPr>
        <w:t xml:space="preserve">For the first stage </w:t>
      </w:r>
      <w:proofErr w:type="spellStart"/>
      <w:r w:rsidRPr="00661B0A">
        <w:rPr>
          <w:rFonts w:ascii="Times New Roman" w:hAnsi="Times New Roman" w:cs="Times New Roman"/>
          <w:bCs/>
          <w:sz w:val="24"/>
          <w:szCs w:val="24"/>
        </w:rPr>
        <w:t>probit</w:t>
      </w:r>
      <w:proofErr w:type="spellEnd"/>
      <w:r w:rsidRPr="00661B0A">
        <w:rPr>
          <w:rFonts w:ascii="Times New Roman" w:hAnsi="Times New Roman" w:cs="Times New Roman"/>
          <w:bCs/>
          <w:sz w:val="24"/>
          <w:szCs w:val="24"/>
        </w:rPr>
        <w:t xml:space="preserve"> model, we created two separate binary dependent variables for product and international diversification decisions and regressed them on predictor variables in two separate models. Common regressors for both the models were firm size, firm age, leverage, operating margin (measured as the ratio of </w:t>
      </w:r>
      <w:r w:rsidRPr="00661B0A">
        <w:rPr>
          <w:rFonts w:ascii="Times New Roman" w:hAnsi="Times New Roman" w:cs="Times New Roman"/>
          <w:bCs/>
          <w:i/>
          <w:iCs/>
          <w:sz w:val="24"/>
          <w:szCs w:val="24"/>
        </w:rPr>
        <w:t>profit before interest and tax</w:t>
      </w:r>
      <w:r w:rsidRPr="00661B0A">
        <w:rPr>
          <w:rFonts w:ascii="Times New Roman" w:hAnsi="Times New Roman" w:cs="Times New Roman"/>
          <w:bCs/>
          <w:sz w:val="24"/>
          <w:szCs w:val="24"/>
        </w:rPr>
        <w:t xml:space="preserve"> to </w:t>
      </w:r>
      <w:r w:rsidRPr="00661B0A">
        <w:rPr>
          <w:rFonts w:ascii="Times New Roman" w:hAnsi="Times New Roman" w:cs="Times New Roman"/>
          <w:bCs/>
          <w:i/>
          <w:iCs/>
          <w:sz w:val="24"/>
          <w:szCs w:val="24"/>
        </w:rPr>
        <w:t>sales</w:t>
      </w:r>
      <w:r w:rsidRPr="00661B0A">
        <w:rPr>
          <w:rFonts w:ascii="Times New Roman" w:hAnsi="Times New Roman" w:cs="Times New Roman"/>
          <w:bCs/>
          <w:sz w:val="24"/>
          <w:szCs w:val="24"/>
        </w:rPr>
        <w:t xml:space="preserve">), and ROA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{"citationID":"RIVxGskD","properties":{"formattedCitation":"(Dastidar, 2009; Zahavi &amp; Lavie, 2013)","plainCitation":"(Dastidar, 2009; Zahavi &amp; Lavie, 2013)","noteIndex":0},"citationItems":[{"id":2304,"uris":["http://zotero.org/users/2437094/items/4NJRSJKI"],"itemData":{"id":2304,"type":"article-journal","abstract":"This paper presents new evidence on US multinational firms and shows that the decision to diversify internationally is endogenous, and depends on firm, industry, and home-country characteristics. US multinational firms are a self-selected sample, and firms that are more likely to diversify internationally have lower firm values. Contrary to the global diversification discount literature, multinational firms are valued at a premium after controlling for the endogeneity of the global diversification (foreign direct investment-FDI) decision. These results parallel the industrial diversification literature and underline the importance of controlling for endogeneity when examining the impact of international diversification on firm value.","container-title":"Journal of International Business Studies","ISSN":"0047-2506","issue":"1","journalAbbreviation":"Journal of International Business Studies","page":"71-85","source":"JSTOR","title":"International corporate diversification and performance: Does firm self-selection matter?","title-short":"International Corporate Diversification and Performance","volume":"40","author":[{"family":"Dastidar","given":"Protiti"}],"issued":{"date-parts":[["2009",1,1]]}}},{"id":901,"uris":["http://zotero.org/users/2437094/items/UPUSQXAG"],"itemData":{"id":901,"type":"article-journal","abstract":"We study how intra-industry product diversity affects firm performance by analyzing the implications of expanding a firm's product line within its core business. We conjecture that increases in product diversity initially undermine performance because of negative transfer effects but then improve it due to economies of scope. We further theorize that this U-shaped effect of product diversity becomes more pronounced as the firm increases the intensity of its technology investment, yet is likely to be attenuated by the firm's accumulated experience with intra-industry diversification. Data on 156 U.S.-based software firms operating from 1990 to 2001 furnish support for these conjectures. Our study advances emerging research on intra-industry diversification by underscoring some of its contingent performance effects. Copyright © 2013 John Wiley &amp; Sons, Ltd.","container-title":"Strategic Management Journal","DOI":"10.1002/smj.2057","ISSN":"1097-0266","issue":"8","journalAbbreviation":"Strat. Mgmt. J.","language":"en","page":"978-998","source":"Wiley Online Library","title":"Intra-industry diversification and firm performance","volume":"34","author":[{"family":"Zahavi","given":"Talli"},{"family":"Lavie","given":"Dovev"}],"issued":{"date-parts":[["2013",8,1]]}}}],"schema":"https://github.com/citation-style-language/schema/raw/master/csl-citation.json"}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w:t>
      </w:r>
      <w:proofErr w:type="spellStart"/>
      <w:r w:rsidRPr="00661B0A">
        <w:rPr>
          <w:rFonts w:ascii="Times New Roman" w:hAnsi="Times New Roman" w:cs="Times New Roman"/>
          <w:sz w:val="24"/>
          <w:szCs w:val="24"/>
        </w:rPr>
        <w:t>Dastidar</w:t>
      </w:r>
      <w:proofErr w:type="spellEnd"/>
      <w:r w:rsidRPr="00661B0A">
        <w:rPr>
          <w:rFonts w:ascii="Times New Roman" w:hAnsi="Times New Roman" w:cs="Times New Roman"/>
          <w:sz w:val="24"/>
          <w:szCs w:val="24"/>
        </w:rPr>
        <w:t xml:space="preserve">, 2009; </w:t>
      </w:r>
      <w:proofErr w:type="spellStart"/>
      <w:r w:rsidRPr="00661B0A">
        <w:rPr>
          <w:rFonts w:ascii="Times New Roman" w:hAnsi="Times New Roman" w:cs="Times New Roman"/>
          <w:sz w:val="24"/>
          <w:szCs w:val="24"/>
        </w:rPr>
        <w:t>Zahavi</w:t>
      </w:r>
      <w:proofErr w:type="spellEnd"/>
      <w:r w:rsidRPr="00661B0A">
        <w:rPr>
          <w:rFonts w:ascii="Times New Roman" w:hAnsi="Times New Roman" w:cs="Times New Roman"/>
          <w:sz w:val="24"/>
          <w:szCs w:val="24"/>
        </w:rPr>
        <w:t xml:space="preserve"> &amp; </w:t>
      </w:r>
      <w:proofErr w:type="spellStart"/>
      <w:r w:rsidRPr="00661B0A">
        <w:rPr>
          <w:rFonts w:ascii="Times New Roman" w:hAnsi="Times New Roman" w:cs="Times New Roman"/>
          <w:sz w:val="24"/>
          <w:szCs w:val="24"/>
        </w:rPr>
        <w:t>Lavie</w:t>
      </w:r>
      <w:proofErr w:type="spellEnd"/>
      <w:r w:rsidRPr="00661B0A">
        <w:rPr>
          <w:rFonts w:ascii="Times New Roman" w:hAnsi="Times New Roman" w:cs="Times New Roman"/>
          <w:sz w:val="24"/>
          <w:szCs w:val="24"/>
        </w:rPr>
        <w:t>, 2013)</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xml:space="preserve">, which can affect a firm’s diversification decisions in the product or international domain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{"citationID":"4GhL9eAJ","properties":{"formattedCitation":"(Ahuja &amp; Novelli, 2017; Dastidar, 2009; Hitt et al., 2006; Zahavi &amp; Lavie, 2013)","plainCitation":"(Ahuja &amp; Novelli, 2017; Dastidar, 2009; Hitt et al., 2006; Zahavi &amp; Lavie, 2013)","noteIndex":0},"citationItems":[{"id":3319,"uris":["http://zotero.org/users/2437094/items/G6VVB9YD"],"itemData":{"id":3319,"type":"article-journal","container-title":"Academy of Management Annals","issue":"1","page":"342–390","source":"Google Scholar","title":"Redirecting research efforts on the diversification–performance linkage: The search for synergy","title-short":"Redirecting research efforts on the diversification–performance linkage","volume":"11","author":[{"family":"Ahuja","given":"Gautam"},{"family":"Novelli","given":"Elena"}],"issued":{"date-parts":[["2017"]]}}},{"id":2304,"uris":["http://zotero.org/users/2437094/items/4NJRSJKI"],"itemData":{"id":2304,"type":"article-journal","abstract":"This paper presents new evidence on US multinational firms and shows that the decision to diversify internationally is endogenous, and depends on firm, industry, and home-country characteristics. US multinational firms are a self-selected sample, and firms that are more likely to diversify internationally have lower firm values. Contrary to the global diversification discount literature, multinational firms are valued at a premium after controlling for the endogeneity of the global diversification (foreign direct investment-FDI) decision. These results parallel the industrial diversification literature and underline the importance of controlling for endogeneity when examining the impact of international diversification on firm value.","container-title":"Journal of International Business Studies","ISSN":"0047-2506","issue":"1","journalAbbreviation":"Journal of International Business Studies","page":"71-85","source":"JSTOR","title":"International corporate diversification and performance: Does firm self-selection matter?","title-short":"International Corporate Diversification and Performance","volume":"40","author":[{"family":"Dastidar","given":"Protiti"}],"issued":{"date-parts":[["2009",1,1]]}}},{"id":8669,"uris":["http://zotero.org/users/2437094/items/9DYGDGEU"],"itemData":{"id":8669,"type":"article-journal","container-title":"Journal of management","issue":"6","note":"publisher: Sage Publications Sage CA: Thousand Oaks, CA","page":"831–867","source":"Google Scholar","title":"International diversification: Antecedents, outcomes, and moderators","title-short":"International diversification","volume":"32","author":[{"family":"Hitt","given":"Michael A."},{"family":"Tihanyi","given":"Laszlo"},{"family":"Miller","given":"Toyah"},{"family":"Connelly","given":"Brian"}],"issued":{"date-parts":[["2006"]]}}},{"id":901,"uris":["http://zotero.org/users/2437094/items/UPUSQXAG"],"itemData":{"id":901,"type":"article-journal","abstract":"We study how intra-industry product diversity affects firm performance by analyzing the implications of expanding a firm's product line within its core business. We conjecture that increases in product diversity initially undermine performance because of negative transfer effects but then improve it due to economies of scope. We further theorize that this U-shaped effect of product diversity becomes more pronounced as the firm increases the intensity of its technology investment, yet is likely to be attenuated by the firm's accumulated experience with intra-industry diversification. Data on 156 U.S.-based software firms operating from 1990 to 2001 furnish support for these conjectures. Our study advances emerging research on intra-industry diversification by underscoring some of its contingent performance effects. Copyright © 2013 John Wiley &amp; Sons, Ltd.","container-title":"Strategic Management Journal","DOI":"10.1002/smj.2057","ISSN":"1097-0266","issue":"8","journalAbbreviation":"Strat. Mgmt. J.","language":"en","page":"978-998","source":"Wiley Online Library","title":"Intra-industry diversification and firm performance","volume":"34","author":[{"family":"Zahavi","given":"Talli"},{"family":"Lavie","given":"Dovev"}],"issued":{"date-parts":[["2013",8,1]]}}}],"schema":"https://github.com/citation-style-language/schema/raw/master/csl-citation.json"}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 xml:space="preserve">(Ahuja &amp; </w:t>
      </w:r>
      <w:proofErr w:type="spellStart"/>
      <w:r w:rsidRPr="00661B0A">
        <w:rPr>
          <w:rFonts w:ascii="Times New Roman" w:hAnsi="Times New Roman" w:cs="Times New Roman"/>
          <w:sz w:val="24"/>
          <w:szCs w:val="24"/>
        </w:rPr>
        <w:t>Novelli</w:t>
      </w:r>
      <w:proofErr w:type="spellEnd"/>
      <w:r w:rsidRPr="00661B0A">
        <w:rPr>
          <w:rFonts w:ascii="Times New Roman" w:hAnsi="Times New Roman" w:cs="Times New Roman"/>
          <w:sz w:val="24"/>
          <w:szCs w:val="24"/>
        </w:rPr>
        <w:t xml:space="preserve">, 2017; </w:t>
      </w:r>
      <w:proofErr w:type="spellStart"/>
      <w:r w:rsidRPr="00661B0A">
        <w:rPr>
          <w:rFonts w:ascii="Times New Roman" w:hAnsi="Times New Roman" w:cs="Times New Roman"/>
          <w:sz w:val="24"/>
          <w:szCs w:val="24"/>
        </w:rPr>
        <w:t>Dastidar</w:t>
      </w:r>
      <w:proofErr w:type="spellEnd"/>
      <w:r w:rsidRPr="00661B0A">
        <w:rPr>
          <w:rFonts w:ascii="Times New Roman" w:hAnsi="Times New Roman" w:cs="Times New Roman"/>
          <w:sz w:val="24"/>
          <w:szCs w:val="24"/>
        </w:rPr>
        <w:t xml:space="preserve">, 2009; </w:t>
      </w:r>
      <w:proofErr w:type="spellStart"/>
      <w:r w:rsidRPr="00661B0A">
        <w:rPr>
          <w:rFonts w:ascii="Times New Roman" w:hAnsi="Times New Roman" w:cs="Times New Roman"/>
          <w:sz w:val="24"/>
          <w:szCs w:val="24"/>
        </w:rPr>
        <w:t>Hitt</w:t>
      </w:r>
      <w:proofErr w:type="spellEnd"/>
      <w:r w:rsidRPr="00661B0A">
        <w:rPr>
          <w:rFonts w:ascii="Times New Roman" w:hAnsi="Times New Roman" w:cs="Times New Roman"/>
          <w:sz w:val="24"/>
          <w:szCs w:val="24"/>
        </w:rPr>
        <w:t xml:space="preserve"> et al., 2006; </w:t>
      </w:r>
      <w:proofErr w:type="spellStart"/>
      <w:r w:rsidRPr="00661B0A">
        <w:rPr>
          <w:rFonts w:ascii="Times New Roman" w:hAnsi="Times New Roman" w:cs="Times New Roman"/>
          <w:sz w:val="24"/>
          <w:szCs w:val="24"/>
        </w:rPr>
        <w:t>Zahavi</w:t>
      </w:r>
      <w:proofErr w:type="spellEnd"/>
      <w:r w:rsidRPr="00661B0A">
        <w:rPr>
          <w:rFonts w:ascii="Times New Roman" w:hAnsi="Times New Roman" w:cs="Times New Roman"/>
          <w:sz w:val="24"/>
          <w:szCs w:val="24"/>
        </w:rPr>
        <w:t xml:space="preserve"> &amp; </w:t>
      </w:r>
      <w:proofErr w:type="spellStart"/>
      <w:r w:rsidRPr="00661B0A">
        <w:rPr>
          <w:rFonts w:ascii="Times New Roman" w:hAnsi="Times New Roman" w:cs="Times New Roman"/>
          <w:sz w:val="24"/>
          <w:szCs w:val="24"/>
        </w:rPr>
        <w:t>Lavie</w:t>
      </w:r>
      <w:proofErr w:type="spellEnd"/>
      <w:r w:rsidRPr="00661B0A">
        <w:rPr>
          <w:rFonts w:ascii="Times New Roman" w:hAnsi="Times New Roman" w:cs="Times New Roman"/>
          <w:sz w:val="24"/>
          <w:szCs w:val="24"/>
        </w:rPr>
        <w:t>, 2013)</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xml:space="preserve">. Additionally, we included two separate regressors for the product and international diversification models respectively: PDIVPCT (fraction of all firms in an industry (four-digit SIC) that were diversified in product market); IDIVPCT (fraction of all firms in an industry (four-digit SIC) that were diversified in international market)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{"citationID":"PXP9rT1W","properties":{"formattedCitation":"(Dastidar, 2009)","plainCitation":"(Dastidar, 2009)","noteIndex":0},"citationItems":[{"id":2304,"uris":["http://zotero.org/users/2437094/items/4NJRSJKI"],"itemData":{"id":2304,"type":"article-journal","abstract":"This paper presents new evidence on US multinational firms and shows that the decision to diversify internationally is endogenous, and depends on firm, industry, and home-country characteristics. US multinational firms are a self-selected sample, and firms that are more likely to diversify internationally have lower firm values. Contrary to the global diversification discount literature, multinational firms are valued at a premium after controlling for the endogeneity of the global diversification (foreign direct investment-FDI) decision. These results parallel the industrial diversification literature and underline the importance of controlling for endogeneity when examining the impact of international diversification on firm value.","container-title":"Journal of International Business Studies","ISSN":"0047-2506","issue":"1","journalAbbreviation":"Journal of International Business Studies","page":"71-85","source":"JSTOR","title":"International corporate diversification and performance: Does firm self-selection matter?","title-short":"International Corporate Diversification and Performance","volume":"40","author":[{"family":"Dastidar","given":"Protiti"}],"issued":{"date-parts":[["2009",1,1]]}}}],"schema":"https://github.com/citation-style-language/schema/raw/master/csl-citation.json"}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w:t>
      </w:r>
      <w:proofErr w:type="spellStart"/>
      <w:r w:rsidRPr="00661B0A">
        <w:rPr>
          <w:rFonts w:ascii="Times New Roman" w:hAnsi="Times New Roman" w:cs="Times New Roman"/>
          <w:sz w:val="24"/>
          <w:szCs w:val="24"/>
        </w:rPr>
        <w:t>Dastidar</w:t>
      </w:r>
      <w:proofErr w:type="spellEnd"/>
      <w:r w:rsidRPr="00661B0A">
        <w:rPr>
          <w:rFonts w:ascii="Times New Roman" w:hAnsi="Times New Roman" w:cs="Times New Roman"/>
          <w:sz w:val="24"/>
          <w:szCs w:val="24"/>
        </w:rPr>
        <w:t>, 2009)</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xml:space="preserve">. These two variables indicate industry pressure to diversify and can affect a firm’s diversification decision but are less likely to be related with the firm performance; and thus serve as exclusion restrictions for the Heckman models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{"citationID":"Sx5r12DZ","properties":{"formattedCitation":"(Certo et al., 2016; Dastidar, 2009)","plainCitation":"(Certo et al., 2016; Dastidar, 2009)","dontUpdate":true,"noteIndex":0},"citationItems":[{"id":3201,"uris":["http://zotero.org/users/2437094/items/LXRVYXLR"],"itemData":{"id":3201,"type":"article-journal","container-title":"Strategic Management Journal","DOI":"10.1002/smj.2475","ISSN":"1097-0266","issue":"13","language":"en","page":"2639-2657","source":"onlinelibrary.wiley.com","title":"Sample selection bias and Heckman models in strategic management research","volume":"37","author":[{"family":"Certo","given":"S. Trevis"},{"family":"Busenbark","given":"John R."},{"family":"Woo","given":"Hyun-soo"},{"family":"Semadeni","given":"Matthew"}],"issued":{"date-parts":[["2016",12,1]]}}},{"id":2304,"uris":["http://zotero.org/users/2437094/items/4NJRSJKI"],"itemData":{"id":2304,"type":"article-journal","abstract":"This paper presents new evidence on US multinational firms and shows that the decision to diversify internationally is endogenous, and depends on firm, industry, and home-country characteristics. US multinational firms are a self-selected sample, and firms that are more likely to diversify internationally have lower firm values. Contrary to the global diversification discount literature, multinational firms are valued at a premium after controlling for the endogeneity of the global diversification (foreign direct investment-FDI) decision. These results parallel the industrial diversification literature and underline the importance of controlling for endogeneity when examining the impact of international diversification on firm value.","container-title":"Journal of International Business Studies","ISSN":"0047-2506","issue":"1","journalAbbreviation":"Journal of International Business Studies","page":"71-85","source":"JSTOR","title":"International corporate diversification and performance: Does firm self-selection matter?","title-short":"International Corporate Diversification and Performance","volume":"40","author":[{"family":"Dastidar","given":"Protiti"}],"issued":{"date-parts":[["2009",1,1]]}}}],"schema":"https://github.com/citation-style-language/schema/raw/master/csl-citation.json"}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w:t>
      </w:r>
      <w:proofErr w:type="spellStart"/>
      <w:r w:rsidRPr="00661B0A">
        <w:rPr>
          <w:rFonts w:ascii="Times New Roman" w:hAnsi="Times New Roman" w:cs="Times New Roman"/>
          <w:sz w:val="24"/>
          <w:szCs w:val="24"/>
        </w:rPr>
        <w:t>Dastidar</w:t>
      </w:r>
      <w:proofErr w:type="spellEnd"/>
      <w:r w:rsidRPr="00661B0A">
        <w:rPr>
          <w:rFonts w:ascii="Times New Roman" w:hAnsi="Times New Roman" w:cs="Times New Roman"/>
          <w:sz w:val="24"/>
          <w:szCs w:val="24"/>
        </w:rPr>
        <w:t>, 2009)</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All the regressors were lagged by a year with respect to the dependent variables in the respective models.</w:t>
      </w:r>
    </w:p>
    <w:tbl>
      <w:tblPr>
        <w:tblpPr w:leftFromText="180" w:rightFromText="180" w:vertAnchor="page" w:horzAnchor="margin" w:tblpY="5831"/>
        <w:tblW w:w="9322" w:type="dxa"/>
        <w:tblLayout w:type="fixed"/>
        <w:tblLook w:val="0000" w:firstRow="0" w:lastRow="0" w:firstColumn="0" w:lastColumn="0" w:noHBand="0" w:noVBand="0"/>
      </w:tblPr>
      <w:tblGrid>
        <w:gridCol w:w="3369"/>
        <w:gridCol w:w="3118"/>
        <w:gridCol w:w="2835"/>
      </w:tblGrid>
      <w:tr w:rsidR="00331AB6" w:rsidRPr="00E1789A" w14:paraId="42B80A4E" w14:textId="77777777" w:rsidTr="00834F5A">
        <w:tc>
          <w:tcPr>
            <w:tcW w:w="9322" w:type="dxa"/>
            <w:gridSpan w:val="3"/>
            <w:tcBorders>
              <w:bottom w:val="single" w:sz="4" w:space="0" w:color="auto"/>
            </w:tcBorders>
          </w:tcPr>
          <w:p w14:paraId="5C72FF4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bookmarkStart w:id="3" w:name="_Hlk86745928"/>
            <w:r w:rsidRPr="00E1789A">
              <w:rPr>
                <w:rFonts w:ascii="Times New Roman" w:hAnsi="Times New Roman" w:cs="Times New Roman"/>
                <w:sz w:val="20"/>
                <w:szCs w:val="20"/>
                <w:lang w:val="en-US"/>
              </w:rPr>
              <w:lastRenderedPageBreak/>
              <w:t xml:space="preserve">Table B1. Heckman </w:t>
            </w:r>
            <w:r>
              <w:rPr>
                <w:rFonts w:ascii="Times New Roman" w:hAnsi="Times New Roman" w:cs="Times New Roman"/>
                <w:sz w:val="20"/>
                <w:szCs w:val="20"/>
                <w:lang w:val="en-US"/>
              </w:rPr>
              <w:t>f</w:t>
            </w:r>
            <w:r w:rsidRPr="00E1789A">
              <w:rPr>
                <w:rFonts w:ascii="Times New Roman" w:hAnsi="Times New Roman" w:cs="Times New Roman"/>
                <w:sz w:val="20"/>
                <w:szCs w:val="20"/>
                <w:lang w:val="en-US"/>
              </w:rPr>
              <w:t xml:space="preserve">irst stage </w:t>
            </w:r>
            <w:proofErr w:type="spellStart"/>
            <w:r w:rsidRPr="00E1789A">
              <w:rPr>
                <w:rFonts w:ascii="Times New Roman" w:hAnsi="Times New Roman" w:cs="Times New Roman"/>
                <w:sz w:val="20"/>
                <w:szCs w:val="20"/>
                <w:lang w:val="en-US"/>
              </w:rPr>
              <w:t>probit</w:t>
            </w:r>
            <w:proofErr w:type="spellEnd"/>
            <w:r w:rsidRPr="00E1789A">
              <w:rPr>
                <w:rFonts w:ascii="Times New Roman" w:hAnsi="Times New Roman" w:cs="Times New Roman"/>
                <w:sz w:val="20"/>
                <w:szCs w:val="20"/>
                <w:lang w:val="en-US"/>
              </w:rPr>
              <w:t xml:space="preserve"> panel model for product and international diversification</w:t>
            </w:r>
            <w:bookmarkEnd w:id="3"/>
          </w:p>
        </w:tc>
      </w:tr>
      <w:tr w:rsidR="00331AB6" w:rsidRPr="00E1789A" w14:paraId="0BCD6D00" w14:textId="77777777" w:rsidTr="00834F5A">
        <w:tc>
          <w:tcPr>
            <w:tcW w:w="3369" w:type="dxa"/>
            <w:tcBorders>
              <w:top w:val="single" w:sz="4" w:space="0" w:color="auto"/>
            </w:tcBorders>
          </w:tcPr>
          <w:p w14:paraId="29701F1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Borders>
              <w:top w:val="single" w:sz="4" w:space="0" w:color="auto"/>
              <w:bottom w:val="single" w:sz="4" w:space="0" w:color="auto"/>
            </w:tcBorders>
          </w:tcPr>
          <w:p w14:paraId="4D6482A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1789A">
              <w:rPr>
                <w:rFonts w:ascii="Times New Roman" w:hAnsi="Times New Roman" w:cs="Times New Roman"/>
                <w:sz w:val="20"/>
                <w:szCs w:val="20"/>
                <w:lang w:val="en-US"/>
              </w:rPr>
              <w:t>Probability of product diversification</w:t>
            </w:r>
          </w:p>
        </w:tc>
        <w:tc>
          <w:tcPr>
            <w:tcW w:w="2835" w:type="dxa"/>
            <w:tcBorders>
              <w:top w:val="single" w:sz="4" w:space="0" w:color="auto"/>
              <w:bottom w:val="single" w:sz="4" w:space="0" w:color="auto"/>
            </w:tcBorders>
          </w:tcPr>
          <w:p w14:paraId="23F5125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20"/>
                <w:szCs w:val="20"/>
                <w:lang w:val="en-US"/>
              </w:rPr>
            </w:pPr>
            <w:r w:rsidRPr="00E1789A">
              <w:rPr>
                <w:rFonts w:ascii="Times New Roman" w:hAnsi="Times New Roman" w:cs="Times New Roman"/>
                <w:sz w:val="20"/>
                <w:szCs w:val="20"/>
                <w:lang w:val="en-US"/>
              </w:rPr>
              <w:t>Probability of international diversification</w:t>
            </w:r>
          </w:p>
        </w:tc>
      </w:tr>
      <w:tr w:rsidR="00331AB6" w:rsidRPr="00E1789A" w14:paraId="598E7A8E" w14:textId="77777777" w:rsidTr="00834F5A">
        <w:tc>
          <w:tcPr>
            <w:tcW w:w="3369" w:type="dxa"/>
            <w:tcBorders>
              <w:top w:val="single" w:sz="4" w:space="0" w:color="auto"/>
            </w:tcBorders>
          </w:tcPr>
          <w:p w14:paraId="62DB40D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Firm size</w:t>
            </w:r>
            <w:r w:rsidRPr="00E1789A">
              <w:rPr>
                <w:rFonts w:ascii="Times New Roman" w:hAnsi="Times New Roman" w:cs="Times New Roman"/>
                <w:sz w:val="20"/>
                <w:szCs w:val="20"/>
                <w:vertAlign w:val="subscript"/>
                <w:lang w:val="en-US"/>
              </w:rPr>
              <w:t>t-1</w:t>
            </w:r>
          </w:p>
        </w:tc>
        <w:tc>
          <w:tcPr>
            <w:tcW w:w="3118" w:type="dxa"/>
            <w:tcBorders>
              <w:top w:val="single" w:sz="4" w:space="0" w:color="auto"/>
            </w:tcBorders>
          </w:tcPr>
          <w:p w14:paraId="10542A0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1.480</w:t>
            </w:r>
            <w:r w:rsidRPr="00E1789A">
              <w:rPr>
                <w:rFonts w:ascii="Times New Roman" w:hAnsi="Times New Roman" w:cs="Times New Roman"/>
                <w:sz w:val="20"/>
                <w:szCs w:val="20"/>
                <w:vertAlign w:val="superscript"/>
                <w:lang w:val="en-US"/>
              </w:rPr>
              <w:t>***</w:t>
            </w:r>
          </w:p>
        </w:tc>
        <w:tc>
          <w:tcPr>
            <w:tcW w:w="2835" w:type="dxa"/>
            <w:tcBorders>
              <w:top w:val="single" w:sz="4" w:space="0" w:color="auto"/>
            </w:tcBorders>
          </w:tcPr>
          <w:p w14:paraId="07DD8D9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2.591</w:t>
            </w:r>
            <w:r w:rsidRPr="00E1789A">
              <w:rPr>
                <w:rFonts w:ascii="Times New Roman" w:hAnsi="Times New Roman" w:cs="Times New Roman"/>
                <w:sz w:val="20"/>
                <w:szCs w:val="20"/>
                <w:vertAlign w:val="superscript"/>
                <w:lang w:val="en-US"/>
              </w:rPr>
              <w:t>***</w:t>
            </w:r>
          </w:p>
        </w:tc>
      </w:tr>
      <w:tr w:rsidR="00331AB6" w:rsidRPr="00E1789A" w14:paraId="77096654" w14:textId="77777777" w:rsidTr="00834F5A">
        <w:tc>
          <w:tcPr>
            <w:tcW w:w="3369" w:type="dxa"/>
          </w:tcPr>
          <w:p w14:paraId="4A006E1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Pr>
          <w:p w14:paraId="0D8CD77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(0.177)</w:t>
            </w:r>
          </w:p>
        </w:tc>
        <w:tc>
          <w:tcPr>
            <w:tcW w:w="2835" w:type="dxa"/>
          </w:tcPr>
          <w:p w14:paraId="6F32483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(0.250)</w:t>
            </w:r>
          </w:p>
        </w:tc>
      </w:tr>
      <w:tr w:rsidR="00331AB6" w:rsidRPr="00E1789A" w14:paraId="5B520CE6" w14:textId="77777777" w:rsidTr="00834F5A">
        <w:tc>
          <w:tcPr>
            <w:tcW w:w="3369" w:type="dxa"/>
          </w:tcPr>
          <w:p w14:paraId="3EA7AA9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Firm age</w:t>
            </w:r>
            <w:r w:rsidRPr="00E1789A">
              <w:rPr>
                <w:rFonts w:ascii="Times New Roman" w:hAnsi="Times New Roman" w:cs="Times New Roman"/>
                <w:sz w:val="20"/>
                <w:szCs w:val="20"/>
                <w:vertAlign w:val="subscript"/>
                <w:lang w:val="en-US"/>
              </w:rPr>
              <w:t>t-1</w:t>
            </w:r>
          </w:p>
        </w:tc>
        <w:tc>
          <w:tcPr>
            <w:tcW w:w="3118" w:type="dxa"/>
          </w:tcPr>
          <w:p w14:paraId="41472E8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2.586</w:t>
            </w:r>
            <w:r w:rsidRPr="00E1789A">
              <w:rPr>
                <w:rFonts w:ascii="Times New Roman" w:hAnsi="Times New Roman" w:cs="Times New Roman"/>
                <w:sz w:val="20"/>
                <w:szCs w:val="20"/>
                <w:vertAlign w:val="superscript"/>
                <w:lang w:val="en-US"/>
              </w:rPr>
              <w:t>***</w:t>
            </w:r>
          </w:p>
        </w:tc>
        <w:tc>
          <w:tcPr>
            <w:tcW w:w="2835" w:type="dxa"/>
          </w:tcPr>
          <w:p w14:paraId="62CFDCA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0.495</w:t>
            </w:r>
          </w:p>
        </w:tc>
      </w:tr>
      <w:tr w:rsidR="00331AB6" w:rsidRPr="00E1789A" w14:paraId="6763C886" w14:textId="77777777" w:rsidTr="00834F5A">
        <w:tc>
          <w:tcPr>
            <w:tcW w:w="3369" w:type="dxa"/>
          </w:tcPr>
          <w:p w14:paraId="75C5BFE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Pr>
          <w:p w14:paraId="3E5FCD6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(0.696)</w:t>
            </w:r>
          </w:p>
        </w:tc>
        <w:tc>
          <w:tcPr>
            <w:tcW w:w="2835" w:type="dxa"/>
          </w:tcPr>
          <w:p w14:paraId="7C586D3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(0.929)</w:t>
            </w:r>
          </w:p>
        </w:tc>
      </w:tr>
      <w:tr w:rsidR="00331AB6" w:rsidRPr="00E1789A" w14:paraId="17B56C6C" w14:textId="77777777" w:rsidTr="00834F5A">
        <w:tc>
          <w:tcPr>
            <w:tcW w:w="3369" w:type="dxa"/>
          </w:tcPr>
          <w:p w14:paraId="7A10B72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Leverage</w:t>
            </w:r>
            <w:r w:rsidRPr="00E1789A">
              <w:rPr>
                <w:rFonts w:ascii="Times New Roman" w:hAnsi="Times New Roman" w:cs="Times New Roman"/>
                <w:sz w:val="20"/>
                <w:szCs w:val="20"/>
                <w:vertAlign w:val="subscript"/>
                <w:lang w:val="en-US"/>
              </w:rPr>
              <w:t>t-1</w:t>
            </w:r>
          </w:p>
        </w:tc>
        <w:tc>
          <w:tcPr>
            <w:tcW w:w="3118" w:type="dxa"/>
          </w:tcPr>
          <w:p w14:paraId="6E50859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0.017</w:t>
            </w:r>
          </w:p>
        </w:tc>
        <w:tc>
          <w:tcPr>
            <w:tcW w:w="2835" w:type="dxa"/>
          </w:tcPr>
          <w:p w14:paraId="222244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0.004</w:t>
            </w:r>
          </w:p>
        </w:tc>
      </w:tr>
      <w:tr w:rsidR="00331AB6" w:rsidRPr="00E1789A" w14:paraId="795F70F8" w14:textId="77777777" w:rsidTr="00834F5A">
        <w:tc>
          <w:tcPr>
            <w:tcW w:w="3369" w:type="dxa"/>
          </w:tcPr>
          <w:p w14:paraId="260D34D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Pr>
          <w:p w14:paraId="63AFF7A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(0.018)</w:t>
            </w:r>
          </w:p>
        </w:tc>
        <w:tc>
          <w:tcPr>
            <w:tcW w:w="2835" w:type="dxa"/>
          </w:tcPr>
          <w:p w14:paraId="70BC0D8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(0.017)</w:t>
            </w:r>
          </w:p>
        </w:tc>
      </w:tr>
      <w:tr w:rsidR="00331AB6" w:rsidRPr="00E1789A" w14:paraId="7720DABE" w14:textId="77777777" w:rsidTr="00834F5A">
        <w:tc>
          <w:tcPr>
            <w:tcW w:w="3369" w:type="dxa"/>
          </w:tcPr>
          <w:p w14:paraId="5D7DC93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Operating margin</w:t>
            </w:r>
            <w:r w:rsidRPr="00E1789A">
              <w:rPr>
                <w:rFonts w:ascii="Times New Roman" w:hAnsi="Times New Roman" w:cs="Times New Roman"/>
                <w:sz w:val="20"/>
                <w:szCs w:val="20"/>
                <w:vertAlign w:val="subscript"/>
                <w:lang w:val="en-US"/>
              </w:rPr>
              <w:t>t-1</w:t>
            </w:r>
          </w:p>
        </w:tc>
        <w:tc>
          <w:tcPr>
            <w:tcW w:w="3118" w:type="dxa"/>
          </w:tcPr>
          <w:p w14:paraId="3D9D04D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-0.062</w:t>
            </w:r>
          </w:p>
        </w:tc>
        <w:tc>
          <w:tcPr>
            <w:tcW w:w="2835" w:type="dxa"/>
          </w:tcPr>
          <w:p w14:paraId="4BCF9F5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0.087</w:t>
            </w:r>
          </w:p>
        </w:tc>
      </w:tr>
      <w:tr w:rsidR="00331AB6" w:rsidRPr="00E1789A" w14:paraId="4EBF4754" w14:textId="77777777" w:rsidTr="00834F5A">
        <w:tc>
          <w:tcPr>
            <w:tcW w:w="3369" w:type="dxa"/>
          </w:tcPr>
          <w:p w14:paraId="42749AD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Pr>
          <w:p w14:paraId="0E641E1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(0.075)</w:t>
            </w:r>
          </w:p>
        </w:tc>
        <w:tc>
          <w:tcPr>
            <w:tcW w:w="2835" w:type="dxa"/>
          </w:tcPr>
          <w:p w14:paraId="31E239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(0.310)</w:t>
            </w:r>
          </w:p>
        </w:tc>
      </w:tr>
      <w:tr w:rsidR="00331AB6" w:rsidRPr="00E1789A" w14:paraId="7EF03100" w14:textId="77777777" w:rsidTr="00834F5A">
        <w:tc>
          <w:tcPr>
            <w:tcW w:w="3369" w:type="dxa"/>
          </w:tcPr>
          <w:p w14:paraId="1B20313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ROA</w:t>
            </w:r>
            <w:r w:rsidRPr="00E1789A">
              <w:rPr>
                <w:rFonts w:ascii="Times New Roman" w:hAnsi="Times New Roman" w:cs="Times New Roman"/>
                <w:sz w:val="20"/>
                <w:szCs w:val="20"/>
                <w:vertAlign w:val="subscript"/>
                <w:lang w:val="en-US"/>
              </w:rPr>
              <w:t>t-1</w:t>
            </w:r>
          </w:p>
        </w:tc>
        <w:tc>
          <w:tcPr>
            <w:tcW w:w="3118" w:type="dxa"/>
          </w:tcPr>
          <w:p w14:paraId="3D0DD53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0.127</w:t>
            </w:r>
          </w:p>
        </w:tc>
        <w:tc>
          <w:tcPr>
            <w:tcW w:w="2835" w:type="dxa"/>
          </w:tcPr>
          <w:p w14:paraId="56B87F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-0.900</w:t>
            </w:r>
          </w:p>
        </w:tc>
      </w:tr>
      <w:tr w:rsidR="00331AB6" w:rsidRPr="00E1789A" w14:paraId="3121F041" w14:textId="77777777" w:rsidTr="00834F5A">
        <w:tc>
          <w:tcPr>
            <w:tcW w:w="3369" w:type="dxa"/>
          </w:tcPr>
          <w:p w14:paraId="5F94CE2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Pr>
          <w:p w14:paraId="6AB673E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(1.494)</w:t>
            </w:r>
          </w:p>
        </w:tc>
        <w:tc>
          <w:tcPr>
            <w:tcW w:w="2835" w:type="dxa"/>
          </w:tcPr>
          <w:p w14:paraId="74886F4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(2.511)</w:t>
            </w:r>
          </w:p>
        </w:tc>
      </w:tr>
      <w:tr w:rsidR="00331AB6" w:rsidRPr="00E1789A" w14:paraId="5D9026F3" w14:textId="77777777" w:rsidTr="00834F5A">
        <w:tc>
          <w:tcPr>
            <w:tcW w:w="3369" w:type="dxa"/>
          </w:tcPr>
          <w:p w14:paraId="7E0AB20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bCs/>
                <w:sz w:val="20"/>
                <w:szCs w:val="20"/>
              </w:rPr>
              <w:t>PDIVPCT</w:t>
            </w:r>
            <w:r w:rsidRPr="00E1789A">
              <w:rPr>
                <w:rFonts w:ascii="Times New Roman" w:hAnsi="Times New Roman" w:cs="Times New Roman"/>
                <w:bCs/>
                <w:sz w:val="20"/>
                <w:szCs w:val="20"/>
                <w:vertAlign w:val="subscript"/>
              </w:rPr>
              <w:t>t-1</w:t>
            </w:r>
          </w:p>
        </w:tc>
        <w:tc>
          <w:tcPr>
            <w:tcW w:w="3118" w:type="dxa"/>
          </w:tcPr>
          <w:p w14:paraId="7B5C63C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4.702</w:t>
            </w:r>
            <w:r w:rsidRPr="00E1789A">
              <w:rPr>
                <w:rFonts w:ascii="Times New Roman" w:hAnsi="Times New Roman" w:cs="Times New Roman"/>
                <w:sz w:val="20"/>
                <w:szCs w:val="20"/>
                <w:vertAlign w:val="superscript"/>
                <w:lang w:val="en-US"/>
              </w:rPr>
              <w:t>*</w:t>
            </w:r>
          </w:p>
        </w:tc>
        <w:tc>
          <w:tcPr>
            <w:tcW w:w="2835" w:type="dxa"/>
          </w:tcPr>
          <w:p w14:paraId="226D7E3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r>
      <w:tr w:rsidR="00331AB6" w:rsidRPr="00E1789A" w14:paraId="7D7FDD26" w14:textId="77777777" w:rsidTr="00834F5A">
        <w:tc>
          <w:tcPr>
            <w:tcW w:w="3369" w:type="dxa"/>
          </w:tcPr>
          <w:p w14:paraId="7E3314B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Pr>
          <w:p w14:paraId="08AF760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(2.399)</w:t>
            </w:r>
          </w:p>
        </w:tc>
        <w:tc>
          <w:tcPr>
            <w:tcW w:w="2835" w:type="dxa"/>
          </w:tcPr>
          <w:p w14:paraId="4E5066A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r>
      <w:tr w:rsidR="00331AB6" w:rsidRPr="00E1789A" w14:paraId="4D893CF9" w14:textId="77777777" w:rsidTr="00834F5A">
        <w:tc>
          <w:tcPr>
            <w:tcW w:w="3369" w:type="dxa"/>
          </w:tcPr>
          <w:p w14:paraId="2D5406F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bCs/>
                <w:sz w:val="20"/>
                <w:szCs w:val="20"/>
              </w:rPr>
              <w:t>IDIVPCT</w:t>
            </w:r>
            <w:r w:rsidRPr="00E1789A">
              <w:rPr>
                <w:rFonts w:ascii="Times New Roman" w:hAnsi="Times New Roman" w:cs="Times New Roman"/>
                <w:bCs/>
                <w:sz w:val="20"/>
                <w:szCs w:val="20"/>
                <w:vertAlign w:val="subscript"/>
              </w:rPr>
              <w:t xml:space="preserve"> t-1</w:t>
            </w:r>
          </w:p>
        </w:tc>
        <w:tc>
          <w:tcPr>
            <w:tcW w:w="3118" w:type="dxa"/>
          </w:tcPr>
          <w:p w14:paraId="0B9D38C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2835" w:type="dxa"/>
          </w:tcPr>
          <w:p w14:paraId="299829D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-1.592</w:t>
            </w:r>
          </w:p>
        </w:tc>
      </w:tr>
      <w:tr w:rsidR="00331AB6" w:rsidRPr="00E1789A" w14:paraId="342A366C" w14:textId="77777777" w:rsidTr="00834F5A">
        <w:tc>
          <w:tcPr>
            <w:tcW w:w="3369" w:type="dxa"/>
          </w:tcPr>
          <w:p w14:paraId="24F4F49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Pr>
          <w:p w14:paraId="6457764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2835" w:type="dxa"/>
          </w:tcPr>
          <w:p w14:paraId="0A60871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(2.611)</w:t>
            </w:r>
          </w:p>
        </w:tc>
      </w:tr>
      <w:tr w:rsidR="00331AB6" w:rsidRPr="00E1789A" w14:paraId="0DA14C6A" w14:textId="77777777" w:rsidTr="00834F5A">
        <w:tc>
          <w:tcPr>
            <w:tcW w:w="3369" w:type="dxa"/>
          </w:tcPr>
          <w:p w14:paraId="52769D4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Year dummies</w:t>
            </w:r>
          </w:p>
        </w:tc>
        <w:tc>
          <w:tcPr>
            <w:tcW w:w="3118" w:type="dxa"/>
          </w:tcPr>
          <w:p w14:paraId="2B7BC68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Yes</w:t>
            </w:r>
          </w:p>
        </w:tc>
        <w:tc>
          <w:tcPr>
            <w:tcW w:w="2835" w:type="dxa"/>
          </w:tcPr>
          <w:p w14:paraId="467B921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Yes</w:t>
            </w:r>
          </w:p>
        </w:tc>
      </w:tr>
      <w:tr w:rsidR="00331AB6" w:rsidRPr="00E1789A" w14:paraId="66B821E8" w14:textId="77777777" w:rsidTr="00834F5A">
        <w:tc>
          <w:tcPr>
            <w:tcW w:w="3369" w:type="dxa"/>
          </w:tcPr>
          <w:p w14:paraId="7FFD24D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 xml:space="preserve">Industry dummies </w:t>
            </w:r>
          </w:p>
        </w:tc>
        <w:tc>
          <w:tcPr>
            <w:tcW w:w="3118" w:type="dxa"/>
          </w:tcPr>
          <w:p w14:paraId="2D7C58D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Yes</w:t>
            </w:r>
          </w:p>
        </w:tc>
        <w:tc>
          <w:tcPr>
            <w:tcW w:w="2835" w:type="dxa"/>
          </w:tcPr>
          <w:p w14:paraId="166974F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Yes</w:t>
            </w:r>
          </w:p>
        </w:tc>
      </w:tr>
      <w:tr w:rsidR="00331AB6" w:rsidRPr="00E1789A" w14:paraId="4ED11871" w14:textId="77777777" w:rsidTr="00834F5A">
        <w:tc>
          <w:tcPr>
            <w:tcW w:w="3369" w:type="dxa"/>
          </w:tcPr>
          <w:p w14:paraId="40F9B1C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Intercept</w:t>
            </w:r>
          </w:p>
        </w:tc>
        <w:tc>
          <w:tcPr>
            <w:tcW w:w="3118" w:type="dxa"/>
          </w:tcPr>
          <w:p w14:paraId="4624DEE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-24.206</w:t>
            </w:r>
            <w:r w:rsidRPr="00E1789A">
              <w:rPr>
                <w:rFonts w:ascii="Times New Roman" w:hAnsi="Times New Roman" w:cs="Times New Roman"/>
                <w:sz w:val="20"/>
                <w:szCs w:val="20"/>
                <w:vertAlign w:val="superscript"/>
                <w:lang w:val="en-US"/>
              </w:rPr>
              <w:t>***</w:t>
            </w:r>
          </w:p>
        </w:tc>
        <w:tc>
          <w:tcPr>
            <w:tcW w:w="2835" w:type="dxa"/>
          </w:tcPr>
          <w:p w14:paraId="0F87263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-25.038</w:t>
            </w:r>
            <w:r w:rsidRPr="00E1789A">
              <w:rPr>
                <w:rFonts w:ascii="Times New Roman" w:hAnsi="Times New Roman" w:cs="Times New Roman"/>
                <w:sz w:val="20"/>
                <w:szCs w:val="20"/>
                <w:vertAlign w:val="superscript"/>
                <w:lang w:val="en-US"/>
              </w:rPr>
              <w:t>***</w:t>
            </w:r>
          </w:p>
        </w:tc>
      </w:tr>
      <w:tr w:rsidR="00331AB6" w:rsidRPr="00E1789A" w14:paraId="484676BA" w14:textId="77777777" w:rsidTr="00834F5A">
        <w:tc>
          <w:tcPr>
            <w:tcW w:w="3369" w:type="dxa"/>
            <w:tcBorders>
              <w:bottom w:val="single" w:sz="4" w:space="0" w:color="auto"/>
            </w:tcBorders>
          </w:tcPr>
          <w:p w14:paraId="46A37D7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p>
        </w:tc>
        <w:tc>
          <w:tcPr>
            <w:tcW w:w="3118" w:type="dxa"/>
            <w:tcBorders>
              <w:bottom w:val="single" w:sz="4" w:space="0" w:color="auto"/>
            </w:tcBorders>
          </w:tcPr>
          <w:p w14:paraId="0910427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(2.665)</w:t>
            </w:r>
          </w:p>
        </w:tc>
        <w:tc>
          <w:tcPr>
            <w:tcW w:w="2835" w:type="dxa"/>
            <w:tcBorders>
              <w:bottom w:val="single" w:sz="4" w:space="0" w:color="auto"/>
            </w:tcBorders>
          </w:tcPr>
          <w:p w14:paraId="4FD20CE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(3.183)</w:t>
            </w:r>
          </w:p>
        </w:tc>
      </w:tr>
      <w:tr w:rsidR="00331AB6" w:rsidRPr="00E1789A" w14:paraId="134F09A6" w14:textId="77777777" w:rsidTr="00834F5A">
        <w:tc>
          <w:tcPr>
            <w:tcW w:w="3369" w:type="dxa"/>
            <w:tcBorders>
              <w:top w:val="single" w:sz="4" w:space="0" w:color="auto"/>
            </w:tcBorders>
          </w:tcPr>
          <w:p w14:paraId="524591D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i/>
                <w:iCs/>
                <w:sz w:val="20"/>
                <w:szCs w:val="20"/>
                <w:lang w:val="en-US"/>
              </w:rPr>
              <w:t>n/N</w:t>
            </w:r>
          </w:p>
        </w:tc>
        <w:tc>
          <w:tcPr>
            <w:tcW w:w="3118" w:type="dxa"/>
            <w:tcBorders>
              <w:top w:val="single" w:sz="4" w:space="0" w:color="auto"/>
            </w:tcBorders>
          </w:tcPr>
          <w:p w14:paraId="51F9B26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232/1282</w:t>
            </w:r>
          </w:p>
        </w:tc>
        <w:tc>
          <w:tcPr>
            <w:tcW w:w="2835" w:type="dxa"/>
            <w:tcBorders>
              <w:top w:val="single" w:sz="4" w:space="0" w:color="auto"/>
            </w:tcBorders>
          </w:tcPr>
          <w:p w14:paraId="733D576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232/1282</w:t>
            </w:r>
          </w:p>
        </w:tc>
      </w:tr>
      <w:tr w:rsidR="00331AB6" w:rsidRPr="00E1789A" w14:paraId="6CEFA41D" w14:textId="77777777" w:rsidTr="00834F5A">
        <w:tc>
          <w:tcPr>
            <w:tcW w:w="3369" w:type="dxa"/>
            <w:tcBorders>
              <w:bottom w:val="single" w:sz="4" w:space="0" w:color="auto"/>
            </w:tcBorders>
          </w:tcPr>
          <w:p w14:paraId="5A31E94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Log likelihood</w:t>
            </w:r>
          </w:p>
        </w:tc>
        <w:tc>
          <w:tcPr>
            <w:tcW w:w="3118" w:type="dxa"/>
            <w:tcBorders>
              <w:bottom w:val="single" w:sz="4" w:space="0" w:color="auto"/>
            </w:tcBorders>
          </w:tcPr>
          <w:p w14:paraId="47CEA5E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-314.08</w:t>
            </w:r>
          </w:p>
        </w:tc>
        <w:tc>
          <w:tcPr>
            <w:tcW w:w="2835" w:type="dxa"/>
            <w:tcBorders>
              <w:bottom w:val="single" w:sz="4" w:space="0" w:color="auto"/>
            </w:tcBorders>
          </w:tcPr>
          <w:p w14:paraId="5DBE69D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lang w:val="en-US"/>
              </w:rPr>
              <w:t>-279.160</w:t>
            </w:r>
          </w:p>
        </w:tc>
      </w:tr>
      <w:tr w:rsidR="00331AB6" w:rsidRPr="00E1789A" w14:paraId="4093B5A1" w14:textId="77777777" w:rsidTr="00834F5A">
        <w:tc>
          <w:tcPr>
            <w:tcW w:w="9322" w:type="dxa"/>
            <w:gridSpan w:val="3"/>
            <w:tcBorders>
              <w:top w:val="single" w:sz="4" w:space="0" w:color="auto"/>
            </w:tcBorders>
          </w:tcPr>
          <w:p w14:paraId="4077D72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CC7A8F">
              <w:rPr>
                <w:rFonts w:ascii="Times New Roman" w:hAnsi="Times New Roman" w:cs="Times New Roman"/>
                <w:i/>
                <w:iCs/>
                <w:sz w:val="20"/>
                <w:szCs w:val="20"/>
                <w:lang w:val="en-US"/>
              </w:rPr>
              <w:t>Notes</w:t>
            </w:r>
            <w:r w:rsidRPr="00E1789A">
              <w:rPr>
                <w:rFonts w:ascii="Times New Roman" w:hAnsi="Times New Roman" w:cs="Times New Roman"/>
                <w:sz w:val="20"/>
                <w:szCs w:val="20"/>
                <w:lang w:val="en-US"/>
              </w:rPr>
              <w:t>: Unstandardized regression coefficients are reported with standard error in parenthesis. n=firm-year observations; N=firms. ROA = Return on Assets. PDIVPCT= fraction of all firms in an industry (</w:t>
            </w:r>
            <w:bookmarkStart w:id="4" w:name="_Hlk52673563"/>
            <w:r w:rsidRPr="00E1789A">
              <w:rPr>
                <w:rFonts w:ascii="Times New Roman" w:hAnsi="Times New Roman" w:cs="Times New Roman"/>
                <w:sz w:val="20"/>
                <w:szCs w:val="20"/>
                <w:lang w:val="en-US"/>
              </w:rPr>
              <w:t>four-digit standard industrial classification code</w:t>
            </w:r>
            <w:bookmarkEnd w:id="4"/>
            <w:r w:rsidRPr="00E1789A">
              <w:rPr>
                <w:rFonts w:ascii="Times New Roman" w:hAnsi="Times New Roman" w:cs="Times New Roman"/>
                <w:sz w:val="20"/>
                <w:szCs w:val="20"/>
                <w:lang w:val="en-US"/>
              </w:rPr>
              <w:t>) that were diversified in product market; IDIVPCT = fraction of all firms in an industry (four-digit standard industrial classification code) that were diversified in international market.</w:t>
            </w:r>
          </w:p>
          <w:p w14:paraId="508605A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20"/>
                <w:szCs w:val="20"/>
                <w:lang w:val="en-US"/>
              </w:rPr>
            </w:pPr>
            <w:r w:rsidRPr="00E1789A">
              <w:rPr>
                <w:rFonts w:ascii="Times New Roman" w:hAnsi="Times New Roman" w:cs="Times New Roman"/>
                <w:sz w:val="20"/>
                <w:szCs w:val="20"/>
                <w:vertAlign w:val="superscript"/>
                <w:lang w:val="en-US"/>
              </w:rPr>
              <w:t>+</w:t>
            </w:r>
            <w:r w:rsidRPr="00E1789A">
              <w:rPr>
                <w:rFonts w:ascii="Times New Roman" w:hAnsi="Times New Roman" w:cs="Times New Roman"/>
                <w:sz w:val="20"/>
                <w:szCs w:val="20"/>
                <w:lang w:val="en-US"/>
              </w:rPr>
              <w:t xml:space="preserve"> </w:t>
            </w:r>
            <w:r w:rsidRPr="00E1789A">
              <w:rPr>
                <w:rFonts w:ascii="Times New Roman" w:hAnsi="Times New Roman" w:cs="Times New Roman"/>
                <w:i/>
                <w:iCs/>
                <w:sz w:val="20"/>
                <w:szCs w:val="20"/>
                <w:lang w:val="en-US"/>
              </w:rPr>
              <w:t>p</w:t>
            </w:r>
            <w:r w:rsidRPr="00E1789A">
              <w:rPr>
                <w:rFonts w:ascii="Times New Roman" w:hAnsi="Times New Roman" w:cs="Times New Roman"/>
                <w:sz w:val="20"/>
                <w:szCs w:val="20"/>
                <w:lang w:val="en-US"/>
              </w:rPr>
              <w:t xml:space="preserve"> &lt; 0.1, </w:t>
            </w:r>
            <w:r w:rsidRPr="00E1789A">
              <w:rPr>
                <w:rFonts w:ascii="Times New Roman" w:hAnsi="Times New Roman" w:cs="Times New Roman"/>
                <w:sz w:val="20"/>
                <w:szCs w:val="20"/>
                <w:vertAlign w:val="superscript"/>
                <w:lang w:val="en-US"/>
              </w:rPr>
              <w:t>*</w:t>
            </w:r>
            <w:r w:rsidRPr="00E1789A">
              <w:rPr>
                <w:rFonts w:ascii="Times New Roman" w:hAnsi="Times New Roman" w:cs="Times New Roman"/>
                <w:sz w:val="20"/>
                <w:szCs w:val="20"/>
                <w:lang w:val="en-US"/>
              </w:rPr>
              <w:t xml:space="preserve"> </w:t>
            </w:r>
            <w:r w:rsidRPr="00E1789A">
              <w:rPr>
                <w:rFonts w:ascii="Times New Roman" w:hAnsi="Times New Roman" w:cs="Times New Roman"/>
                <w:i/>
                <w:iCs/>
                <w:sz w:val="20"/>
                <w:szCs w:val="20"/>
                <w:lang w:val="en-US"/>
              </w:rPr>
              <w:t>p</w:t>
            </w:r>
            <w:r w:rsidRPr="00E1789A">
              <w:rPr>
                <w:rFonts w:ascii="Times New Roman" w:hAnsi="Times New Roman" w:cs="Times New Roman"/>
                <w:sz w:val="20"/>
                <w:szCs w:val="20"/>
                <w:lang w:val="en-US"/>
              </w:rPr>
              <w:t xml:space="preserve"> &lt; 0.05, </w:t>
            </w:r>
            <w:r w:rsidRPr="00E1789A">
              <w:rPr>
                <w:rFonts w:ascii="Times New Roman" w:hAnsi="Times New Roman" w:cs="Times New Roman"/>
                <w:sz w:val="20"/>
                <w:szCs w:val="20"/>
                <w:vertAlign w:val="superscript"/>
                <w:lang w:val="en-US"/>
              </w:rPr>
              <w:t>**</w:t>
            </w:r>
            <w:r w:rsidRPr="00E1789A">
              <w:rPr>
                <w:rFonts w:ascii="Times New Roman" w:hAnsi="Times New Roman" w:cs="Times New Roman"/>
                <w:sz w:val="20"/>
                <w:szCs w:val="20"/>
                <w:lang w:val="en-US"/>
              </w:rPr>
              <w:t xml:space="preserve"> </w:t>
            </w:r>
            <w:r w:rsidRPr="00E1789A">
              <w:rPr>
                <w:rFonts w:ascii="Times New Roman" w:hAnsi="Times New Roman" w:cs="Times New Roman"/>
                <w:i/>
                <w:iCs/>
                <w:sz w:val="20"/>
                <w:szCs w:val="20"/>
                <w:lang w:val="en-US"/>
              </w:rPr>
              <w:t>p</w:t>
            </w:r>
            <w:r w:rsidRPr="00E1789A">
              <w:rPr>
                <w:rFonts w:ascii="Times New Roman" w:hAnsi="Times New Roman" w:cs="Times New Roman"/>
                <w:sz w:val="20"/>
                <w:szCs w:val="20"/>
                <w:lang w:val="en-US"/>
              </w:rPr>
              <w:t xml:space="preserve"> &lt; 0.01, </w:t>
            </w:r>
            <w:r w:rsidRPr="00E1789A">
              <w:rPr>
                <w:rFonts w:ascii="Times New Roman" w:hAnsi="Times New Roman" w:cs="Times New Roman"/>
                <w:sz w:val="20"/>
                <w:szCs w:val="20"/>
                <w:vertAlign w:val="superscript"/>
                <w:lang w:val="en-US"/>
              </w:rPr>
              <w:t>***</w:t>
            </w:r>
            <w:r w:rsidRPr="00E1789A">
              <w:rPr>
                <w:rFonts w:ascii="Times New Roman" w:hAnsi="Times New Roman" w:cs="Times New Roman"/>
                <w:sz w:val="20"/>
                <w:szCs w:val="20"/>
                <w:lang w:val="en-US"/>
              </w:rPr>
              <w:t xml:space="preserve"> </w:t>
            </w:r>
            <w:r w:rsidRPr="00E1789A">
              <w:rPr>
                <w:rFonts w:ascii="Times New Roman" w:hAnsi="Times New Roman" w:cs="Times New Roman"/>
                <w:i/>
                <w:iCs/>
                <w:sz w:val="20"/>
                <w:szCs w:val="20"/>
                <w:lang w:val="en-US"/>
              </w:rPr>
              <w:t>p</w:t>
            </w:r>
            <w:r w:rsidRPr="00E1789A">
              <w:rPr>
                <w:rFonts w:ascii="Times New Roman" w:hAnsi="Times New Roman" w:cs="Times New Roman"/>
                <w:sz w:val="20"/>
                <w:szCs w:val="20"/>
                <w:lang w:val="en-US"/>
              </w:rPr>
              <w:t xml:space="preserve"> &lt; 0.001</w:t>
            </w:r>
          </w:p>
        </w:tc>
      </w:tr>
    </w:tbl>
    <w:p w14:paraId="7DABB2C8" w14:textId="77777777" w:rsidR="00331AB6" w:rsidRDefault="00331AB6" w:rsidP="00331AB6">
      <w:pPr>
        <w:widowControl w:val="0"/>
        <w:spacing w:after="0" w:line="480" w:lineRule="auto"/>
        <w:rPr>
          <w:rFonts w:ascii="Times New Roman" w:hAnsi="Times New Roman" w:cs="Times New Roman"/>
          <w:b/>
          <w:bCs/>
          <w:sz w:val="24"/>
          <w:szCs w:val="24"/>
        </w:rPr>
      </w:pPr>
    </w:p>
    <w:bookmarkEnd w:id="2"/>
    <w:p w14:paraId="3EF6A5EE" w14:textId="77777777" w:rsidR="00331AB6" w:rsidRPr="00661B0A" w:rsidRDefault="00331AB6" w:rsidP="00331AB6">
      <w:pPr>
        <w:widowControl w:val="0"/>
        <w:spacing w:after="0" w:line="480" w:lineRule="auto"/>
        <w:ind w:firstLine="720"/>
        <w:rPr>
          <w:rFonts w:ascii="Times New Roman" w:hAnsi="Times New Roman" w:cs="Times New Roman"/>
          <w:b/>
          <w:bCs/>
          <w:sz w:val="24"/>
          <w:szCs w:val="24"/>
        </w:rPr>
        <w:sectPr w:rsidR="00331AB6" w:rsidRPr="00661B0A">
          <w:pgSz w:w="11906" w:h="16838"/>
          <w:pgMar w:top="1440" w:right="1440" w:bottom="1440" w:left="1440" w:header="708" w:footer="708" w:gutter="0"/>
          <w:cols w:space="708"/>
          <w:docGrid w:linePitch="360"/>
        </w:sectPr>
      </w:pPr>
      <w:r w:rsidRPr="00661B0A">
        <w:rPr>
          <w:rFonts w:ascii="Times New Roman" w:hAnsi="Times New Roman" w:cs="Times New Roman"/>
          <w:bCs/>
          <w:sz w:val="24"/>
          <w:szCs w:val="24"/>
        </w:rPr>
        <w:t>The first model in the above table predicts the probability that a firm will diversify in product-market, and the second model predicts the probability that a firm will diversify in international market. Findings suggest that firm size (β = 1.480, p &lt; 0.001), firm age (β = 2.586, p &lt; 0.001) and PDIVPCT (β = 4.702, p &lt; 0.05) are significant predictors of probability of product diversification. On the other hand, only firm size (β = 2.591, p &lt; 0.001) is a significant predictor of probability of international diversification.</w:t>
      </w:r>
    </w:p>
    <w:p w14:paraId="17487E4B" w14:textId="77777777" w:rsidR="00331AB6" w:rsidRPr="00661B0A" w:rsidRDefault="00331AB6" w:rsidP="00331AB6">
      <w:pPr>
        <w:spacing w:line="360" w:lineRule="auto"/>
        <w:rPr>
          <w:rFonts w:ascii="Times New Roman" w:hAnsi="Times New Roman" w:cs="Times New Roman"/>
          <w:b/>
          <w:bCs/>
          <w:sz w:val="24"/>
          <w:szCs w:val="24"/>
        </w:rPr>
      </w:pPr>
      <w:bookmarkStart w:id="5" w:name="_Hlk86745956"/>
      <w:r w:rsidRPr="00661B0A">
        <w:rPr>
          <w:rFonts w:ascii="Times New Roman" w:hAnsi="Times New Roman" w:cs="Times New Roman"/>
          <w:b/>
          <w:bCs/>
          <w:sz w:val="24"/>
          <w:szCs w:val="24"/>
        </w:rPr>
        <w:lastRenderedPageBreak/>
        <w:t>APPENDIX V</w:t>
      </w:r>
    </w:p>
    <w:p w14:paraId="5321CD20" w14:textId="77777777" w:rsidR="00331AB6" w:rsidRPr="00661B0A" w:rsidRDefault="00331AB6" w:rsidP="00331AB6">
      <w:pPr>
        <w:spacing w:line="360" w:lineRule="auto"/>
        <w:rPr>
          <w:rFonts w:ascii="Times New Roman" w:hAnsi="Times New Roman" w:cs="Times New Roman"/>
          <w:bCs/>
          <w:sz w:val="24"/>
          <w:szCs w:val="24"/>
        </w:rPr>
      </w:pPr>
      <w:r w:rsidRPr="00661B0A">
        <w:rPr>
          <w:rFonts w:ascii="Times New Roman" w:hAnsi="Times New Roman" w:cs="Times New Roman"/>
          <w:b/>
          <w:sz w:val="24"/>
          <w:szCs w:val="24"/>
        </w:rPr>
        <w:t>Robustness Checks and Additional Analysis</w:t>
      </w:r>
    </w:p>
    <w:p w14:paraId="52C72236" w14:textId="77777777" w:rsidR="00331AB6" w:rsidRPr="00661B0A" w:rsidRDefault="00331AB6" w:rsidP="00331AB6">
      <w:pPr>
        <w:spacing w:after="0" w:line="480" w:lineRule="auto"/>
        <w:rPr>
          <w:rFonts w:ascii="Times New Roman" w:hAnsi="Times New Roman" w:cs="Times New Roman"/>
          <w:bCs/>
          <w:sz w:val="24"/>
          <w:szCs w:val="24"/>
        </w:rPr>
      </w:pPr>
      <w:r w:rsidRPr="00661B0A">
        <w:rPr>
          <w:rFonts w:ascii="Times New Roman" w:hAnsi="Times New Roman" w:cs="Times New Roman"/>
          <w:bCs/>
          <w:sz w:val="24"/>
          <w:szCs w:val="24"/>
        </w:rPr>
        <w:t xml:space="preserve">We used alternative estimation technique and variable measures to examine the robustness of our main findings.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{"citationID":"nZXmMsf4","properties":{"formattedCitation":"(Hausman, 1978)","plainCitation":"(Hausman, 1978)","dontUpdate":true,"noteIndex":0},"citationItems":[{"id":2763,"uris":["http://zotero.org/users/2437094/items/69DZ3UMP"],"itemData":{"id":2763,"type":"article-journal","abstract":"Using the result that under the null hypothesis of no misspecification an asymptotically efficient estimator must have zero asymptotic covariance with its difference from a consistent but asymptotically inefficient estimator, specification tests are devised for a number of model specifications in econometrics. Local power is calculated for small departures from the null hypothesis. An instrumental variable test as well as tests for a time series cross section model and the simultaneous equation model are presented. An empirical model provides evidence that unobserved individual factors are present which are not orthogonal to the included right-hand-side variable in a common econometric specification of an individual wage equation.","container-title":"Econometrica","DOI":"10.2307/1913827","ISSN":"0012-9682","issue":"6","journalAbbreviation":"Econometrica","page":"1251-1271","source":"JSTOR","title":"Specification Tests in Econometrics","volume":"46","author":[{"family":"Hausman","given":"J. A."}],"issued":{"date-parts":[["1978"]]}}}],"schema":"https://github.com/citation-style-language/schema/raw/master/csl-citation.json"}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Hausman (1978)</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xml:space="preserve"> test suggested fixed-effect was not superior to random effects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{"citationID":"Z86mdIGS","properties":{"formattedCitation":"(Greene, 2003)","plainCitation":"(Greene, 2003)","noteIndex":0},"citationItems":[{"id":3118,"uris":["http://zotero.org/users/2437094/items/PLK5LYGM"],"itemData":{"id":3118,"type":"book","publisher":"Pearson Education India","source":"Google Scholar","title":"Econometric analysis","author":[{"family":"Greene","given":"William H."}],"issued":{"date-parts":[["2003"]]}}}],"schema":"https://github.com/citation-style-language/schema/raw/master/csl-citation.json"}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(Greene, 2003)</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Thus, we used random effect models, with robust standard errors, as an alternative estimation technique in the second stage of the Heckman. Our findings remained broadly consistent.</w:t>
      </w:r>
      <w:r w:rsidRPr="00661B0A">
        <w:rPr>
          <w:rFonts w:ascii="Times New Roman" w:hAnsi="Times New Roman" w:cs="Times New Roman"/>
          <w:bCs/>
          <w:sz w:val="24"/>
          <w:szCs w:val="24"/>
          <w:vertAlign w:val="superscript"/>
        </w:rPr>
        <w:t>[3]</w:t>
      </w:r>
      <w:r w:rsidRPr="00661B0A">
        <w:rPr>
          <w:rFonts w:ascii="Times New Roman" w:hAnsi="Times New Roman" w:cs="Times New Roman"/>
          <w:bCs/>
          <w:sz w:val="24"/>
          <w:szCs w:val="24"/>
        </w:rPr>
        <w:t xml:space="preserve"> </w:t>
      </w:r>
      <w:bookmarkEnd w:id="5"/>
      <w:r w:rsidRPr="00661B0A">
        <w:rPr>
          <w:rFonts w:ascii="Times New Roman" w:hAnsi="Times New Roman" w:cs="Times New Roman"/>
          <w:bCs/>
          <w:sz w:val="24"/>
          <w:szCs w:val="24"/>
        </w:rPr>
        <w:t>Results of the random-effect models are presented in Tables C1–C4. Using this alternative estimation technique, we found support for the positive moderation effect of intellectual capital efficiency on the performance outcomes of both product diversification experience (Model B4: β = 0.107, p &lt; 0.1; Model B9: β = 0.008, p &lt; 0.02) and international diversification experience (Model B14: β = 0.287, p &lt; 0.05; Model B19: β = 0.023, p &lt; 0.000) for both measures of firm performance. The moderation effect of intellectual capital efficiency persists in full models (Models B5, B10, B15, B20) as well. Thus, both H1a and H1b are supported with this alternative estimation technique as well. However, the moderation effect of intellectual capital efficiency on the performance consequence of product diversification experience unrelatedness was not significant, though the coefficient of respective interaction terms were positive as expected (Models B23 and B27). The moderation effect of intellectual capital efficiency on the outcomes of international diversification experience unrelatedness was positive and significant for the Tobin’s Q model (Model B31: β = 0.042, p &lt; 0.1). Thus, H2b was supported.</w:t>
      </w:r>
    </w:p>
    <w:p w14:paraId="3C784670" w14:textId="77777777" w:rsidR="00331AB6" w:rsidRPr="00661B0A" w:rsidRDefault="00331AB6" w:rsidP="00331AB6">
      <w:pPr>
        <w:spacing w:after="0" w:line="480" w:lineRule="auto"/>
        <w:ind w:firstLine="720"/>
        <w:rPr>
          <w:rFonts w:ascii="Times New Roman" w:hAnsi="Times New Roman" w:cs="Times New Roman"/>
          <w:bCs/>
          <w:sz w:val="24"/>
          <w:szCs w:val="24"/>
        </w:rPr>
      </w:pPr>
      <w:r w:rsidRPr="00661B0A">
        <w:rPr>
          <w:rFonts w:ascii="Times New Roman" w:hAnsi="Times New Roman" w:cs="Times New Roman"/>
          <w:bCs/>
          <w:sz w:val="24"/>
          <w:szCs w:val="24"/>
        </w:rPr>
        <w:t xml:space="preserve">However, the moderation effects of patent stock diversity on performance effects of product and international diversification experience were not found significant with this alternative estimation technique in the second stage. Similarly, we did not observe significant moderation effect of patent stock diversity on the outcomes of unrelatedness in product and international diversification experiences. Considering that random-effect models with robust </w:t>
      </w:r>
      <w:r w:rsidRPr="00661B0A">
        <w:rPr>
          <w:rFonts w:ascii="Times New Roman" w:hAnsi="Times New Roman" w:cs="Times New Roman"/>
          <w:bCs/>
          <w:sz w:val="24"/>
          <w:szCs w:val="24"/>
        </w:rPr>
        <w:lastRenderedPageBreak/>
        <w:t xml:space="preserve">standard errors do not correct for the autocorrelated standard errors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{"citationID":"fSWpQNIZ","properties":{"formattedCitation":"(Cuervo-Cazurra, 2008; Greene, 2003)","plainCitation":"(Cuervo-Cazurra, 2008; Greene, 2003)","noteIndex":0},"citationItems":[{"id":100,"uris":["http://zotero.org/users/2437094/items/WBMQRU3I"],"itemData":{"id":100,"type":"article-journal","container-title":"Journal of International Business Studies","issue":"4","page":"634–651","source":"Google Scholar","title":"The effectiveness of laws against bribery abroad","volume":"39","author":[{"family":"Cuervo-Cazurra","given":"Alvaro"}],"issued":{"date-parts":[["2008"]]}}},{"id":3118,"uris":["http://zotero.org/users/2437094/items/PLK5LYGM"],"itemData":{"id":3118,"type":"book","publisher":"Pearson Education India","source":"Google Scholar","title":"Econometric analysis","author":[{"family":"Greene","given":"William H."}],"issued":{"date-parts":[["2003"]]}}}],"schema":"https://github.com/citation-style-language/schema/raw/master/csl-citation.json"}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(Cuervo-</w:t>
      </w:r>
      <w:proofErr w:type="spellStart"/>
      <w:r w:rsidRPr="00661B0A">
        <w:rPr>
          <w:rFonts w:ascii="Times New Roman" w:hAnsi="Times New Roman" w:cs="Times New Roman"/>
          <w:sz w:val="24"/>
          <w:szCs w:val="24"/>
        </w:rPr>
        <w:t>Cazurra</w:t>
      </w:r>
      <w:proofErr w:type="spellEnd"/>
      <w:r w:rsidRPr="00661B0A">
        <w:rPr>
          <w:rFonts w:ascii="Times New Roman" w:hAnsi="Times New Roman" w:cs="Times New Roman"/>
          <w:sz w:val="24"/>
          <w:szCs w:val="24"/>
        </w:rPr>
        <w:t>, 2008; Greene, 2003)</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we believe that one potential reason of this unexpected finding could be the presence of autocorrelation in the error terms of our models. FGLS, on the other hand, accounts for both heteroscedastic and autocorrelated error terms and allows modelling panel-specific autocorrelations as well. Nonetheless, the results of random-effect models suggest that findings related to the moderating effects of intellectual capital efficiency are robust to alternative estimation technique; thus, broadly supporting our arguments regarding positive moderation effect of absorptive capacity.</w:t>
      </w:r>
    </w:p>
    <w:p w14:paraId="6D3301D7" w14:textId="77777777" w:rsidR="00331AB6" w:rsidRPr="00661B0A" w:rsidRDefault="00331AB6" w:rsidP="00331AB6">
      <w:pPr>
        <w:spacing w:after="0" w:line="480" w:lineRule="auto"/>
        <w:ind w:firstLine="720"/>
        <w:rPr>
          <w:rFonts w:ascii="Times New Roman" w:hAnsi="Times New Roman" w:cs="Times New Roman"/>
          <w:bCs/>
          <w:sz w:val="24"/>
          <w:szCs w:val="24"/>
        </w:rPr>
      </w:pPr>
      <w:r w:rsidRPr="00661B0A">
        <w:rPr>
          <w:rFonts w:ascii="Times New Roman" w:hAnsi="Times New Roman" w:cs="Times New Roman"/>
          <w:bCs/>
          <w:sz w:val="24"/>
          <w:szCs w:val="24"/>
        </w:rPr>
        <w:t xml:space="preserve">Additionally, we checked robustness of our findings using multiple alternative measures for the absorptive capacity. First, </w:t>
      </w:r>
      <w:r w:rsidRPr="00661B0A">
        <w:rPr>
          <w:rFonts w:ascii="Times New Roman" w:eastAsiaTheme="minorEastAsia" w:hAnsi="Times New Roman" w:cs="Times New Roman"/>
          <w:sz w:val="24"/>
          <w:szCs w:val="24"/>
        </w:rPr>
        <w:t xml:space="preserve">we considered patent stock (i.e. number of all granted patents till the beginning of the focal year) as an alternative measure of absorptive capacity </w:t>
      </w:r>
      <w:r w:rsidRPr="00661B0A">
        <w:rPr>
          <w:rFonts w:ascii="Times New Roman" w:eastAsiaTheme="minorEastAsia" w:hAnsi="Times New Roman" w:cs="Times New Roman"/>
          <w:sz w:val="24"/>
          <w:szCs w:val="24"/>
        </w:rPr>
        <w:fldChar w:fldCharType="begin"/>
      </w:r>
      <w:r w:rsidRPr="00661B0A">
        <w:rPr>
          <w:rFonts w:ascii="Times New Roman" w:eastAsiaTheme="minorEastAsia" w:hAnsi="Times New Roman" w:cs="Times New Roman"/>
          <w:sz w:val="24"/>
          <w:szCs w:val="24"/>
        </w:rPr>
        <w:instrText xml:space="preserve"> ADDIN ZOTERO_ITEM CSL_CITATION {"citationID":"vJ9mHDEf","properties":{"formattedCitation":"(Dushnitsky &amp; Lenox, 2005; McCann &amp; Folta, 2011)","plainCitation":"(Dushnitsky &amp; Lenox, 2005; McCann &amp; Folta, 2011)","noteIndex":0},"citationItems":[{"id":8620,"uris":["http://zotero.org/users/2437094/items/IN3R7LUB"],"itemData":{"id":8620,"type":"article-journal","abstract":"We explore the conditions under which firms are likely to pursue equity investment in new ventures as a way to source innovative ideas. We find that firms invest more in new ventures—commonly referred to as ‘corporate venture capital’—in industries with weak intellectual property protection and, to some extent, in industries with high technological ferment and where complementary distribution capability is important. Furthermore, we find that the greater a firm's cash flow and absorptive capacity, the more likely it is to invest. Our results suggest that in Schumpeterian environments incumbents may supplement their innovative efforts by tapping into the knowledge generated by new ventures. Copyright © 2005 John Wiley &amp; Sons, Ltd.","container-title":"Strategic Management Journal","DOI":"10.1002/smj.488","ISSN":"1097-0266","issue":"10","language":"en","note":"_eprint: https://onlinelibrary.wiley.com/doi/pdf/10.1002/smj.488","page":"947-965","source":"Wiley Online Library","title":"When do firms undertake R&amp;D by investing in new ventures?","volume":"26","author":[{"family":"Dushnitsky","given":"Gary"},{"family":"Lenox","given":"Michael J."}],"issued":{"date-parts":[["2005"]]}}},{"id":8400,"uris":["http://zotero.org/users/2437094/items/S8N4GZGA"],"itemData":{"id":8400,"type":"article-journal","abstract":"Increasing evidence indicates that firms benefit from a location in a geographic cluster of similar firms. The literature is nearly silent, however, on whether agglomeration economies accrue symmetrically across clustered firms. Drawing from the knowledge-based view, we investigate which firms benefit most from agglomeration and discuss how the implications for entrepreneurs are significant if some firms benefit more from geographic agglomeration than others. We investigate three particular firm attributes that may accentuate or mitigate benefits tied to participation in a cluster. We test our hypotheses on a sample of biotechnology firms and find strong evidence that firms benefit asymmetrically. Younger firms and firms with higher knowledge stocks benefit more from agglomeration.","container-title":"Journal of Business Venturing","DOI":"10.1016/j.jbusvent.2009.04.004","ISSN":"0883-9026","issue":"1","journalAbbreviation":"Journal of Business Venturing","language":"en","page":"104-123","source":"ScienceDirect","title":"Performance differentials within geographic clusters","volume":"26","author":[{"family":"McCann","given":"Brian T."},{"family":"Folta","given":"Timothy B."}],"issued":{"date-parts":[["2011",1,1]]}}}],"schema":"https://github.com/citation-style-language/schema/raw/master/csl-citation.json"} </w:instrText>
      </w:r>
      <w:r w:rsidRPr="00661B0A">
        <w:rPr>
          <w:rFonts w:ascii="Times New Roman" w:eastAsiaTheme="minorEastAsia" w:hAnsi="Times New Roman" w:cs="Times New Roman"/>
          <w:sz w:val="24"/>
          <w:szCs w:val="24"/>
        </w:rPr>
        <w:fldChar w:fldCharType="separate"/>
      </w:r>
      <w:r w:rsidRPr="00661B0A">
        <w:rPr>
          <w:rFonts w:ascii="Times New Roman" w:hAnsi="Times New Roman" w:cs="Times New Roman"/>
          <w:sz w:val="24"/>
          <w:szCs w:val="24"/>
        </w:rPr>
        <w:t>(</w:t>
      </w:r>
      <w:proofErr w:type="spellStart"/>
      <w:r w:rsidRPr="00661B0A">
        <w:rPr>
          <w:rFonts w:ascii="Times New Roman" w:hAnsi="Times New Roman" w:cs="Times New Roman"/>
          <w:sz w:val="24"/>
          <w:szCs w:val="24"/>
        </w:rPr>
        <w:t>Dushnitsky</w:t>
      </w:r>
      <w:proofErr w:type="spellEnd"/>
      <w:r w:rsidRPr="00661B0A">
        <w:rPr>
          <w:rFonts w:ascii="Times New Roman" w:hAnsi="Times New Roman" w:cs="Times New Roman"/>
          <w:sz w:val="24"/>
          <w:szCs w:val="24"/>
        </w:rPr>
        <w:t xml:space="preserve"> &amp; Lenox, 2005; McCann &amp; </w:t>
      </w:r>
      <w:proofErr w:type="spellStart"/>
      <w:r w:rsidRPr="00661B0A">
        <w:rPr>
          <w:rFonts w:ascii="Times New Roman" w:hAnsi="Times New Roman" w:cs="Times New Roman"/>
          <w:sz w:val="24"/>
          <w:szCs w:val="24"/>
        </w:rPr>
        <w:t>Folta</w:t>
      </w:r>
      <w:proofErr w:type="spellEnd"/>
      <w:r w:rsidRPr="00661B0A">
        <w:rPr>
          <w:rFonts w:ascii="Times New Roman" w:hAnsi="Times New Roman" w:cs="Times New Roman"/>
          <w:sz w:val="24"/>
          <w:szCs w:val="24"/>
        </w:rPr>
        <w:t>, 2011)</w:t>
      </w:r>
      <w:r w:rsidRPr="00661B0A">
        <w:rPr>
          <w:rFonts w:ascii="Times New Roman" w:eastAsiaTheme="minorEastAsia" w:hAnsi="Times New Roman" w:cs="Times New Roman"/>
          <w:sz w:val="24"/>
          <w:szCs w:val="24"/>
        </w:rPr>
        <w:fldChar w:fldCharType="end"/>
      </w:r>
      <w:r w:rsidRPr="00661B0A">
        <w:rPr>
          <w:rFonts w:ascii="Times New Roman" w:eastAsiaTheme="minorEastAsia" w:hAnsi="Times New Roman" w:cs="Times New Roman"/>
          <w:sz w:val="24"/>
          <w:szCs w:val="24"/>
        </w:rPr>
        <w:t xml:space="preserve">. Our findings remained </w:t>
      </w:r>
      <w:proofErr w:type="gramStart"/>
      <w:r w:rsidRPr="00661B0A">
        <w:rPr>
          <w:rFonts w:ascii="Times New Roman" w:eastAsiaTheme="minorEastAsia" w:hAnsi="Times New Roman" w:cs="Times New Roman"/>
          <w:sz w:val="24"/>
          <w:szCs w:val="24"/>
        </w:rPr>
        <w:t>similar to</w:t>
      </w:r>
      <w:proofErr w:type="gramEnd"/>
      <w:r w:rsidRPr="00661B0A">
        <w:rPr>
          <w:rFonts w:ascii="Times New Roman" w:eastAsiaTheme="minorEastAsia" w:hAnsi="Times New Roman" w:cs="Times New Roman"/>
          <w:sz w:val="24"/>
          <w:szCs w:val="24"/>
        </w:rPr>
        <w:t xml:space="preserve"> those with patent stock diversity.</w:t>
      </w:r>
      <w:r w:rsidRPr="00661B0A">
        <w:rPr>
          <w:rFonts w:ascii="Times New Roman" w:hAnsi="Times New Roman" w:cs="Times New Roman"/>
          <w:bCs/>
          <w:sz w:val="24"/>
          <w:szCs w:val="24"/>
        </w:rPr>
        <w:t xml:space="preserve"> Next, following prior studies </w:t>
      </w:r>
      <w:r w:rsidRPr="00661B0A">
        <w:rPr>
          <w:rFonts w:ascii="Times New Roman" w:hAnsi="Times New Roman" w:cs="Times New Roman"/>
          <w:bCs/>
          <w:sz w:val="24"/>
          <w:szCs w:val="24"/>
        </w:rPr>
        <w:fldChar w:fldCharType="begin"/>
      </w:r>
      <w:r w:rsidRPr="00661B0A">
        <w:rPr>
          <w:rFonts w:ascii="Times New Roman" w:hAnsi="Times New Roman" w:cs="Times New Roman"/>
          <w:bCs/>
          <w:sz w:val="24"/>
          <w:szCs w:val="24"/>
        </w:rPr>
        <w:instrText xml:space="preserve"> ADDIN ZOTERO_ITEM CSL_CITATION {"citationID":"ucuW8ke0","properties":{"formattedCitation":"(W. M. Cohen &amp; Levinthal, 1990; Nieto &amp; Quevedo, 2005; Tsai, 2001)","plainCitation":"(W. M. Cohen &amp; Levinthal, 1990; Nieto &amp; Quevedo, 2005; Tsai, 2001)","dontUpdate":true,"noteIndex":0},"citationItems":[{"id":3198,"uris":["http://zotero.org/users/2437094/items/AZSW9D49"],"itemData":{"id":3198,"type":"article-journal","container-title":"Administrative science quarterly","page":"128–152","source":"Google Scholar","title":"Absorptive capacity: a new perspective on learning and innovation","title-short":"Absorptive capacity","volume":"35","author":[{"family":"Cohen","given":"Wesley M."},{"family":"Levinthal","given":"Daniel A."}],"issued":{"date-parts":[["1990"]]}}},{"id":3481,"uris":["http://zotero.org/users/2437094/items/J3DFFRYX"],"itemData":{"id":3481,"type":"article-journal","container-title":"Technovation","issue":"10","page":"1141–1157","source":"Google Scholar","title":"Absorptive capacity, technological opportunity, knowledge spillovers, and innovative effort","volume":"25","author":[{"family":"Nieto","given":"Mariano"},{"family":"Quevedo","given":"Pilar"}],"issued":{"date-parts":[["2005"]]}}},{"id":2214,"uris":["http://zotero.org/users/2437094/items/56IUZM2C"],"itemData":{"id":2214,"type":"article-journal","abstract":"Drawing on a network perspective on organizational learning, I argue that organizational units can produce more innovations and enjoy better performance if they occupy central network positions that provide access to new knowledge developed by other units. This effect, however, depends on units' absorptive capacity, or ability to successfully replicate new knowledge. Data from 24 business units in a petrochemical company and 36 business units in a food-manufacturing company show that the interaction between absorptive capacity and network position has significant, positive effects on business unit innovation and performance.","container-title":"The Academy of Management Journal","DOI":"10.2307/3069443","ISSN":"0001-4273","issue":"5","journalAbbreviation":"The Academy of Management Journal","page":"996-1004","source":"JSTOR","title":"Knowledge Transfer in Intraorganizational Networks: Effects of Network Position and Absorptive Capacity on Business Unit Innovation and Performance","title-short":"Knowledge Transfer in Intraorganizational Networks","volume":"44","author":[{"family":"Tsai","given":"Wenpin"}],"issued":{"date-parts":[["2001"]]}}}],"schema":"https://github.com/citation-style-language/schema/raw/master/csl-citation.json"} </w:instrText>
      </w:r>
      <w:r w:rsidRPr="00661B0A">
        <w:rPr>
          <w:rFonts w:ascii="Times New Roman" w:hAnsi="Times New Roman" w:cs="Times New Roman"/>
          <w:bCs/>
          <w:sz w:val="24"/>
          <w:szCs w:val="24"/>
        </w:rPr>
        <w:fldChar w:fldCharType="separate"/>
      </w:r>
      <w:r w:rsidRPr="00661B0A">
        <w:rPr>
          <w:rFonts w:ascii="Times New Roman" w:hAnsi="Times New Roman" w:cs="Times New Roman"/>
          <w:sz w:val="24"/>
          <w:szCs w:val="24"/>
        </w:rPr>
        <w:t>(Cohen &amp; Levinthal, 1990; Nieto &amp; Quevedo, 2005; Tsai, 2001)</w:t>
      </w:r>
      <w:r w:rsidRPr="00661B0A">
        <w:rPr>
          <w:rFonts w:ascii="Times New Roman" w:hAnsi="Times New Roman" w:cs="Times New Roman"/>
          <w:bCs/>
          <w:sz w:val="24"/>
          <w:szCs w:val="24"/>
        </w:rPr>
        <w:fldChar w:fldCharType="end"/>
      </w:r>
      <w:r w:rsidRPr="00661B0A">
        <w:rPr>
          <w:rFonts w:ascii="Times New Roman" w:hAnsi="Times New Roman" w:cs="Times New Roman"/>
          <w:bCs/>
          <w:sz w:val="24"/>
          <w:szCs w:val="24"/>
        </w:rPr>
        <w:t xml:space="preserve">, we measured absorptive capacity as the as average </w:t>
      </w:r>
      <w:r w:rsidRPr="00661B0A">
        <w:rPr>
          <w:rFonts w:ascii="Times New Roman" w:hAnsi="Times New Roman" w:cs="Times New Roman"/>
          <w:bCs/>
          <w:i/>
          <w:iCs/>
          <w:sz w:val="24"/>
          <w:szCs w:val="24"/>
        </w:rPr>
        <w:t>R&amp;D intensity</w:t>
      </w:r>
      <w:r w:rsidRPr="00661B0A">
        <w:rPr>
          <w:rFonts w:ascii="Times New Roman" w:hAnsi="Times New Roman" w:cs="Times New Roman"/>
          <w:bCs/>
          <w:sz w:val="24"/>
          <w:szCs w:val="24"/>
        </w:rPr>
        <w:t xml:space="preserve"> during last five years and reconducted the analysis. We found support for H2a (β</w:t>
      </w:r>
      <w:r w:rsidRPr="00661B0A">
        <w:rPr>
          <w:rFonts w:ascii="Times New Roman" w:hAnsi="Times New Roman" w:cs="Times New Roman"/>
          <w:bCs/>
          <w:sz w:val="24"/>
          <w:szCs w:val="24"/>
          <w:vertAlign w:val="subscript"/>
        </w:rPr>
        <w:t>Tobin’s Q</w:t>
      </w:r>
      <w:r w:rsidRPr="00661B0A">
        <w:rPr>
          <w:rFonts w:ascii="Times New Roman" w:hAnsi="Times New Roman" w:cs="Times New Roman"/>
          <w:bCs/>
          <w:sz w:val="24"/>
          <w:szCs w:val="24"/>
        </w:rPr>
        <w:t xml:space="preserve"> = 0.044, p &lt; 0.05; β</w:t>
      </w:r>
      <w:r w:rsidRPr="00661B0A">
        <w:rPr>
          <w:rFonts w:ascii="Times New Roman" w:hAnsi="Times New Roman" w:cs="Times New Roman"/>
          <w:bCs/>
          <w:sz w:val="24"/>
          <w:szCs w:val="24"/>
          <w:vertAlign w:val="subscript"/>
        </w:rPr>
        <w:t>ROA</w:t>
      </w:r>
      <w:r w:rsidRPr="00661B0A">
        <w:rPr>
          <w:rFonts w:ascii="Times New Roman" w:hAnsi="Times New Roman" w:cs="Times New Roman"/>
          <w:bCs/>
          <w:sz w:val="24"/>
          <w:szCs w:val="24"/>
        </w:rPr>
        <w:t xml:space="preserve"> = 0.003, p &lt; 0.01), but not for other hypotheses</w:t>
      </w:r>
      <w:r w:rsidRPr="00661B0A">
        <w:rPr>
          <w:rFonts w:ascii="Times New Roman" w:eastAsiaTheme="minorEastAsia" w:hAnsi="Times New Roman" w:cs="Times New Roman"/>
          <w:sz w:val="24"/>
          <w:szCs w:val="24"/>
        </w:rPr>
        <w:t xml:space="preserve">. </w:t>
      </w:r>
      <w:r w:rsidRPr="00661B0A">
        <w:rPr>
          <w:rFonts w:ascii="Times New Roman" w:hAnsi="Times New Roman" w:cs="Times New Roman"/>
          <w:bCs/>
          <w:sz w:val="24"/>
          <w:szCs w:val="24"/>
        </w:rPr>
        <w:t xml:space="preserve">In sum, our findings were broadly robust to both alternative estimation technique and alternative measures of absorptive capacity. </w:t>
      </w:r>
    </w:p>
    <w:p w14:paraId="58DA7610" w14:textId="77777777" w:rsidR="00331AB6" w:rsidRPr="00661B0A" w:rsidRDefault="00331AB6" w:rsidP="00331AB6">
      <w:pPr>
        <w:spacing w:after="0" w:line="480" w:lineRule="auto"/>
        <w:ind w:firstLine="720"/>
        <w:rPr>
          <w:rFonts w:ascii="Times New Roman" w:eastAsiaTheme="minorEastAsia" w:hAnsi="Times New Roman" w:cs="Times New Roman"/>
          <w:sz w:val="24"/>
          <w:szCs w:val="24"/>
        </w:rPr>
      </w:pPr>
      <w:r w:rsidRPr="00661B0A">
        <w:rPr>
          <w:rFonts w:ascii="Times New Roman" w:hAnsi="Times New Roman" w:cs="Times New Roman"/>
          <w:bCs/>
          <w:sz w:val="24"/>
          <w:szCs w:val="24"/>
        </w:rPr>
        <w:t>Finally, to check sensitivity of our findings with respect to the time frame (i.e., ten-year window) used to measure diversification experiences, we re-examined our hypotheses after considering five-year and fifteen-year time window to measure product and international diversification experiences and their unrelatedness. Our findings remained similar with the alternative operationalization of experience.</w:t>
      </w:r>
    </w:p>
    <w:p w14:paraId="4FF01F73" w14:textId="77777777" w:rsidR="00331AB6" w:rsidRPr="00661B0A" w:rsidRDefault="00331AB6" w:rsidP="00331AB6">
      <w:pPr>
        <w:spacing w:after="0" w:line="480" w:lineRule="auto"/>
        <w:rPr>
          <w:rFonts w:ascii="Times New Roman" w:eastAsiaTheme="minorEastAsia" w:hAnsi="Times New Roman" w:cs="Times New Roman"/>
          <w:sz w:val="24"/>
          <w:szCs w:val="24"/>
        </w:rPr>
      </w:pPr>
    </w:p>
    <w:p w14:paraId="49F35E3C" w14:textId="77777777" w:rsidR="00331AB6" w:rsidRPr="00E1789A" w:rsidRDefault="00331AB6" w:rsidP="00331AB6">
      <w:pPr>
        <w:spacing w:after="0" w:line="360" w:lineRule="auto"/>
        <w:rPr>
          <w:rFonts w:ascii="Times New Roman" w:eastAsiaTheme="minorEastAsia" w:hAnsi="Times New Roman" w:cs="Times New Roman"/>
          <w:sz w:val="24"/>
          <w:szCs w:val="24"/>
        </w:rPr>
        <w:sectPr w:rsidR="00331AB6" w:rsidRPr="00E1789A">
          <w:pgSz w:w="11906" w:h="16838"/>
          <w:pgMar w:top="1440" w:right="1440" w:bottom="1440" w:left="1440" w:header="708" w:footer="708" w:gutter="0"/>
          <w:cols w:space="708"/>
          <w:docGrid w:linePitch="360"/>
        </w:sectPr>
      </w:pPr>
    </w:p>
    <w:p w14:paraId="18730D60" w14:textId="77777777" w:rsidR="00331AB6" w:rsidRPr="00E1789A" w:rsidRDefault="00331AB6" w:rsidP="00331AB6">
      <w:pPr>
        <w:tabs>
          <w:tab w:val="left" w:pos="2090"/>
        </w:tabs>
        <w:rPr>
          <w:rFonts w:ascii="Times New Roman" w:hAnsi="Times New Roman" w:cs="Times New Roman"/>
          <w:b/>
          <w:bCs/>
          <w:sz w:val="24"/>
          <w:szCs w:val="24"/>
        </w:rPr>
      </w:pPr>
    </w:p>
    <w:tbl>
      <w:tblPr>
        <w:tblW w:w="4775" w:type="pct"/>
        <w:tblLook w:val="0000" w:firstRow="0" w:lastRow="0" w:firstColumn="0" w:lastColumn="0" w:noHBand="0" w:noVBand="0"/>
      </w:tblPr>
      <w:tblGrid>
        <w:gridCol w:w="2819"/>
        <w:gridCol w:w="1051"/>
        <w:gridCol w:w="1053"/>
        <w:gridCol w:w="1053"/>
        <w:gridCol w:w="1050"/>
        <w:gridCol w:w="1053"/>
        <w:gridCol w:w="1050"/>
        <w:gridCol w:w="1053"/>
        <w:gridCol w:w="1053"/>
        <w:gridCol w:w="1050"/>
        <w:gridCol w:w="1045"/>
      </w:tblGrid>
      <w:tr w:rsidR="00331AB6" w:rsidRPr="00E1789A" w14:paraId="4EBEE5E5" w14:textId="77777777" w:rsidTr="00834F5A">
        <w:tc>
          <w:tcPr>
            <w:tcW w:w="5000" w:type="pct"/>
            <w:gridSpan w:val="11"/>
            <w:tcBorders>
              <w:bottom w:val="single" w:sz="4" w:space="0" w:color="auto"/>
            </w:tcBorders>
          </w:tcPr>
          <w:p w14:paraId="10D4CCB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 xml:space="preserve">Table C1. Second </w:t>
            </w:r>
            <w:r>
              <w:rPr>
                <w:rFonts w:ascii="Times New Roman" w:hAnsi="Times New Roman" w:cs="Times New Roman"/>
                <w:sz w:val="16"/>
                <w:szCs w:val="16"/>
                <w:lang w:val="en-US"/>
              </w:rPr>
              <w:t>s</w:t>
            </w:r>
            <w:r w:rsidRPr="00E1789A">
              <w:rPr>
                <w:rFonts w:ascii="Times New Roman" w:hAnsi="Times New Roman" w:cs="Times New Roman"/>
                <w:sz w:val="16"/>
                <w:szCs w:val="16"/>
                <w:lang w:val="en-US"/>
              </w:rPr>
              <w:t xml:space="preserve">tage random-effect models (with robust standard errors) for firm performance (Product </w:t>
            </w:r>
            <w:r>
              <w:rPr>
                <w:rFonts w:ascii="Times New Roman" w:hAnsi="Times New Roman" w:cs="Times New Roman"/>
                <w:sz w:val="16"/>
                <w:szCs w:val="16"/>
                <w:lang w:val="en-US"/>
              </w:rPr>
              <w:t>d</w:t>
            </w:r>
            <w:r w:rsidRPr="00E1789A">
              <w:rPr>
                <w:rFonts w:ascii="Times New Roman" w:hAnsi="Times New Roman" w:cs="Times New Roman"/>
                <w:sz w:val="16"/>
                <w:szCs w:val="16"/>
                <w:lang w:val="en-US"/>
              </w:rPr>
              <w:t xml:space="preserve">iversification </w:t>
            </w:r>
            <w:r>
              <w:rPr>
                <w:rFonts w:ascii="Times New Roman" w:hAnsi="Times New Roman" w:cs="Times New Roman"/>
                <w:sz w:val="16"/>
                <w:szCs w:val="16"/>
                <w:lang w:val="en-US"/>
              </w:rPr>
              <w:t>e</w:t>
            </w:r>
            <w:r w:rsidRPr="00E1789A">
              <w:rPr>
                <w:rFonts w:ascii="Times New Roman" w:hAnsi="Times New Roman" w:cs="Times New Roman"/>
                <w:sz w:val="16"/>
                <w:szCs w:val="16"/>
                <w:lang w:val="en-US"/>
              </w:rPr>
              <w:t>xperience)</w:t>
            </w:r>
          </w:p>
        </w:tc>
      </w:tr>
      <w:tr w:rsidR="00331AB6" w:rsidRPr="00E1789A" w14:paraId="1DD6DD9A" w14:textId="77777777" w:rsidTr="00834F5A">
        <w:tc>
          <w:tcPr>
            <w:tcW w:w="1057" w:type="pct"/>
            <w:tcBorders>
              <w:top w:val="single" w:sz="4" w:space="0" w:color="auto"/>
            </w:tcBorders>
          </w:tcPr>
          <w:p w14:paraId="0C86525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1973" w:type="pct"/>
            <w:gridSpan w:val="5"/>
            <w:tcBorders>
              <w:top w:val="single" w:sz="4" w:space="0" w:color="auto"/>
              <w:bottom w:val="single" w:sz="4" w:space="0" w:color="auto"/>
              <w:right w:val="single" w:sz="4" w:space="0" w:color="auto"/>
            </w:tcBorders>
          </w:tcPr>
          <w:p w14:paraId="1812A14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Tobin’s Q</w:t>
            </w:r>
            <w:r w:rsidRPr="00E1789A">
              <w:rPr>
                <w:rFonts w:ascii="Times New Roman" w:hAnsi="Times New Roman" w:cs="Times New Roman"/>
                <w:sz w:val="16"/>
                <w:szCs w:val="16"/>
                <w:vertAlign w:val="subscript"/>
                <w:lang w:val="en-US"/>
              </w:rPr>
              <w:t>t+1</w:t>
            </w:r>
          </w:p>
        </w:tc>
        <w:tc>
          <w:tcPr>
            <w:tcW w:w="1971" w:type="pct"/>
            <w:gridSpan w:val="5"/>
            <w:tcBorders>
              <w:top w:val="single" w:sz="4" w:space="0" w:color="auto"/>
              <w:left w:val="single" w:sz="4" w:space="0" w:color="auto"/>
              <w:bottom w:val="single" w:sz="4" w:space="0" w:color="auto"/>
            </w:tcBorders>
          </w:tcPr>
          <w:p w14:paraId="1DC15B4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ROA</w:t>
            </w:r>
            <w:r w:rsidRPr="00E1789A">
              <w:rPr>
                <w:rFonts w:ascii="Times New Roman" w:hAnsi="Times New Roman" w:cs="Times New Roman"/>
                <w:sz w:val="16"/>
                <w:szCs w:val="16"/>
                <w:vertAlign w:val="subscript"/>
                <w:lang w:val="en-US"/>
              </w:rPr>
              <w:t>t+1</w:t>
            </w:r>
          </w:p>
        </w:tc>
      </w:tr>
      <w:tr w:rsidR="00331AB6" w:rsidRPr="00E1789A" w14:paraId="2C17670F" w14:textId="77777777" w:rsidTr="00834F5A">
        <w:tc>
          <w:tcPr>
            <w:tcW w:w="1057" w:type="pct"/>
            <w:tcBorders>
              <w:bottom w:val="single" w:sz="4" w:space="0" w:color="auto"/>
            </w:tcBorders>
          </w:tcPr>
          <w:p w14:paraId="570022A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Variable</w:t>
            </w:r>
          </w:p>
        </w:tc>
        <w:tc>
          <w:tcPr>
            <w:tcW w:w="394" w:type="pct"/>
            <w:tcBorders>
              <w:bottom w:val="single" w:sz="4" w:space="0" w:color="auto"/>
            </w:tcBorders>
          </w:tcPr>
          <w:p w14:paraId="3B3D517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w:t>
            </w:r>
          </w:p>
        </w:tc>
        <w:tc>
          <w:tcPr>
            <w:tcW w:w="395" w:type="pct"/>
            <w:tcBorders>
              <w:bottom w:val="single" w:sz="4" w:space="0" w:color="auto"/>
            </w:tcBorders>
          </w:tcPr>
          <w:p w14:paraId="3A6BB11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B2</w:t>
            </w:r>
          </w:p>
        </w:tc>
        <w:tc>
          <w:tcPr>
            <w:tcW w:w="395" w:type="pct"/>
            <w:tcBorders>
              <w:bottom w:val="single" w:sz="4" w:space="0" w:color="auto"/>
            </w:tcBorders>
          </w:tcPr>
          <w:p w14:paraId="50760EF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B3</w:t>
            </w:r>
          </w:p>
        </w:tc>
        <w:tc>
          <w:tcPr>
            <w:tcW w:w="394" w:type="pct"/>
            <w:tcBorders>
              <w:bottom w:val="single" w:sz="4" w:space="0" w:color="auto"/>
            </w:tcBorders>
          </w:tcPr>
          <w:p w14:paraId="5C29998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B4</w:t>
            </w:r>
          </w:p>
        </w:tc>
        <w:tc>
          <w:tcPr>
            <w:tcW w:w="395" w:type="pct"/>
            <w:tcBorders>
              <w:bottom w:val="single" w:sz="4" w:space="0" w:color="auto"/>
              <w:right w:val="single" w:sz="4" w:space="0" w:color="auto"/>
            </w:tcBorders>
          </w:tcPr>
          <w:p w14:paraId="42F3FB4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B5</w:t>
            </w:r>
          </w:p>
        </w:tc>
        <w:tc>
          <w:tcPr>
            <w:tcW w:w="394" w:type="pct"/>
            <w:tcBorders>
              <w:left w:val="single" w:sz="4" w:space="0" w:color="auto"/>
              <w:bottom w:val="single" w:sz="4" w:space="0" w:color="auto"/>
            </w:tcBorders>
          </w:tcPr>
          <w:p w14:paraId="24FAC85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B6</w:t>
            </w:r>
          </w:p>
        </w:tc>
        <w:tc>
          <w:tcPr>
            <w:tcW w:w="395" w:type="pct"/>
            <w:tcBorders>
              <w:bottom w:val="single" w:sz="4" w:space="0" w:color="auto"/>
            </w:tcBorders>
          </w:tcPr>
          <w:p w14:paraId="43E3FE9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B7</w:t>
            </w:r>
          </w:p>
        </w:tc>
        <w:tc>
          <w:tcPr>
            <w:tcW w:w="395" w:type="pct"/>
            <w:tcBorders>
              <w:bottom w:val="single" w:sz="4" w:space="0" w:color="auto"/>
            </w:tcBorders>
          </w:tcPr>
          <w:p w14:paraId="1CAA593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B8</w:t>
            </w:r>
          </w:p>
        </w:tc>
        <w:tc>
          <w:tcPr>
            <w:tcW w:w="394" w:type="pct"/>
            <w:tcBorders>
              <w:bottom w:val="single" w:sz="4" w:space="0" w:color="auto"/>
            </w:tcBorders>
          </w:tcPr>
          <w:p w14:paraId="4E2D90E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B9</w:t>
            </w:r>
          </w:p>
        </w:tc>
        <w:tc>
          <w:tcPr>
            <w:tcW w:w="392" w:type="pct"/>
            <w:tcBorders>
              <w:bottom w:val="single" w:sz="4" w:space="0" w:color="auto"/>
            </w:tcBorders>
          </w:tcPr>
          <w:p w14:paraId="451E07A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B10</w:t>
            </w:r>
          </w:p>
        </w:tc>
      </w:tr>
      <w:tr w:rsidR="00331AB6" w:rsidRPr="00E1789A" w14:paraId="76F1AE47" w14:textId="77777777" w:rsidTr="00834F5A">
        <w:tc>
          <w:tcPr>
            <w:tcW w:w="1057" w:type="pct"/>
            <w:tcBorders>
              <w:top w:val="single" w:sz="4" w:space="0" w:color="auto"/>
            </w:tcBorders>
          </w:tcPr>
          <w:p w14:paraId="18D96D7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size</w:t>
            </w:r>
          </w:p>
        </w:tc>
        <w:tc>
          <w:tcPr>
            <w:tcW w:w="394" w:type="pct"/>
            <w:tcBorders>
              <w:top w:val="single" w:sz="4" w:space="0" w:color="auto"/>
            </w:tcBorders>
          </w:tcPr>
          <w:p w14:paraId="684823F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-0.362</w:t>
            </w:r>
            <w:r w:rsidRPr="00E1789A">
              <w:rPr>
                <w:rFonts w:ascii="Times New Roman" w:hAnsi="Times New Roman" w:cs="Times New Roman"/>
                <w:sz w:val="16"/>
                <w:szCs w:val="16"/>
                <w:vertAlign w:val="superscript"/>
                <w:lang w:val="en-US"/>
              </w:rPr>
              <w:t>*</w:t>
            </w:r>
          </w:p>
        </w:tc>
        <w:tc>
          <w:tcPr>
            <w:tcW w:w="395" w:type="pct"/>
            <w:tcBorders>
              <w:top w:val="single" w:sz="4" w:space="0" w:color="auto"/>
            </w:tcBorders>
          </w:tcPr>
          <w:p w14:paraId="3299E45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-0.305</w:t>
            </w:r>
            <w:r w:rsidRPr="00E1789A">
              <w:rPr>
                <w:rFonts w:ascii="Times New Roman" w:hAnsi="Times New Roman" w:cs="Times New Roman"/>
                <w:sz w:val="16"/>
                <w:szCs w:val="16"/>
                <w:vertAlign w:val="superscript"/>
                <w:lang w:val="en-US"/>
              </w:rPr>
              <w:t>*</w:t>
            </w:r>
          </w:p>
        </w:tc>
        <w:tc>
          <w:tcPr>
            <w:tcW w:w="395" w:type="pct"/>
            <w:tcBorders>
              <w:top w:val="single" w:sz="4" w:space="0" w:color="auto"/>
            </w:tcBorders>
          </w:tcPr>
          <w:p w14:paraId="54D9133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-0.297</w:t>
            </w:r>
            <w:r w:rsidRPr="00E1789A">
              <w:rPr>
                <w:rFonts w:ascii="Times New Roman" w:hAnsi="Times New Roman" w:cs="Times New Roman"/>
                <w:sz w:val="16"/>
                <w:szCs w:val="16"/>
                <w:vertAlign w:val="superscript"/>
                <w:lang w:val="en-US"/>
              </w:rPr>
              <w:t>**</w:t>
            </w:r>
          </w:p>
        </w:tc>
        <w:tc>
          <w:tcPr>
            <w:tcW w:w="394" w:type="pct"/>
            <w:tcBorders>
              <w:top w:val="single" w:sz="4" w:space="0" w:color="auto"/>
            </w:tcBorders>
          </w:tcPr>
          <w:p w14:paraId="26C27D9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-0.315</w:t>
            </w:r>
            <w:r w:rsidRPr="00E1789A">
              <w:rPr>
                <w:rFonts w:ascii="Times New Roman" w:hAnsi="Times New Roman" w:cs="Times New Roman"/>
                <w:sz w:val="16"/>
                <w:szCs w:val="16"/>
                <w:vertAlign w:val="superscript"/>
                <w:lang w:val="en-US"/>
              </w:rPr>
              <w:t>*</w:t>
            </w:r>
          </w:p>
        </w:tc>
        <w:tc>
          <w:tcPr>
            <w:tcW w:w="395" w:type="pct"/>
            <w:tcBorders>
              <w:top w:val="single" w:sz="4" w:space="0" w:color="auto"/>
              <w:right w:val="single" w:sz="4" w:space="0" w:color="auto"/>
            </w:tcBorders>
          </w:tcPr>
          <w:p w14:paraId="0E580F0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-0.306</w:t>
            </w:r>
            <w:r w:rsidRPr="00E1789A">
              <w:rPr>
                <w:rFonts w:ascii="Times New Roman" w:hAnsi="Times New Roman" w:cs="Times New Roman"/>
                <w:sz w:val="16"/>
                <w:szCs w:val="16"/>
                <w:vertAlign w:val="superscript"/>
                <w:lang w:val="en-US"/>
              </w:rPr>
              <w:t>**</w:t>
            </w:r>
          </w:p>
        </w:tc>
        <w:tc>
          <w:tcPr>
            <w:tcW w:w="394" w:type="pct"/>
            <w:tcBorders>
              <w:top w:val="single" w:sz="4" w:space="0" w:color="auto"/>
              <w:left w:val="single" w:sz="4" w:space="0" w:color="auto"/>
            </w:tcBorders>
          </w:tcPr>
          <w:p w14:paraId="634624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5" w:type="pct"/>
            <w:tcBorders>
              <w:top w:val="single" w:sz="4" w:space="0" w:color="auto"/>
            </w:tcBorders>
          </w:tcPr>
          <w:p w14:paraId="14EDD7E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95" w:type="pct"/>
            <w:tcBorders>
              <w:top w:val="single" w:sz="4" w:space="0" w:color="auto"/>
            </w:tcBorders>
          </w:tcPr>
          <w:p w14:paraId="03819EA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394" w:type="pct"/>
            <w:tcBorders>
              <w:top w:val="single" w:sz="4" w:space="0" w:color="auto"/>
            </w:tcBorders>
          </w:tcPr>
          <w:p w14:paraId="1EAF3FD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92" w:type="pct"/>
            <w:tcBorders>
              <w:top w:val="single" w:sz="4" w:space="0" w:color="auto"/>
            </w:tcBorders>
          </w:tcPr>
          <w:p w14:paraId="442FC05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r>
      <w:tr w:rsidR="00331AB6" w:rsidRPr="00E1789A" w14:paraId="3191C756" w14:textId="77777777" w:rsidTr="00834F5A">
        <w:tc>
          <w:tcPr>
            <w:tcW w:w="1057" w:type="pct"/>
          </w:tcPr>
          <w:p w14:paraId="30B7C53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1516A14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(0.141)</w:t>
            </w:r>
          </w:p>
        </w:tc>
        <w:tc>
          <w:tcPr>
            <w:tcW w:w="395" w:type="pct"/>
          </w:tcPr>
          <w:p w14:paraId="2036251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(0.127)</w:t>
            </w:r>
          </w:p>
        </w:tc>
        <w:tc>
          <w:tcPr>
            <w:tcW w:w="395" w:type="pct"/>
          </w:tcPr>
          <w:p w14:paraId="583AC13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(0.111)</w:t>
            </w:r>
          </w:p>
        </w:tc>
        <w:tc>
          <w:tcPr>
            <w:tcW w:w="394" w:type="pct"/>
          </w:tcPr>
          <w:p w14:paraId="6112781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(0.129)</w:t>
            </w:r>
          </w:p>
        </w:tc>
        <w:tc>
          <w:tcPr>
            <w:tcW w:w="395" w:type="pct"/>
            <w:tcBorders>
              <w:right w:val="single" w:sz="4" w:space="0" w:color="auto"/>
            </w:tcBorders>
          </w:tcPr>
          <w:p w14:paraId="1C9553B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394" w:type="pct"/>
            <w:tcBorders>
              <w:left w:val="single" w:sz="4" w:space="0" w:color="auto"/>
            </w:tcBorders>
          </w:tcPr>
          <w:p w14:paraId="27BA1D2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5" w:type="pct"/>
          </w:tcPr>
          <w:p w14:paraId="29FE24E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5" w:type="pct"/>
          </w:tcPr>
          <w:p w14:paraId="15DBB9A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4" w:type="pct"/>
          </w:tcPr>
          <w:p w14:paraId="296DBA1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2" w:type="pct"/>
          </w:tcPr>
          <w:p w14:paraId="71890BA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r>
      <w:tr w:rsidR="00331AB6" w:rsidRPr="00E1789A" w14:paraId="3616CC7D" w14:textId="77777777" w:rsidTr="00834F5A">
        <w:tc>
          <w:tcPr>
            <w:tcW w:w="1057" w:type="pct"/>
          </w:tcPr>
          <w:p w14:paraId="4098FFD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age</w:t>
            </w:r>
          </w:p>
        </w:tc>
        <w:tc>
          <w:tcPr>
            <w:tcW w:w="394" w:type="pct"/>
          </w:tcPr>
          <w:p w14:paraId="489BAD8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-0.538</w:t>
            </w:r>
            <w:r w:rsidRPr="00E1789A">
              <w:rPr>
                <w:rFonts w:ascii="Times New Roman" w:hAnsi="Times New Roman" w:cs="Times New Roman"/>
                <w:sz w:val="16"/>
                <w:szCs w:val="16"/>
                <w:vertAlign w:val="superscript"/>
                <w:lang w:val="en-US"/>
              </w:rPr>
              <w:t>+</w:t>
            </w:r>
          </w:p>
        </w:tc>
        <w:tc>
          <w:tcPr>
            <w:tcW w:w="395" w:type="pct"/>
          </w:tcPr>
          <w:p w14:paraId="175CE66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-0.471</w:t>
            </w:r>
          </w:p>
        </w:tc>
        <w:tc>
          <w:tcPr>
            <w:tcW w:w="395" w:type="pct"/>
          </w:tcPr>
          <w:p w14:paraId="61FF55B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-0.444</w:t>
            </w:r>
            <w:r w:rsidRPr="00E1789A">
              <w:rPr>
                <w:rFonts w:ascii="Times New Roman" w:hAnsi="Times New Roman" w:cs="Times New Roman"/>
                <w:sz w:val="16"/>
                <w:szCs w:val="16"/>
                <w:vertAlign w:val="superscript"/>
                <w:lang w:val="en-US"/>
              </w:rPr>
              <w:t>+</w:t>
            </w:r>
          </w:p>
        </w:tc>
        <w:tc>
          <w:tcPr>
            <w:tcW w:w="394" w:type="pct"/>
          </w:tcPr>
          <w:p w14:paraId="1B87D04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-0.473</w:t>
            </w:r>
          </w:p>
        </w:tc>
        <w:tc>
          <w:tcPr>
            <w:tcW w:w="395" w:type="pct"/>
            <w:tcBorders>
              <w:right w:val="single" w:sz="4" w:space="0" w:color="auto"/>
            </w:tcBorders>
          </w:tcPr>
          <w:p w14:paraId="444D1CB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-0.445</w:t>
            </w:r>
            <w:r w:rsidRPr="00E1789A">
              <w:rPr>
                <w:rFonts w:ascii="Times New Roman" w:hAnsi="Times New Roman" w:cs="Times New Roman"/>
                <w:sz w:val="16"/>
                <w:szCs w:val="16"/>
                <w:vertAlign w:val="superscript"/>
                <w:lang w:val="en-US"/>
              </w:rPr>
              <w:t>+</w:t>
            </w:r>
          </w:p>
        </w:tc>
        <w:tc>
          <w:tcPr>
            <w:tcW w:w="394" w:type="pct"/>
            <w:tcBorders>
              <w:left w:val="single" w:sz="4" w:space="0" w:color="auto"/>
            </w:tcBorders>
          </w:tcPr>
          <w:p w14:paraId="5D54514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95" w:type="pct"/>
          </w:tcPr>
          <w:p w14:paraId="06C0049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0.016</w:t>
            </w:r>
          </w:p>
        </w:tc>
        <w:tc>
          <w:tcPr>
            <w:tcW w:w="395" w:type="pct"/>
          </w:tcPr>
          <w:p w14:paraId="0F7CD3E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0.015</w:t>
            </w:r>
          </w:p>
        </w:tc>
        <w:tc>
          <w:tcPr>
            <w:tcW w:w="394" w:type="pct"/>
          </w:tcPr>
          <w:p w14:paraId="42D8E2A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0.016</w:t>
            </w:r>
          </w:p>
        </w:tc>
        <w:tc>
          <w:tcPr>
            <w:tcW w:w="392" w:type="pct"/>
          </w:tcPr>
          <w:p w14:paraId="157B4BC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0.015</w:t>
            </w:r>
          </w:p>
        </w:tc>
      </w:tr>
      <w:tr w:rsidR="00331AB6" w:rsidRPr="00E1789A" w14:paraId="744BD755" w14:textId="77777777" w:rsidTr="00834F5A">
        <w:tc>
          <w:tcPr>
            <w:tcW w:w="1057" w:type="pct"/>
          </w:tcPr>
          <w:p w14:paraId="23AF9DE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234A174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(0.307)</w:t>
            </w:r>
          </w:p>
        </w:tc>
        <w:tc>
          <w:tcPr>
            <w:tcW w:w="395" w:type="pct"/>
          </w:tcPr>
          <w:p w14:paraId="6C6C405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(0.288)</w:t>
            </w:r>
          </w:p>
        </w:tc>
        <w:tc>
          <w:tcPr>
            <w:tcW w:w="395" w:type="pct"/>
          </w:tcPr>
          <w:p w14:paraId="0FECDD8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(0.249)</w:t>
            </w:r>
          </w:p>
        </w:tc>
        <w:tc>
          <w:tcPr>
            <w:tcW w:w="394" w:type="pct"/>
          </w:tcPr>
          <w:p w14:paraId="0CFBB6E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(0.289)</w:t>
            </w:r>
          </w:p>
        </w:tc>
        <w:tc>
          <w:tcPr>
            <w:tcW w:w="395" w:type="pct"/>
            <w:tcBorders>
              <w:right w:val="single" w:sz="4" w:space="0" w:color="auto"/>
            </w:tcBorders>
          </w:tcPr>
          <w:p w14:paraId="2FA45F2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(0.250)</w:t>
            </w:r>
          </w:p>
        </w:tc>
        <w:tc>
          <w:tcPr>
            <w:tcW w:w="394" w:type="pct"/>
            <w:tcBorders>
              <w:left w:val="single" w:sz="4" w:space="0" w:color="auto"/>
            </w:tcBorders>
          </w:tcPr>
          <w:p w14:paraId="4FE2836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5" w:type="pct"/>
          </w:tcPr>
          <w:p w14:paraId="3FD8D1E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95" w:type="pct"/>
          </w:tcPr>
          <w:p w14:paraId="7BF9549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94" w:type="pct"/>
          </w:tcPr>
          <w:p w14:paraId="272E541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92" w:type="pct"/>
          </w:tcPr>
          <w:p w14:paraId="375C8AF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(0.014)</w:t>
            </w:r>
          </w:p>
        </w:tc>
      </w:tr>
      <w:tr w:rsidR="00331AB6" w:rsidRPr="00E1789A" w14:paraId="10AA89EE" w14:textId="77777777" w:rsidTr="00834F5A">
        <w:tc>
          <w:tcPr>
            <w:tcW w:w="1057" w:type="pct"/>
          </w:tcPr>
          <w:p w14:paraId="1C90BB2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Leverage</w:t>
            </w:r>
          </w:p>
        </w:tc>
        <w:tc>
          <w:tcPr>
            <w:tcW w:w="394" w:type="pct"/>
          </w:tcPr>
          <w:p w14:paraId="7768E14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5" w:type="pct"/>
          </w:tcPr>
          <w:p w14:paraId="0D97EC7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5" w:type="pct"/>
          </w:tcPr>
          <w:p w14:paraId="185657A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4" w:type="pct"/>
          </w:tcPr>
          <w:p w14:paraId="436CBE9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5" w:type="pct"/>
            <w:tcBorders>
              <w:right w:val="single" w:sz="4" w:space="0" w:color="auto"/>
            </w:tcBorders>
          </w:tcPr>
          <w:p w14:paraId="3DD961E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4" w:type="pct"/>
            <w:tcBorders>
              <w:left w:val="single" w:sz="4" w:space="0" w:color="auto"/>
            </w:tcBorders>
          </w:tcPr>
          <w:p w14:paraId="578EB99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Pr>
          <w:p w14:paraId="197265F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Pr>
          <w:p w14:paraId="54BE909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4" w:type="pct"/>
          </w:tcPr>
          <w:p w14:paraId="2DBDE53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2" w:type="pct"/>
          </w:tcPr>
          <w:p w14:paraId="690F728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33A65494" w14:textId="77777777" w:rsidTr="00834F5A">
        <w:tc>
          <w:tcPr>
            <w:tcW w:w="1057" w:type="pct"/>
          </w:tcPr>
          <w:p w14:paraId="797A28D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5E7E38A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5" w:type="pct"/>
          </w:tcPr>
          <w:p w14:paraId="2B4FD8C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5" w:type="pct"/>
          </w:tcPr>
          <w:p w14:paraId="313B0A2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4" w:type="pct"/>
          </w:tcPr>
          <w:p w14:paraId="410244A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5" w:type="pct"/>
            <w:tcBorders>
              <w:right w:val="single" w:sz="4" w:space="0" w:color="auto"/>
            </w:tcBorders>
          </w:tcPr>
          <w:p w14:paraId="0F11830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4" w:type="pct"/>
            <w:tcBorders>
              <w:left w:val="single" w:sz="4" w:space="0" w:color="auto"/>
            </w:tcBorders>
          </w:tcPr>
          <w:p w14:paraId="2DDB954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Pr>
          <w:p w14:paraId="5BF9BAE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Pr>
          <w:p w14:paraId="1684E78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4" w:type="pct"/>
          </w:tcPr>
          <w:p w14:paraId="03B3AA5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2" w:type="pct"/>
          </w:tcPr>
          <w:p w14:paraId="1E9ACC8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1FE5D7CC" w14:textId="77777777" w:rsidTr="00834F5A">
        <w:tc>
          <w:tcPr>
            <w:tcW w:w="1057" w:type="pct"/>
          </w:tcPr>
          <w:p w14:paraId="0F07885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Knowledge stock</w:t>
            </w:r>
          </w:p>
        </w:tc>
        <w:tc>
          <w:tcPr>
            <w:tcW w:w="394" w:type="pct"/>
          </w:tcPr>
          <w:p w14:paraId="2F0510A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0.266</w:t>
            </w:r>
            <w:r w:rsidRPr="00E1789A">
              <w:rPr>
                <w:rFonts w:ascii="Times New Roman" w:hAnsi="Times New Roman" w:cs="Times New Roman"/>
                <w:sz w:val="16"/>
                <w:szCs w:val="16"/>
                <w:vertAlign w:val="superscript"/>
                <w:lang w:val="en-US"/>
              </w:rPr>
              <w:t>*</w:t>
            </w:r>
          </w:p>
        </w:tc>
        <w:tc>
          <w:tcPr>
            <w:tcW w:w="395" w:type="pct"/>
          </w:tcPr>
          <w:p w14:paraId="705D656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0.303</w:t>
            </w:r>
            <w:r w:rsidRPr="00E1789A">
              <w:rPr>
                <w:rFonts w:ascii="Times New Roman" w:hAnsi="Times New Roman" w:cs="Times New Roman"/>
                <w:sz w:val="16"/>
                <w:szCs w:val="16"/>
                <w:vertAlign w:val="superscript"/>
                <w:lang w:val="en-US"/>
              </w:rPr>
              <w:t>*</w:t>
            </w:r>
          </w:p>
        </w:tc>
        <w:tc>
          <w:tcPr>
            <w:tcW w:w="395" w:type="pct"/>
          </w:tcPr>
          <w:p w14:paraId="4A0744B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0.332</w:t>
            </w:r>
          </w:p>
        </w:tc>
        <w:tc>
          <w:tcPr>
            <w:tcW w:w="394" w:type="pct"/>
          </w:tcPr>
          <w:p w14:paraId="13E3A10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0.308</w:t>
            </w:r>
            <w:r w:rsidRPr="00E1789A">
              <w:rPr>
                <w:rFonts w:ascii="Times New Roman" w:hAnsi="Times New Roman" w:cs="Times New Roman"/>
                <w:sz w:val="16"/>
                <w:szCs w:val="16"/>
                <w:vertAlign w:val="superscript"/>
                <w:lang w:val="en-US"/>
              </w:rPr>
              <w:t>*</w:t>
            </w:r>
          </w:p>
        </w:tc>
        <w:tc>
          <w:tcPr>
            <w:tcW w:w="395" w:type="pct"/>
            <w:tcBorders>
              <w:right w:val="single" w:sz="4" w:space="0" w:color="auto"/>
            </w:tcBorders>
          </w:tcPr>
          <w:p w14:paraId="1EA4879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0.338</w:t>
            </w:r>
            <w:r w:rsidRPr="00E1789A">
              <w:rPr>
                <w:rFonts w:ascii="Times New Roman" w:hAnsi="Times New Roman" w:cs="Times New Roman"/>
                <w:sz w:val="16"/>
                <w:szCs w:val="16"/>
                <w:vertAlign w:val="superscript"/>
                <w:lang w:val="en-US"/>
              </w:rPr>
              <w:t>+</w:t>
            </w:r>
          </w:p>
        </w:tc>
        <w:tc>
          <w:tcPr>
            <w:tcW w:w="394" w:type="pct"/>
            <w:tcBorders>
              <w:left w:val="single" w:sz="4" w:space="0" w:color="auto"/>
            </w:tcBorders>
          </w:tcPr>
          <w:p w14:paraId="28F3939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5" w:type="pct"/>
          </w:tcPr>
          <w:p w14:paraId="2371BD8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r w:rsidRPr="00E1789A">
              <w:rPr>
                <w:rFonts w:ascii="Times New Roman" w:hAnsi="Times New Roman" w:cs="Times New Roman"/>
                <w:sz w:val="16"/>
                <w:szCs w:val="16"/>
                <w:vertAlign w:val="superscript"/>
                <w:lang w:val="en-US"/>
              </w:rPr>
              <w:t>*</w:t>
            </w:r>
          </w:p>
        </w:tc>
        <w:tc>
          <w:tcPr>
            <w:tcW w:w="395" w:type="pct"/>
          </w:tcPr>
          <w:p w14:paraId="5D7FD9C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4" w:type="pct"/>
          </w:tcPr>
          <w:p w14:paraId="0CD3627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r w:rsidRPr="00E1789A">
              <w:rPr>
                <w:rFonts w:ascii="Times New Roman" w:hAnsi="Times New Roman" w:cs="Times New Roman"/>
                <w:sz w:val="16"/>
                <w:szCs w:val="16"/>
                <w:vertAlign w:val="superscript"/>
                <w:lang w:val="en-US"/>
              </w:rPr>
              <w:t>*</w:t>
            </w:r>
          </w:p>
        </w:tc>
        <w:tc>
          <w:tcPr>
            <w:tcW w:w="392" w:type="pct"/>
          </w:tcPr>
          <w:p w14:paraId="2474622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451274ED" w14:textId="77777777" w:rsidTr="00834F5A">
        <w:tc>
          <w:tcPr>
            <w:tcW w:w="1057" w:type="pct"/>
          </w:tcPr>
          <w:p w14:paraId="4F9462F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0AA6280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(0.131)</w:t>
            </w:r>
          </w:p>
        </w:tc>
        <w:tc>
          <w:tcPr>
            <w:tcW w:w="395" w:type="pct"/>
          </w:tcPr>
          <w:p w14:paraId="235A5D2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(0.138)</w:t>
            </w:r>
          </w:p>
        </w:tc>
        <w:tc>
          <w:tcPr>
            <w:tcW w:w="395" w:type="pct"/>
          </w:tcPr>
          <w:p w14:paraId="5CB4550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(0.205)</w:t>
            </w:r>
          </w:p>
        </w:tc>
        <w:tc>
          <w:tcPr>
            <w:tcW w:w="394" w:type="pct"/>
          </w:tcPr>
          <w:p w14:paraId="0D2E6EF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(0.139)</w:t>
            </w:r>
          </w:p>
        </w:tc>
        <w:tc>
          <w:tcPr>
            <w:tcW w:w="395" w:type="pct"/>
            <w:tcBorders>
              <w:right w:val="single" w:sz="4" w:space="0" w:color="auto"/>
            </w:tcBorders>
          </w:tcPr>
          <w:p w14:paraId="4963E4E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(0.205)</w:t>
            </w:r>
          </w:p>
        </w:tc>
        <w:tc>
          <w:tcPr>
            <w:tcW w:w="394" w:type="pct"/>
            <w:tcBorders>
              <w:left w:val="single" w:sz="4" w:space="0" w:color="auto"/>
            </w:tcBorders>
          </w:tcPr>
          <w:p w14:paraId="18505BD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5" w:type="pct"/>
          </w:tcPr>
          <w:p w14:paraId="5DE0014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5" w:type="pct"/>
          </w:tcPr>
          <w:p w14:paraId="759CCC4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4" w:type="pct"/>
          </w:tcPr>
          <w:p w14:paraId="1B561D2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2" w:type="pct"/>
          </w:tcPr>
          <w:p w14:paraId="51A86AB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3ED77CB4" w14:textId="77777777" w:rsidTr="00834F5A">
        <w:tc>
          <w:tcPr>
            <w:tcW w:w="1057" w:type="pct"/>
          </w:tcPr>
          <w:p w14:paraId="701C736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Current ratio</w:t>
            </w:r>
          </w:p>
        </w:tc>
        <w:tc>
          <w:tcPr>
            <w:tcW w:w="394" w:type="pct"/>
          </w:tcPr>
          <w:p w14:paraId="0E83FEF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0.210</w:t>
            </w:r>
            <w:r w:rsidRPr="00E1789A">
              <w:rPr>
                <w:rFonts w:ascii="Times New Roman" w:hAnsi="Times New Roman" w:cs="Times New Roman"/>
                <w:sz w:val="16"/>
                <w:szCs w:val="16"/>
                <w:vertAlign w:val="superscript"/>
                <w:lang w:val="en-US"/>
              </w:rPr>
              <w:t>+</w:t>
            </w:r>
          </w:p>
        </w:tc>
        <w:tc>
          <w:tcPr>
            <w:tcW w:w="395" w:type="pct"/>
          </w:tcPr>
          <w:p w14:paraId="78D8838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0.229</w:t>
            </w:r>
            <w:r w:rsidRPr="00E1789A">
              <w:rPr>
                <w:rFonts w:ascii="Times New Roman" w:hAnsi="Times New Roman" w:cs="Times New Roman"/>
                <w:sz w:val="16"/>
                <w:szCs w:val="16"/>
                <w:vertAlign w:val="superscript"/>
                <w:lang w:val="en-US"/>
              </w:rPr>
              <w:t>*</w:t>
            </w:r>
          </w:p>
        </w:tc>
        <w:tc>
          <w:tcPr>
            <w:tcW w:w="395" w:type="pct"/>
          </w:tcPr>
          <w:p w14:paraId="253A7DF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0.231</w:t>
            </w:r>
            <w:r w:rsidRPr="00E1789A">
              <w:rPr>
                <w:rFonts w:ascii="Times New Roman" w:hAnsi="Times New Roman" w:cs="Times New Roman"/>
                <w:sz w:val="16"/>
                <w:szCs w:val="16"/>
                <w:vertAlign w:val="superscript"/>
                <w:lang w:val="en-US"/>
              </w:rPr>
              <w:t>*</w:t>
            </w:r>
          </w:p>
        </w:tc>
        <w:tc>
          <w:tcPr>
            <w:tcW w:w="394" w:type="pct"/>
          </w:tcPr>
          <w:p w14:paraId="4FFEBE3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0.228</w:t>
            </w:r>
            <w:r w:rsidRPr="00E1789A">
              <w:rPr>
                <w:rFonts w:ascii="Times New Roman" w:hAnsi="Times New Roman" w:cs="Times New Roman"/>
                <w:sz w:val="16"/>
                <w:szCs w:val="16"/>
                <w:vertAlign w:val="superscript"/>
                <w:lang w:val="en-US"/>
              </w:rPr>
              <w:t>*</w:t>
            </w:r>
          </w:p>
        </w:tc>
        <w:tc>
          <w:tcPr>
            <w:tcW w:w="395" w:type="pct"/>
            <w:tcBorders>
              <w:right w:val="single" w:sz="4" w:space="0" w:color="auto"/>
            </w:tcBorders>
          </w:tcPr>
          <w:p w14:paraId="7AD38C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0.230</w:t>
            </w:r>
            <w:r w:rsidRPr="00E1789A">
              <w:rPr>
                <w:rFonts w:ascii="Times New Roman" w:hAnsi="Times New Roman" w:cs="Times New Roman"/>
                <w:sz w:val="16"/>
                <w:szCs w:val="16"/>
                <w:vertAlign w:val="superscript"/>
                <w:lang w:val="en-US"/>
              </w:rPr>
              <w:t>*</w:t>
            </w:r>
          </w:p>
        </w:tc>
        <w:tc>
          <w:tcPr>
            <w:tcW w:w="394" w:type="pct"/>
            <w:tcBorders>
              <w:left w:val="single" w:sz="4" w:space="0" w:color="auto"/>
            </w:tcBorders>
          </w:tcPr>
          <w:p w14:paraId="20B1EE8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95" w:type="pct"/>
          </w:tcPr>
          <w:p w14:paraId="65177B7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0.067</w:t>
            </w:r>
            <w:r w:rsidRPr="00E1789A">
              <w:rPr>
                <w:rFonts w:ascii="Times New Roman" w:hAnsi="Times New Roman" w:cs="Times New Roman"/>
                <w:sz w:val="16"/>
                <w:szCs w:val="16"/>
                <w:vertAlign w:val="superscript"/>
                <w:lang w:val="en-US"/>
              </w:rPr>
              <w:t>**</w:t>
            </w:r>
          </w:p>
        </w:tc>
        <w:tc>
          <w:tcPr>
            <w:tcW w:w="395" w:type="pct"/>
          </w:tcPr>
          <w:p w14:paraId="50E9663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0.067</w:t>
            </w:r>
            <w:r w:rsidRPr="00E1789A">
              <w:rPr>
                <w:rFonts w:ascii="Times New Roman" w:hAnsi="Times New Roman" w:cs="Times New Roman"/>
                <w:sz w:val="16"/>
                <w:szCs w:val="16"/>
                <w:vertAlign w:val="superscript"/>
                <w:lang w:val="en-US"/>
              </w:rPr>
              <w:t>**</w:t>
            </w:r>
          </w:p>
        </w:tc>
        <w:tc>
          <w:tcPr>
            <w:tcW w:w="394" w:type="pct"/>
          </w:tcPr>
          <w:p w14:paraId="2502425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0.067</w:t>
            </w:r>
            <w:r w:rsidRPr="00E1789A">
              <w:rPr>
                <w:rFonts w:ascii="Times New Roman" w:hAnsi="Times New Roman" w:cs="Times New Roman"/>
                <w:sz w:val="16"/>
                <w:szCs w:val="16"/>
                <w:vertAlign w:val="superscript"/>
                <w:lang w:val="en-US"/>
              </w:rPr>
              <w:t>**</w:t>
            </w:r>
          </w:p>
        </w:tc>
        <w:tc>
          <w:tcPr>
            <w:tcW w:w="392" w:type="pct"/>
          </w:tcPr>
          <w:p w14:paraId="62B7C39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0.067</w:t>
            </w:r>
            <w:r w:rsidRPr="00E1789A">
              <w:rPr>
                <w:rFonts w:ascii="Times New Roman" w:hAnsi="Times New Roman" w:cs="Times New Roman"/>
                <w:sz w:val="16"/>
                <w:szCs w:val="16"/>
                <w:vertAlign w:val="superscript"/>
                <w:lang w:val="en-US"/>
              </w:rPr>
              <w:t>**</w:t>
            </w:r>
          </w:p>
        </w:tc>
      </w:tr>
      <w:tr w:rsidR="00331AB6" w:rsidRPr="00E1789A" w14:paraId="7A174640" w14:textId="77777777" w:rsidTr="00834F5A">
        <w:tc>
          <w:tcPr>
            <w:tcW w:w="1057" w:type="pct"/>
          </w:tcPr>
          <w:p w14:paraId="6BD7E11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53E388D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395" w:type="pct"/>
          </w:tcPr>
          <w:p w14:paraId="5B06B88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(0.109)</w:t>
            </w:r>
          </w:p>
        </w:tc>
        <w:tc>
          <w:tcPr>
            <w:tcW w:w="395" w:type="pct"/>
          </w:tcPr>
          <w:p w14:paraId="2BE264B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(0.104)</w:t>
            </w:r>
          </w:p>
        </w:tc>
        <w:tc>
          <w:tcPr>
            <w:tcW w:w="394" w:type="pct"/>
          </w:tcPr>
          <w:p w14:paraId="273DBCF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(0.109)</w:t>
            </w:r>
          </w:p>
        </w:tc>
        <w:tc>
          <w:tcPr>
            <w:tcW w:w="395" w:type="pct"/>
            <w:tcBorders>
              <w:right w:val="single" w:sz="4" w:space="0" w:color="auto"/>
            </w:tcBorders>
          </w:tcPr>
          <w:p w14:paraId="0687CB7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(0.104)</w:t>
            </w:r>
          </w:p>
        </w:tc>
        <w:tc>
          <w:tcPr>
            <w:tcW w:w="394" w:type="pct"/>
            <w:tcBorders>
              <w:left w:val="single" w:sz="4" w:space="0" w:color="auto"/>
            </w:tcBorders>
          </w:tcPr>
          <w:p w14:paraId="2296603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5" w:type="pct"/>
          </w:tcPr>
          <w:p w14:paraId="7DF6D83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5" w:type="pct"/>
          </w:tcPr>
          <w:p w14:paraId="01D221A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4" w:type="pct"/>
          </w:tcPr>
          <w:p w14:paraId="7561015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2" w:type="pct"/>
          </w:tcPr>
          <w:p w14:paraId="257E51D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r>
      <w:tr w:rsidR="00331AB6" w:rsidRPr="00E1789A" w14:paraId="23E8BD1B" w14:textId="77777777" w:rsidTr="00834F5A">
        <w:tc>
          <w:tcPr>
            <w:tcW w:w="1057" w:type="pct"/>
          </w:tcPr>
          <w:p w14:paraId="69EF039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R&amp;D intensity</w:t>
            </w:r>
          </w:p>
        </w:tc>
        <w:tc>
          <w:tcPr>
            <w:tcW w:w="394" w:type="pct"/>
          </w:tcPr>
          <w:p w14:paraId="1169283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1.637</w:t>
            </w:r>
          </w:p>
        </w:tc>
        <w:tc>
          <w:tcPr>
            <w:tcW w:w="395" w:type="pct"/>
          </w:tcPr>
          <w:p w14:paraId="0A37E16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2.416</w:t>
            </w:r>
          </w:p>
        </w:tc>
        <w:tc>
          <w:tcPr>
            <w:tcW w:w="395" w:type="pct"/>
          </w:tcPr>
          <w:p w14:paraId="1CCFF59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2.282</w:t>
            </w:r>
          </w:p>
        </w:tc>
        <w:tc>
          <w:tcPr>
            <w:tcW w:w="394" w:type="pct"/>
          </w:tcPr>
          <w:p w14:paraId="710D069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2.764</w:t>
            </w:r>
          </w:p>
        </w:tc>
        <w:tc>
          <w:tcPr>
            <w:tcW w:w="395" w:type="pct"/>
            <w:tcBorders>
              <w:right w:val="single" w:sz="4" w:space="0" w:color="auto"/>
            </w:tcBorders>
          </w:tcPr>
          <w:p w14:paraId="1BC2577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2.637</w:t>
            </w:r>
          </w:p>
        </w:tc>
        <w:tc>
          <w:tcPr>
            <w:tcW w:w="394" w:type="pct"/>
            <w:tcBorders>
              <w:left w:val="single" w:sz="4" w:space="0" w:color="auto"/>
            </w:tcBorders>
          </w:tcPr>
          <w:p w14:paraId="09A2929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0.494</w:t>
            </w:r>
          </w:p>
        </w:tc>
        <w:tc>
          <w:tcPr>
            <w:tcW w:w="395" w:type="pct"/>
          </w:tcPr>
          <w:p w14:paraId="3CDEE90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0.676</w:t>
            </w:r>
            <w:r w:rsidRPr="00E1789A">
              <w:rPr>
                <w:rFonts w:ascii="Times New Roman" w:hAnsi="Times New Roman" w:cs="Times New Roman"/>
                <w:sz w:val="16"/>
                <w:szCs w:val="16"/>
                <w:vertAlign w:val="superscript"/>
                <w:lang w:val="en-US"/>
              </w:rPr>
              <w:t>*</w:t>
            </w:r>
          </w:p>
        </w:tc>
        <w:tc>
          <w:tcPr>
            <w:tcW w:w="395" w:type="pct"/>
          </w:tcPr>
          <w:p w14:paraId="4E9E652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0.654</w:t>
            </w:r>
            <w:r w:rsidRPr="00E1789A">
              <w:rPr>
                <w:rFonts w:ascii="Times New Roman" w:hAnsi="Times New Roman" w:cs="Times New Roman"/>
                <w:sz w:val="16"/>
                <w:szCs w:val="16"/>
                <w:vertAlign w:val="superscript"/>
                <w:lang w:val="en-US"/>
              </w:rPr>
              <w:t>*</w:t>
            </w:r>
          </w:p>
        </w:tc>
        <w:tc>
          <w:tcPr>
            <w:tcW w:w="394" w:type="pct"/>
          </w:tcPr>
          <w:p w14:paraId="2D9C023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0.719</w:t>
            </w:r>
            <w:r w:rsidRPr="00E1789A">
              <w:rPr>
                <w:rFonts w:ascii="Times New Roman" w:hAnsi="Times New Roman" w:cs="Times New Roman"/>
                <w:sz w:val="16"/>
                <w:szCs w:val="16"/>
                <w:vertAlign w:val="superscript"/>
                <w:lang w:val="en-US"/>
              </w:rPr>
              <w:t>*</w:t>
            </w:r>
          </w:p>
        </w:tc>
        <w:tc>
          <w:tcPr>
            <w:tcW w:w="392" w:type="pct"/>
          </w:tcPr>
          <w:p w14:paraId="550E629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0.695</w:t>
            </w:r>
            <w:r w:rsidRPr="00E1789A">
              <w:rPr>
                <w:rFonts w:ascii="Times New Roman" w:hAnsi="Times New Roman" w:cs="Times New Roman"/>
                <w:sz w:val="16"/>
                <w:szCs w:val="16"/>
                <w:vertAlign w:val="superscript"/>
                <w:lang w:val="en-US"/>
              </w:rPr>
              <w:t>*</w:t>
            </w:r>
          </w:p>
        </w:tc>
      </w:tr>
      <w:tr w:rsidR="00331AB6" w:rsidRPr="00E1789A" w14:paraId="50856868" w14:textId="77777777" w:rsidTr="00834F5A">
        <w:tc>
          <w:tcPr>
            <w:tcW w:w="1057" w:type="pct"/>
          </w:tcPr>
          <w:p w14:paraId="32AB798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7761AC7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(3.817)</w:t>
            </w:r>
          </w:p>
        </w:tc>
        <w:tc>
          <w:tcPr>
            <w:tcW w:w="395" w:type="pct"/>
          </w:tcPr>
          <w:p w14:paraId="7921760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(4.015)</w:t>
            </w:r>
          </w:p>
        </w:tc>
        <w:tc>
          <w:tcPr>
            <w:tcW w:w="395" w:type="pct"/>
          </w:tcPr>
          <w:p w14:paraId="13BA5BB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(4.002)</w:t>
            </w:r>
          </w:p>
        </w:tc>
        <w:tc>
          <w:tcPr>
            <w:tcW w:w="394" w:type="pct"/>
          </w:tcPr>
          <w:p w14:paraId="6F5E301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(4.115)</w:t>
            </w:r>
          </w:p>
        </w:tc>
        <w:tc>
          <w:tcPr>
            <w:tcW w:w="395" w:type="pct"/>
            <w:tcBorders>
              <w:right w:val="single" w:sz="4" w:space="0" w:color="auto"/>
            </w:tcBorders>
          </w:tcPr>
          <w:p w14:paraId="0B6882D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(4.109)</w:t>
            </w:r>
          </w:p>
        </w:tc>
        <w:tc>
          <w:tcPr>
            <w:tcW w:w="394" w:type="pct"/>
            <w:tcBorders>
              <w:left w:val="single" w:sz="4" w:space="0" w:color="auto"/>
            </w:tcBorders>
          </w:tcPr>
          <w:p w14:paraId="436FE52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(0.334)</w:t>
            </w:r>
          </w:p>
        </w:tc>
        <w:tc>
          <w:tcPr>
            <w:tcW w:w="395" w:type="pct"/>
          </w:tcPr>
          <w:p w14:paraId="36B6860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(0.328)</w:t>
            </w:r>
          </w:p>
        </w:tc>
        <w:tc>
          <w:tcPr>
            <w:tcW w:w="395" w:type="pct"/>
          </w:tcPr>
          <w:p w14:paraId="134055E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(0.324)</w:t>
            </w:r>
          </w:p>
        </w:tc>
        <w:tc>
          <w:tcPr>
            <w:tcW w:w="394" w:type="pct"/>
          </w:tcPr>
          <w:p w14:paraId="262BF12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(0.341)</w:t>
            </w:r>
          </w:p>
        </w:tc>
        <w:tc>
          <w:tcPr>
            <w:tcW w:w="392" w:type="pct"/>
          </w:tcPr>
          <w:p w14:paraId="7ECE6F0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(0.338)</w:t>
            </w:r>
          </w:p>
        </w:tc>
      </w:tr>
      <w:tr w:rsidR="00331AB6" w:rsidRPr="00E1789A" w14:paraId="5F5CB40F" w14:textId="77777777" w:rsidTr="00834F5A">
        <w:tc>
          <w:tcPr>
            <w:tcW w:w="1057" w:type="pct"/>
          </w:tcPr>
          <w:p w14:paraId="29033F1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Business group affiliation</w:t>
            </w:r>
          </w:p>
        </w:tc>
        <w:tc>
          <w:tcPr>
            <w:tcW w:w="394" w:type="pct"/>
          </w:tcPr>
          <w:p w14:paraId="7C99137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-0.195</w:t>
            </w:r>
          </w:p>
        </w:tc>
        <w:tc>
          <w:tcPr>
            <w:tcW w:w="395" w:type="pct"/>
          </w:tcPr>
          <w:p w14:paraId="178DF8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-0.218</w:t>
            </w:r>
          </w:p>
        </w:tc>
        <w:tc>
          <w:tcPr>
            <w:tcW w:w="395" w:type="pct"/>
          </w:tcPr>
          <w:p w14:paraId="3C8DDE0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-0.220</w:t>
            </w:r>
          </w:p>
        </w:tc>
        <w:tc>
          <w:tcPr>
            <w:tcW w:w="394" w:type="pct"/>
          </w:tcPr>
          <w:p w14:paraId="298CB14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-0.214</w:t>
            </w:r>
          </w:p>
        </w:tc>
        <w:tc>
          <w:tcPr>
            <w:tcW w:w="395" w:type="pct"/>
            <w:tcBorders>
              <w:right w:val="single" w:sz="4" w:space="0" w:color="auto"/>
            </w:tcBorders>
          </w:tcPr>
          <w:p w14:paraId="1579C3B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-0.217</w:t>
            </w:r>
          </w:p>
        </w:tc>
        <w:tc>
          <w:tcPr>
            <w:tcW w:w="394" w:type="pct"/>
            <w:tcBorders>
              <w:left w:val="single" w:sz="4" w:space="0" w:color="auto"/>
            </w:tcBorders>
          </w:tcPr>
          <w:p w14:paraId="7B57066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5" w:type="pct"/>
          </w:tcPr>
          <w:p w14:paraId="549E322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5" w:type="pct"/>
          </w:tcPr>
          <w:p w14:paraId="53F5EE2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4" w:type="pct"/>
          </w:tcPr>
          <w:p w14:paraId="1CBF64E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2" w:type="pct"/>
          </w:tcPr>
          <w:p w14:paraId="758DE37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653134E9" w14:textId="77777777" w:rsidTr="00834F5A">
        <w:tc>
          <w:tcPr>
            <w:tcW w:w="1057" w:type="pct"/>
          </w:tcPr>
          <w:p w14:paraId="02747D4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49F7518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(0.197)</w:t>
            </w:r>
          </w:p>
        </w:tc>
        <w:tc>
          <w:tcPr>
            <w:tcW w:w="395" w:type="pct"/>
          </w:tcPr>
          <w:p w14:paraId="30008DF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(0.202)</w:t>
            </w:r>
          </w:p>
        </w:tc>
        <w:tc>
          <w:tcPr>
            <w:tcW w:w="395" w:type="pct"/>
          </w:tcPr>
          <w:p w14:paraId="2053950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(0.217)</w:t>
            </w:r>
          </w:p>
        </w:tc>
        <w:tc>
          <w:tcPr>
            <w:tcW w:w="394" w:type="pct"/>
          </w:tcPr>
          <w:p w14:paraId="4189D66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(0.202)</w:t>
            </w:r>
          </w:p>
        </w:tc>
        <w:tc>
          <w:tcPr>
            <w:tcW w:w="395" w:type="pct"/>
            <w:tcBorders>
              <w:right w:val="single" w:sz="4" w:space="0" w:color="auto"/>
            </w:tcBorders>
          </w:tcPr>
          <w:p w14:paraId="5FF346F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(0.216)</w:t>
            </w:r>
          </w:p>
        </w:tc>
        <w:tc>
          <w:tcPr>
            <w:tcW w:w="394" w:type="pct"/>
            <w:tcBorders>
              <w:left w:val="single" w:sz="4" w:space="0" w:color="auto"/>
            </w:tcBorders>
          </w:tcPr>
          <w:p w14:paraId="12F592B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5" w:type="pct"/>
          </w:tcPr>
          <w:p w14:paraId="720A90C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5" w:type="pct"/>
          </w:tcPr>
          <w:p w14:paraId="1A603C3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4" w:type="pct"/>
          </w:tcPr>
          <w:p w14:paraId="78F3E16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2" w:type="pct"/>
          </w:tcPr>
          <w:p w14:paraId="3F1A0B5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r>
      <w:tr w:rsidR="00331AB6" w:rsidRPr="00E1789A" w14:paraId="773186A4" w14:textId="77777777" w:rsidTr="00834F5A">
        <w:tc>
          <w:tcPr>
            <w:tcW w:w="1057" w:type="pct"/>
          </w:tcPr>
          <w:p w14:paraId="2BC7AC9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diversity</w:t>
            </w:r>
          </w:p>
        </w:tc>
        <w:tc>
          <w:tcPr>
            <w:tcW w:w="394" w:type="pct"/>
          </w:tcPr>
          <w:p w14:paraId="2635879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-0.032</w:t>
            </w:r>
          </w:p>
        </w:tc>
        <w:tc>
          <w:tcPr>
            <w:tcW w:w="395" w:type="pct"/>
          </w:tcPr>
          <w:p w14:paraId="6EA0223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0.018</w:t>
            </w:r>
          </w:p>
        </w:tc>
        <w:tc>
          <w:tcPr>
            <w:tcW w:w="395" w:type="pct"/>
          </w:tcPr>
          <w:p w14:paraId="104DA12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4" w:type="pct"/>
          </w:tcPr>
          <w:p w14:paraId="0D2D054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0.016</w:t>
            </w:r>
          </w:p>
        </w:tc>
        <w:tc>
          <w:tcPr>
            <w:tcW w:w="395" w:type="pct"/>
            <w:tcBorders>
              <w:right w:val="single" w:sz="4" w:space="0" w:color="auto"/>
            </w:tcBorders>
          </w:tcPr>
          <w:p w14:paraId="13313F8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4" w:type="pct"/>
            <w:tcBorders>
              <w:left w:val="single" w:sz="4" w:space="0" w:color="auto"/>
            </w:tcBorders>
          </w:tcPr>
          <w:p w14:paraId="635EEEB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c>
          <w:tcPr>
            <w:tcW w:w="395" w:type="pct"/>
          </w:tcPr>
          <w:p w14:paraId="4BF9BA8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5" w:type="pct"/>
          </w:tcPr>
          <w:p w14:paraId="467690A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4" w:type="pct"/>
          </w:tcPr>
          <w:p w14:paraId="4D986A4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2" w:type="pct"/>
          </w:tcPr>
          <w:p w14:paraId="6B31F93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024BF5E2" w14:textId="77777777" w:rsidTr="00834F5A">
        <w:tc>
          <w:tcPr>
            <w:tcW w:w="1057" w:type="pct"/>
          </w:tcPr>
          <w:p w14:paraId="42074A7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2CC0D86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(0.108)</w:t>
            </w:r>
          </w:p>
        </w:tc>
        <w:tc>
          <w:tcPr>
            <w:tcW w:w="395" w:type="pct"/>
          </w:tcPr>
          <w:p w14:paraId="7D3AB61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(0.109)</w:t>
            </w:r>
          </w:p>
        </w:tc>
        <w:tc>
          <w:tcPr>
            <w:tcW w:w="395" w:type="pct"/>
          </w:tcPr>
          <w:p w14:paraId="506885E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(0.112)</w:t>
            </w:r>
          </w:p>
        </w:tc>
        <w:tc>
          <w:tcPr>
            <w:tcW w:w="394" w:type="pct"/>
          </w:tcPr>
          <w:p w14:paraId="54E6620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(0.107)</w:t>
            </w:r>
          </w:p>
        </w:tc>
        <w:tc>
          <w:tcPr>
            <w:tcW w:w="395" w:type="pct"/>
            <w:tcBorders>
              <w:right w:val="single" w:sz="4" w:space="0" w:color="auto"/>
            </w:tcBorders>
          </w:tcPr>
          <w:p w14:paraId="254CC38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(0.111)</w:t>
            </w:r>
          </w:p>
        </w:tc>
        <w:tc>
          <w:tcPr>
            <w:tcW w:w="394" w:type="pct"/>
            <w:tcBorders>
              <w:left w:val="single" w:sz="4" w:space="0" w:color="auto"/>
            </w:tcBorders>
          </w:tcPr>
          <w:p w14:paraId="0CF6B37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395" w:type="pct"/>
          </w:tcPr>
          <w:p w14:paraId="6F50B63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395" w:type="pct"/>
          </w:tcPr>
          <w:p w14:paraId="066C880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4" w:type="pct"/>
          </w:tcPr>
          <w:p w14:paraId="0CAC034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392" w:type="pct"/>
          </w:tcPr>
          <w:p w14:paraId="3E05DF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r>
      <w:tr w:rsidR="00331AB6" w:rsidRPr="00E1789A" w14:paraId="3547DBDE" w14:textId="77777777" w:rsidTr="00834F5A">
        <w:tc>
          <w:tcPr>
            <w:tcW w:w="1057" w:type="pct"/>
          </w:tcPr>
          <w:p w14:paraId="37249CF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IMR_PD</w:t>
            </w:r>
          </w:p>
        </w:tc>
        <w:tc>
          <w:tcPr>
            <w:tcW w:w="394" w:type="pct"/>
          </w:tcPr>
          <w:p w14:paraId="12A7977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-0.287</w:t>
            </w:r>
            <w:r w:rsidRPr="00E1789A">
              <w:rPr>
                <w:rFonts w:ascii="Times New Roman" w:hAnsi="Times New Roman" w:cs="Times New Roman"/>
                <w:sz w:val="16"/>
                <w:szCs w:val="16"/>
                <w:vertAlign w:val="superscript"/>
                <w:lang w:val="en-US"/>
              </w:rPr>
              <w:t>*</w:t>
            </w:r>
          </w:p>
        </w:tc>
        <w:tc>
          <w:tcPr>
            <w:tcW w:w="395" w:type="pct"/>
          </w:tcPr>
          <w:p w14:paraId="426A7CE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-0.264</w:t>
            </w:r>
            <w:r w:rsidRPr="00E1789A">
              <w:rPr>
                <w:rFonts w:ascii="Times New Roman" w:hAnsi="Times New Roman" w:cs="Times New Roman"/>
                <w:sz w:val="16"/>
                <w:szCs w:val="16"/>
                <w:vertAlign w:val="superscript"/>
                <w:lang w:val="en-US"/>
              </w:rPr>
              <w:t>*</w:t>
            </w:r>
          </w:p>
        </w:tc>
        <w:tc>
          <w:tcPr>
            <w:tcW w:w="395" w:type="pct"/>
          </w:tcPr>
          <w:p w14:paraId="0A45BCF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-0.256</w:t>
            </w:r>
            <w:r w:rsidRPr="00E1789A">
              <w:rPr>
                <w:rFonts w:ascii="Times New Roman" w:hAnsi="Times New Roman" w:cs="Times New Roman"/>
                <w:sz w:val="16"/>
                <w:szCs w:val="16"/>
                <w:vertAlign w:val="superscript"/>
                <w:lang w:val="en-US"/>
              </w:rPr>
              <w:t>*</w:t>
            </w:r>
          </w:p>
        </w:tc>
        <w:tc>
          <w:tcPr>
            <w:tcW w:w="394" w:type="pct"/>
          </w:tcPr>
          <w:p w14:paraId="306F724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-0.267</w:t>
            </w:r>
            <w:r w:rsidRPr="00E1789A">
              <w:rPr>
                <w:rFonts w:ascii="Times New Roman" w:hAnsi="Times New Roman" w:cs="Times New Roman"/>
                <w:sz w:val="16"/>
                <w:szCs w:val="16"/>
                <w:vertAlign w:val="superscript"/>
                <w:lang w:val="en-US"/>
              </w:rPr>
              <w:t>*</w:t>
            </w:r>
          </w:p>
        </w:tc>
        <w:tc>
          <w:tcPr>
            <w:tcW w:w="395" w:type="pct"/>
            <w:tcBorders>
              <w:right w:val="single" w:sz="4" w:space="0" w:color="auto"/>
            </w:tcBorders>
          </w:tcPr>
          <w:p w14:paraId="3E7EDA4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-0.259</w:t>
            </w:r>
            <w:r w:rsidRPr="00E1789A">
              <w:rPr>
                <w:rFonts w:ascii="Times New Roman" w:hAnsi="Times New Roman" w:cs="Times New Roman"/>
                <w:sz w:val="16"/>
                <w:szCs w:val="16"/>
                <w:vertAlign w:val="superscript"/>
                <w:lang w:val="en-US"/>
              </w:rPr>
              <w:t>*</w:t>
            </w:r>
          </w:p>
        </w:tc>
        <w:tc>
          <w:tcPr>
            <w:tcW w:w="394" w:type="pct"/>
            <w:tcBorders>
              <w:left w:val="single" w:sz="4" w:space="0" w:color="auto"/>
            </w:tcBorders>
          </w:tcPr>
          <w:p w14:paraId="2388347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c>
          <w:tcPr>
            <w:tcW w:w="395" w:type="pct"/>
          </w:tcPr>
          <w:p w14:paraId="3B51002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95" w:type="pct"/>
          </w:tcPr>
          <w:p w14:paraId="2D7F08D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94" w:type="pct"/>
          </w:tcPr>
          <w:p w14:paraId="7D822C6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92" w:type="pct"/>
          </w:tcPr>
          <w:p w14:paraId="05EECD5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r>
      <w:tr w:rsidR="00331AB6" w:rsidRPr="00E1789A" w14:paraId="0CEA3995" w14:textId="77777777" w:rsidTr="00834F5A">
        <w:tc>
          <w:tcPr>
            <w:tcW w:w="1057" w:type="pct"/>
          </w:tcPr>
          <w:p w14:paraId="20CAB10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1AF5800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(0.127)</w:t>
            </w:r>
          </w:p>
        </w:tc>
        <w:tc>
          <w:tcPr>
            <w:tcW w:w="395" w:type="pct"/>
          </w:tcPr>
          <w:p w14:paraId="573C7DE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(0.120)</w:t>
            </w:r>
          </w:p>
        </w:tc>
        <w:tc>
          <w:tcPr>
            <w:tcW w:w="395" w:type="pct"/>
          </w:tcPr>
          <w:p w14:paraId="46B6009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(0.115)</w:t>
            </w:r>
          </w:p>
        </w:tc>
        <w:tc>
          <w:tcPr>
            <w:tcW w:w="394" w:type="pct"/>
          </w:tcPr>
          <w:p w14:paraId="4F40C71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(0.121)</w:t>
            </w:r>
          </w:p>
        </w:tc>
        <w:tc>
          <w:tcPr>
            <w:tcW w:w="395" w:type="pct"/>
            <w:tcBorders>
              <w:right w:val="single" w:sz="4" w:space="0" w:color="auto"/>
            </w:tcBorders>
          </w:tcPr>
          <w:p w14:paraId="0322A65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(0.116)</w:t>
            </w:r>
          </w:p>
        </w:tc>
        <w:tc>
          <w:tcPr>
            <w:tcW w:w="394" w:type="pct"/>
            <w:tcBorders>
              <w:left w:val="single" w:sz="4" w:space="0" w:color="auto"/>
            </w:tcBorders>
          </w:tcPr>
          <w:p w14:paraId="6353D0B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5" w:type="pct"/>
          </w:tcPr>
          <w:p w14:paraId="217ABB0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5" w:type="pct"/>
          </w:tcPr>
          <w:p w14:paraId="7C669F8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4" w:type="pct"/>
          </w:tcPr>
          <w:p w14:paraId="0803455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2" w:type="pct"/>
          </w:tcPr>
          <w:p w14:paraId="00886DD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r>
      <w:tr w:rsidR="00331AB6" w:rsidRPr="00E1789A" w14:paraId="63C10062" w14:textId="77777777" w:rsidTr="00834F5A">
        <w:tc>
          <w:tcPr>
            <w:tcW w:w="1057" w:type="pct"/>
          </w:tcPr>
          <w:p w14:paraId="10AFBB4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Year dummies included</w:t>
            </w:r>
          </w:p>
        </w:tc>
        <w:tc>
          <w:tcPr>
            <w:tcW w:w="394" w:type="pct"/>
          </w:tcPr>
          <w:p w14:paraId="40AFA5C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2D78DBB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1090DD3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4" w:type="pct"/>
          </w:tcPr>
          <w:p w14:paraId="208408A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Borders>
              <w:right w:val="single" w:sz="4" w:space="0" w:color="auto"/>
            </w:tcBorders>
          </w:tcPr>
          <w:p w14:paraId="044D084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4" w:type="pct"/>
            <w:tcBorders>
              <w:left w:val="single" w:sz="4" w:space="0" w:color="auto"/>
            </w:tcBorders>
          </w:tcPr>
          <w:p w14:paraId="1A4326D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1D35F5E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3A2752B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4" w:type="pct"/>
          </w:tcPr>
          <w:p w14:paraId="119C3DD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2" w:type="pct"/>
          </w:tcPr>
          <w:p w14:paraId="31FD76B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1B41CFC9" w14:textId="77777777" w:rsidTr="00834F5A">
        <w:tc>
          <w:tcPr>
            <w:tcW w:w="1057" w:type="pct"/>
          </w:tcPr>
          <w:p w14:paraId="7E3893A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Industry dummy included</w:t>
            </w:r>
          </w:p>
        </w:tc>
        <w:tc>
          <w:tcPr>
            <w:tcW w:w="394" w:type="pct"/>
          </w:tcPr>
          <w:p w14:paraId="5B84742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036824E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4D5B8E2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4" w:type="pct"/>
          </w:tcPr>
          <w:p w14:paraId="4C6838E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Borders>
              <w:right w:val="single" w:sz="4" w:space="0" w:color="auto"/>
            </w:tcBorders>
          </w:tcPr>
          <w:p w14:paraId="555C5A4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4" w:type="pct"/>
            <w:tcBorders>
              <w:left w:val="single" w:sz="4" w:space="0" w:color="auto"/>
            </w:tcBorders>
          </w:tcPr>
          <w:p w14:paraId="5301080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699DB60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5" w:type="pct"/>
          </w:tcPr>
          <w:p w14:paraId="625D214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4" w:type="pct"/>
          </w:tcPr>
          <w:p w14:paraId="29D3835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2" w:type="pct"/>
          </w:tcPr>
          <w:p w14:paraId="3263019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7D0C4BD3" w14:textId="77777777" w:rsidTr="00834F5A">
        <w:tc>
          <w:tcPr>
            <w:tcW w:w="1057" w:type="pct"/>
          </w:tcPr>
          <w:p w14:paraId="46CD0D2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diversification experience</w:t>
            </w:r>
          </w:p>
        </w:tc>
        <w:tc>
          <w:tcPr>
            <w:tcW w:w="394" w:type="pct"/>
          </w:tcPr>
          <w:p w14:paraId="437DDD9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4EABD17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-0.235</w:t>
            </w:r>
            <w:r w:rsidRPr="00E1789A">
              <w:rPr>
                <w:rFonts w:ascii="Times New Roman" w:hAnsi="Times New Roman" w:cs="Times New Roman"/>
                <w:sz w:val="16"/>
                <w:szCs w:val="16"/>
                <w:vertAlign w:val="superscript"/>
                <w:lang w:val="en-US"/>
              </w:rPr>
              <w:t>**</w:t>
            </w:r>
          </w:p>
        </w:tc>
        <w:tc>
          <w:tcPr>
            <w:tcW w:w="395" w:type="pct"/>
          </w:tcPr>
          <w:p w14:paraId="308E83C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-0.193</w:t>
            </w:r>
            <w:r w:rsidRPr="00E1789A">
              <w:rPr>
                <w:rFonts w:ascii="Times New Roman" w:hAnsi="Times New Roman" w:cs="Times New Roman"/>
                <w:sz w:val="16"/>
                <w:szCs w:val="16"/>
                <w:vertAlign w:val="superscript"/>
                <w:lang w:val="en-US"/>
              </w:rPr>
              <w:t>+</w:t>
            </w:r>
          </w:p>
        </w:tc>
        <w:tc>
          <w:tcPr>
            <w:tcW w:w="394" w:type="pct"/>
          </w:tcPr>
          <w:p w14:paraId="6661B40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-0.228</w:t>
            </w:r>
            <w:r w:rsidRPr="00E1789A">
              <w:rPr>
                <w:rFonts w:ascii="Times New Roman" w:hAnsi="Times New Roman" w:cs="Times New Roman"/>
                <w:sz w:val="16"/>
                <w:szCs w:val="16"/>
                <w:vertAlign w:val="superscript"/>
                <w:lang w:val="en-US"/>
              </w:rPr>
              <w:t>**</w:t>
            </w:r>
          </w:p>
        </w:tc>
        <w:tc>
          <w:tcPr>
            <w:tcW w:w="395" w:type="pct"/>
            <w:tcBorders>
              <w:right w:val="single" w:sz="4" w:space="0" w:color="auto"/>
            </w:tcBorders>
          </w:tcPr>
          <w:p w14:paraId="4D43F80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-0.188</w:t>
            </w:r>
            <w:r w:rsidRPr="00E1789A">
              <w:rPr>
                <w:rFonts w:ascii="Times New Roman" w:hAnsi="Times New Roman" w:cs="Times New Roman"/>
                <w:sz w:val="16"/>
                <w:szCs w:val="16"/>
                <w:vertAlign w:val="superscript"/>
                <w:lang w:val="en-US"/>
              </w:rPr>
              <w:t>+</w:t>
            </w:r>
          </w:p>
        </w:tc>
        <w:tc>
          <w:tcPr>
            <w:tcW w:w="394" w:type="pct"/>
            <w:tcBorders>
              <w:left w:val="single" w:sz="4" w:space="0" w:color="auto"/>
            </w:tcBorders>
          </w:tcPr>
          <w:p w14:paraId="438F516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6C32B7F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-0.008</w:t>
            </w:r>
            <w:r w:rsidRPr="00E1789A">
              <w:rPr>
                <w:rFonts w:ascii="Times New Roman" w:hAnsi="Times New Roman" w:cs="Times New Roman"/>
                <w:sz w:val="16"/>
                <w:szCs w:val="16"/>
                <w:vertAlign w:val="superscript"/>
                <w:lang w:val="en-US"/>
              </w:rPr>
              <w:t>*</w:t>
            </w:r>
          </w:p>
        </w:tc>
        <w:tc>
          <w:tcPr>
            <w:tcW w:w="395" w:type="pct"/>
          </w:tcPr>
          <w:p w14:paraId="70C8F0A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c>
          <w:tcPr>
            <w:tcW w:w="394" w:type="pct"/>
          </w:tcPr>
          <w:p w14:paraId="67C5E44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-0.009</w:t>
            </w:r>
            <w:r w:rsidRPr="00E1789A">
              <w:rPr>
                <w:rFonts w:ascii="Times New Roman" w:hAnsi="Times New Roman" w:cs="Times New Roman"/>
                <w:sz w:val="16"/>
                <w:szCs w:val="16"/>
                <w:vertAlign w:val="superscript"/>
                <w:lang w:val="en-US"/>
              </w:rPr>
              <w:t>**</w:t>
            </w:r>
          </w:p>
        </w:tc>
        <w:tc>
          <w:tcPr>
            <w:tcW w:w="392" w:type="pct"/>
          </w:tcPr>
          <w:p w14:paraId="2DD26F8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r>
      <w:tr w:rsidR="00331AB6" w:rsidRPr="00E1789A" w14:paraId="585B4927" w14:textId="77777777" w:rsidTr="00834F5A">
        <w:tc>
          <w:tcPr>
            <w:tcW w:w="1057" w:type="pct"/>
          </w:tcPr>
          <w:p w14:paraId="5BC5E50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51F0DFE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20CA023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(0.087)</w:t>
            </w:r>
          </w:p>
        </w:tc>
        <w:tc>
          <w:tcPr>
            <w:tcW w:w="395" w:type="pct"/>
          </w:tcPr>
          <w:p w14:paraId="00C3263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(0.108)</w:t>
            </w:r>
          </w:p>
        </w:tc>
        <w:tc>
          <w:tcPr>
            <w:tcW w:w="394" w:type="pct"/>
          </w:tcPr>
          <w:p w14:paraId="599E9F1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(0.084)</w:t>
            </w:r>
          </w:p>
        </w:tc>
        <w:tc>
          <w:tcPr>
            <w:tcW w:w="395" w:type="pct"/>
            <w:tcBorders>
              <w:right w:val="single" w:sz="4" w:space="0" w:color="auto"/>
            </w:tcBorders>
          </w:tcPr>
          <w:p w14:paraId="354B1B2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(0.108)</w:t>
            </w:r>
          </w:p>
        </w:tc>
        <w:tc>
          <w:tcPr>
            <w:tcW w:w="394" w:type="pct"/>
            <w:tcBorders>
              <w:left w:val="single" w:sz="4" w:space="0" w:color="auto"/>
            </w:tcBorders>
          </w:tcPr>
          <w:p w14:paraId="1D5CFFD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13CF5A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5" w:type="pct"/>
          </w:tcPr>
          <w:p w14:paraId="14CA35F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4" w:type="pct"/>
          </w:tcPr>
          <w:p w14:paraId="2C84331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2" w:type="pct"/>
          </w:tcPr>
          <w:p w14:paraId="66A80F2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r>
      <w:tr w:rsidR="00331AB6" w:rsidRPr="00E1789A" w14:paraId="7E8A2545" w14:textId="77777777" w:rsidTr="00834F5A">
        <w:tc>
          <w:tcPr>
            <w:tcW w:w="1057" w:type="pct"/>
          </w:tcPr>
          <w:p w14:paraId="4112372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Patent stock diversity</w:t>
            </w:r>
          </w:p>
        </w:tc>
        <w:tc>
          <w:tcPr>
            <w:tcW w:w="394" w:type="pct"/>
          </w:tcPr>
          <w:p w14:paraId="72DAD92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50C90B3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4BC07F1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-0.055</w:t>
            </w:r>
          </w:p>
        </w:tc>
        <w:tc>
          <w:tcPr>
            <w:tcW w:w="394" w:type="pct"/>
          </w:tcPr>
          <w:p w14:paraId="32D993F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Borders>
              <w:right w:val="single" w:sz="4" w:space="0" w:color="auto"/>
            </w:tcBorders>
          </w:tcPr>
          <w:p w14:paraId="600D498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-0.058</w:t>
            </w:r>
          </w:p>
        </w:tc>
        <w:tc>
          <w:tcPr>
            <w:tcW w:w="394" w:type="pct"/>
            <w:tcBorders>
              <w:left w:val="single" w:sz="4" w:space="0" w:color="auto"/>
            </w:tcBorders>
          </w:tcPr>
          <w:p w14:paraId="78CBD7F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3F287FC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0FBB1B4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4" w:type="pct"/>
          </w:tcPr>
          <w:p w14:paraId="181199A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2" w:type="pct"/>
          </w:tcPr>
          <w:p w14:paraId="763F897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736A53B6" w14:textId="77777777" w:rsidTr="00834F5A">
        <w:tc>
          <w:tcPr>
            <w:tcW w:w="1057" w:type="pct"/>
          </w:tcPr>
          <w:p w14:paraId="14C4D6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5E60388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2C645F5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21AB5CF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(0.195)</w:t>
            </w:r>
          </w:p>
        </w:tc>
        <w:tc>
          <w:tcPr>
            <w:tcW w:w="394" w:type="pct"/>
          </w:tcPr>
          <w:p w14:paraId="461A0B9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Borders>
              <w:right w:val="single" w:sz="4" w:space="0" w:color="auto"/>
            </w:tcBorders>
          </w:tcPr>
          <w:p w14:paraId="703C02A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(0.195)</w:t>
            </w:r>
          </w:p>
        </w:tc>
        <w:tc>
          <w:tcPr>
            <w:tcW w:w="394" w:type="pct"/>
            <w:tcBorders>
              <w:left w:val="single" w:sz="4" w:space="0" w:color="auto"/>
            </w:tcBorders>
          </w:tcPr>
          <w:p w14:paraId="493F06E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11F9A3E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31121E7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4" w:type="pct"/>
          </w:tcPr>
          <w:p w14:paraId="1F27F95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2" w:type="pct"/>
          </w:tcPr>
          <w:p w14:paraId="5B94B82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r>
      <w:tr w:rsidR="00331AB6" w:rsidRPr="00E1789A" w14:paraId="6354E468" w14:textId="77777777" w:rsidTr="00834F5A">
        <w:tc>
          <w:tcPr>
            <w:tcW w:w="1057" w:type="pct"/>
          </w:tcPr>
          <w:p w14:paraId="511A644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diversification experience × Patent stock diversity (H1a)</w:t>
            </w:r>
          </w:p>
        </w:tc>
        <w:tc>
          <w:tcPr>
            <w:tcW w:w="394" w:type="pct"/>
          </w:tcPr>
          <w:p w14:paraId="7C84E44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11359F3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512A599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-0.032</w:t>
            </w:r>
          </w:p>
          <w:p w14:paraId="60BC212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(0.044)</w:t>
            </w:r>
          </w:p>
        </w:tc>
        <w:tc>
          <w:tcPr>
            <w:tcW w:w="394" w:type="pct"/>
          </w:tcPr>
          <w:p w14:paraId="2C5044C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Borders>
              <w:right w:val="single" w:sz="4" w:space="0" w:color="auto"/>
            </w:tcBorders>
          </w:tcPr>
          <w:p w14:paraId="1E6AA8C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-0.030</w:t>
            </w:r>
          </w:p>
          <w:p w14:paraId="7CD9E67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(0.043)</w:t>
            </w:r>
          </w:p>
        </w:tc>
        <w:tc>
          <w:tcPr>
            <w:tcW w:w="394" w:type="pct"/>
            <w:tcBorders>
              <w:left w:val="single" w:sz="4" w:space="0" w:color="auto"/>
            </w:tcBorders>
          </w:tcPr>
          <w:p w14:paraId="4E6BF71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1EF40C3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1386984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4" w:type="pct"/>
          </w:tcPr>
          <w:p w14:paraId="2D8C383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2" w:type="pct"/>
          </w:tcPr>
          <w:p w14:paraId="7754F20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p w14:paraId="10D5561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1F252C02" w14:textId="77777777" w:rsidTr="00834F5A">
        <w:tc>
          <w:tcPr>
            <w:tcW w:w="1057" w:type="pct"/>
          </w:tcPr>
          <w:p w14:paraId="4ACB562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Intellectual capital efficiency</w:t>
            </w:r>
          </w:p>
        </w:tc>
        <w:tc>
          <w:tcPr>
            <w:tcW w:w="394" w:type="pct"/>
          </w:tcPr>
          <w:p w14:paraId="75B3FC7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14EA32B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77A827C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090B48A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0.054</w:t>
            </w:r>
          </w:p>
        </w:tc>
        <w:tc>
          <w:tcPr>
            <w:tcW w:w="395" w:type="pct"/>
            <w:tcBorders>
              <w:right w:val="single" w:sz="4" w:space="0" w:color="auto"/>
            </w:tcBorders>
          </w:tcPr>
          <w:p w14:paraId="10EEE13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0.054</w:t>
            </w:r>
          </w:p>
        </w:tc>
        <w:tc>
          <w:tcPr>
            <w:tcW w:w="394" w:type="pct"/>
            <w:tcBorders>
              <w:left w:val="single" w:sz="4" w:space="0" w:color="auto"/>
            </w:tcBorders>
          </w:tcPr>
          <w:p w14:paraId="3743F8A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45A7763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446FCBE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0FEDB97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2" w:type="pct"/>
          </w:tcPr>
          <w:p w14:paraId="2DF15A6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374C9855" w14:textId="77777777" w:rsidTr="00834F5A">
        <w:tc>
          <w:tcPr>
            <w:tcW w:w="1057" w:type="pct"/>
          </w:tcPr>
          <w:p w14:paraId="70160A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1898701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2B12231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71D9DEC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4E458B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(0.033)</w:t>
            </w:r>
          </w:p>
        </w:tc>
        <w:tc>
          <w:tcPr>
            <w:tcW w:w="395" w:type="pct"/>
            <w:tcBorders>
              <w:right w:val="single" w:sz="4" w:space="0" w:color="auto"/>
            </w:tcBorders>
          </w:tcPr>
          <w:p w14:paraId="5D1056B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(0.034)</w:t>
            </w:r>
          </w:p>
        </w:tc>
        <w:tc>
          <w:tcPr>
            <w:tcW w:w="394" w:type="pct"/>
            <w:tcBorders>
              <w:left w:val="single" w:sz="4" w:space="0" w:color="auto"/>
            </w:tcBorders>
          </w:tcPr>
          <w:p w14:paraId="56DC7DC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63D140E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6DB4F94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52CBD43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2" w:type="pct"/>
          </w:tcPr>
          <w:p w14:paraId="7098F71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r>
      <w:tr w:rsidR="00331AB6" w:rsidRPr="00E1789A" w14:paraId="0AFC6A1A" w14:textId="77777777" w:rsidTr="00834F5A">
        <w:tc>
          <w:tcPr>
            <w:tcW w:w="1057" w:type="pct"/>
          </w:tcPr>
          <w:p w14:paraId="107CC05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diversification experience × Intellectual capital efficiency (H1a)</w:t>
            </w:r>
          </w:p>
        </w:tc>
        <w:tc>
          <w:tcPr>
            <w:tcW w:w="394" w:type="pct"/>
          </w:tcPr>
          <w:p w14:paraId="1CEB535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0AE9485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3288DE4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47C3941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0.107</w:t>
            </w:r>
            <w:r w:rsidRPr="00E1789A">
              <w:rPr>
                <w:rFonts w:ascii="Times New Roman" w:hAnsi="Times New Roman" w:cs="Times New Roman"/>
                <w:sz w:val="16"/>
                <w:szCs w:val="16"/>
                <w:vertAlign w:val="superscript"/>
                <w:lang w:val="en-US"/>
              </w:rPr>
              <w:t>+</w:t>
            </w:r>
          </w:p>
          <w:p w14:paraId="3514475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(0.064)</w:t>
            </w:r>
          </w:p>
        </w:tc>
        <w:tc>
          <w:tcPr>
            <w:tcW w:w="395" w:type="pct"/>
            <w:tcBorders>
              <w:right w:val="single" w:sz="4" w:space="0" w:color="auto"/>
            </w:tcBorders>
          </w:tcPr>
          <w:p w14:paraId="66009A8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0.109</w:t>
            </w:r>
          </w:p>
          <w:p w14:paraId="4036394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(0.068)</w:t>
            </w:r>
          </w:p>
        </w:tc>
        <w:tc>
          <w:tcPr>
            <w:tcW w:w="394" w:type="pct"/>
            <w:tcBorders>
              <w:left w:val="single" w:sz="4" w:space="0" w:color="auto"/>
            </w:tcBorders>
          </w:tcPr>
          <w:p w14:paraId="7B3FACF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54DB293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Pr>
          <w:p w14:paraId="76C9FB4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4" w:type="pct"/>
          </w:tcPr>
          <w:p w14:paraId="3DB99EC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0.009</w:t>
            </w:r>
            <w:r w:rsidRPr="00E1789A">
              <w:rPr>
                <w:rFonts w:ascii="Times New Roman" w:hAnsi="Times New Roman" w:cs="Times New Roman"/>
                <w:sz w:val="16"/>
                <w:szCs w:val="16"/>
                <w:vertAlign w:val="superscript"/>
                <w:lang w:val="en-US"/>
              </w:rPr>
              <w:t>*</w:t>
            </w:r>
          </w:p>
          <w:p w14:paraId="150CCC9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2" w:type="pct"/>
          </w:tcPr>
          <w:p w14:paraId="2711EC0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0.008</w:t>
            </w:r>
            <w:r w:rsidRPr="00E1789A">
              <w:rPr>
                <w:rFonts w:ascii="Times New Roman" w:hAnsi="Times New Roman" w:cs="Times New Roman"/>
                <w:sz w:val="16"/>
                <w:szCs w:val="16"/>
                <w:vertAlign w:val="superscript"/>
                <w:lang w:val="en-US"/>
              </w:rPr>
              <w:t>*</w:t>
            </w:r>
          </w:p>
          <w:p w14:paraId="7599090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57FF2811" w14:textId="77777777" w:rsidTr="00834F5A">
        <w:tc>
          <w:tcPr>
            <w:tcW w:w="1057" w:type="pct"/>
            <w:tcBorders>
              <w:top w:val="single" w:sz="4" w:space="0" w:color="auto"/>
            </w:tcBorders>
          </w:tcPr>
          <w:p w14:paraId="107F140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Mean VIF</w:t>
            </w:r>
          </w:p>
        </w:tc>
        <w:tc>
          <w:tcPr>
            <w:tcW w:w="394" w:type="pct"/>
            <w:tcBorders>
              <w:top w:val="single" w:sz="4" w:space="0" w:color="auto"/>
            </w:tcBorders>
          </w:tcPr>
          <w:p w14:paraId="76302D4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2.78</w:t>
            </w:r>
          </w:p>
        </w:tc>
        <w:tc>
          <w:tcPr>
            <w:tcW w:w="395" w:type="pct"/>
            <w:tcBorders>
              <w:top w:val="single" w:sz="4" w:space="0" w:color="auto"/>
            </w:tcBorders>
          </w:tcPr>
          <w:p w14:paraId="3146DE3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2.84</w:t>
            </w:r>
          </w:p>
        </w:tc>
        <w:tc>
          <w:tcPr>
            <w:tcW w:w="395" w:type="pct"/>
            <w:tcBorders>
              <w:top w:val="single" w:sz="4" w:space="0" w:color="auto"/>
            </w:tcBorders>
          </w:tcPr>
          <w:p w14:paraId="06C84FA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3.18</w:t>
            </w:r>
          </w:p>
        </w:tc>
        <w:tc>
          <w:tcPr>
            <w:tcW w:w="394" w:type="pct"/>
            <w:tcBorders>
              <w:top w:val="single" w:sz="4" w:space="0" w:color="auto"/>
            </w:tcBorders>
          </w:tcPr>
          <w:p w14:paraId="4DA3B74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2.79</w:t>
            </w:r>
          </w:p>
        </w:tc>
        <w:tc>
          <w:tcPr>
            <w:tcW w:w="395" w:type="pct"/>
            <w:tcBorders>
              <w:top w:val="single" w:sz="4" w:space="0" w:color="auto"/>
              <w:right w:val="single" w:sz="4" w:space="0" w:color="auto"/>
            </w:tcBorders>
          </w:tcPr>
          <w:p w14:paraId="1CBB8FF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3.15</w:t>
            </w:r>
          </w:p>
        </w:tc>
        <w:tc>
          <w:tcPr>
            <w:tcW w:w="394" w:type="pct"/>
            <w:tcBorders>
              <w:top w:val="single" w:sz="4" w:space="0" w:color="auto"/>
              <w:left w:val="single" w:sz="4" w:space="0" w:color="auto"/>
            </w:tcBorders>
          </w:tcPr>
          <w:p w14:paraId="628FAB4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5" w:type="pct"/>
            <w:tcBorders>
              <w:top w:val="single" w:sz="4" w:space="0" w:color="auto"/>
            </w:tcBorders>
          </w:tcPr>
          <w:p w14:paraId="3CAAE93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2.84</w:t>
            </w:r>
          </w:p>
        </w:tc>
        <w:tc>
          <w:tcPr>
            <w:tcW w:w="395" w:type="pct"/>
            <w:tcBorders>
              <w:top w:val="single" w:sz="4" w:space="0" w:color="auto"/>
            </w:tcBorders>
          </w:tcPr>
          <w:p w14:paraId="03C1805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3.18</w:t>
            </w:r>
          </w:p>
        </w:tc>
        <w:tc>
          <w:tcPr>
            <w:tcW w:w="394" w:type="pct"/>
            <w:tcBorders>
              <w:top w:val="single" w:sz="4" w:space="0" w:color="auto"/>
            </w:tcBorders>
          </w:tcPr>
          <w:p w14:paraId="3165DE5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2.80</w:t>
            </w:r>
          </w:p>
        </w:tc>
        <w:tc>
          <w:tcPr>
            <w:tcW w:w="392" w:type="pct"/>
            <w:tcBorders>
              <w:top w:val="single" w:sz="4" w:space="0" w:color="auto"/>
            </w:tcBorders>
          </w:tcPr>
          <w:p w14:paraId="2C0F09F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rPr>
              <w:t>3.15</w:t>
            </w:r>
          </w:p>
        </w:tc>
      </w:tr>
      <w:tr w:rsidR="00331AB6" w:rsidRPr="00E1789A" w14:paraId="4033C1A9" w14:textId="77777777" w:rsidTr="00834F5A">
        <w:tc>
          <w:tcPr>
            <w:tcW w:w="1057" w:type="pct"/>
          </w:tcPr>
          <w:p w14:paraId="72B109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i/>
                <w:iCs/>
                <w:sz w:val="16"/>
                <w:szCs w:val="16"/>
                <w:lang w:val="en-US"/>
              </w:rPr>
              <w:t>n/N</w:t>
            </w:r>
          </w:p>
        </w:tc>
        <w:tc>
          <w:tcPr>
            <w:tcW w:w="394" w:type="pct"/>
          </w:tcPr>
          <w:p w14:paraId="0CC111E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5" w:type="pct"/>
          </w:tcPr>
          <w:p w14:paraId="65D95C2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5" w:type="pct"/>
          </w:tcPr>
          <w:p w14:paraId="5EB23B8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4" w:type="pct"/>
          </w:tcPr>
          <w:p w14:paraId="76A3B78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5" w:type="pct"/>
            <w:tcBorders>
              <w:right w:val="single" w:sz="4" w:space="0" w:color="auto"/>
            </w:tcBorders>
          </w:tcPr>
          <w:p w14:paraId="01C4F3C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4" w:type="pct"/>
            <w:tcBorders>
              <w:left w:val="single" w:sz="4" w:space="0" w:color="auto"/>
            </w:tcBorders>
          </w:tcPr>
          <w:p w14:paraId="7BC8566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c>
          <w:tcPr>
            <w:tcW w:w="395" w:type="pct"/>
          </w:tcPr>
          <w:p w14:paraId="4FA6BF9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c>
          <w:tcPr>
            <w:tcW w:w="395" w:type="pct"/>
          </w:tcPr>
          <w:p w14:paraId="4B10506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c>
          <w:tcPr>
            <w:tcW w:w="394" w:type="pct"/>
          </w:tcPr>
          <w:p w14:paraId="4BE87B3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c>
          <w:tcPr>
            <w:tcW w:w="392" w:type="pct"/>
          </w:tcPr>
          <w:p w14:paraId="30CCE9D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r>
      <w:tr w:rsidR="00331AB6" w:rsidRPr="00E1789A" w14:paraId="1730753A" w14:textId="77777777" w:rsidTr="00834F5A">
        <w:trPr>
          <w:trHeight w:val="253"/>
        </w:trPr>
        <w:tc>
          <w:tcPr>
            <w:tcW w:w="1057" w:type="pct"/>
          </w:tcPr>
          <w:p w14:paraId="1C99411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w:t>
            </w:r>
            <w:r w:rsidRPr="00E1789A">
              <w:rPr>
                <w:rFonts w:ascii="Times New Roman" w:hAnsi="Times New Roman" w:cs="Times New Roman"/>
                <w:sz w:val="16"/>
                <w:szCs w:val="16"/>
                <w:vertAlign w:val="superscript"/>
                <w:lang w:val="en-US"/>
              </w:rPr>
              <w:t>2</w:t>
            </w:r>
          </w:p>
        </w:tc>
        <w:tc>
          <w:tcPr>
            <w:tcW w:w="394" w:type="pct"/>
          </w:tcPr>
          <w:p w14:paraId="3E63013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0.134</w:t>
            </w:r>
          </w:p>
        </w:tc>
        <w:tc>
          <w:tcPr>
            <w:tcW w:w="395" w:type="pct"/>
          </w:tcPr>
          <w:p w14:paraId="7733AB5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0.135</w:t>
            </w:r>
          </w:p>
        </w:tc>
        <w:tc>
          <w:tcPr>
            <w:tcW w:w="395" w:type="pct"/>
          </w:tcPr>
          <w:p w14:paraId="1440560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0.133</w:t>
            </w:r>
          </w:p>
        </w:tc>
        <w:tc>
          <w:tcPr>
            <w:tcW w:w="394" w:type="pct"/>
          </w:tcPr>
          <w:p w14:paraId="03316AD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0.139</w:t>
            </w:r>
          </w:p>
        </w:tc>
        <w:tc>
          <w:tcPr>
            <w:tcW w:w="395" w:type="pct"/>
            <w:tcBorders>
              <w:right w:val="single" w:sz="4" w:space="0" w:color="auto"/>
            </w:tcBorders>
          </w:tcPr>
          <w:p w14:paraId="19DB9BB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0.137</w:t>
            </w:r>
          </w:p>
        </w:tc>
        <w:tc>
          <w:tcPr>
            <w:tcW w:w="394" w:type="pct"/>
            <w:tcBorders>
              <w:left w:val="single" w:sz="4" w:space="0" w:color="auto"/>
            </w:tcBorders>
          </w:tcPr>
          <w:p w14:paraId="18F1490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0.213</w:t>
            </w:r>
          </w:p>
        </w:tc>
        <w:tc>
          <w:tcPr>
            <w:tcW w:w="395" w:type="pct"/>
          </w:tcPr>
          <w:p w14:paraId="7B8C171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0.236</w:t>
            </w:r>
          </w:p>
        </w:tc>
        <w:tc>
          <w:tcPr>
            <w:tcW w:w="395" w:type="pct"/>
          </w:tcPr>
          <w:p w14:paraId="485FB7D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0.238</w:t>
            </w:r>
          </w:p>
        </w:tc>
        <w:tc>
          <w:tcPr>
            <w:tcW w:w="394" w:type="pct"/>
          </w:tcPr>
          <w:p w14:paraId="1B1D445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0.224</w:t>
            </w:r>
          </w:p>
        </w:tc>
        <w:tc>
          <w:tcPr>
            <w:tcW w:w="392" w:type="pct"/>
          </w:tcPr>
          <w:p w14:paraId="4CD4B4F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0.225</w:t>
            </w:r>
          </w:p>
        </w:tc>
      </w:tr>
      <w:tr w:rsidR="00331AB6" w:rsidRPr="00E1789A" w14:paraId="2E05B88C" w14:textId="77777777" w:rsidTr="00834F5A">
        <w:tc>
          <w:tcPr>
            <w:tcW w:w="1057" w:type="pct"/>
            <w:tcBorders>
              <w:bottom w:val="single" w:sz="4" w:space="0" w:color="auto"/>
            </w:tcBorders>
          </w:tcPr>
          <w:p w14:paraId="390DFCB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Wald χ</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w:t>
            </w:r>
            <w:r w:rsidRPr="00E1789A">
              <w:rPr>
                <w:rFonts w:ascii="Times New Roman" w:hAnsi="Times New Roman" w:cs="Times New Roman"/>
                <w:i/>
                <w:iCs/>
                <w:sz w:val="16"/>
                <w:szCs w:val="16"/>
                <w:lang w:val="en-US"/>
              </w:rPr>
              <w:t>p</w:t>
            </w:r>
            <w:r w:rsidRPr="00E1789A">
              <w:rPr>
                <w:rFonts w:ascii="Times New Roman" w:hAnsi="Times New Roman" w:cs="Times New Roman"/>
                <w:sz w:val="16"/>
                <w:szCs w:val="16"/>
                <w:lang w:val="en-US"/>
              </w:rPr>
              <w:t>)</w:t>
            </w:r>
          </w:p>
        </w:tc>
        <w:tc>
          <w:tcPr>
            <w:tcW w:w="394" w:type="pct"/>
            <w:tcBorders>
              <w:bottom w:val="single" w:sz="4" w:space="0" w:color="auto"/>
            </w:tcBorders>
          </w:tcPr>
          <w:p w14:paraId="68A4359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Borders>
              <w:bottom w:val="single" w:sz="4" w:space="0" w:color="auto"/>
            </w:tcBorders>
          </w:tcPr>
          <w:p w14:paraId="7EA7F40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Borders>
              <w:bottom w:val="single" w:sz="4" w:space="0" w:color="auto"/>
            </w:tcBorders>
          </w:tcPr>
          <w:p w14:paraId="0C48E5F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4" w:type="pct"/>
            <w:tcBorders>
              <w:bottom w:val="single" w:sz="4" w:space="0" w:color="auto"/>
            </w:tcBorders>
          </w:tcPr>
          <w:p w14:paraId="63ABFF1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Borders>
              <w:bottom w:val="single" w:sz="4" w:space="0" w:color="auto"/>
              <w:right w:val="single" w:sz="4" w:space="0" w:color="auto"/>
            </w:tcBorders>
          </w:tcPr>
          <w:p w14:paraId="5865E99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4" w:type="pct"/>
            <w:tcBorders>
              <w:left w:val="single" w:sz="4" w:space="0" w:color="auto"/>
              <w:bottom w:val="single" w:sz="4" w:space="0" w:color="auto"/>
            </w:tcBorders>
          </w:tcPr>
          <w:p w14:paraId="58BE8C8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Borders>
              <w:bottom w:val="single" w:sz="4" w:space="0" w:color="auto"/>
            </w:tcBorders>
          </w:tcPr>
          <w:p w14:paraId="21223F5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5" w:type="pct"/>
            <w:tcBorders>
              <w:bottom w:val="single" w:sz="4" w:space="0" w:color="auto"/>
            </w:tcBorders>
          </w:tcPr>
          <w:p w14:paraId="39E4785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4" w:type="pct"/>
            <w:tcBorders>
              <w:bottom w:val="single" w:sz="4" w:space="0" w:color="auto"/>
            </w:tcBorders>
          </w:tcPr>
          <w:p w14:paraId="0CEA9BD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2" w:type="pct"/>
            <w:tcBorders>
              <w:bottom w:val="single" w:sz="4" w:space="0" w:color="auto"/>
            </w:tcBorders>
          </w:tcPr>
          <w:p w14:paraId="1F69845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2B2AE870" w14:textId="77777777" w:rsidTr="00834F5A">
        <w:trPr>
          <w:trHeight w:val="407"/>
        </w:trPr>
        <w:tc>
          <w:tcPr>
            <w:tcW w:w="5000" w:type="pct"/>
            <w:gridSpan w:val="11"/>
            <w:tcBorders>
              <w:top w:val="single" w:sz="4" w:space="0" w:color="auto"/>
            </w:tcBorders>
          </w:tcPr>
          <w:p w14:paraId="2C85914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CC7A8F">
              <w:rPr>
                <w:rFonts w:ascii="Times New Roman" w:hAnsi="Times New Roman" w:cs="Times New Roman"/>
                <w:i/>
                <w:iCs/>
                <w:sz w:val="16"/>
                <w:szCs w:val="16"/>
                <w:lang w:val="en-US"/>
              </w:rPr>
              <w:t>Notes</w:t>
            </w:r>
            <w:r w:rsidRPr="00E1789A">
              <w:rPr>
                <w:rFonts w:ascii="Times New Roman" w:hAnsi="Times New Roman" w:cs="Times New Roman"/>
                <w:sz w:val="16"/>
                <w:szCs w:val="16"/>
                <w:lang w:val="en-US"/>
              </w:rPr>
              <w:t>: Unstandardized regression coefficients are reported with robust standard errors in parenthesis. R</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(between) is reported. Intercept terms are included but not shown. n=firm-year observations; N=firms. ROA = Return on Assets. R&amp;D = research and development; IMR_PD = Inverse Mills Ratio (Product Diversification); H = Hypothesis; VIF = variance inflation factor.</w:t>
            </w:r>
          </w:p>
          <w:p w14:paraId="1B23100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 p &lt; 0.1, * p &lt; 0.05, ** p &lt; 0.01, *** p &lt; 0.001</w:t>
            </w:r>
          </w:p>
        </w:tc>
      </w:tr>
    </w:tbl>
    <w:p w14:paraId="2823C8E3" w14:textId="77777777" w:rsidR="00331AB6" w:rsidRPr="00E1789A" w:rsidRDefault="00331AB6" w:rsidP="00331AB6">
      <w:pPr>
        <w:tabs>
          <w:tab w:val="left" w:pos="2090"/>
        </w:tabs>
        <w:rPr>
          <w:rFonts w:ascii="Times New Roman" w:hAnsi="Times New Roman" w:cs="Times New Roman"/>
          <w:b/>
          <w:bCs/>
          <w:sz w:val="24"/>
          <w:szCs w:val="24"/>
        </w:rPr>
      </w:pPr>
    </w:p>
    <w:p w14:paraId="7FDE68C7" w14:textId="77777777" w:rsidR="00331AB6" w:rsidRPr="00E1789A" w:rsidRDefault="00331AB6" w:rsidP="00331AB6">
      <w:pPr>
        <w:tabs>
          <w:tab w:val="left" w:pos="2090"/>
        </w:tabs>
        <w:rPr>
          <w:rFonts w:ascii="Times New Roman" w:hAnsi="Times New Roman" w:cs="Times New Roman"/>
          <w:sz w:val="24"/>
          <w:szCs w:val="24"/>
        </w:rPr>
      </w:pPr>
    </w:p>
    <w:p w14:paraId="1266A2F7" w14:textId="77777777" w:rsidR="00331AB6" w:rsidRPr="00E1789A" w:rsidRDefault="00331AB6" w:rsidP="00331AB6">
      <w:pPr>
        <w:tabs>
          <w:tab w:val="left" w:pos="2090"/>
        </w:tabs>
        <w:rPr>
          <w:rFonts w:ascii="Times New Roman" w:hAnsi="Times New Roman" w:cs="Times New Roman"/>
          <w:sz w:val="24"/>
          <w:szCs w:val="24"/>
        </w:rPr>
        <w:sectPr w:rsidR="00331AB6" w:rsidRPr="00E1789A" w:rsidSect="0054095A">
          <w:pgSz w:w="16838" w:h="11906" w:orient="landscape"/>
          <w:pgMar w:top="1440" w:right="1440" w:bottom="1440" w:left="1440" w:header="708" w:footer="708" w:gutter="0"/>
          <w:cols w:space="708"/>
          <w:docGrid w:linePitch="360"/>
        </w:sectPr>
      </w:pPr>
    </w:p>
    <w:tbl>
      <w:tblPr>
        <w:tblW w:w="5000" w:type="pct"/>
        <w:tblLayout w:type="fixed"/>
        <w:tblLook w:val="0000" w:firstRow="0" w:lastRow="0" w:firstColumn="0" w:lastColumn="0" w:noHBand="0" w:noVBand="0"/>
      </w:tblPr>
      <w:tblGrid>
        <w:gridCol w:w="2989"/>
        <w:gridCol w:w="1058"/>
        <w:gridCol w:w="1058"/>
        <w:gridCol w:w="1212"/>
        <w:gridCol w:w="1212"/>
        <w:gridCol w:w="1058"/>
        <w:gridCol w:w="1058"/>
        <w:gridCol w:w="1058"/>
        <w:gridCol w:w="1058"/>
        <w:gridCol w:w="1172"/>
        <w:gridCol w:w="1025"/>
      </w:tblGrid>
      <w:tr w:rsidR="00331AB6" w:rsidRPr="00E1789A" w14:paraId="75495B3B" w14:textId="77777777" w:rsidTr="00834F5A">
        <w:trPr>
          <w:trHeight w:val="210"/>
        </w:trPr>
        <w:tc>
          <w:tcPr>
            <w:tcW w:w="5000" w:type="pct"/>
            <w:gridSpan w:val="11"/>
            <w:tcBorders>
              <w:bottom w:val="single" w:sz="4" w:space="0" w:color="auto"/>
            </w:tcBorders>
          </w:tcPr>
          <w:p w14:paraId="06869D3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lastRenderedPageBreak/>
              <w:t xml:space="preserve"> Table C2. Second </w:t>
            </w:r>
            <w:r>
              <w:rPr>
                <w:rFonts w:ascii="Times New Roman" w:hAnsi="Times New Roman" w:cs="Times New Roman"/>
                <w:sz w:val="16"/>
                <w:szCs w:val="16"/>
                <w:lang w:val="en-US"/>
              </w:rPr>
              <w:t>s</w:t>
            </w:r>
            <w:r w:rsidRPr="00E1789A">
              <w:rPr>
                <w:rFonts w:ascii="Times New Roman" w:hAnsi="Times New Roman" w:cs="Times New Roman"/>
                <w:sz w:val="16"/>
                <w:szCs w:val="16"/>
                <w:lang w:val="en-US"/>
              </w:rPr>
              <w:t xml:space="preserve">tage random-effect models (with robust standard errors) for firm performance (International </w:t>
            </w:r>
            <w:r>
              <w:rPr>
                <w:rFonts w:ascii="Times New Roman" w:hAnsi="Times New Roman" w:cs="Times New Roman"/>
                <w:sz w:val="16"/>
                <w:szCs w:val="16"/>
                <w:lang w:val="en-US"/>
              </w:rPr>
              <w:t>d</w:t>
            </w:r>
            <w:r w:rsidRPr="00E1789A">
              <w:rPr>
                <w:rFonts w:ascii="Times New Roman" w:hAnsi="Times New Roman" w:cs="Times New Roman"/>
                <w:sz w:val="16"/>
                <w:szCs w:val="16"/>
                <w:lang w:val="en-US"/>
              </w:rPr>
              <w:t xml:space="preserve">iversification </w:t>
            </w:r>
            <w:r>
              <w:rPr>
                <w:rFonts w:ascii="Times New Roman" w:hAnsi="Times New Roman" w:cs="Times New Roman"/>
                <w:sz w:val="16"/>
                <w:szCs w:val="16"/>
                <w:lang w:val="en-US"/>
              </w:rPr>
              <w:t>e</w:t>
            </w:r>
            <w:r w:rsidRPr="00E1789A">
              <w:rPr>
                <w:rFonts w:ascii="Times New Roman" w:hAnsi="Times New Roman" w:cs="Times New Roman"/>
                <w:sz w:val="16"/>
                <w:szCs w:val="16"/>
                <w:lang w:val="en-US"/>
              </w:rPr>
              <w:t>xperience)</w:t>
            </w:r>
          </w:p>
        </w:tc>
      </w:tr>
      <w:tr w:rsidR="00331AB6" w:rsidRPr="00E1789A" w14:paraId="0FC989FF" w14:textId="77777777" w:rsidTr="00834F5A">
        <w:trPr>
          <w:trHeight w:val="206"/>
        </w:trPr>
        <w:tc>
          <w:tcPr>
            <w:tcW w:w="1071" w:type="pct"/>
            <w:tcBorders>
              <w:top w:val="single" w:sz="4" w:space="0" w:color="auto"/>
            </w:tcBorders>
          </w:tcPr>
          <w:p w14:paraId="1A3DDEF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2005" w:type="pct"/>
            <w:gridSpan w:val="5"/>
            <w:tcBorders>
              <w:top w:val="single" w:sz="4" w:space="0" w:color="auto"/>
              <w:bottom w:val="single" w:sz="4" w:space="0" w:color="auto"/>
              <w:right w:val="single" w:sz="4" w:space="0" w:color="auto"/>
            </w:tcBorders>
          </w:tcPr>
          <w:p w14:paraId="52A09A2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Tobin’s Q</w:t>
            </w:r>
            <w:r w:rsidRPr="00E1789A">
              <w:rPr>
                <w:rFonts w:ascii="Times New Roman" w:hAnsi="Times New Roman" w:cs="Times New Roman"/>
                <w:sz w:val="16"/>
                <w:szCs w:val="16"/>
                <w:vertAlign w:val="subscript"/>
                <w:lang w:val="en-US"/>
              </w:rPr>
              <w:t>t+1</w:t>
            </w:r>
          </w:p>
        </w:tc>
        <w:tc>
          <w:tcPr>
            <w:tcW w:w="1924" w:type="pct"/>
            <w:gridSpan w:val="5"/>
            <w:tcBorders>
              <w:top w:val="single" w:sz="4" w:space="0" w:color="auto"/>
              <w:left w:val="single" w:sz="4" w:space="0" w:color="auto"/>
              <w:bottom w:val="single" w:sz="4" w:space="0" w:color="auto"/>
            </w:tcBorders>
          </w:tcPr>
          <w:p w14:paraId="7646A8E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ROA</w:t>
            </w:r>
            <w:r w:rsidRPr="00E1789A">
              <w:rPr>
                <w:rFonts w:ascii="Times New Roman" w:hAnsi="Times New Roman" w:cs="Times New Roman"/>
                <w:sz w:val="16"/>
                <w:szCs w:val="16"/>
                <w:vertAlign w:val="subscript"/>
                <w:lang w:val="en-US"/>
              </w:rPr>
              <w:t>t+1</w:t>
            </w:r>
          </w:p>
        </w:tc>
      </w:tr>
      <w:tr w:rsidR="00331AB6" w:rsidRPr="00E1789A" w14:paraId="287B5359" w14:textId="77777777" w:rsidTr="00834F5A">
        <w:trPr>
          <w:trHeight w:val="124"/>
        </w:trPr>
        <w:tc>
          <w:tcPr>
            <w:tcW w:w="1071" w:type="pct"/>
            <w:tcBorders>
              <w:bottom w:val="single" w:sz="4" w:space="0" w:color="auto"/>
            </w:tcBorders>
          </w:tcPr>
          <w:p w14:paraId="41BFAF6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Variable</w:t>
            </w:r>
          </w:p>
        </w:tc>
        <w:tc>
          <w:tcPr>
            <w:tcW w:w="379" w:type="pct"/>
            <w:tcBorders>
              <w:bottom w:val="single" w:sz="4" w:space="0" w:color="auto"/>
            </w:tcBorders>
          </w:tcPr>
          <w:p w14:paraId="71B93CB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B11</w:t>
            </w:r>
          </w:p>
        </w:tc>
        <w:tc>
          <w:tcPr>
            <w:tcW w:w="379" w:type="pct"/>
            <w:tcBorders>
              <w:bottom w:val="single" w:sz="4" w:space="0" w:color="auto"/>
            </w:tcBorders>
          </w:tcPr>
          <w:p w14:paraId="6A5A1B3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B12</w:t>
            </w:r>
          </w:p>
        </w:tc>
        <w:tc>
          <w:tcPr>
            <w:tcW w:w="434" w:type="pct"/>
            <w:tcBorders>
              <w:bottom w:val="single" w:sz="4" w:space="0" w:color="auto"/>
            </w:tcBorders>
          </w:tcPr>
          <w:p w14:paraId="1DD2900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B13</w:t>
            </w:r>
          </w:p>
        </w:tc>
        <w:tc>
          <w:tcPr>
            <w:tcW w:w="434" w:type="pct"/>
            <w:tcBorders>
              <w:bottom w:val="single" w:sz="4" w:space="0" w:color="auto"/>
            </w:tcBorders>
          </w:tcPr>
          <w:p w14:paraId="31ED2DB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B14</w:t>
            </w:r>
          </w:p>
        </w:tc>
        <w:tc>
          <w:tcPr>
            <w:tcW w:w="379" w:type="pct"/>
            <w:tcBorders>
              <w:bottom w:val="single" w:sz="4" w:space="0" w:color="auto"/>
              <w:right w:val="single" w:sz="4" w:space="0" w:color="auto"/>
            </w:tcBorders>
          </w:tcPr>
          <w:p w14:paraId="72FFD45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B15</w:t>
            </w:r>
          </w:p>
        </w:tc>
        <w:tc>
          <w:tcPr>
            <w:tcW w:w="379" w:type="pct"/>
            <w:tcBorders>
              <w:left w:val="single" w:sz="4" w:space="0" w:color="auto"/>
              <w:bottom w:val="single" w:sz="4" w:space="0" w:color="auto"/>
            </w:tcBorders>
          </w:tcPr>
          <w:p w14:paraId="5B8302E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B16</w:t>
            </w:r>
          </w:p>
        </w:tc>
        <w:tc>
          <w:tcPr>
            <w:tcW w:w="379" w:type="pct"/>
            <w:tcBorders>
              <w:bottom w:val="single" w:sz="4" w:space="0" w:color="auto"/>
            </w:tcBorders>
          </w:tcPr>
          <w:p w14:paraId="4C1308F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B17</w:t>
            </w:r>
          </w:p>
        </w:tc>
        <w:tc>
          <w:tcPr>
            <w:tcW w:w="379" w:type="pct"/>
            <w:tcBorders>
              <w:bottom w:val="single" w:sz="4" w:space="0" w:color="auto"/>
            </w:tcBorders>
          </w:tcPr>
          <w:p w14:paraId="114CF78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B18</w:t>
            </w:r>
          </w:p>
        </w:tc>
        <w:tc>
          <w:tcPr>
            <w:tcW w:w="420" w:type="pct"/>
            <w:tcBorders>
              <w:bottom w:val="single" w:sz="4" w:space="0" w:color="auto"/>
            </w:tcBorders>
          </w:tcPr>
          <w:p w14:paraId="50BFD3A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B19</w:t>
            </w:r>
          </w:p>
        </w:tc>
        <w:tc>
          <w:tcPr>
            <w:tcW w:w="367" w:type="pct"/>
            <w:tcBorders>
              <w:bottom w:val="single" w:sz="4" w:space="0" w:color="auto"/>
            </w:tcBorders>
          </w:tcPr>
          <w:p w14:paraId="6A2856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Model B20</w:t>
            </w:r>
          </w:p>
        </w:tc>
      </w:tr>
      <w:tr w:rsidR="00331AB6" w:rsidRPr="00E1789A" w14:paraId="2EF0F4D6" w14:textId="77777777" w:rsidTr="00834F5A">
        <w:trPr>
          <w:trHeight w:val="210"/>
        </w:trPr>
        <w:tc>
          <w:tcPr>
            <w:tcW w:w="1071" w:type="pct"/>
            <w:tcBorders>
              <w:top w:val="single" w:sz="4" w:space="0" w:color="auto"/>
            </w:tcBorders>
          </w:tcPr>
          <w:p w14:paraId="1E39508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size</w:t>
            </w:r>
          </w:p>
        </w:tc>
        <w:tc>
          <w:tcPr>
            <w:tcW w:w="379" w:type="pct"/>
            <w:tcBorders>
              <w:top w:val="single" w:sz="4" w:space="0" w:color="auto"/>
            </w:tcBorders>
          </w:tcPr>
          <w:p w14:paraId="17D2302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-0.349</w:t>
            </w:r>
            <w:r w:rsidRPr="00E1789A">
              <w:rPr>
                <w:rFonts w:ascii="Times New Roman" w:hAnsi="Times New Roman" w:cs="Times New Roman"/>
                <w:sz w:val="16"/>
                <w:szCs w:val="16"/>
                <w:vertAlign w:val="superscript"/>
                <w:lang w:val="en-US"/>
              </w:rPr>
              <w:t>*</w:t>
            </w:r>
          </w:p>
        </w:tc>
        <w:tc>
          <w:tcPr>
            <w:tcW w:w="379" w:type="pct"/>
            <w:tcBorders>
              <w:top w:val="single" w:sz="4" w:space="0" w:color="auto"/>
            </w:tcBorders>
          </w:tcPr>
          <w:p w14:paraId="758EAA2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-0.333</w:t>
            </w:r>
            <w:r w:rsidRPr="00E1789A">
              <w:rPr>
                <w:rFonts w:ascii="Times New Roman" w:hAnsi="Times New Roman" w:cs="Times New Roman"/>
                <w:sz w:val="16"/>
                <w:szCs w:val="16"/>
                <w:vertAlign w:val="superscript"/>
                <w:lang w:val="en-US"/>
              </w:rPr>
              <w:t>*</w:t>
            </w:r>
          </w:p>
        </w:tc>
        <w:tc>
          <w:tcPr>
            <w:tcW w:w="434" w:type="pct"/>
            <w:tcBorders>
              <w:top w:val="single" w:sz="4" w:space="0" w:color="auto"/>
            </w:tcBorders>
          </w:tcPr>
          <w:p w14:paraId="7D226D6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-0.332</w:t>
            </w:r>
            <w:r w:rsidRPr="00E1789A">
              <w:rPr>
                <w:rFonts w:ascii="Times New Roman" w:hAnsi="Times New Roman" w:cs="Times New Roman"/>
                <w:sz w:val="16"/>
                <w:szCs w:val="16"/>
                <w:vertAlign w:val="superscript"/>
                <w:lang w:val="en-US"/>
              </w:rPr>
              <w:t>*</w:t>
            </w:r>
          </w:p>
        </w:tc>
        <w:tc>
          <w:tcPr>
            <w:tcW w:w="434" w:type="pct"/>
            <w:tcBorders>
              <w:top w:val="single" w:sz="4" w:space="0" w:color="auto"/>
            </w:tcBorders>
          </w:tcPr>
          <w:p w14:paraId="2CCC4DD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-0.363</w:t>
            </w:r>
            <w:r w:rsidRPr="00E1789A">
              <w:rPr>
                <w:rFonts w:ascii="Times New Roman" w:hAnsi="Times New Roman" w:cs="Times New Roman"/>
                <w:sz w:val="16"/>
                <w:szCs w:val="16"/>
                <w:vertAlign w:val="superscript"/>
                <w:lang w:val="en-US"/>
              </w:rPr>
              <w:t>*</w:t>
            </w:r>
          </w:p>
        </w:tc>
        <w:tc>
          <w:tcPr>
            <w:tcW w:w="379" w:type="pct"/>
            <w:tcBorders>
              <w:top w:val="single" w:sz="4" w:space="0" w:color="auto"/>
              <w:right w:val="single" w:sz="4" w:space="0" w:color="auto"/>
            </w:tcBorders>
          </w:tcPr>
          <w:p w14:paraId="34D3960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-0.360</w:t>
            </w:r>
            <w:r w:rsidRPr="00E1789A">
              <w:rPr>
                <w:rFonts w:ascii="Times New Roman" w:hAnsi="Times New Roman" w:cs="Times New Roman"/>
                <w:sz w:val="16"/>
                <w:szCs w:val="16"/>
                <w:vertAlign w:val="superscript"/>
                <w:lang w:val="en-US"/>
              </w:rPr>
              <w:t>*</w:t>
            </w:r>
          </w:p>
        </w:tc>
        <w:tc>
          <w:tcPr>
            <w:tcW w:w="379" w:type="pct"/>
            <w:tcBorders>
              <w:top w:val="single" w:sz="4" w:space="0" w:color="auto"/>
              <w:left w:val="single" w:sz="4" w:space="0" w:color="auto"/>
            </w:tcBorders>
          </w:tcPr>
          <w:p w14:paraId="342EC78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79" w:type="pct"/>
            <w:tcBorders>
              <w:top w:val="single" w:sz="4" w:space="0" w:color="auto"/>
            </w:tcBorders>
          </w:tcPr>
          <w:p w14:paraId="01AA83F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79" w:type="pct"/>
            <w:tcBorders>
              <w:top w:val="single" w:sz="4" w:space="0" w:color="auto"/>
            </w:tcBorders>
          </w:tcPr>
          <w:p w14:paraId="0594FAA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420" w:type="pct"/>
            <w:tcBorders>
              <w:top w:val="single" w:sz="4" w:space="0" w:color="auto"/>
            </w:tcBorders>
          </w:tcPr>
          <w:p w14:paraId="3F61092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67" w:type="pct"/>
            <w:tcBorders>
              <w:top w:val="single" w:sz="4" w:space="0" w:color="auto"/>
            </w:tcBorders>
          </w:tcPr>
          <w:p w14:paraId="08A7F86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3077DF05" w14:textId="77777777" w:rsidTr="00834F5A">
        <w:trPr>
          <w:trHeight w:val="210"/>
        </w:trPr>
        <w:tc>
          <w:tcPr>
            <w:tcW w:w="1071" w:type="pct"/>
          </w:tcPr>
          <w:p w14:paraId="6CED8D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0651BE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(0.151)</w:t>
            </w:r>
          </w:p>
        </w:tc>
        <w:tc>
          <w:tcPr>
            <w:tcW w:w="379" w:type="pct"/>
          </w:tcPr>
          <w:p w14:paraId="71EC5CA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(0.162)</w:t>
            </w:r>
          </w:p>
        </w:tc>
        <w:tc>
          <w:tcPr>
            <w:tcW w:w="434" w:type="pct"/>
          </w:tcPr>
          <w:p w14:paraId="13AAAC7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(0.149)</w:t>
            </w:r>
          </w:p>
        </w:tc>
        <w:tc>
          <w:tcPr>
            <w:tcW w:w="434" w:type="pct"/>
          </w:tcPr>
          <w:p w14:paraId="15A6FD3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(0.168)</w:t>
            </w:r>
          </w:p>
        </w:tc>
        <w:tc>
          <w:tcPr>
            <w:tcW w:w="379" w:type="pct"/>
            <w:tcBorders>
              <w:right w:val="single" w:sz="4" w:space="0" w:color="auto"/>
            </w:tcBorders>
          </w:tcPr>
          <w:p w14:paraId="424CF2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(0.155)</w:t>
            </w:r>
          </w:p>
        </w:tc>
        <w:tc>
          <w:tcPr>
            <w:tcW w:w="379" w:type="pct"/>
            <w:tcBorders>
              <w:left w:val="single" w:sz="4" w:space="0" w:color="auto"/>
            </w:tcBorders>
          </w:tcPr>
          <w:p w14:paraId="1CFA82E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79" w:type="pct"/>
          </w:tcPr>
          <w:p w14:paraId="517D66D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79" w:type="pct"/>
          </w:tcPr>
          <w:p w14:paraId="52DFD89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420" w:type="pct"/>
          </w:tcPr>
          <w:p w14:paraId="708419E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67" w:type="pct"/>
          </w:tcPr>
          <w:p w14:paraId="16E37E7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1710DE40" w14:textId="77777777" w:rsidTr="00834F5A">
        <w:trPr>
          <w:trHeight w:val="219"/>
        </w:trPr>
        <w:tc>
          <w:tcPr>
            <w:tcW w:w="1071" w:type="pct"/>
          </w:tcPr>
          <w:p w14:paraId="01B38E5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age</w:t>
            </w:r>
          </w:p>
        </w:tc>
        <w:tc>
          <w:tcPr>
            <w:tcW w:w="379" w:type="pct"/>
          </w:tcPr>
          <w:p w14:paraId="6068A36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-0.017</w:t>
            </w:r>
          </w:p>
        </w:tc>
        <w:tc>
          <w:tcPr>
            <w:tcW w:w="379" w:type="pct"/>
          </w:tcPr>
          <w:p w14:paraId="295193A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-0.016</w:t>
            </w:r>
          </w:p>
        </w:tc>
        <w:tc>
          <w:tcPr>
            <w:tcW w:w="434" w:type="pct"/>
          </w:tcPr>
          <w:p w14:paraId="399ACB2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434" w:type="pct"/>
          </w:tcPr>
          <w:p w14:paraId="027094A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0.014</w:t>
            </w:r>
          </w:p>
        </w:tc>
        <w:tc>
          <w:tcPr>
            <w:tcW w:w="379" w:type="pct"/>
            <w:tcBorders>
              <w:right w:val="single" w:sz="4" w:space="0" w:color="auto"/>
            </w:tcBorders>
          </w:tcPr>
          <w:p w14:paraId="34046DD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0.034</w:t>
            </w:r>
          </w:p>
        </w:tc>
        <w:tc>
          <w:tcPr>
            <w:tcW w:w="379" w:type="pct"/>
            <w:tcBorders>
              <w:left w:val="single" w:sz="4" w:space="0" w:color="auto"/>
            </w:tcBorders>
          </w:tcPr>
          <w:p w14:paraId="28F6A56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Pr>
          <w:p w14:paraId="1934382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Pr>
          <w:p w14:paraId="035B4B4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420" w:type="pct"/>
          </w:tcPr>
          <w:p w14:paraId="60636FC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67" w:type="pct"/>
          </w:tcPr>
          <w:p w14:paraId="61C3293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r>
      <w:tr w:rsidR="00331AB6" w:rsidRPr="00E1789A" w14:paraId="34AEC7E1" w14:textId="77777777" w:rsidTr="00834F5A">
        <w:trPr>
          <w:trHeight w:val="210"/>
        </w:trPr>
        <w:tc>
          <w:tcPr>
            <w:tcW w:w="1071" w:type="pct"/>
          </w:tcPr>
          <w:p w14:paraId="7D2B0AB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747545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379" w:type="pct"/>
          </w:tcPr>
          <w:p w14:paraId="067C690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434" w:type="pct"/>
          </w:tcPr>
          <w:p w14:paraId="6DD6D58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(0.096)</w:t>
            </w:r>
          </w:p>
        </w:tc>
        <w:tc>
          <w:tcPr>
            <w:tcW w:w="434" w:type="pct"/>
          </w:tcPr>
          <w:p w14:paraId="65CAE35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(0.112)</w:t>
            </w:r>
          </w:p>
        </w:tc>
        <w:tc>
          <w:tcPr>
            <w:tcW w:w="379" w:type="pct"/>
            <w:tcBorders>
              <w:right w:val="single" w:sz="4" w:space="0" w:color="auto"/>
            </w:tcBorders>
          </w:tcPr>
          <w:p w14:paraId="3380D3D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(0.097)</w:t>
            </w:r>
          </w:p>
        </w:tc>
        <w:tc>
          <w:tcPr>
            <w:tcW w:w="379" w:type="pct"/>
            <w:tcBorders>
              <w:left w:val="single" w:sz="4" w:space="0" w:color="auto"/>
            </w:tcBorders>
          </w:tcPr>
          <w:p w14:paraId="704B479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79" w:type="pct"/>
          </w:tcPr>
          <w:p w14:paraId="1305D14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79" w:type="pct"/>
          </w:tcPr>
          <w:p w14:paraId="6139986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420" w:type="pct"/>
          </w:tcPr>
          <w:p w14:paraId="7997C56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67" w:type="pct"/>
          </w:tcPr>
          <w:p w14:paraId="4E7D36D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r>
      <w:tr w:rsidR="00331AB6" w:rsidRPr="00E1789A" w14:paraId="5EC259E8" w14:textId="77777777" w:rsidTr="00834F5A">
        <w:trPr>
          <w:trHeight w:val="210"/>
        </w:trPr>
        <w:tc>
          <w:tcPr>
            <w:tcW w:w="1071" w:type="pct"/>
          </w:tcPr>
          <w:p w14:paraId="3036C56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Leverage</w:t>
            </w:r>
          </w:p>
        </w:tc>
        <w:tc>
          <w:tcPr>
            <w:tcW w:w="379" w:type="pct"/>
          </w:tcPr>
          <w:p w14:paraId="4040B36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Pr>
          <w:p w14:paraId="0D2F30D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434" w:type="pct"/>
          </w:tcPr>
          <w:p w14:paraId="66725BD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434" w:type="pct"/>
          </w:tcPr>
          <w:p w14:paraId="4C39FA8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Borders>
              <w:right w:val="single" w:sz="4" w:space="0" w:color="auto"/>
            </w:tcBorders>
          </w:tcPr>
          <w:p w14:paraId="674C17E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Borders>
              <w:left w:val="single" w:sz="4" w:space="0" w:color="auto"/>
            </w:tcBorders>
          </w:tcPr>
          <w:p w14:paraId="6D3EE2F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Pr>
          <w:p w14:paraId="2096384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Pr>
          <w:p w14:paraId="3DFAFE0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420" w:type="pct"/>
          </w:tcPr>
          <w:p w14:paraId="60F0F9E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67" w:type="pct"/>
          </w:tcPr>
          <w:p w14:paraId="17B03A8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60851A96" w14:textId="77777777" w:rsidTr="00834F5A">
        <w:trPr>
          <w:trHeight w:val="219"/>
        </w:trPr>
        <w:tc>
          <w:tcPr>
            <w:tcW w:w="1071" w:type="pct"/>
          </w:tcPr>
          <w:p w14:paraId="610005B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58E79DD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Pr>
          <w:p w14:paraId="489FE81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434" w:type="pct"/>
          </w:tcPr>
          <w:p w14:paraId="3997E57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434" w:type="pct"/>
          </w:tcPr>
          <w:p w14:paraId="134BE78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Borders>
              <w:right w:val="single" w:sz="4" w:space="0" w:color="auto"/>
            </w:tcBorders>
          </w:tcPr>
          <w:p w14:paraId="61FD9D8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Borders>
              <w:left w:val="single" w:sz="4" w:space="0" w:color="auto"/>
            </w:tcBorders>
          </w:tcPr>
          <w:p w14:paraId="59901C9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Pr>
          <w:p w14:paraId="08A534E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Pr>
          <w:p w14:paraId="44EA70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420" w:type="pct"/>
          </w:tcPr>
          <w:p w14:paraId="70F588B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67" w:type="pct"/>
          </w:tcPr>
          <w:p w14:paraId="168AA91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5142AA1B" w14:textId="77777777" w:rsidTr="00834F5A">
        <w:trPr>
          <w:trHeight w:val="210"/>
        </w:trPr>
        <w:tc>
          <w:tcPr>
            <w:tcW w:w="1071" w:type="pct"/>
          </w:tcPr>
          <w:p w14:paraId="6D59E0C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Knowledge stock</w:t>
            </w:r>
          </w:p>
        </w:tc>
        <w:tc>
          <w:tcPr>
            <w:tcW w:w="379" w:type="pct"/>
          </w:tcPr>
          <w:p w14:paraId="2C112EE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0.227</w:t>
            </w:r>
            <w:r w:rsidRPr="00E1789A">
              <w:rPr>
                <w:rFonts w:ascii="Times New Roman" w:hAnsi="Times New Roman" w:cs="Times New Roman"/>
                <w:sz w:val="16"/>
                <w:szCs w:val="16"/>
                <w:vertAlign w:val="superscript"/>
                <w:lang w:val="en-US"/>
              </w:rPr>
              <w:t>*</w:t>
            </w:r>
          </w:p>
        </w:tc>
        <w:tc>
          <w:tcPr>
            <w:tcW w:w="379" w:type="pct"/>
          </w:tcPr>
          <w:p w14:paraId="2A410A1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0.232</w:t>
            </w:r>
            <w:r w:rsidRPr="00E1789A">
              <w:rPr>
                <w:rFonts w:ascii="Times New Roman" w:hAnsi="Times New Roman" w:cs="Times New Roman"/>
                <w:sz w:val="16"/>
                <w:szCs w:val="16"/>
                <w:vertAlign w:val="superscript"/>
                <w:lang w:val="en-US"/>
              </w:rPr>
              <w:t>*</w:t>
            </w:r>
          </w:p>
        </w:tc>
        <w:tc>
          <w:tcPr>
            <w:tcW w:w="434" w:type="pct"/>
          </w:tcPr>
          <w:p w14:paraId="1C2CFAB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0.287</w:t>
            </w:r>
          </w:p>
        </w:tc>
        <w:tc>
          <w:tcPr>
            <w:tcW w:w="434" w:type="pct"/>
          </w:tcPr>
          <w:p w14:paraId="049AD03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0.259</w:t>
            </w:r>
            <w:r w:rsidRPr="00E1789A">
              <w:rPr>
                <w:rFonts w:ascii="Times New Roman" w:hAnsi="Times New Roman" w:cs="Times New Roman"/>
                <w:sz w:val="16"/>
                <w:szCs w:val="16"/>
                <w:vertAlign w:val="superscript"/>
                <w:lang w:val="en-US"/>
              </w:rPr>
              <w:t>*</w:t>
            </w:r>
          </w:p>
        </w:tc>
        <w:tc>
          <w:tcPr>
            <w:tcW w:w="379" w:type="pct"/>
            <w:tcBorders>
              <w:right w:val="single" w:sz="4" w:space="0" w:color="auto"/>
            </w:tcBorders>
          </w:tcPr>
          <w:p w14:paraId="42338FD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0.308</w:t>
            </w:r>
          </w:p>
        </w:tc>
        <w:tc>
          <w:tcPr>
            <w:tcW w:w="379" w:type="pct"/>
            <w:tcBorders>
              <w:left w:val="single" w:sz="4" w:space="0" w:color="auto"/>
            </w:tcBorders>
          </w:tcPr>
          <w:p w14:paraId="4F23447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r w:rsidRPr="00E1789A">
              <w:rPr>
                <w:rFonts w:ascii="Times New Roman" w:hAnsi="Times New Roman" w:cs="Times New Roman"/>
                <w:sz w:val="16"/>
                <w:szCs w:val="16"/>
                <w:vertAlign w:val="superscript"/>
                <w:lang w:val="en-US"/>
              </w:rPr>
              <w:t>*</w:t>
            </w:r>
          </w:p>
        </w:tc>
        <w:tc>
          <w:tcPr>
            <w:tcW w:w="379" w:type="pct"/>
          </w:tcPr>
          <w:p w14:paraId="1705622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r w:rsidRPr="00E1789A">
              <w:rPr>
                <w:rFonts w:ascii="Times New Roman" w:hAnsi="Times New Roman" w:cs="Times New Roman"/>
                <w:sz w:val="16"/>
                <w:szCs w:val="16"/>
                <w:vertAlign w:val="superscript"/>
                <w:lang w:val="en-US"/>
              </w:rPr>
              <w:t>*</w:t>
            </w:r>
          </w:p>
        </w:tc>
        <w:tc>
          <w:tcPr>
            <w:tcW w:w="379" w:type="pct"/>
          </w:tcPr>
          <w:p w14:paraId="4492D6A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420" w:type="pct"/>
          </w:tcPr>
          <w:p w14:paraId="504244E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r w:rsidRPr="00E1789A">
              <w:rPr>
                <w:rFonts w:ascii="Times New Roman" w:hAnsi="Times New Roman" w:cs="Times New Roman"/>
                <w:sz w:val="16"/>
                <w:szCs w:val="16"/>
                <w:vertAlign w:val="superscript"/>
                <w:lang w:val="en-US"/>
              </w:rPr>
              <w:t>**</w:t>
            </w:r>
          </w:p>
        </w:tc>
        <w:tc>
          <w:tcPr>
            <w:tcW w:w="367" w:type="pct"/>
          </w:tcPr>
          <w:p w14:paraId="195AF3A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69093C87" w14:textId="77777777" w:rsidTr="00834F5A">
        <w:trPr>
          <w:trHeight w:val="210"/>
        </w:trPr>
        <w:tc>
          <w:tcPr>
            <w:tcW w:w="1071" w:type="pct"/>
          </w:tcPr>
          <w:p w14:paraId="0584B67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4F59835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(0.115)</w:t>
            </w:r>
          </w:p>
        </w:tc>
        <w:tc>
          <w:tcPr>
            <w:tcW w:w="379" w:type="pct"/>
          </w:tcPr>
          <w:p w14:paraId="3811A29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434" w:type="pct"/>
          </w:tcPr>
          <w:p w14:paraId="179639F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(0.191)</w:t>
            </w:r>
          </w:p>
        </w:tc>
        <w:tc>
          <w:tcPr>
            <w:tcW w:w="434" w:type="pct"/>
          </w:tcPr>
          <w:p w14:paraId="793B8A4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(0.117)</w:t>
            </w:r>
          </w:p>
        </w:tc>
        <w:tc>
          <w:tcPr>
            <w:tcW w:w="379" w:type="pct"/>
            <w:tcBorders>
              <w:right w:val="single" w:sz="4" w:space="0" w:color="auto"/>
            </w:tcBorders>
          </w:tcPr>
          <w:p w14:paraId="7C34D12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(0.192)</w:t>
            </w:r>
          </w:p>
        </w:tc>
        <w:tc>
          <w:tcPr>
            <w:tcW w:w="379" w:type="pct"/>
            <w:tcBorders>
              <w:left w:val="single" w:sz="4" w:space="0" w:color="auto"/>
            </w:tcBorders>
          </w:tcPr>
          <w:p w14:paraId="1148E60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79" w:type="pct"/>
          </w:tcPr>
          <w:p w14:paraId="34ADE6E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79" w:type="pct"/>
          </w:tcPr>
          <w:p w14:paraId="0E7EDFA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420" w:type="pct"/>
          </w:tcPr>
          <w:p w14:paraId="345750C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67" w:type="pct"/>
          </w:tcPr>
          <w:p w14:paraId="14C1C75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4F46C0DB" w14:textId="77777777" w:rsidTr="00834F5A">
        <w:trPr>
          <w:trHeight w:val="210"/>
        </w:trPr>
        <w:tc>
          <w:tcPr>
            <w:tcW w:w="1071" w:type="pct"/>
          </w:tcPr>
          <w:p w14:paraId="226404C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Current ratio</w:t>
            </w:r>
          </w:p>
        </w:tc>
        <w:tc>
          <w:tcPr>
            <w:tcW w:w="379" w:type="pct"/>
          </w:tcPr>
          <w:p w14:paraId="7217F1D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0.198</w:t>
            </w:r>
            <w:r w:rsidRPr="00E1789A">
              <w:rPr>
                <w:rFonts w:ascii="Times New Roman" w:hAnsi="Times New Roman" w:cs="Times New Roman"/>
                <w:sz w:val="16"/>
                <w:szCs w:val="16"/>
                <w:vertAlign w:val="superscript"/>
                <w:lang w:val="en-US"/>
              </w:rPr>
              <w:t>+</w:t>
            </w:r>
          </w:p>
        </w:tc>
        <w:tc>
          <w:tcPr>
            <w:tcW w:w="379" w:type="pct"/>
          </w:tcPr>
          <w:p w14:paraId="1BA519F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0.200</w:t>
            </w:r>
            <w:r w:rsidRPr="00E1789A">
              <w:rPr>
                <w:rFonts w:ascii="Times New Roman" w:hAnsi="Times New Roman" w:cs="Times New Roman"/>
                <w:sz w:val="16"/>
                <w:szCs w:val="16"/>
                <w:vertAlign w:val="superscript"/>
                <w:lang w:val="en-US"/>
              </w:rPr>
              <w:t>+</w:t>
            </w:r>
          </w:p>
        </w:tc>
        <w:tc>
          <w:tcPr>
            <w:tcW w:w="434" w:type="pct"/>
          </w:tcPr>
          <w:p w14:paraId="27E1412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0.209</w:t>
            </w:r>
            <w:r w:rsidRPr="00E1789A">
              <w:rPr>
                <w:rFonts w:ascii="Times New Roman" w:hAnsi="Times New Roman" w:cs="Times New Roman"/>
                <w:sz w:val="16"/>
                <w:szCs w:val="16"/>
                <w:vertAlign w:val="superscript"/>
                <w:lang w:val="en-US"/>
              </w:rPr>
              <w:t>+</w:t>
            </w:r>
          </w:p>
        </w:tc>
        <w:tc>
          <w:tcPr>
            <w:tcW w:w="434" w:type="pct"/>
          </w:tcPr>
          <w:p w14:paraId="078CCEF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0.210</w:t>
            </w:r>
            <w:r w:rsidRPr="00E1789A">
              <w:rPr>
                <w:rFonts w:ascii="Times New Roman" w:hAnsi="Times New Roman" w:cs="Times New Roman"/>
                <w:sz w:val="16"/>
                <w:szCs w:val="16"/>
                <w:vertAlign w:val="superscript"/>
                <w:lang w:val="en-US"/>
              </w:rPr>
              <w:t>+</w:t>
            </w:r>
          </w:p>
        </w:tc>
        <w:tc>
          <w:tcPr>
            <w:tcW w:w="379" w:type="pct"/>
            <w:tcBorders>
              <w:right w:val="single" w:sz="4" w:space="0" w:color="auto"/>
            </w:tcBorders>
          </w:tcPr>
          <w:p w14:paraId="3FEC4E6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0.218</w:t>
            </w:r>
            <w:r w:rsidRPr="00E1789A">
              <w:rPr>
                <w:rFonts w:ascii="Times New Roman" w:hAnsi="Times New Roman" w:cs="Times New Roman"/>
                <w:sz w:val="16"/>
                <w:szCs w:val="16"/>
                <w:vertAlign w:val="superscript"/>
                <w:lang w:val="en-US"/>
              </w:rPr>
              <w:t>*</w:t>
            </w:r>
          </w:p>
        </w:tc>
        <w:tc>
          <w:tcPr>
            <w:tcW w:w="379" w:type="pct"/>
            <w:tcBorders>
              <w:left w:val="single" w:sz="4" w:space="0" w:color="auto"/>
            </w:tcBorders>
          </w:tcPr>
          <w:p w14:paraId="6789284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79" w:type="pct"/>
          </w:tcPr>
          <w:p w14:paraId="13DBEC1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79" w:type="pct"/>
          </w:tcPr>
          <w:p w14:paraId="76FDDBB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0.067</w:t>
            </w:r>
            <w:r w:rsidRPr="00E1789A">
              <w:rPr>
                <w:rFonts w:ascii="Times New Roman" w:hAnsi="Times New Roman" w:cs="Times New Roman"/>
                <w:sz w:val="16"/>
                <w:szCs w:val="16"/>
                <w:vertAlign w:val="superscript"/>
                <w:lang w:val="en-US"/>
              </w:rPr>
              <w:t>**</w:t>
            </w:r>
          </w:p>
        </w:tc>
        <w:tc>
          <w:tcPr>
            <w:tcW w:w="420" w:type="pct"/>
          </w:tcPr>
          <w:p w14:paraId="03E2EAC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0.069</w:t>
            </w:r>
            <w:r w:rsidRPr="00E1789A">
              <w:rPr>
                <w:rFonts w:ascii="Times New Roman" w:hAnsi="Times New Roman" w:cs="Times New Roman"/>
                <w:sz w:val="16"/>
                <w:szCs w:val="16"/>
                <w:vertAlign w:val="superscript"/>
                <w:lang w:val="en-US"/>
              </w:rPr>
              <w:t>**</w:t>
            </w:r>
          </w:p>
        </w:tc>
        <w:tc>
          <w:tcPr>
            <w:tcW w:w="367" w:type="pct"/>
          </w:tcPr>
          <w:p w14:paraId="3354978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0.069</w:t>
            </w:r>
            <w:r w:rsidRPr="00E1789A">
              <w:rPr>
                <w:rFonts w:ascii="Times New Roman" w:hAnsi="Times New Roman" w:cs="Times New Roman"/>
                <w:sz w:val="16"/>
                <w:szCs w:val="16"/>
                <w:vertAlign w:val="superscript"/>
                <w:lang w:val="en-US"/>
              </w:rPr>
              <w:t>**</w:t>
            </w:r>
          </w:p>
        </w:tc>
      </w:tr>
      <w:tr w:rsidR="00331AB6" w:rsidRPr="00E1789A" w14:paraId="40302B5F" w14:textId="77777777" w:rsidTr="00834F5A">
        <w:trPr>
          <w:trHeight w:val="219"/>
        </w:trPr>
        <w:tc>
          <w:tcPr>
            <w:tcW w:w="1071" w:type="pct"/>
          </w:tcPr>
          <w:p w14:paraId="68617A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E95606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(0.116)</w:t>
            </w:r>
          </w:p>
        </w:tc>
        <w:tc>
          <w:tcPr>
            <w:tcW w:w="379" w:type="pct"/>
          </w:tcPr>
          <w:p w14:paraId="439F408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(0.116)</w:t>
            </w:r>
          </w:p>
        </w:tc>
        <w:tc>
          <w:tcPr>
            <w:tcW w:w="434" w:type="pct"/>
          </w:tcPr>
          <w:p w14:paraId="4F7B6C6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(0.109)</w:t>
            </w:r>
          </w:p>
        </w:tc>
        <w:tc>
          <w:tcPr>
            <w:tcW w:w="434" w:type="pct"/>
          </w:tcPr>
          <w:p w14:paraId="4CFACB2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(0.113)</w:t>
            </w:r>
          </w:p>
        </w:tc>
        <w:tc>
          <w:tcPr>
            <w:tcW w:w="379" w:type="pct"/>
            <w:tcBorders>
              <w:right w:val="single" w:sz="4" w:space="0" w:color="auto"/>
            </w:tcBorders>
          </w:tcPr>
          <w:p w14:paraId="4C50EDF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(0.107)</w:t>
            </w:r>
          </w:p>
        </w:tc>
        <w:tc>
          <w:tcPr>
            <w:tcW w:w="379" w:type="pct"/>
            <w:tcBorders>
              <w:left w:val="single" w:sz="4" w:space="0" w:color="auto"/>
            </w:tcBorders>
          </w:tcPr>
          <w:p w14:paraId="57C6D3A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79" w:type="pct"/>
          </w:tcPr>
          <w:p w14:paraId="01B3B31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79" w:type="pct"/>
          </w:tcPr>
          <w:p w14:paraId="65E992D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(0.024)</w:t>
            </w:r>
          </w:p>
        </w:tc>
        <w:tc>
          <w:tcPr>
            <w:tcW w:w="420" w:type="pct"/>
          </w:tcPr>
          <w:p w14:paraId="4CB3A2D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67" w:type="pct"/>
          </w:tcPr>
          <w:p w14:paraId="227A12C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(0.024)</w:t>
            </w:r>
          </w:p>
        </w:tc>
      </w:tr>
      <w:tr w:rsidR="00331AB6" w:rsidRPr="00E1789A" w14:paraId="4C436B16" w14:textId="77777777" w:rsidTr="00834F5A">
        <w:trPr>
          <w:trHeight w:val="210"/>
        </w:trPr>
        <w:tc>
          <w:tcPr>
            <w:tcW w:w="1071" w:type="pct"/>
          </w:tcPr>
          <w:p w14:paraId="12FCC0B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R&amp;D intensity</w:t>
            </w:r>
          </w:p>
        </w:tc>
        <w:tc>
          <w:tcPr>
            <w:tcW w:w="379" w:type="pct"/>
          </w:tcPr>
          <w:p w14:paraId="057AFBB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0.938</w:t>
            </w:r>
          </w:p>
        </w:tc>
        <w:tc>
          <w:tcPr>
            <w:tcW w:w="379" w:type="pct"/>
          </w:tcPr>
          <w:p w14:paraId="5A1741E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1.321</w:t>
            </w:r>
          </w:p>
        </w:tc>
        <w:tc>
          <w:tcPr>
            <w:tcW w:w="434" w:type="pct"/>
          </w:tcPr>
          <w:p w14:paraId="4948B52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0.592</w:t>
            </w:r>
          </w:p>
        </w:tc>
        <w:tc>
          <w:tcPr>
            <w:tcW w:w="434" w:type="pct"/>
          </w:tcPr>
          <w:p w14:paraId="055B734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2.335</w:t>
            </w:r>
          </w:p>
        </w:tc>
        <w:tc>
          <w:tcPr>
            <w:tcW w:w="379" w:type="pct"/>
            <w:tcBorders>
              <w:right w:val="single" w:sz="4" w:space="0" w:color="auto"/>
            </w:tcBorders>
          </w:tcPr>
          <w:p w14:paraId="2061AB1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1.638</w:t>
            </w:r>
          </w:p>
        </w:tc>
        <w:tc>
          <w:tcPr>
            <w:tcW w:w="379" w:type="pct"/>
            <w:tcBorders>
              <w:left w:val="single" w:sz="4" w:space="0" w:color="auto"/>
            </w:tcBorders>
          </w:tcPr>
          <w:p w14:paraId="5DEDF58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0.457</w:t>
            </w:r>
          </w:p>
        </w:tc>
        <w:tc>
          <w:tcPr>
            <w:tcW w:w="379" w:type="pct"/>
          </w:tcPr>
          <w:p w14:paraId="0CF0801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0.505</w:t>
            </w:r>
          </w:p>
        </w:tc>
        <w:tc>
          <w:tcPr>
            <w:tcW w:w="379" w:type="pct"/>
          </w:tcPr>
          <w:p w14:paraId="016F334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0.445</w:t>
            </w:r>
          </w:p>
        </w:tc>
        <w:tc>
          <w:tcPr>
            <w:tcW w:w="420" w:type="pct"/>
          </w:tcPr>
          <w:p w14:paraId="220FB9E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0.665</w:t>
            </w:r>
            <w:r w:rsidRPr="00E1789A">
              <w:rPr>
                <w:rFonts w:ascii="Times New Roman" w:hAnsi="Times New Roman" w:cs="Times New Roman"/>
                <w:sz w:val="16"/>
                <w:szCs w:val="16"/>
                <w:vertAlign w:val="superscript"/>
                <w:lang w:val="en-US"/>
              </w:rPr>
              <w:t>+</w:t>
            </w:r>
          </w:p>
        </w:tc>
        <w:tc>
          <w:tcPr>
            <w:tcW w:w="367" w:type="pct"/>
          </w:tcPr>
          <w:p w14:paraId="505AF3A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0.623</w:t>
            </w:r>
            <w:r w:rsidRPr="00E1789A">
              <w:rPr>
                <w:rFonts w:ascii="Times New Roman" w:hAnsi="Times New Roman" w:cs="Times New Roman"/>
                <w:sz w:val="16"/>
                <w:szCs w:val="16"/>
                <w:vertAlign w:val="superscript"/>
                <w:lang w:val="en-US"/>
              </w:rPr>
              <w:t>+</w:t>
            </w:r>
          </w:p>
        </w:tc>
      </w:tr>
      <w:tr w:rsidR="00331AB6" w:rsidRPr="00E1789A" w14:paraId="4491ABE7" w14:textId="77777777" w:rsidTr="00834F5A">
        <w:trPr>
          <w:trHeight w:val="210"/>
        </w:trPr>
        <w:tc>
          <w:tcPr>
            <w:tcW w:w="1071" w:type="pct"/>
          </w:tcPr>
          <w:p w14:paraId="516FF95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4FBE64D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(3.565)</w:t>
            </w:r>
          </w:p>
        </w:tc>
        <w:tc>
          <w:tcPr>
            <w:tcW w:w="379" w:type="pct"/>
          </w:tcPr>
          <w:p w14:paraId="562F4FD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(3.825)</w:t>
            </w:r>
          </w:p>
        </w:tc>
        <w:tc>
          <w:tcPr>
            <w:tcW w:w="434" w:type="pct"/>
          </w:tcPr>
          <w:p w14:paraId="7016CCB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(3.751)</w:t>
            </w:r>
          </w:p>
        </w:tc>
        <w:tc>
          <w:tcPr>
            <w:tcW w:w="434" w:type="pct"/>
          </w:tcPr>
          <w:p w14:paraId="35B93C2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(3.973)</w:t>
            </w:r>
          </w:p>
        </w:tc>
        <w:tc>
          <w:tcPr>
            <w:tcW w:w="379" w:type="pct"/>
            <w:tcBorders>
              <w:right w:val="single" w:sz="4" w:space="0" w:color="auto"/>
            </w:tcBorders>
          </w:tcPr>
          <w:p w14:paraId="1E44DDA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(3.869)</w:t>
            </w:r>
          </w:p>
        </w:tc>
        <w:tc>
          <w:tcPr>
            <w:tcW w:w="379" w:type="pct"/>
            <w:tcBorders>
              <w:left w:val="single" w:sz="4" w:space="0" w:color="auto"/>
            </w:tcBorders>
          </w:tcPr>
          <w:p w14:paraId="52F8792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(0.344)</w:t>
            </w:r>
          </w:p>
        </w:tc>
        <w:tc>
          <w:tcPr>
            <w:tcW w:w="379" w:type="pct"/>
          </w:tcPr>
          <w:p w14:paraId="214CC86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(0.362)</w:t>
            </w:r>
          </w:p>
        </w:tc>
        <w:tc>
          <w:tcPr>
            <w:tcW w:w="379" w:type="pct"/>
          </w:tcPr>
          <w:p w14:paraId="19B1CFB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(0.350)</w:t>
            </w:r>
          </w:p>
        </w:tc>
        <w:tc>
          <w:tcPr>
            <w:tcW w:w="420" w:type="pct"/>
          </w:tcPr>
          <w:p w14:paraId="557AA2A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(0.370)</w:t>
            </w:r>
          </w:p>
        </w:tc>
        <w:tc>
          <w:tcPr>
            <w:tcW w:w="367" w:type="pct"/>
          </w:tcPr>
          <w:p w14:paraId="5CBFC91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(0.366)</w:t>
            </w:r>
          </w:p>
        </w:tc>
      </w:tr>
      <w:tr w:rsidR="00331AB6" w:rsidRPr="00E1789A" w14:paraId="3C1D8A8A" w14:textId="77777777" w:rsidTr="00834F5A">
        <w:trPr>
          <w:trHeight w:val="219"/>
        </w:trPr>
        <w:tc>
          <w:tcPr>
            <w:tcW w:w="1071" w:type="pct"/>
          </w:tcPr>
          <w:p w14:paraId="237C9A2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Business group affiliation</w:t>
            </w:r>
          </w:p>
        </w:tc>
        <w:tc>
          <w:tcPr>
            <w:tcW w:w="379" w:type="pct"/>
          </w:tcPr>
          <w:p w14:paraId="7E31BC5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-0.251</w:t>
            </w:r>
          </w:p>
        </w:tc>
        <w:tc>
          <w:tcPr>
            <w:tcW w:w="379" w:type="pct"/>
          </w:tcPr>
          <w:p w14:paraId="5512C24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-0.259</w:t>
            </w:r>
          </w:p>
        </w:tc>
        <w:tc>
          <w:tcPr>
            <w:tcW w:w="434" w:type="pct"/>
          </w:tcPr>
          <w:p w14:paraId="4BB3D6A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-0.286</w:t>
            </w:r>
          </w:p>
        </w:tc>
        <w:tc>
          <w:tcPr>
            <w:tcW w:w="434" w:type="pct"/>
          </w:tcPr>
          <w:p w14:paraId="4D3F0C6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-0.263</w:t>
            </w:r>
          </w:p>
        </w:tc>
        <w:tc>
          <w:tcPr>
            <w:tcW w:w="379" w:type="pct"/>
            <w:tcBorders>
              <w:right w:val="single" w:sz="4" w:space="0" w:color="auto"/>
            </w:tcBorders>
          </w:tcPr>
          <w:p w14:paraId="06CC952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-0.286</w:t>
            </w:r>
          </w:p>
        </w:tc>
        <w:tc>
          <w:tcPr>
            <w:tcW w:w="379" w:type="pct"/>
            <w:tcBorders>
              <w:left w:val="single" w:sz="4" w:space="0" w:color="auto"/>
            </w:tcBorders>
          </w:tcPr>
          <w:p w14:paraId="7183C88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79" w:type="pct"/>
          </w:tcPr>
          <w:p w14:paraId="67B17D9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79" w:type="pct"/>
          </w:tcPr>
          <w:p w14:paraId="1F2C2F3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420" w:type="pct"/>
          </w:tcPr>
          <w:p w14:paraId="7D1C72F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67" w:type="pct"/>
          </w:tcPr>
          <w:p w14:paraId="4773AF6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04C3598D" w14:textId="77777777" w:rsidTr="00834F5A">
        <w:trPr>
          <w:trHeight w:val="210"/>
        </w:trPr>
        <w:tc>
          <w:tcPr>
            <w:tcW w:w="1071" w:type="pct"/>
          </w:tcPr>
          <w:p w14:paraId="5458B4D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6A1E546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(0.230)</w:t>
            </w:r>
          </w:p>
        </w:tc>
        <w:tc>
          <w:tcPr>
            <w:tcW w:w="379" w:type="pct"/>
          </w:tcPr>
          <w:p w14:paraId="2897D08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(0.229)</w:t>
            </w:r>
          </w:p>
        </w:tc>
        <w:tc>
          <w:tcPr>
            <w:tcW w:w="434" w:type="pct"/>
          </w:tcPr>
          <w:p w14:paraId="632782D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(0.250)</w:t>
            </w:r>
          </w:p>
        </w:tc>
        <w:tc>
          <w:tcPr>
            <w:tcW w:w="434" w:type="pct"/>
          </w:tcPr>
          <w:p w14:paraId="7DD43E7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(0.229)</w:t>
            </w:r>
          </w:p>
        </w:tc>
        <w:tc>
          <w:tcPr>
            <w:tcW w:w="379" w:type="pct"/>
            <w:tcBorders>
              <w:right w:val="single" w:sz="4" w:space="0" w:color="auto"/>
            </w:tcBorders>
          </w:tcPr>
          <w:p w14:paraId="526E11F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(0.250)</w:t>
            </w:r>
          </w:p>
        </w:tc>
        <w:tc>
          <w:tcPr>
            <w:tcW w:w="379" w:type="pct"/>
            <w:tcBorders>
              <w:left w:val="single" w:sz="4" w:space="0" w:color="auto"/>
            </w:tcBorders>
          </w:tcPr>
          <w:p w14:paraId="63B3C80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79" w:type="pct"/>
          </w:tcPr>
          <w:p w14:paraId="030DC78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79" w:type="pct"/>
          </w:tcPr>
          <w:p w14:paraId="42AD549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420" w:type="pct"/>
          </w:tcPr>
          <w:p w14:paraId="0E934C6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67" w:type="pct"/>
          </w:tcPr>
          <w:p w14:paraId="43E6B53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r>
      <w:tr w:rsidR="00331AB6" w:rsidRPr="00E1789A" w14:paraId="3889154E" w14:textId="77777777" w:rsidTr="00834F5A">
        <w:trPr>
          <w:trHeight w:val="210"/>
        </w:trPr>
        <w:tc>
          <w:tcPr>
            <w:tcW w:w="1071" w:type="pct"/>
          </w:tcPr>
          <w:p w14:paraId="554F23C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diversity</w:t>
            </w:r>
          </w:p>
        </w:tc>
        <w:tc>
          <w:tcPr>
            <w:tcW w:w="379" w:type="pct"/>
          </w:tcPr>
          <w:p w14:paraId="581C73E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79" w:type="pct"/>
          </w:tcPr>
          <w:p w14:paraId="5697C40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434" w:type="pct"/>
          </w:tcPr>
          <w:p w14:paraId="174924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434" w:type="pct"/>
          </w:tcPr>
          <w:p w14:paraId="6BF9E8A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0.044</w:t>
            </w:r>
          </w:p>
        </w:tc>
        <w:tc>
          <w:tcPr>
            <w:tcW w:w="379" w:type="pct"/>
            <w:tcBorders>
              <w:right w:val="single" w:sz="4" w:space="0" w:color="auto"/>
            </w:tcBorders>
          </w:tcPr>
          <w:p w14:paraId="6D605E1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0.031</w:t>
            </w:r>
          </w:p>
        </w:tc>
        <w:tc>
          <w:tcPr>
            <w:tcW w:w="379" w:type="pct"/>
            <w:tcBorders>
              <w:left w:val="single" w:sz="4" w:space="0" w:color="auto"/>
            </w:tcBorders>
          </w:tcPr>
          <w:p w14:paraId="25073E9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Pr>
          <w:p w14:paraId="21F9591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79" w:type="pct"/>
          </w:tcPr>
          <w:p w14:paraId="75DC65B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420" w:type="pct"/>
          </w:tcPr>
          <w:p w14:paraId="2337999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67" w:type="pct"/>
          </w:tcPr>
          <w:p w14:paraId="270CFE6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r>
      <w:tr w:rsidR="00331AB6" w:rsidRPr="00E1789A" w14:paraId="1ECCE369" w14:textId="77777777" w:rsidTr="00834F5A">
        <w:trPr>
          <w:trHeight w:val="219"/>
        </w:trPr>
        <w:tc>
          <w:tcPr>
            <w:tcW w:w="1071" w:type="pct"/>
          </w:tcPr>
          <w:p w14:paraId="7E03214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5920C01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(0.085)</w:t>
            </w:r>
          </w:p>
        </w:tc>
        <w:tc>
          <w:tcPr>
            <w:tcW w:w="379" w:type="pct"/>
          </w:tcPr>
          <w:p w14:paraId="587612C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(0.084)</w:t>
            </w:r>
          </w:p>
        </w:tc>
        <w:tc>
          <w:tcPr>
            <w:tcW w:w="434" w:type="pct"/>
          </w:tcPr>
          <w:p w14:paraId="44BBA07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(0.078)</w:t>
            </w:r>
          </w:p>
        </w:tc>
        <w:tc>
          <w:tcPr>
            <w:tcW w:w="434" w:type="pct"/>
          </w:tcPr>
          <w:p w14:paraId="6D07708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(0.085)</w:t>
            </w:r>
          </w:p>
        </w:tc>
        <w:tc>
          <w:tcPr>
            <w:tcW w:w="379" w:type="pct"/>
            <w:tcBorders>
              <w:right w:val="single" w:sz="4" w:space="0" w:color="auto"/>
            </w:tcBorders>
          </w:tcPr>
          <w:p w14:paraId="51741A6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(0.077)</w:t>
            </w:r>
          </w:p>
        </w:tc>
        <w:tc>
          <w:tcPr>
            <w:tcW w:w="379" w:type="pct"/>
            <w:tcBorders>
              <w:left w:val="single" w:sz="4" w:space="0" w:color="auto"/>
            </w:tcBorders>
          </w:tcPr>
          <w:p w14:paraId="6E2669F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79" w:type="pct"/>
          </w:tcPr>
          <w:p w14:paraId="52BCF70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79" w:type="pct"/>
          </w:tcPr>
          <w:p w14:paraId="365EE6D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420" w:type="pct"/>
          </w:tcPr>
          <w:p w14:paraId="71CBCC7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67" w:type="pct"/>
          </w:tcPr>
          <w:p w14:paraId="327071D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5EE701DB" w14:textId="77777777" w:rsidTr="00834F5A">
        <w:trPr>
          <w:trHeight w:val="210"/>
        </w:trPr>
        <w:tc>
          <w:tcPr>
            <w:tcW w:w="1071" w:type="pct"/>
          </w:tcPr>
          <w:p w14:paraId="353CE87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IMR_ID</w:t>
            </w:r>
          </w:p>
        </w:tc>
        <w:tc>
          <w:tcPr>
            <w:tcW w:w="379" w:type="pct"/>
          </w:tcPr>
          <w:p w14:paraId="7CB0103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-0.232</w:t>
            </w:r>
            <w:r w:rsidRPr="00E1789A">
              <w:rPr>
                <w:rFonts w:ascii="Times New Roman" w:hAnsi="Times New Roman" w:cs="Times New Roman"/>
                <w:sz w:val="16"/>
                <w:szCs w:val="16"/>
                <w:vertAlign w:val="superscript"/>
                <w:lang w:val="en-US"/>
              </w:rPr>
              <w:t>*</w:t>
            </w:r>
          </w:p>
        </w:tc>
        <w:tc>
          <w:tcPr>
            <w:tcW w:w="379" w:type="pct"/>
          </w:tcPr>
          <w:p w14:paraId="096A59F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-0.228</w:t>
            </w:r>
            <w:r w:rsidRPr="00E1789A">
              <w:rPr>
                <w:rFonts w:ascii="Times New Roman" w:hAnsi="Times New Roman" w:cs="Times New Roman"/>
                <w:sz w:val="16"/>
                <w:szCs w:val="16"/>
                <w:vertAlign w:val="superscript"/>
                <w:lang w:val="en-US"/>
              </w:rPr>
              <w:t>+</w:t>
            </w:r>
          </w:p>
        </w:tc>
        <w:tc>
          <w:tcPr>
            <w:tcW w:w="434" w:type="pct"/>
          </w:tcPr>
          <w:p w14:paraId="500AC9E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-0.218</w:t>
            </w:r>
            <w:r w:rsidRPr="00E1789A">
              <w:rPr>
                <w:rFonts w:ascii="Times New Roman" w:hAnsi="Times New Roman" w:cs="Times New Roman"/>
                <w:sz w:val="16"/>
                <w:szCs w:val="16"/>
                <w:vertAlign w:val="superscript"/>
                <w:lang w:val="en-US"/>
              </w:rPr>
              <w:t>+</w:t>
            </w:r>
          </w:p>
        </w:tc>
        <w:tc>
          <w:tcPr>
            <w:tcW w:w="434" w:type="pct"/>
          </w:tcPr>
          <w:p w14:paraId="48F1577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-0.243</w:t>
            </w:r>
            <w:r w:rsidRPr="00E1789A">
              <w:rPr>
                <w:rFonts w:ascii="Times New Roman" w:hAnsi="Times New Roman" w:cs="Times New Roman"/>
                <w:sz w:val="16"/>
                <w:szCs w:val="16"/>
                <w:vertAlign w:val="superscript"/>
                <w:lang w:val="en-US"/>
              </w:rPr>
              <w:t>*</w:t>
            </w:r>
          </w:p>
        </w:tc>
        <w:tc>
          <w:tcPr>
            <w:tcW w:w="379" w:type="pct"/>
            <w:tcBorders>
              <w:right w:val="single" w:sz="4" w:space="0" w:color="auto"/>
            </w:tcBorders>
          </w:tcPr>
          <w:p w14:paraId="6DB596A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-0.234</w:t>
            </w:r>
            <w:r w:rsidRPr="00E1789A">
              <w:rPr>
                <w:rFonts w:ascii="Times New Roman" w:hAnsi="Times New Roman" w:cs="Times New Roman"/>
                <w:sz w:val="16"/>
                <w:szCs w:val="16"/>
                <w:vertAlign w:val="superscript"/>
                <w:lang w:val="en-US"/>
              </w:rPr>
              <w:t>*</w:t>
            </w:r>
          </w:p>
        </w:tc>
        <w:tc>
          <w:tcPr>
            <w:tcW w:w="379" w:type="pct"/>
            <w:tcBorders>
              <w:left w:val="single" w:sz="4" w:space="0" w:color="auto"/>
            </w:tcBorders>
          </w:tcPr>
          <w:p w14:paraId="6A61220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r w:rsidRPr="00E1789A">
              <w:rPr>
                <w:rFonts w:ascii="Times New Roman" w:hAnsi="Times New Roman" w:cs="Times New Roman"/>
                <w:sz w:val="16"/>
                <w:szCs w:val="16"/>
                <w:vertAlign w:val="superscript"/>
                <w:lang w:val="en-US"/>
              </w:rPr>
              <w:t>+</w:t>
            </w:r>
          </w:p>
        </w:tc>
        <w:tc>
          <w:tcPr>
            <w:tcW w:w="379" w:type="pct"/>
          </w:tcPr>
          <w:p w14:paraId="2B63BB4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r w:rsidRPr="00E1789A">
              <w:rPr>
                <w:rFonts w:ascii="Times New Roman" w:hAnsi="Times New Roman" w:cs="Times New Roman"/>
                <w:sz w:val="16"/>
                <w:szCs w:val="16"/>
                <w:vertAlign w:val="superscript"/>
                <w:lang w:val="en-US"/>
              </w:rPr>
              <w:t>+</w:t>
            </w:r>
          </w:p>
        </w:tc>
        <w:tc>
          <w:tcPr>
            <w:tcW w:w="379" w:type="pct"/>
          </w:tcPr>
          <w:p w14:paraId="2C13ED2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r w:rsidRPr="00E1789A">
              <w:rPr>
                <w:rFonts w:ascii="Times New Roman" w:hAnsi="Times New Roman" w:cs="Times New Roman"/>
                <w:sz w:val="16"/>
                <w:szCs w:val="16"/>
                <w:vertAlign w:val="superscript"/>
                <w:lang w:val="en-US"/>
              </w:rPr>
              <w:t>+</w:t>
            </w:r>
          </w:p>
        </w:tc>
        <w:tc>
          <w:tcPr>
            <w:tcW w:w="420" w:type="pct"/>
          </w:tcPr>
          <w:p w14:paraId="137ED08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67" w:type="pct"/>
          </w:tcPr>
          <w:p w14:paraId="0311DA0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421E16F9" w14:textId="77777777" w:rsidTr="00834F5A">
        <w:trPr>
          <w:trHeight w:val="210"/>
        </w:trPr>
        <w:tc>
          <w:tcPr>
            <w:tcW w:w="1071" w:type="pct"/>
          </w:tcPr>
          <w:p w14:paraId="5F3F264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14AD062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(0.117)</w:t>
            </w:r>
          </w:p>
        </w:tc>
        <w:tc>
          <w:tcPr>
            <w:tcW w:w="379" w:type="pct"/>
          </w:tcPr>
          <w:p w14:paraId="4CD0F5A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(0.119)</w:t>
            </w:r>
          </w:p>
        </w:tc>
        <w:tc>
          <w:tcPr>
            <w:tcW w:w="434" w:type="pct"/>
          </w:tcPr>
          <w:p w14:paraId="076C12E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(0.113)</w:t>
            </w:r>
          </w:p>
        </w:tc>
        <w:tc>
          <w:tcPr>
            <w:tcW w:w="434" w:type="pct"/>
          </w:tcPr>
          <w:p w14:paraId="581F0E7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(0.123)</w:t>
            </w:r>
          </w:p>
        </w:tc>
        <w:tc>
          <w:tcPr>
            <w:tcW w:w="379" w:type="pct"/>
            <w:tcBorders>
              <w:right w:val="single" w:sz="4" w:space="0" w:color="auto"/>
            </w:tcBorders>
          </w:tcPr>
          <w:p w14:paraId="3A7A316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(0.117)</w:t>
            </w:r>
          </w:p>
        </w:tc>
        <w:tc>
          <w:tcPr>
            <w:tcW w:w="379" w:type="pct"/>
            <w:tcBorders>
              <w:left w:val="single" w:sz="4" w:space="0" w:color="auto"/>
            </w:tcBorders>
          </w:tcPr>
          <w:p w14:paraId="7CC5741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79" w:type="pct"/>
          </w:tcPr>
          <w:p w14:paraId="3E044B8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79" w:type="pct"/>
          </w:tcPr>
          <w:p w14:paraId="45D1A57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420" w:type="pct"/>
          </w:tcPr>
          <w:p w14:paraId="16C503D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67" w:type="pct"/>
          </w:tcPr>
          <w:p w14:paraId="1F3151D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578029B2" w14:textId="77777777" w:rsidTr="00834F5A">
        <w:trPr>
          <w:trHeight w:val="219"/>
        </w:trPr>
        <w:tc>
          <w:tcPr>
            <w:tcW w:w="1071" w:type="pct"/>
          </w:tcPr>
          <w:p w14:paraId="1764353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Year dummies included</w:t>
            </w:r>
          </w:p>
        </w:tc>
        <w:tc>
          <w:tcPr>
            <w:tcW w:w="379" w:type="pct"/>
          </w:tcPr>
          <w:p w14:paraId="7A59270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Pr>
          <w:p w14:paraId="493B71B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434" w:type="pct"/>
          </w:tcPr>
          <w:p w14:paraId="0887480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434" w:type="pct"/>
          </w:tcPr>
          <w:p w14:paraId="48E35C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Borders>
              <w:right w:val="single" w:sz="4" w:space="0" w:color="auto"/>
            </w:tcBorders>
          </w:tcPr>
          <w:p w14:paraId="5550712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Borders>
              <w:left w:val="single" w:sz="4" w:space="0" w:color="auto"/>
            </w:tcBorders>
          </w:tcPr>
          <w:p w14:paraId="0A12227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Pr>
          <w:p w14:paraId="74BFF5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Pr>
          <w:p w14:paraId="0344E4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420" w:type="pct"/>
          </w:tcPr>
          <w:p w14:paraId="04F943B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67" w:type="pct"/>
          </w:tcPr>
          <w:p w14:paraId="69A76FF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5F183496" w14:textId="77777777" w:rsidTr="00834F5A">
        <w:trPr>
          <w:trHeight w:val="210"/>
        </w:trPr>
        <w:tc>
          <w:tcPr>
            <w:tcW w:w="1071" w:type="pct"/>
          </w:tcPr>
          <w:p w14:paraId="6ACC78B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Industry dummy included</w:t>
            </w:r>
          </w:p>
        </w:tc>
        <w:tc>
          <w:tcPr>
            <w:tcW w:w="379" w:type="pct"/>
          </w:tcPr>
          <w:p w14:paraId="413EEEC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Pr>
          <w:p w14:paraId="265AFF1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434" w:type="pct"/>
          </w:tcPr>
          <w:p w14:paraId="0BF8008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434" w:type="pct"/>
          </w:tcPr>
          <w:p w14:paraId="4439DEB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Borders>
              <w:right w:val="single" w:sz="4" w:space="0" w:color="auto"/>
            </w:tcBorders>
          </w:tcPr>
          <w:p w14:paraId="7B22D75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Borders>
              <w:left w:val="single" w:sz="4" w:space="0" w:color="auto"/>
            </w:tcBorders>
          </w:tcPr>
          <w:p w14:paraId="02AD21C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Pr>
          <w:p w14:paraId="46F5365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79" w:type="pct"/>
          </w:tcPr>
          <w:p w14:paraId="4832952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420" w:type="pct"/>
          </w:tcPr>
          <w:p w14:paraId="5790D91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67" w:type="pct"/>
          </w:tcPr>
          <w:p w14:paraId="6AE49AE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1677B75C" w14:textId="77777777" w:rsidTr="00834F5A">
        <w:trPr>
          <w:trHeight w:val="210"/>
        </w:trPr>
        <w:tc>
          <w:tcPr>
            <w:tcW w:w="1071" w:type="pct"/>
          </w:tcPr>
          <w:p w14:paraId="3EA64B3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diversification experience</w:t>
            </w:r>
          </w:p>
        </w:tc>
        <w:tc>
          <w:tcPr>
            <w:tcW w:w="379" w:type="pct"/>
          </w:tcPr>
          <w:p w14:paraId="0CA045F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BA8C50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-0.054</w:t>
            </w:r>
          </w:p>
        </w:tc>
        <w:tc>
          <w:tcPr>
            <w:tcW w:w="434" w:type="pct"/>
          </w:tcPr>
          <w:p w14:paraId="149CB0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0.080</w:t>
            </w:r>
          </w:p>
        </w:tc>
        <w:tc>
          <w:tcPr>
            <w:tcW w:w="434" w:type="pct"/>
          </w:tcPr>
          <w:p w14:paraId="5A26801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-0.104</w:t>
            </w:r>
          </w:p>
        </w:tc>
        <w:tc>
          <w:tcPr>
            <w:tcW w:w="379" w:type="pct"/>
            <w:tcBorders>
              <w:right w:val="single" w:sz="4" w:space="0" w:color="auto"/>
            </w:tcBorders>
          </w:tcPr>
          <w:p w14:paraId="120C641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0.014</w:t>
            </w:r>
          </w:p>
        </w:tc>
        <w:tc>
          <w:tcPr>
            <w:tcW w:w="379" w:type="pct"/>
            <w:tcBorders>
              <w:left w:val="single" w:sz="4" w:space="0" w:color="auto"/>
            </w:tcBorders>
          </w:tcPr>
          <w:p w14:paraId="0069BF7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3E33FF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79" w:type="pct"/>
          </w:tcPr>
          <w:p w14:paraId="701B1EE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420" w:type="pct"/>
          </w:tcPr>
          <w:p w14:paraId="5B7EA47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r w:rsidRPr="00E1789A">
              <w:rPr>
                <w:rFonts w:ascii="Times New Roman" w:hAnsi="Times New Roman" w:cs="Times New Roman"/>
                <w:sz w:val="16"/>
                <w:szCs w:val="16"/>
                <w:vertAlign w:val="superscript"/>
                <w:lang w:val="en-US"/>
              </w:rPr>
              <w:t>+</w:t>
            </w:r>
          </w:p>
        </w:tc>
        <w:tc>
          <w:tcPr>
            <w:tcW w:w="367" w:type="pct"/>
          </w:tcPr>
          <w:p w14:paraId="2477795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7B2310AC" w14:textId="77777777" w:rsidTr="00834F5A">
        <w:trPr>
          <w:trHeight w:val="210"/>
        </w:trPr>
        <w:tc>
          <w:tcPr>
            <w:tcW w:w="1071" w:type="pct"/>
          </w:tcPr>
          <w:p w14:paraId="09C1FE5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247391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3166910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(0.116)</w:t>
            </w:r>
          </w:p>
        </w:tc>
        <w:tc>
          <w:tcPr>
            <w:tcW w:w="434" w:type="pct"/>
          </w:tcPr>
          <w:p w14:paraId="46D7B49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(0.138)</w:t>
            </w:r>
          </w:p>
        </w:tc>
        <w:tc>
          <w:tcPr>
            <w:tcW w:w="434" w:type="pct"/>
          </w:tcPr>
          <w:p w14:paraId="5C38751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(0.101)</w:t>
            </w:r>
          </w:p>
        </w:tc>
        <w:tc>
          <w:tcPr>
            <w:tcW w:w="379" w:type="pct"/>
            <w:tcBorders>
              <w:right w:val="single" w:sz="4" w:space="0" w:color="auto"/>
            </w:tcBorders>
          </w:tcPr>
          <w:p w14:paraId="7CF040C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(0.126)</w:t>
            </w:r>
          </w:p>
        </w:tc>
        <w:tc>
          <w:tcPr>
            <w:tcW w:w="379" w:type="pct"/>
            <w:tcBorders>
              <w:left w:val="single" w:sz="4" w:space="0" w:color="auto"/>
            </w:tcBorders>
          </w:tcPr>
          <w:p w14:paraId="27F1FB3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093E6C0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79" w:type="pct"/>
          </w:tcPr>
          <w:p w14:paraId="3AC3319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420" w:type="pct"/>
          </w:tcPr>
          <w:p w14:paraId="6D52610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67" w:type="pct"/>
          </w:tcPr>
          <w:p w14:paraId="0C60DDA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5CCF3AFA" w14:textId="77777777" w:rsidTr="00834F5A">
        <w:trPr>
          <w:trHeight w:val="219"/>
        </w:trPr>
        <w:tc>
          <w:tcPr>
            <w:tcW w:w="1071" w:type="pct"/>
          </w:tcPr>
          <w:p w14:paraId="0B43969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Patent stock diversity</w:t>
            </w:r>
          </w:p>
        </w:tc>
        <w:tc>
          <w:tcPr>
            <w:tcW w:w="379" w:type="pct"/>
          </w:tcPr>
          <w:p w14:paraId="3AF5CFE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033522E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Pr>
          <w:p w14:paraId="2889309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-0.049</w:t>
            </w:r>
          </w:p>
        </w:tc>
        <w:tc>
          <w:tcPr>
            <w:tcW w:w="434" w:type="pct"/>
          </w:tcPr>
          <w:p w14:paraId="321AED6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Borders>
              <w:right w:val="single" w:sz="4" w:space="0" w:color="auto"/>
            </w:tcBorders>
          </w:tcPr>
          <w:p w14:paraId="4E1338C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-0.052</w:t>
            </w:r>
          </w:p>
        </w:tc>
        <w:tc>
          <w:tcPr>
            <w:tcW w:w="379" w:type="pct"/>
            <w:tcBorders>
              <w:left w:val="single" w:sz="4" w:space="0" w:color="auto"/>
            </w:tcBorders>
          </w:tcPr>
          <w:p w14:paraId="5275FD6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1386A9A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3027AB6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420" w:type="pct"/>
          </w:tcPr>
          <w:p w14:paraId="7CE7AE0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67" w:type="pct"/>
          </w:tcPr>
          <w:p w14:paraId="5F0BA53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r>
      <w:tr w:rsidR="00331AB6" w:rsidRPr="00E1789A" w14:paraId="041239D2" w14:textId="77777777" w:rsidTr="00834F5A">
        <w:trPr>
          <w:trHeight w:val="210"/>
        </w:trPr>
        <w:tc>
          <w:tcPr>
            <w:tcW w:w="1071" w:type="pct"/>
          </w:tcPr>
          <w:p w14:paraId="1516618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16A8A10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5E35943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Pr>
          <w:p w14:paraId="48837DD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(0.195)</w:t>
            </w:r>
          </w:p>
        </w:tc>
        <w:tc>
          <w:tcPr>
            <w:tcW w:w="434" w:type="pct"/>
          </w:tcPr>
          <w:p w14:paraId="77803B2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Borders>
              <w:right w:val="single" w:sz="4" w:space="0" w:color="auto"/>
            </w:tcBorders>
          </w:tcPr>
          <w:p w14:paraId="0D697BD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(0.192)</w:t>
            </w:r>
          </w:p>
        </w:tc>
        <w:tc>
          <w:tcPr>
            <w:tcW w:w="379" w:type="pct"/>
            <w:tcBorders>
              <w:left w:val="single" w:sz="4" w:space="0" w:color="auto"/>
            </w:tcBorders>
          </w:tcPr>
          <w:p w14:paraId="22C1B88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CD02A4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58F35BA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420" w:type="pct"/>
          </w:tcPr>
          <w:p w14:paraId="0B0F2E5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67" w:type="pct"/>
          </w:tcPr>
          <w:p w14:paraId="6071AD4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6826448F" w14:textId="77777777" w:rsidTr="00834F5A">
        <w:trPr>
          <w:trHeight w:val="420"/>
        </w:trPr>
        <w:tc>
          <w:tcPr>
            <w:tcW w:w="1071" w:type="pct"/>
          </w:tcPr>
          <w:p w14:paraId="4A40CE6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diversification experience × Patent stock diversity (H1b)</w:t>
            </w:r>
          </w:p>
        </w:tc>
        <w:tc>
          <w:tcPr>
            <w:tcW w:w="379" w:type="pct"/>
          </w:tcPr>
          <w:p w14:paraId="333B509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058E638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Pr>
          <w:p w14:paraId="428DFDC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-0.138</w:t>
            </w:r>
          </w:p>
          <w:p w14:paraId="5C4C8D4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(0.090)</w:t>
            </w:r>
          </w:p>
        </w:tc>
        <w:tc>
          <w:tcPr>
            <w:tcW w:w="434" w:type="pct"/>
          </w:tcPr>
          <w:p w14:paraId="7FD5F26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Borders>
              <w:right w:val="single" w:sz="4" w:space="0" w:color="auto"/>
            </w:tcBorders>
          </w:tcPr>
          <w:p w14:paraId="4DC0558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-0.118</w:t>
            </w:r>
          </w:p>
          <w:p w14:paraId="669E9B5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(0.081)</w:t>
            </w:r>
          </w:p>
        </w:tc>
        <w:tc>
          <w:tcPr>
            <w:tcW w:w="379" w:type="pct"/>
            <w:tcBorders>
              <w:left w:val="single" w:sz="4" w:space="0" w:color="auto"/>
            </w:tcBorders>
          </w:tcPr>
          <w:p w14:paraId="6DB9933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0351C3E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2D558C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p w14:paraId="7DBC68D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420" w:type="pct"/>
          </w:tcPr>
          <w:p w14:paraId="400E219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67" w:type="pct"/>
          </w:tcPr>
          <w:p w14:paraId="792CA8C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p w14:paraId="4154AAB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62C1B2C0" w14:textId="77777777" w:rsidTr="00834F5A">
        <w:trPr>
          <w:trHeight w:val="210"/>
        </w:trPr>
        <w:tc>
          <w:tcPr>
            <w:tcW w:w="1071" w:type="pct"/>
          </w:tcPr>
          <w:p w14:paraId="1F211B7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Intellectual capital efficiency</w:t>
            </w:r>
          </w:p>
        </w:tc>
        <w:tc>
          <w:tcPr>
            <w:tcW w:w="379" w:type="pct"/>
          </w:tcPr>
          <w:p w14:paraId="54282F5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24AD583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Pr>
          <w:p w14:paraId="291E7C5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Pr>
          <w:p w14:paraId="119401B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0.172</w:t>
            </w:r>
            <w:r w:rsidRPr="00E1789A">
              <w:rPr>
                <w:rFonts w:ascii="Times New Roman" w:hAnsi="Times New Roman" w:cs="Times New Roman"/>
                <w:sz w:val="16"/>
                <w:szCs w:val="16"/>
                <w:vertAlign w:val="superscript"/>
                <w:lang w:val="en-US"/>
              </w:rPr>
              <w:t>*</w:t>
            </w:r>
          </w:p>
        </w:tc>
        <w:tc>
          <w:tcPr>
            <w:tcW w:w="379" w:type="pct"/>
            <w:tcBorders>
              <w:right w:val="single" w:sz="4" w:space="0" w:color="auto"/>
            </w:tcBorders>
          </w:tcPr>
          <w:p w14:paraId="7611F46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0.163</w:t>
            </w:r>
            <w:r w:rsidRPr="00E1789A">
              <w:rPr>
                <w:rFonts w:ascii="Times New Roman" w:hAnsi="Times New Roman" w:cs="Times New Roman"/>
                <w:sz w:val="16"/>
                <w:szCs w:val="16"/>
                <w:vertAlign w:val="superscript"/>
                <w:lang w:val="en-US"/>
              </w:rPr>
              <w:t>*</w:t>
            </w:r>
          </w:p>
        </w:tc>
        <w:tc>
          <w:tcPr>
            <w:tcW w:w="379" w:type="pct"/>
            <w:tcBorders>
              <w:left w:val="single" w:sz="4" w:space="0" w:color="auto"/>
            </w:tcBorders>
          </w:tcPr>
          <w:p w14:paraId="29DB404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5B3EE57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16F542F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20" w:type="pct"/>
          </w:tcPr>
          <w:p w14:paraId="5A16136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67" w:type="pct"/>
          </w:tcPr>
          <w:p w14:paraId="1BF3604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4ECAC873" w14:textId="77777777" w:rsidTr="00834F5A">
        <w:trPr>
          <w:trHeight w:val="210"/>
        </w:trPr>
        <w:tc>
          <w:tcPr>
            <w:tcW w:w="1071" w:type="pct"/>
          </w:tcPr>
          <w:p w14:paraId="3BF34E9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001B8ED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3C44861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Pr>
          <w:p w14:paraId="2BD9A12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Pr>
          <w:p w14:paraId="5707901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(0.074)</w:t>
            </w:r>
          </w:p>
        </w:tc>
        <w:tc>
          <w:tcPr>
            <w:tcW w:w="379" w:type="pct"/>
            <w:tcBorders>
              <w:right w:val="single" w:sz="4" w:space="0" w:color="auto"/>
            </w:tcBorders>
          </w:tcPr>
          <w:p w14:paraId="582F63B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(0.077)</w:t>
            </w:r>
          </w:p>
        </w:tc>
        <w:tc>
          <w:tcPr>
            <w:tcW w:w="379" w:type="pct"/>
            <w:tcBorders>
              <w:left w:val="single" w:sz="4" w:space="0" w:color="auto"/>
            </w:tcBorders>
          </w:tcPr>
          <w:p w14:paraId="2D109D5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7171389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Pr>
          <w:p w14:paraId="1F941FB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20" w:type="pct"/>
          </w:tcPr>
          <w:p w14:paraId="10909D7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67" w:type="pct"/>
          </w:tcPr>
          <w:p w14:paraId="16F4F79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07E692FD" w14:textId="77777777" w:rsidTr="00834F5A">
        <w:trPr>
          <w:trHeight w:val="430"/>
        </w:trPr>
        <w:tc>
          <w:tcPr>
            <w:tcW w:w="1071" w:type="pct"/>
            <w:tcBorders>
              <w:bottom w:val="single" w:sz="4" w:space="0" w:color="auto"/>
            </w:tcBorders>
          </w:tcPr>
          <w:p w14:paraId="5478BBE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diversification experience × Intellectual capital efficiency (H1b)</w:t>
            </w:r>
          </w:p>
        </w:tc>
        <w:tc>
          <w:tcPr>
            <w:tcW w:w="379" w:type="pct"/>
            <w:tcBorders>
              <w:bottom w:val="single" w:sz="4" w:space="0" w:color="auto"/>
            </w:tcBorders>
          </w:tcPr>
          <w:p w14:paraId="36CD0B0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Borders>
              <w:bottom w:val="single" w:sz="4" w:space="0" w:color="auto"/>
            </w:tcBorders>
          </w:tcPr>
          <w:p w14:paraId="732D907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Borders>
              <w:bottom w:val="single" w:sz="4" w:space="0" w:color="auto"/>
            </w:tcBorders>
          </w:tcPr>
          <w:p w14:paraId="360B2B0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34" w:type="pct"/>
            <w:tcBorders>
              <w:bottom w:val="single" w:sz="4" w:space="0" w:color="auto"/>
            </w:tcBorders>
          </w:tcPr>
          <w:p w14:paraId="657E554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0.288</w:t>
            </w:r>
            <w:r w:rsidRPr="00E1789A">
              <w:rPr>
                <w:rFonts w:ascii="Times New Roman" w:hAnsi="Times New Roman" w:cs="Times New Roman"/>
                <w:sz w:val="16"/>
                <w:szCs w:val="16"/>
                <w:vertAlign w:val="superscript"/>
                <w:lang w:val="en-US"/>
              </w:rPr>
              <w:t>*</w:t>
            </w:r>
          </w:p>
          <w:p w14:paraId="3A9A654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(0.129)</w:t>
            </w:r>
          </w:p>
        </w:tc>
        <w:tc>
          <w:tcPr>
            <w:tcW w:w="379" w:type="pct"/>
            <w:tcBorders>
              <w:bottom w:val="single" w:sz="4" w:space="0" w:color="auto"/>
              <w:right w:val="single" w:sz="4" w:space="0" w:color="auto"/>
            </w:tcBorders>
          </w:tcPr>
          <w:p w14:paraId="502D130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0.270</w:t>
            </w:r>
            <w:r w:rsidRPr="00E1789A">
              <w:rPr>
                <w:rFonts w:ascii="Times New Roman" w:hAnsi="Times New Roman" w:cs="Times New Roman"/>
                <w:sz w:val="16"/>
                <w:szCs w:val="16"/>
                <w:vertAlign w:val="superscript"/>
                <w:lang w:val="en-US"/>
              </w:rPr>
              <w:t>*</w:t>
            </w:r>
          </w:p>
          <w:p w14:paraId="6C3F445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(0.137)</w:t>
            </w:r>
          </w:p>
        </w:tc>
        <w:tc>
          <w:tcPr>
            <w:tcW w:w="379" w:type="pct"/>
            <w:tcBorders>
              <w:left w:val="single" w:sz="4" w:space="0" w:color="auto"/>
              <w:bottom w:val="single" w:sz="4" w:space="0" w:color="auto"/>
            </w:tcBorders>
          </w:tcPr>
          <w:p w14:paraId="522D86C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Borders>
              <w:bottom w:val="single" w:sz="4" w:space="0" w:color="auto"/>
            </w:tcBorders>
          </w:tcPr>
          <w:p w14:paraId="37999ED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79" w:type="pct"/>
            <w:tcBorders>
              <w:bottom w:val="single" w:sz="4" w:space="0" w:color="auto"/>
            </w:tcBorders>
          </w:tcPr>
          <w:p w14:paraId="1B70AB8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420" w:type="pct"/>
            <w:tcBorders>
              <w:bottom w:val="single" w:sz="4" w:space="0" w:color="auto"/>
            </w:tcBorders>
          </w:tcPr>
          <w:p w14:paraId="4C711DB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0.023</w:t>
            </w:r>
            <w:r w:rsidRPr="00E1789A">
              <w:rPr>
                <w:rFonts w:ascii="Times New Roman" w:hAnsi="Times New Roman" w:cs="Times New Roman"/>
                <w:sz w:val="16"/>
                <w:szCs w:val="16"/>
                <w:vertAlign w:val="superscript"/>
                <w:lang w:val="en-US"/>
              </w:rPr>
              <w:t>***</w:t>
            </w:r>
          </w:p>
          <w:p w14:paraId="2A8D5D0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67" w:type="pct"/>
            <w:tcBorders>
              <w:bottom w:val="single" w:sz="4" w:space="0" w:color="auto"/>
            </w:tcBorders>
          </w:tcPr>
          <w:p w14:paraId="0C37B3B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0.022</w:t>
            </w:r>
            <w:r w:rsidRPr="00E1789A">
              <w:rPr>
                <w:rFonts w:ascii="Times New Roman" w:hAnsi="Times New Roman" w:cs="Times New Roman"/>
                <w:sz w:val="16"/>
                <w:szCs w:val="16"/>
                <w:vertAlign w:val="superscript"/>
                <w:lang w:val="en-US"/>
              </w:rPr>
              <w:t>***</w:t>
            </w:r>
          </w:p>
          <w:p w14:paraId="4FF512F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09267336" w14:textId="77777777" w:rsidTr="00834F5A">
        <w:trPr>
          <w:trHeight w:val="210"/>
        </w:trPr>
        <w:tc>
          <w:tcPr>
            <w:tcW w:w="1071" w:type="pct"/>
            <w:tcBorders>
              <w:top w:val="single" w:sz="4" w:space="0" w:color="auto"/>
            </w:tcBorders>
          </w:tcPr>
          <w:p w14:paraId="33A198E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Mean VIF</w:t>
            </w:r>
          </w:p>
        </w:tc>
        <w:tc>
          <w:tcPr>
            <w:tcW w:w="379" w:type="pct"/>
            <w:tcBorders>
              <w:top w:val="single" w:sz="4" w:space="0" w:color="auto"/>
            </w:tcBorders>
          </w:tcPr>
          <w:p w14:paraId="59748B9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2.53</w:t>
            </w:r>
          </w:p>
        </w:tc>
        <w:tc>
          <w:tcPr>
            <w:tcW w:w="379" w:type="pct"/>
            <w:tcBorders>
              <w:top w:val="single" w:sz="4" w:space="0" w:color="auto"/>
            </w:tcBorders>
          </w:tcPr>
          <w:p w14:paraId="671C3BB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2.58</w:t>
            </w:r>
          </w:p>
        </w:tc>
        <w:tc>
          <w:tcPr>
            <w:tcW w:w="434" w:type="pct"/>
            <w:tcBorders>
              <w:top w:val="single" w:sz="4" w:space="0" w:color="auto"/>
            </w:tcBorders>
          </w:tcPr>
          <w:p w14:paraId="412B616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2.68</w:t>
            </w:r>
          </w:p>
        </w:tc>
        <w:tc>
          <w:tcPr>
            <w:tcW w:w="434" w:type="pct"/>
            <w:tcBorders>
              <w:top w:val="single" w:sz="4" w:space="0" w:color="auto"/>
            </w:tcBorders>
          </w:tcPr>
          <w:p w14:paraId="38446D4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2.57</w:t>
            </w:r>
          </w:p>
        </w:tc>
        <w:tc>
          <w:tcPr>
            <w:tcW w:w="379" w:type="pct"/>
            <w:tcBorders>
              <w:top w:val="single" w:sz="4" w:space="0" w:color="auto"/>
              <w:right w:val="single" w:sz="4" w:space="0" w:color="auto"/>
            </w:tcBorders>
          </w:tcPr>
          <w:p w14:paraId="34222EB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2.68</w:t>
            </w:r>
          </w:p>
        </w:tc>
        <w:tc>
          <w:tcPr>
            <w:tcW w:w="379" w:type="pct"/>
            <w:tcBorders>
              <w:top w:val="single" w:sz="4" w:space="0" w:color="auto"/>
              <w:left w:val="single" w:sz="4" w:space="0" w:color="auto"/>
            </w:tcBorders>
          </w:tcPr>
          <w:p w14:paraId="1E66F31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2.53</w:t>
            </w:r>
          </w:p>
        </w:tc>
        <w:tc>
          <w:tcPr>
            <w:tcW w:w="379" w:type="pct"/>
            <w:tcBorders>
              <w:top w:val="single" w:sz="4" w:space="0" w:color="auto"/>
            </w:tcBorders>
          </w:tcPr>
          <w:p w14:paraId="6E89175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2.58</w:t>
            </w:r>
          </w:p>
        </w:tc>
        <w:tc>
          <w:tcPr>
            <w:tcW w:w="379" w:type="pct"/>
            <w:tcBorders>
              <w:top w:val="single" w:sz="4" w:space="0" w:color="auto"/>
            </w:tcBorders>
          </w:tcPr>
          <w:p w14:paraId="1C5252B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2.68</w:t>
            </w:r>
          </w:p>
        </w:tc>
        <w:tc>
          <w:tcPr>
            <w:tcW w:w="420" w:type="pct"/>
            <w:tcBorders>
              <w:top w:val="single" w:sz="4" w:space="0" w:color="auto"/>
            </w:tcBorders>
          </w:tcPr>
          <w:p w14:paraId="1D3BB06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2.57</w:t>
            </w:r>
          </w:p>
        </w:tc>
        <w:tc>
          <w:tcPr>
            <w:tcW w:w="367" w:type="pct"/>
            <w:tcBorders>
              <w:top w:val="single" w:sz="4" w:space="0" w:color="auto"/>
            </w:tcBorders>
          </w:tcPr>
          <w:p w14:paraId="15EB910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2.68</w:t>
            </w:r>
          </w:p>
        </w:tc>
      </w:tr>
      <w:tr w:rsidR="00331AB6" w:rsidRPr="00E1789A" w14:paraId="085EDB32" w14:textId="77777777" w:rsidTr="00834F5A">
        <w:trPr>
          <w:trHeight w:val="253"/>
        </w:trPr>
        <w:tc>
          <w:tcPr>
            <w:tcW w:w="1071" w:type="pct"/>
          </w:tcPr>
          <w:p w14:paraId="231E99A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i/>
                <w:iCs/>
                <w:sz w:val="16"/>
                <w:szCs w:val="16"/>
                <w:lang w:val="en-US"/>
              </w:rPr>
              <w:t>n/N</w:t>
            </w:r>
          </w:p>
        </w:tc>
        <w:tc>
          <w:tcPr>
            <w:tcW w:w="379" w:type="pct"/>
          </w:tcPr>
          <w:p w14:paraId="67F9C75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379" w:type="pct"/>
          </w:tcPr>
          <w:p w14:paraId="7460C0A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434" w:type="pct"/>
          </w:tcPr>
          <w:p w14:paraId="3ECC7A8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434" w:type="pct"/>
          </w:tcPr>
          <w:p w14:paraId="458634A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379" w:type="pct"/>
            <w:tcBorders>
              <w:right w:val="single" w:sz="4" w:space="0" w:color="auto"/>
            </w:tcBorders>
          </w:tcPr>
          <w:p w14:paraId="489E1AA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379" w:type="pct"/>
            <w:tcBorders>
              <w:left w:val="single" w:sz="4" w:space="0" w:color="auto"/>
            </w:tcBorders>
          </w:tcPr>
          <w:p w14:paraId="7471061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c>
          <w:tcPr>
            <w:tcW w:w="379" w:type="pct"/>
          </w:tcPr>
          <w:p w14:paraId="2F031AD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c>
          <w:tcPr>
            <w:tcW w:w="379" w:type="pct"/>
          </w:tcPr>
          <w:p w14:paraId="2528669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c>
          <w:tcPr>
            <w:tcW w:w="420" w:type="pct"/>
          </w:tcPr>
          <w:p w14:paraId="19F5991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c>
          <w:tcPr>
            <w:tcW w:w="367" w:type="pct"/>
          </w:tcPr>
          <w:p w14:paraId="7DFDB03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r>
      <w:tr w:rsidR="00331AB6" w:rsidRPr="00E1789A" w14:paraId="2F642073" w14:textId="77777777" w:rsidTr="00834F5A">
        <w:trPr>
          <w:trHeight w:val="210"/>
        </w:trPr>
        <w:tc>
          <w:tcPr>
            <w:tcW w:w="1071" w:type="pct"/>
          </w:tcPr>
          <w:p w14:paraId="3A0BC82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w:t>
            </w:r>
            <w:r w:rsidRPr="00E1789A">
              <w:rPr>
                <w:rFonts w:ascii="Times New Roman" w:hAnsi="Times New Roman" w:cs="Times New Roman"/>
                <w:sz w:val="16"/>
                <w:szCs w:val="16"/>
                <w:vertAlign w:val="superscript"/>
                <w:lang w:val="en-US"/>
              </w:rPr>
              <w:t>2</w:t>
            </w:r>
          </w:p>
        </w:tc>
        <w:tc>
          <w:tcPr>
            <w:tcW w:w="379" w:type="pct"/>
          </w:tcPr>
          <w:p w14:paraId="7109985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0.117</w:t>
            </w:r>
          </w:p>
        </w:tc>
        <w:tc>
          <w:tcPr>
            <w:tcW w:w="379" w:type="pct"/>
          </w:tcPr>
          <w:p w14:paraId="18253EB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0.116</w:t>
            </w:r>
          </w:p>
        </w:tc>
        <w:tc>
          <w:tcPr>
            <w:tcW w:w="434" w:type="pct"/>
          </w:tcPr>
          <w:p w14:paraId="67E3732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0.125</w:t>
            </w:r>
          </w:p>
        </w:tc>
        <w:tc>
          <w:tcPr>
            <w:tcW w:w="434" w:type="pct"/>
          </w:tcPr>
          <w:p w14:paraId="1BC591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0.124</w:t>
            </w:r>
          </w:p>
        </w:tc>
        <w:tc>
          <w:tcPr>
            <w:tcW w:w="379" w:type="pct"/>
            <w:tcBorders>
              <w:right w:val="single" w:sz="4" w:space="0" w:color="auto"/>
            </w:tcBorders>
          </w:tcPr>
          <w:p w14:paraId="0566495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0.130</w:t>
            </w:r>
          </w:p>
        </w:tc>
        <w:tc>
          <w:tcPr>
            <w:tcW w:w="379" w:type="pct"/>
            <w:tcBorders>
              <w:left w:val="single" w:sz="4" w:space="0" w:color="auto"/>
            </w:tcBorders>
          </w:tcPr>
          <w:p w14:paraId="401977E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0.205</w:t>
            </w:r>
          </w:p>
        </w:tc>
        <w:tc>
          <w:tcPr>
            <w:tcW w:w="379" w:type="pct"/>
          </w:tcPr>
          <w:p w14:paraId="2C19FA8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0.207</w:t>
            </w:r>
          </w:p>
        </w:tc>
        <w:tc>
          <w:tcPr>
            <w:tcW w:w="379" w:type="pct"/>
          </w:tcPr>
          <w:p w14:paraId="7BAD524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0.213</w:t>
            </w:r>
          </w:p>
        </w:tc>
        <w:tc>
          <w:tcPr>
            <w:tcW w:w="420" w:type="pct"/>
          </w:tcPr>
          <w:p w14:paraId="4339647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0.209</w:t>
            </w:r>
          </w:p>
        </w:tc>
        <w:tc>
          <w:tcPr>
            <w:tcW w:w="367" w:type="pct"/>
          </w:tcPr>
          <w:p w14:paraId="0BCF6BB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0.216</w:t>
            </w:r>
          </w:p>
        </w:tc>
      </w:tr>
      <w:tr w:rsidR="00331AB6" w:rsidRPr="00E1789A" w14:paraId="3641A61F" w14:textId="77777777" w:rsidTr="00834F5A">
        <w:trPr>
          <w:trHeight w:val="210"/>
        </w:trPr>
        <w:tc>
          <w:tcPr>
            <w:tcW w:w="1071" w:type="pct"/>
            <w:tcBorders>
              <w:bottom w:val="single" w:sz="4" w:space="0" w:color="auto"/>
            </w:tcBorders>
          </w:tcPr>
          <w:p w14:paraId="2F3DB4D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Wald χ</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w:t>
            </w:r>
            <w:r w:rsidRPr="00E1789A">
              <w:rPr>
                <w:rFonts w:ascii="Times New Roman" w:hAnsi="Times New Roman" w:cs="Times New Roman"/>
                <w:i/>
                <w:iCs/>
                <w:sz w:val="16"/>
                <w:szCs w:val="16"/>
                <w:lang w:val="en-US"/>
              </w:rPr>
              <w:t>p</w:t>
            </w:r>
            <w:r w:rsidRPr="00E1789A">
              <w:rPr>
                <w:rFonts w:ascii="Times New Roman" w:hAnsi="Times New Roman" w:cs="Times New Roman"/>
                <w:sz w:val="16"/>
                <w:szCs w:val="16"/>
                <w:lang w:val="en-US"/>
              </w:rPr>
              <w:t>)</w:t>
            </w:r>
          </w:p>
        </w:tc>
        <w:tc>
          <w:tcPr>
            <w:tcW w:w="379" w:type="pct"/>
            <w:tcBorders>
              <w:bottom w:val="single" w:sz="4" w:space="0" w:color="auto"/>
            </w:tcBorders>
          </w:tcPr>
          <w:p w14:paraId="6D5081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Borders>
              <w:bottom w:val="single" w:sz="4" w:space="0" w:color="auto"/>
            </w:tcBorders>
          </w:tcPr>
          <w:p w14:paraId="447FA90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434" w:type="pct"/>
            <w:tcBorders>
              <w:bottom w:val="single" w:sz="4" w:space="0" w:color="auto"/>
            </w:tcBorders>
          </w:tcPr>
          <w:p w14:paraId="708415B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434" w:type="pct"/>
            <w:tcBorders>
              <w:bottom w:val="single" w:sz="4" w:space="0" w:color="auto"/>
            </w:tcBorders>
          </w:tcPr>
          <w:p w14:paraId="16429CE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Borders>
              <w:bottom w:val="single" w:sz="4" w:space="0" w:color="auto"/>
              <w:right w:val="single" w:sz="4" w:space="0" w:color="auto"/>
            </w:tcBorders>
          </w:tcPr>
          <w:p w14:paraId="1488ED4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Borders>
              <w:left w:val="single" w:sz="4" w:space="0" w:color="auto"/>
              <w:bottom w:val="single" w:sz="4" w:space="0" w:color="auto"/>
            </w:tcBorders>
          </w:tcPr>
          <w:p w14:paraId="6402B31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Borders>
              <w:bottom w:val="single" w:sz="4" w:space="0" w:color="auto"/>
            </w:tcBorders>
          </w:tcPr>
          <w:p w14:paraId="569CBF4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79" w:type="pct"/>
            <w:tcBorders>
              <w:bottom w:val="single" w:sz="4" w:space="0" w:color="auto"/>
            </w:tcBorders>
          </w:tcPr>
          <w:p w14:paraId="5663362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420" w:type="pct"/>
            <w:tcBorders>
              <w:bottom w:val="single" w:sz="4" w:space="0" w:color="auto"/>
            </w:tcBorders>
          </w:tcPr>
          <w:p w14:paraId="372044F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67" w:type="pct"/>
            <w:tcBorders>
              <w:bottom w:val="single" w:sz="4" w:space="0" w:color="auto"/>
            </w:tcBorders>
          </w:tcPr>
          <w:p w14:paraId="6C027B5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3FEB7231" w14:textId="77777777" w:rsidTr="00834F5A">
        <w:trPr>
          <w:trHeight w:val="640"/>
        </w:trPr>
        <w:tc>
          <w:tcPr>
            <w:tcW w:w="5000" w:type="pct"/>
            <w:gridSpan w:val="11"/>
            <w:tcBorders>
              <w:top w:val="single" w:sz="4" w:space="0" w:color="auto"/>
            </w:tcBorders>
          </w:tcPr>
          <w:p w14:paraId="0F8EC90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925E67">
              <w:rPr>
                <w:rFonts w:ascii="Times New Roman" w:hAnsi="Times New Roman" w:cs="Times New Roman"/>
                <w:i/>
                <w:iCs/>
                <w:sz w:val="16"/>
                <w:szCs w:val="16"/>
                <w:lang w:val="en-US"/>
              </w:rPr>
              <w:t>Notes</w:t>
            </w:r>
            <w:r w:rsidRPr="00E1789A">
              <w:rPr>
                <w:rFonts w:ascii="Times New Roman" w:hAnsi="Times New Roman" w:cs="Times New Roman"/>
                <w:sz w:val="16"/>
                <w:szCs w:val="16"/>
                <w:lang w:val="en-US"/>
              </w:rPr>
              <w:t>: Unstandardized regression coefficients are reported with robust standard errors in parenthesis. R</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(between) is reported. Intercept terms are included but not shown. n=firm-year observations; N=firms. ROA = Return on Assets. R&amp;D = research and development; IMR_ID = Inverse Mills Ratio (International Diversification); H = Hypothesis; VIF = variance inflation factor.</w:t>
            </w:r>
          </w:p>
          <w:p w14:paraId="73C3F71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 p &lt; 0.1, * p &lt; 0.05, ** p &lt; 0.01, *** p &lt; 0.001</w:t>
            </w:r>
          </w:p>
        </w:tc>
      </w:tr>
    </w:tbl>
    <w:p w14:paraId="4688A23C" w14:textId="77777777" w:rsidR="00331AB6" w:rsidRPr="00E1789A" w:rsidRDefault="00331AB6" w:rsidP="00331AB6">
      <w:pPr>
        <w:tabs>
          <w:tab w:val="left" w:pos="2090"/>
        </w:tabs>
        <w:rPr>
          <w:rFonts w:ascii="Times New Roman" w:hAnsi="Times New Roman" w:cs="Times New Roman"/>
          <w:sz w:val="24"/>
          <w:szCs w:val="24"/>
        </w:rPr>
        <w:sectPr w:rsidR="00331AB6" w:rsidRPr="00E1789A" w:rsidSect="0054095A">
          <w:pgSz w:w="16838" w:h="11906" w:orient="landscape"/>
          <w:pgMar w:top="1440" w:right="1440" w:bottom="1440" w:left="1440" w:header="708" w:footer="708" w:gutter="0"/>
          <w:cols w:space="708"/>
          <w:docGrid w:linePitch="360"/>
        </w:sectPr>
      </w:pPr>
    </w:p>
    <w:tbl>
      <w:tblPr>
        <w:tblW w:w="5000" w:type="pct"/>
        <w:tblLook w:val="0000" w:firstRow="0" w:lastRow="0" w:firstColumn="0" w:lastColumn="0" w:noHBand="0" w:noVBand="0"/>
      </w:tblPr>
      <w:tblGrid>
        <w:gridCol w:w="5256"/>
        <w:gridCol w:w="1088"/>
        <w:gridCol w:w="1089"/>
        <w:gridCol w:w="1089"/>
        <w:gridCol w:w="1089"/>
        <w:gridCol w:w="1089"/>
        <w:gridCol w:w="1089"/>
        <w:gridCol w:w="1089"/>
        <w:gridCol w:w="1080"/>
      </w:tblGrid>
      <w:tr w:rsidR="00331AB6" w:rsidRPr="00E1789A" w14:paraId="4D8F3B04" w14:textId="77777777" w:rsidTr="00834F5A">
        <w:tc>
          <w:tcPr>
            <w:tcW w:w="5000" w:type="pct"/>
            <w:gridSpan w:val="9"/>
            <w:tcBorders>
              <w:bottom w:val="single" w:sz="4" w:space="0" w:color="auto"/>
            </w:tcBorders>
          </w:tcPr>
          <w:p w14:paraId="02C4A8E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lastRenderedPageBreak/>
              <w:t xml:space="preserve">Table C3. Second </w:t>
            </w:r>
            <w:r>
              <w:rPr>
                <w:rFonts w:ascii="Times New Roman" w:hAnsi="Times New Roman" w:cs="Times New Roman"/>
                <w:sz w:val="16"/>
                <w:szCs w:val="16"/>
                <w:lang w:val="en-US"/>
              </w:rPr>
              <w:t>s</w:t>
            </w:r>
            <w:r w:rsidRPr="00E1789A">
              <w:rPr>
                <w:rFonts w:ascii="Times New Roman" w:hAnsi="Times New Roman" w:cs="Times New Roman"/>
                <w:sz w:val="16"/>
                <w:szCs w:val="16"/>
                <w:lang w:val="en-US"/>
              </w:rPr>
              <w:t xml:space="preserve">tage random-effect models (with robust standard errors) for firm performance (Product </w:t>
            </w:r>
            <w:r>
              <w:rPr>
                <w:rFonts w:ascii="Times New Roman" w:hAnsi="Times New Roman" w:cs="Times New Roman"/>
                <w:sz w:val="16"/>
                <w:szCs w:val="16"/>
                <w:lang w:val="en-US"/>
              </w:rPr>
              <w:t>d</w:t>
            </w:r>
            <w:r w:rsidRPr="00E1789A">
              <w:rPr>
                <w:rFonts w:ascii="Times New Roman" w:hAnsi="Times New Roman" w:cs="Times New Roman"/>
                <w:sz w:val="16"/>
                <w:szCs w:val="16"/>
                <w:lang w:val="en-US"/>
              </w:rPr>
              <w:t xml:space="preserve">iversification </w:t>
            </w:r>
            <w:r>
              <w:rPr>
                <w:rFonts w:ascii="Times New Roman" w:hAnsi="Times New Roman" w:cs="Times New Roman"/>
                <w:sz w:val="16"/>
                <w:szCs w:val="16"/>
                <w:lang w:val="en-US"/>
              </w:rPr>
              <w:t>e</w:t>
            </w:r>
            <w:r w:rsidRPr="00E1789A">
              <w:rPr>
                <w:rFonts w:ascii="Times New Roman" w:hAnsi="Times New Roman" w:cs="Times New Roman"/>
                <w:sz w:val="16"/>
                <w:szCs w:val="16"/>
                <w:lang w:val="en-US"/>
              </w:rPr>
              <w:t xml:space="preserve">xperience </w:t>
            </w:r>
            <w:r>
              <w:rPr>
                <w:rFonts w:ascii="Times New Roman" w:hAnsi="Times New Roman" w:cs="Times New Roman"/>
                <w:sz w:val="16"/>
                <w:szCs w:val="16"/>
                <w:lang w:val="en-US"/>
              </w:rPr>
              <w:t>u</w:t>
            </w:r>
            <w:r w:rsidRPr="00E1789A">
              <w:rPr>
                <w:rFonts w:ascii="Times New Roman" w:hAnsi="Times New Roman" w:cs="Times New Roman"/>
                <w:sz w:val="16"/>
                <w:szCs w:val="16"/>
                <w:lang w:val="en-US"/>
              </w:rPr>
              <w:t>nrelatedness)</w:t>
            </w:r>
          </w:p>
        </w:tc>
      </w:tr>
      <w:tr w:rsidR="00331AB6" w:rsidRPr="00E1789A" w14:paraId="2766854A" w14:textId="77777777" w:rsidTr="00834F5A">
        <w:tc>
          <w:tcPr>
            <w:tcW w:w="1883" w:type="pct"/>
            <w:tcBorders>
              <w:top w:val="single" w:sz="4" w:space="0" w:color="auto"/>
              <w:bottom w:val="single" w:sz="4" w:space="0" w:color="auto"/>
            </w:tcBorders>
          </w:tcPr>
          <w:p w14:paraId="0AD7F7A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Variable</w:t>
            </w:r>
          </w:p>
        </w:tc>
        <w:tc>
          <w:tcPr>
            <w:tcW w:w="1560" w:type="pct"/>
            <w:gridSpan w:val="4"/>
            <w:tcBorders>
              <w:top w:val="single" w:sz="4" w:space="0" w:color="auto"/>
              <w:bottom w:val="single" w:sz="4" w:space="0" w:color="auto"/>
            </w:tcBorders>
          </w:tcPr>
          <w:p w14:paraId="1A447B1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Tobin’s Q</w:t>
            </w:r>
            <w:r w:rsidRPr="00E1789A">
              <w:rPr>
                <w:rFonts w:ascii="Times New Roman" w:hAnsi="Times New Roman" w:cs="Times New Roman"/>
                <w:sz w:val="16"/>
                <w:szCs w:val="16"/>
                <w:vertAlign w:val="subscript"/>
                <w:lang w:val="en-US"/>
              </w:rPr>
              <w:t>t+1</w:t>
            </w:r>
          </w:p>
        </w:tc>
        <w:tc>
          <w:tcPr>
            <w:tcW w:w="1557" w:type="pct"/>
            <w:gridSpan w:val="4"/>
            <w:tcBorders>
              <w:top w:val="single" w:sz="4" w:space="0" w:color="auto"/>
              <w:bottom w:val="single" w:sz="4" w:space="0" w:color="auto"/>
            </w:tcBorders>
          </w:tcPr>
          <w:p w14:paraId="5031F3E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ROA</w:t>
            </w:r>
            <w:r w:rsidRPr="00E1789A">
              <w:rPr>
                <w:rFonts w:ascii="Times New Roman" w:hAnsi="Times New Roman" w:cs="Times New Roman"/>
                <w:sz w:val="16"/>
                <w:szCs w:val="16"/>
                <w:vertAlign w:val="subscript"/>
                <w:lang w:val="en-US"/>
              </w:rPr>
              <w:t>t+1</w:t>
            </w:r>
          </w:p>
        </w:tc>
      </w:tr>
      <w:tr w:rsidR="00331AB6" w:rsidRPr="00E1789A" w14:paraId="79786C95" w14:textId="77777777" w:rsidTr="00834F5A">
        <w:tc>
          <w:tcPr>
            <w:tcW w:w="1883" w:type="pct"/>
            <w:tcBorders>
              <w:top w:val="single" w:sz="4" w:space="0" w:color="auto"/>
            </w:tcBorders>
          </w:tcPr>
          <w:p w14:paraId="23142D5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Borders>
              <w:top w:val="single" w:sz="4" w:space="0" w:color="auto"/>
              <w:bottom w:val="single" w:sz="4" w:space="0" w:color="auto"/>
            </w:tcBorders>
          </w:tcPr>
          <w:p w14:paraId="581C4B0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B21</w:t>
            </w:r>
          </w:p>
        </w:tc>
        <w:tc>
          <w:tcPr>
            <w:tcW w:w="390" w:type="pct"/>
            <w:tcBorders>
              <w:top w:val="single" w:sz="4" w:space="0" w:color="auto"/>
              <w:bottom w:val="single" w:sz="4" w:space="0" w:color="auto"/>
            </w:tcBorders>
          </w:tcPr>
          <w:p w14:paraId="507839D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B22</w:t>
            </w:r>
          </w:p>
        </w:tc>
        <w:tc>
          <w:tcPr>
            <w:tcW w:w="390" w:type="pct"/>
            <w:tcBorders>
              <w:top w:val="single" w:sz="4" w:space="0" w:color="auto"/>
              <w:bottom w:val="single" w:sz="4" w:space="0" w:color="auto"/>
            </w:tcBorders>
          </w:tcPr>
          <w:p w14:paraId="2F50D51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B23</w:t>
            </w:r>
          </w:p>
        </w:tc>
        <w:tc>
          <w:tcPr>
            <w:tcW w:w="390" w:type="pct"/>
            <w:tcBorders>
              <w:top w:val="single" w:sz="4" w:space="0" w:color="auto"/>
              <w:bottom w:val="single" w:sz="4" w:space="0" w:color="auto"/>
              <w:right w:val="single" w:sz="4" w:space="0" w:color="auto"/>
            </w:tcBorders>
          </w:tcPr>
          <w:p w14:paraId="4B0A915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B24</w:t>
            </w:r>
          </w:p>
        </w:tc>
        <w:tc>
          <w:tcPr>
            <w:tcW w:w="390" w:type="pct"/>
            <w:tcBorders>
              <w:top w:val="single" w:sz="4" w:space="0" w:color="auto"/>
              <w:left w:val="single" w:sz="4" w:space="0" w:color="auto"/>
              <w:bottom w:val="single" w:sz="4" w:space="0" w:color="auto"/>
            </w:tcBorders>
          </w:tcPr>
          <w:p w14:paraId="6F7792B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B25</w:t>
            </w:r>
          </w:p>
        </w:tc>
        <w:tc>
          <w:tcPr>
            <w:tcW w:w="390" w:type="pct"/>
            <w:tcBorders>
              <w:top w:val="single" w:sz="4" w:space="0" w:color="auto"/>
              <w:bottom w:val="single" w:sz="4" w:space="0" w:color="auto"/>
            </w:tcBorders>
          </w:tcPr>
          <w:p w14:paraId="5944994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B26</w:t>
            </w:r>
          </w:p>
        </w:tc>
        <w:tc>
          <w:tcPr>
            <w:tcW w:w="390" w:type="pct"/>
            <w:tcBorders>
              <w:top w:val="single" w:sz="4" w:space="0" w:color="auto"/>
              <w:bottom w:val="single" w:sz="4" w:space="0" w:color="auto"/>
            </w:tcBorders>
          </w:tcPr>
          <w:p w14:paraId="37B9ED9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B27</w:t>
            </w:r>
          </w:p>
        </w:tc>
        <w:tc>
          <w:tcPr>
            <w:tcW w:w="387" w:type="pct"/>
            <w:tcBorders>
              <w:top w:val="single" w:sz="4" w:space="0" w:color="auto"/>
              <w:bottom w:val="single" w:sz="4" w:space="0" w:color="auto"/>
            </w:tcBorders>
          </w:tcPr>
          <w:p w14:paraId="72DBE8A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B28</w:t>
            </w:r>
          </w:p>
        </w:tc>
      </w:tr>
      <w:tr w:rsidR="00331AB6" w:rsidRPr="00E1789A" w14:paraId="258B4803" w14:textId="77777777" w:rsidTr="00834F5A">
        <w:tc>
          <w:tcPr>
            <w:tcW w:w="1883" w:type="pct"/>
          </w:tcPr>
          <w:p w14:paraId="1BEA995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size</w:t>
            </w:r>
          </w:p>
        </w:tc>
        <w:tc>
          <w:tcPr>
            <w:tcW w:w="390" w:type="pct"/>
            <w:tcBorders>
              <w:top w:val="single" w:sz="4" w:space="0" w:color="auto"/>
            </w:tcBorders>
          </w:tcPr>
          <w:p w14:paraId="1208CF1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-0.353</w:t>
            </w:r>
            <w:r w:rsidRPr="00E1789A">
              <w:rPr>
                <w:rFonts w:ascii="Times New Roman" w:hAnsi="Times New Roman" w:cs="Times New Roman"/>
                <w:sz w:val="16"/>
                <w:szCs w:val="16"/>
                <w:vertAlign w:val="superscript"/>
                <w:lang w:val="en-US"/>
              </w:rPr>
              <w:t>*</w:t>
            </w:r>
          </w:p>
        </w:tc>
        <w:tc>
          <w:tcPr>
            <w:tcW w:w="390" w:type="pct"/>
            <w:tcBorders>
              <w:top w:val="single" w:sz="4" w:space="0" w:color="auto"/>
            </w:tcBorders>
          </w:tcPr>
          <w:p w14:paraId="76FE235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-0.349</w:t>
            </w:r>
            <w:r w:rsidRPr="00E1789A">
              <w:rPr>
                <w:rFonts w:ascii="Times New Roman" w:hAnsi="Times New Roman" w:cs="Times New Roman"/>
                <w:sz w:val="16"/>
                <w:szCs w:val="16"/>
                <w:vertAlign w:val="superscript"/>
                <w:lang w:val="en-US"/>
              </w:rPr>
              <w:t>**</w:t>
            </w:r>
          </w:p>
        </w:tc>
        <w:tc>
          <w:tcPr>
            <w:tcW w:w="390" w:type="pct"/>
            <w:tcBorders>
              <w:top w:val="single" w:sz="4" w:space="0" w:color="auto"/>
            </w:tcBorders>
          </w:tcPr>
          <w:p w14:paraId="0E9F777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-0.364</w:t>
            </w:r>
            <w:r w:rsidRPr="00E1789A">
              <w:rPr>
                <w:rFonts w:ascii="Times New Roman" w:hAnsi="Times New Roman" w:cs="Times New Roman"/>
                <w:sz w:val="16"/>
                <w:szCs w:val="16"/>
                <w:vertAlign w:val="superscript"/>
                <w:lang w:val="en-US"/>
              </w:rPr>
              <w:t>**</w:t>
            </w:r>
          </w:p>
        </w:tc>
        <w:tc>
          <w:tcPr>
            <w:tcW w:w="390" w:type="pct"/>
            <w:tcBorders>
              <w:top w:val="single" w:sz="4" w:space="0" w:color="auto"/>
              <w:right w:val="single" w:sz="4" w:space="0" w:color="auto"/>
            </w:tcBorders>
          </w:tcPr>
          <w:p w14:paraId="16B79BA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-0.361</w:t>
            </w:r>
            <w:r w:rsidRPr="00E1789A">
              <w:rPr>
                <w:rFonts w:ascii="Times New Roman" w:hAnsi="Times New Roman" w:cs="Times New Roman"/>
                <w:sz w:val="16"/>
                <w:szCs w:val="16"/>
                <w:vertAlign w:val="superscript"/>
                <w:lang w:val="en-US"/>
              </w:rPr>
              <w:t>**</w:t>
            </w:r>
          </w:p>
        </w:tc>
        <w:tc>
          <w:tcPr>
            <w:tcW w:w="390" w:type="pct"/>
            <w:tcBorders>
              <w:top w:val="single" w:sz="4" w:space="0" w:color="auto"/>
              <w:left w:val="single" w:sz="4" w:space="0" w:color="auto"/>
            </w:tcBorders>
          </w:tcPr>
          <w:p w14:paraId="1CDB13B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0" w:type="pct"/>
            <w:tcBorders>
              <w:top w:val="single" w:sz="4" w:space="0" w:color="auto"/>
            </w:tcBorders>
          </w:tcPr>
          <w:p w14:paraId="1B8FEFE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0" w:type="pct"/>
            <w:tcBorders>
              <w:top w:val="single" w:sz="4" w:space="0" w:color="auto"/>
            </w:tcBorders>
          </w:tcPr>
          <w:p w14:paraId="7BF25E8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87" w:type="pct"/>
            <w:tcBorders>
              <w:top w:val="single" w:sz="4" w:space="0" w:color="auto"/>
            </w:tcBorders>
          </w:tcPr>
          <w:p w14:paraId="1C207DE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0B373F2A" w14:textId="77777777" w:rsidTr="00834F5A">
        <w:tc>
          <w:tcPr>
            <w:tcW w:w="1883" w:type="pct"/>
          </w:tcPr>
          <w:p w14:paraId="6B5651E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69923C8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(0.138)</w:t>
            </w:r>
          </w:p>
        </w:tc>
        <w:tc>
          <w:tcPr>
            <w:tcW w:w="390" w:type="pct"/>
          </w:tcPr>
          <w:p w14:paraId="2A28E6E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(0.121)</w:t>
            </w:r>
          </w:p>
        </w:tc>
        <w:tc>
          <w:tcPr>
            <w:tcW w:w="390" w:type="pct"/>
          </w:tcPr>
          <w:p w14:paraId="7E2E056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(0.140)</w:t>
            </w:r>
          </w:p>
        </w:tc>
        <w:tc>
          <w:tcPr>
            <w:tcW w:w="390" w:type="pct"/>
            <w:tcBorders>
              <w:right w:val="single" w:sz="4" w:space="0" w:color="auto"/>
            </w:tcBorders>
          </w:tcPr>
          <w:p w14:paraId="46930F9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(0.123)</w:t>
            </w:r>
          </w:p>
        </w:tc>
        <w:tc>
          <w:tcPr>
            <w:tcW w:w="390" w:type="pct"/>
            <w:tcBorders>
              <w:left w:val="single" w:sz="4" w:space="0" w:color="auto"/>
            </w:tcBorders>
          </w:tcPr>
          <w:p w14:paraId="12C9405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0" w:type="pct"/>
          </w:tcPr>
          <w:p w14:paraId="4DB5029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0" w:type="pct"/>
          </w:tcPr>
          <w:p w14:paraId="343170A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87" w:type="pct"/>
          </w:tcPr>
          <w:p w14:paraId="67BAFAE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0A45A590" w14:textId="77777777" w:rsidTr="00834F5A">
        <w:tc>
          <w:tcPr>
            <w:tcW w:w="1883" w:type="pct"/>
          </w:tcPr>
          <w:p w14:paraId="617EF54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age</w:t>
            </w:r>
          </w:p>
        </w:tc>
        <w:tc>
          <w:tcPr>
            <w:tcW w:w="390" w:type="pct"/>
          </w:tcPr>
          <w:p w14:paraId="5E94F93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-0.514</w:t>
            </w:r>
            <w:r w:rsidRPr="00E1789A">
              <w:rPr>
                <w:rFonts w:ascii="Times New Roman" w:hAnsi="Times New Roman" w:cs="Times New Roman"/>
                <w:sz w:val="16"/>
                <w:szCs w:val="16"/>
                <w:vertAlign w:val="superscript"/>
                <w:lang w:val="en-US"/>
              </w:rPr>
              <w:t>+</w:t>
            </w:r>
          </w:p>
        </w:tc>
        <w:tc>
          <w:tcPr>
            <w:tcW w:w="390" w:type="pct"/>
          </w:tcPr>
          <w:p w14:paraId="14298AF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-0.502</w:t>
            </w:r>
            <w:r w:rsidRPr="00E1789A">
              <w:rPr>
                <w:rFonts w:ascii="Times New Roman" w:hAnsi="Times New Roman" w:cs="Times New Roman"/>
                <w:sz w:val="16"/>
                <w:szCs w:val="16"/>
                <w:vertAlign w:val="superscript"/>
                <w:lang w:val="en-US"/>
              </w:rPr>
              <w:t>+</w:t>
            </w:r>
          </w:p>
        </w:tc>
        <w:tc>
          <w:tcPr>
            <w:tcW w:w="390" w:type="pct"/>
          </w:tcPr>
          <w:p w14:paraId="18C4493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-0.489</w:t>
            </w:r>
            <w:r w:rsidRPr="00E1789A">
              <w:rPr>
                <w:rFonts w:ascii="Times New Roman" w:hAnsi="Times New Roman" w:cs="Times New Roman"/>
                <w:sz w:val="16"/>
                <w:szCs w:val="16"/>
                <w:vertAlign w:val="superscript"/>
                <w:lang w:val="en-US"/>
              </w:rPr>
              <w:t>+</w:t>
            </w:r>
          </w:p>
        </w:tc>
        <w:tc>
          <w:tcPr>
            <w:tcW w:w="390" w:type="pct"/>
            <w:tcBorders>
              <w:right w:val="single" w:sz="4" w:space="0" w:color="auto"/>
            </w:tcBorders>
          </w:tcPr>
          <w:p w14:paraId="3D38D07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-0.481</w:t>
            </w:r>
            <w:r w:rsidRPr="00E1789A">
              <w:rPr>
                <w:rFonts w:ascii="Times New Roman" w:hAnsi="Times New Roman" w:cs="Times New Roman"/>
                <w:sz w:val="16"/>
                <w:szCs w:val="16"/>
                <w:vertAlign w:val="superscript"/>
                <w:lang w:val="en-US"/>
              </w:rPr>
              <w:t>+</w:t>
            </w:r>
          </w:p>
        </w:tc>
        <w:tc>
          <w:tcPr>
            <w:tcW w:w="390" w:type="pct"/>
            <w:tcBorders>
              <w:left w:val="single" w:sz="4" w:space="0" w:color="auto"/>
            </w:tcBorders>
          </w:tcPr>
          <w:p w14:paraId="47A336A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90" w:type="pct"/>
          </w:tcPr>
          <w:p w14:paraId="5B73BBE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0" w:type="pct"/>
          </w:tcPr>
          <w:p w14:paraId="01FD02C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0.015</w:t>
            </w:r>
          </w:p>
        </w:tc>
        <w:tc>
          <w:tcPr>
            <w:tcW w:w="387" w:type="pct"/>
          </w:tcPr>
          <w:p w14:paraId="625FA4E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r>
      <w:tr w:rsidR="00331AB6" w:rsidRPr="00E1789A" w14:paraId="5CBCFCB8" w14:textId="77777777" w:rsidTr="00834F5A">
        <w:tc>
          <w:tcPr>
            <w:tcW w:w="1883" w:type="pct"/>
          </w:tcPr>
          <w:p w14:paraId="2CED2A8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218647A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(0.300)</w:t>
            </w:r>
          </w:p>
        </w:tc>
        <w:tc>
          <w:tcPr>
            <w:tcW w:w="390" w:type="pct"/>
          </w:tcPr>
          <w:p w14:paraId="3776AE4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(0.257)</w:t>
            </w:r>
          </w:p>
        </w:tc>
        <w:tc>
          <w:tcPr>
            <w:tcW w:w="390" w:type="pct"/>
          </w:tcPr>
          <w:p w14:paraId="5F07A10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(0.295)</w:t>
            </w:r>
          </w:p>
        </w:tc>
        <w:tc>
          <w:tcPr>
            <w:tcW w:w="390" w:type="pct"/>
            <w:tcBorders>
              <w:right w:val="single" w:sz="4" w:space="0" w:color="auto"/>
            </w:tcBorders>
          </w:tcPr>
          <w:p w14:paraId="42B9198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(0.254)</w:t>
            </w:r>
          </w:p>
        </w:tc>
        <w:tc>
          <w:tcPr>
            <w:tcW w:w="390" w:type="pct"/>
            <w:tcBorders>
              <w:left w:val="single" w:sz="4" w:space="0" w:color="auto"/>
            </w:tcBorders>
          </w:tcPr>
          <w:p w14:paraId="521437C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0" w:type="pct"/>
          </w:tcPr>
          <w:p w14:paraId="6CAD169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0" w:type="pct"/>
          </w:tcPr>
          <w:p w14:paraId="4749D49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87" w:type="pct"/>
          </w:tcPr>
          <w:p w14:paraId="766D5E0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r>
      <w:tr w:rsidR="00331AB6" w:rsidRPr="00E1789A" w14:paraId="6B17FED9" w14:textId="77777777" w:rsidTr="00834F5A">
        <w:tc>
          <w:tcPr>
            <w:tcW w:w="1883" w:type="pct"/>
          </w:tcPr>
          <w:p w14:paraId="5938187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Leverage</w:t>
            </w:r>
          </w:p>
        </w:tc>
        <w:tc>
          <w:tcPr>
            <w:tcW w:w="390" w:type="pct"/>
          </w:tcPr>
          <w:p w14:paraId="580EEC6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Pr>
          <w:p w14:paraId="4F9062E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Pr>
          <w:p w14:paraId="712FA4F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Borders>
              <w:right w:val="single" w:sz="4" w:space="0" w:color="auto"/>
            </w:tcBorders>
          </w:tcPr>
          <w:p w14:paraId="4BD9730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Borders>
              <w:left w:val="single" w:sz="4" w:space="0" w:color="auto"/>
            </w:tcBorders>
          </w:tcPr>
          <w:p w14:paraId="701E836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Pr>
          <w:p w14:paraId="5DA4A2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Pr>
          <w:p w14:paraId="1002663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87" w:type="pct"/>
          </w:tcPr>
          <w:p w14:paraId="47177CB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48FF93A1" w14:textId="77777777" w:rsidTr="00834F5A">
        <w:tc>
          <w:tcPr>
            <w:tcW w:w="1883" w:type="pct"/>
          </w:tcPr>
          <w:p w14:paraId="1298B58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0778EF1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Pr>
          <w:p w14:paraId="4577E55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Pr>
          <w:p w14:paraId="23A5509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Borders>
              <w:right w:val="single" w:sz="4" w:space="0" w:color="auto"/>
            </w:tcBorders>
          </w:tcPr>
          <w:p w14:paraId="18113D2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Borders>
              <w:left w:val="single" w:sz="4" w:space="0" w:color="auto"/>
            </w:tcBorders>
          </w:tcPr>
          <w:p w14:paraId="6863863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Pr>
          <w:p w14:paraId="4D1FBFC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Pr>
          <w:p w14:paraId="560DBF3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87" w:type="pct"/>
          </w:tcPr>
          <w:p w14:paraId="686D6D1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1FED2796" w14:textId="77777777" w:rsidTr="00834F5A">
        <w:tc>
          <w:tcPr>
            <w:tcW w:w="1883" w:type="pct"/>
          </w:tcPr>
          <w:p w14:paraId="0FCF53C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Knowledge stock</w:t>
            </w:r>
          </w:p>
        </w:tc>
        <w:tc>
          <w:tcPr>
            <w:tcW w:w="390" w:type="pct"/>
          </w:tcPr>
          <w:p w14:paraId="1FCD5C9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0.272</w:t>
            </w:r>
            <w:r w:rsidRPr="00E1789A">
              <w:rPr>
                <w:rFonts w:ascii="Times New Roman" w:hAnsi="Times New Roman" w:cs="Times New Roman"/>
                <w:sz w:val="16"/>
                <w:szCs w:val="16"/>
                <w:vertAlign w:val="superscript"/>
                <w:lang w:val="en-US"/>
              </w:rPr>
              <w:t>*</w:t>
            </w:r>
          </w:p>
        </w:tc>
        <w:tc>
          <w:tcPr>
            <w:tcW w:w="390" w:type="pct"/>
          </w:tcPr>
          <w:p w14:paraId="24661D9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0.297</w:t>
            </w:r>
          </w:p>
        </w:tc>
        <w:tc>
          <w:tcPr>
            <w:tcW w:w="390" w:type="pct"/>
          </w:tcPr>
          <w:p w14:paraId="7C8B0D8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0.272</w:t>
            </w:r>
            <w:r w:rsidRPr="00E1789A">
              <w:rPr>
                <w:rFonts w:ascii="Times New Roman" w:hAnsi="Times New Roman" w:cs="Times New Roman"/>
                <w:sz w:val="16"/>
                <w:szCs w:val="16"/>
                <w:vertAlign w:val="superscript"/>
                <w:lang w:val="en-US"/>
              </w:rPr>
              <w:t>*</w:t>
            </w:r>
          </w:p>
        </w:tc>
        <w:tc>
          <w:tcPr>
            <w:tcW w:w="390" w:type="pct"/>
            <w:tcBorders>
              <w:right w:val="single" w:sz="4" w:space="0" w:color="auto"/>
            </w:tcBorders>
          </w:tcPr>
          <w:p w14:paraId="7D934A7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0.292</w:t>
            </w:r>
          </w:p>
        </w:tc>
        <w:tc>
          <w:tcPr>
            <w:tcW w:w="390" w:type="pct"/>
            <w:tcBorders>
              <w:left w:val="single" w:sz="4" w:space="0" w:color="auto"/>
            </w:tcBorders>
          </w:tcPr>
          <w:p w14:paraId="169D71D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0" w:type="pct"/>
          </w:tcPr>
          <w:p w14:paraId="3125AD4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Pr>
          <w:p w14:paraId="0D7685D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r w:rsidRPr="00E1789A">
              <w:rPr>
                <w:rFonts w:ascii="Times New Roman" w:hAnsi="Times New Roman" w:cs="Times New Roman"/>
                <w:sz w:val="16"/>
                <w:szCs w:val="16"/>
                <w:vertAlign w:val="superscript"/>
                <w:lang w:val="en-US"/>
              </w:rPr>
              <w:t>*</w:t>
            </w:r>
          </w:p>
        </w:tc>
        <w:tc>
          <w:tcPr>
            <w:tcW w:w="387" w:type="pct"/>
          </w:tcPr>
          <w:p w14:paraId="16FA6B2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r>
      <w:tr w:rsidR="00331AB6" w:rsidRPr="00E1789A" w14:paraId="04C73B2D" w14:textId="77777777" w:rsidTr="00834F5A">
        <w:tc>
          <w:tcPr>
            <w:tcW w:w="1883" w:type="pct"/>
          </w:tcPr>
          <w:p w14:paraId="6814615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70E7E54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(0.132)</w:t>
            </w:r>
          </w:p>
        </w:tc>
        <w:tc>
          <w:tcPr>
            <w:tcW w:w="390" w:type="pct"/>
          </w:tcPr>
          <w:p w14:paraId="0B53D35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(0.199)</w:t>
            </w:r>
          </w:p>
        </w:tc>
        <w:tc>
          <w:tcPr>
            <w:tcW w:w="390" w:type="pct"/>
          </w:tcPr>
          <w:p w14:paraId="29DFCF3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(0.131)</w:t>
            </w:r>
          </w:p>
        </w:tc>
        <w:tc>
          <w:tcPr>
            <w:tcW w:w="390" w:type="pct"/>
            <w:tcBorders>
              <w:right w:val="single" w:sz="4" w:space="0" w:color="auto"/>
            </w:tcBorders>
          </w:tcPr>
          <w:p w14:paraId="0A1DD25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(0.198)</w:t>
            </w:r>
          </w:p>
        </w:tc>
        <w:tc>
          <w:tcPr>
            <w:tcW w:w="390" w:type="pct"/>
            <w:tcBorders>
              <w:left w:val="single" w:sz="4" w:space="0" w:color="auto"/>
            </w:tcBorders>
          </w:tcPr>
          <w:p w14:paraId="351C220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0" w:type="pct"/>
          </w:tcPr>
          <w:p w14:paraId="135199F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0" w:type="pct"/>
          </w:tcPr>
          <w:p w14:paraId="3C8C808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87" w:type="pct"/>
          </w:tcPr>
          <w:p w14:paraId="752AC4A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095B5927" w14:textId="77777777" w:rsidTr="00834F5A">
        <w:tc>
          <w:tcPr>
            <w:tcW w:w="1883" w:type="pct"/>
          </w:tcPr>
          <w:p w14:paraId="6A35CE3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Current ratio</w:t>
            </w:r>
          </w:p>
        </w:tc>
        <w:tc>
          <w:tcPr>
            <w:tcW w:w="390" w:type="pct"/>
          </w:tcPr>
          <w:p w14:paraId="2D35F06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0.197</w:t>
            </w:r>
            <w:r w:rsidRPr="00E1789A">
              <w:rPr>
                <w:rFonts w:ascii="Times New Roman" w:hAnsi="Times New Roman" w:cs="Times New Roman"/>
                <w:sz w:val="16"/>
                <w:szCs w:val="16"/>
                <w:vertAlign w:val="superscript"/>
                <w:lang w:val="en-US"/>
              </w:rPr>
              <w:t>+</w:t>
            </w:r>
          </w:p>
        </w:tc>
        <w:tc>
          <w:tcPr>
            <w:tcW w:w="390" w:type="pct"/>
          </w:tcPr>
          <w:p w14:paraId="095444A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0.197</w:t>
            </w:r>
            <w:r w:rsidRPr="00E1789A">
              <w:rPr>
                <w:rFonts w:ascii="Times New Roman" w:hAnsi="Times New Roman" w:cs="Times New Roman"/>
                <w:sz w:val="16"/>
                <w:szCs w:val="16"/>
                <w:vertAlign w:val="superscript"/>
                <w:lang w:val="en-US"/>
              </w:rPr>
              <w:t>+</w:t>
            </w:r>
          </w:p>
        </w:tc>
        <w:tc>
          <w:tcPr>
            <w:tcW w:w="390" w:type="pct"/>
          </w:tcPr>
          <w:p w14:paraId="00DAC57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0.192</w:t>
            </w:r>
            <w:r w:rsidRPr="00E1789A">
              <w:rPr>
                <w:rFonts w:ascii="Times New Roman" w:hAnsi="Times New Roman" w:cs="Times New Roman"/>
                <w:sz w:val="16"/>
                <w:szCs w:val="16"/>
                <w:vertAlign w:val="superscript"/>
                <w:lang w:val="en-US"/>
              </w:rPr>
              <w:t>+</w:t>
            </w:r>
          </w:p>
        </w:tc>
        <w:tc>
          <w:tcPr>
            <w:tcW w:w="390" w:type="pct"/>
            <w:tcBorders>
              <w:right w:val="single" w:sz="4" w:space="0" w:color="auto"/>
            </w:tcBorders>
          </w:tcPr>
          <w:p w14:paraId="63D51C7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0.191</w:t>
            </w:r>
            <w:r w:rsidRPr="00E1789A">
              <w:rPr>
                <w:rFonts w:ascii="Times New Roman" w:hAnsi="Times New Roman" w:cs="Times New Roman"/>
                <w:sz w:val="16"/>
                <w:szCs w:val="16"/>
                <w:vertAlign w:val="superscript"/>
                <w:lang w:val="en-US"/>
              </w:rPr>
              <w:t>+</w:t>
            </w:r>
          </w:p>
        </w:tc>
        <w:tc>
          <w:tcPr>
            <w:tcW w:w="390" w:type="pct"/>
            <w:tcBorders>
              <w:left w:val="single" w:sz="4" w:space="0" w:color="auto"/>
            </w:tcBorders>
          </w:tcPr>
          <w:p w14:paraId="01B13B8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90" w:type="pct"/>
          </w:tcPr>
          <w:p w14:paraId="0746520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90" w:type="pct"/>
          </w:tcPr>
          <w:p w14:paraId="2FC5030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87" w:type="pct"/>
          </w:tcPr>
          <w:p w14:paraId="3410F38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r>
      <w:tr w:rsidR="00331AB6" w:rsidRPr="00E1789A" w14:paraId="43F3758B" w14:textId="77777777" w:rsidTr="00834F5A">
        <w:tc>
          <w:tcPr>
            <w:tcW w:w="1883" w:type="pct"/>
          </w:tcPr>
          <w:p w14:paraId="1077D37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5FF9724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(0.116)</w:t>
            </w:r>
          </w:p>
        </w:tc>
        <w:tc>
          <w:tcPr>
            <w:tcW w:w="390" w:type="pct"/>
          </w:tcPr>
          <w:p w14:paraId="7FA3279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(0.109)</w:t>
            </w:r>
          </w:p>
        </w:tc>
        <w:tc>
          <w:tcPr>
            <w:tcW w:w="390" w:type="pct"/>
          </w:tcPr>
          <w:p w14:paraId="31338B3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(0.115)</w:t>
            </w:r>
          </w:p>
        </w:tc>
        <w:tc>
          <w:tcPr>
            <w:tcW w:w="390" w:type="pct"/>
            <w:tcBorders>
              <w:right w:val="single" w:sz="4" w:space="0" w:color="auto"/>
            </w:tcBorders>
          </w:tcPr>
          <w:p w14:paraId="2170035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(0.109)</w:t>
            </w:r>
          </w:p>
        </w:tc>
        <w:tc>
          <w:tcPr>
            <w:tcW w:w="390" w:type="pct"/>
            <w:tcBorders>
              <w:left w:val="single" w:sz="4" w:space="0" w:color="auto"/>
            </w:tcBorders>
          </w:tcPr>
          <w:p w14:paraId="613DC67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0" w:type="pct"/>
          </w:tcPr>
          <w:p w14:paraId="19F3F8E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0" w:type="pct"/>
          </w:tcPr>
          <w:p w14:paraId="3FA1AEA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(0.024)</w:t>
            </w:r>
          </w:p>
        </w:tc>
        <w:tc>
          <w:tcPr>
            <w:tcW w:w="387" w:type="pct"/>
          </w:tcPr>
          <w:p w14:paraId="38B647F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(0.024)</w:t>
            </w:r>
          </w:p>
        </w:tc>
      </w:tr>
      <w:tr w:rsidR="00331AB6" w:rsidRPr="00E1789A" w14:paraId="31AE3F8A" w14:textId="77777777" w:rsidTr="00834F5A">
        <w:tc>
          <w:tcPr>
            <w:tcW w:w="1883" w:type="pct"/>
          </w:tcPr>
          <w:p w14:paraId="6DF132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R&amp;D intensity</w:t>
            </w:r>
          </w:p>
        </w:tc>
        <w:tc>
          <w:tcPr>
            <w:tcW w:w="390" w:type="pct"/>
          </w:tcPr>
          <w:p w14:paraId="593601F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1.081</w:t>
            </w:r>
          </w:p>
        </w:tc>
        <w:tc>
          <w:tcPr>
            <w:tcW w:w="390" w:type="pct"/>
          </w:tcPr>
          <w:p w14:paraId="07F63C5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0.856</w:t>
            </w:r>
          </w:p>
        </w:tc>
        <w:tc>
          <w:tcPr>
            <w:tcW w:w="390" w:type="pct"/>
          </w:tcPr>
          <w:p w14:paraId="0C76C19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1.293</w:t>
            </w:r>
          </w:p>
        </w:tc>
        <w:tc>
          <w:tcPr>
            <w:tcW w:w="390" w:type="pct"/>
            <w:tcBorders>
              <w:right w:val="single" w:sz="4" w:space="0" w:color="auto"/>
            </w:tcBorders>
          </w:tcPr>
          <w:p w14:paraId="42EE40E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1.054</w:t>
            </w:r>
          </w:p>
        </w:tc>
        <w:tc>
          <w:tcPr>
            <w:tcW w:w="390" w:type="pct"/>
            <w:tcBorders>
              <w:left w:val="single" w:sz="4" w:space="0" w:color="auto"/>
            </w:tcBorders>
          </w:tcPr>
          <w:p w14:paraId="493BF55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0.488</w:t>
            </w:r>
          </w:p>
        </w:tc>
        <w:tc>
          <w:tcPr>
            <w:tcW w:w="390" w:type="pct"/>
          </w:tcPr>
          <w:p w14:paraId="1C3F0EC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0.522</w:t>
            </w:r>
          </w:p>
        </w:tc>
        <w:tc>
          <w:tcPr>
            <w:tcW w:w="390" w:type="pct"/>
          </w:tcPr>
          <w:p w14:paraId="3A25ABE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0.557</w:t>
            </w:r>
            <w:r w:rsidRPr="00E1789A">
              <w:rPr>
                <w:rFonts w:ascii="Times New Roman" w:hAnsi="Times New Roman" w:cs="Times New Roman"/>
                <w:sz w:val="16"/>
                <w:szCs w:val="16"/>
                <w:vertAlign w:val="superscript"/>
                <w:lang w:val="en-US"/>
              </w:rPr>
              <w:t>+</w:t>
            </w:r>
          </w:p>
        </w:tc>
        <w:tc>
          <w:tcPr>
            <w:tcW w:w="387" w:type="pct"/>
          </w:tcPr>
          <w:p w14:paraId="5241643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0.588</w:t>
            </w:r>
            <w:r w:rsidRPr="00E1789A">
              <w:rPr>
                <w:rFonts w:ascii="Times New Roman" w:hAnsi="Times New Roman" w:cs="Times New Roman"/>
                <w:sz w:val="16"/>
                <w:szCs w:val="16"/>
                <w:vertAlign w:val="superscript"/>
                <w:lang w:val="en-US"/>
              </w:rPr>
              <w:t>+</w:t>
            </w:r>
          </w:p>
        </w:tc>
      </w:tr>
      <w:tr w:rsidR="00331AB6" w:rsidRPr="00E1789A" w14:paraId="5EF1E03A" w14:textId="77777777" w:rsidTr="00834F5A">
        <w:tc>
          <w:tcPr>
            <w:tcW w:w="1883" w:type="pct"/>
          </w:tcPr>
          <w:p w14:paraId="04C85565"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1480C96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(3.617)</w:t>
            </w:r>
          </w:p>
        </w:tc>
        <w:tc>
          <w:tcPr>
            <w:tcW w:w="390" w:type="pct"/>
          </w:tcPr>
          <w:p w14:paraId="2BBA3ED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(3.565)</w:t>
            </w:r>
          </w:p>
        </w:tc>
        <w:tc>
          <w:tcPr>
            <w:tcW w:w="390" w:type="pct"/>
          </w:tcPr>
          <w:p w14:paraId="230AA01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(3.617)</w:t>
            </w:r>
          </w:p>
        </w:tc>
        <w:tc>
          <w:tcPr>
            <w:tcW w:w="390" w:type="pct"/>
            <w:tcBorders>
              <w:right w:val="single" w:sz="4" w:space="0" w:color="auto"/>
            </w:tcBorders>
          </w:tcPr>
          <w:p w14:paraId="69AB88B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(3.556)</w:t>
            </w:r>
          </w:p>
        </w:tc>
        <w:tc>
          <w:tcPr>
            <w:tcW w:w="390" w:type="pct"/>
            <w:tcBorders>
              <w:left w:val="single" w:sz="4" w:space="0" w:color="auto"/>
            </w:tcBorders>
          </w:tcPr>
          <w:p w14:paraId="74A8947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(0.338)</w:t>
            </w:r>
          </w:p>
        </w:tc>
        <w:tc>
          <w:tcPr>
            <w:tcW w:w="390" w:type="pct"/>
          </w:tcPr>
          <w:p w14:paraId="02549E1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(0.338)</w:t>
            </w:r>
          </w:p>
        </w:tc>
        <w:tc>
          <w:tcPr>
            <w:tcW w:w="390" w:type="pct"/>
          </w:tcPr>
          <w:p w14:paraId="0341410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(0.331)</w:t>
            </w:r>
          </w:p>
        </w:tc>
        <w:tc>
          <w:tcPr>
            <w:tcW w:w="387" w:type="pct"/>
          </w:tcPr>
          <w:p w14:paraId="79697D1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(0.329)</w:t>
            </w:r>
          </w:p>
        </w:tc>
      </w:tr>
      <w:tr w:rsidR="00331AB6" w:rsidRPr="00E1789A" w14:paraId="42F13E52" w14:textId="77777777" w:rsidTr="00834F5A">
        <w:tc>
          <w:tcPr>
            <w:tcW w:w="1883" w:type="pct"/>
          </w:tcPr>
          <w:p w14:paraId="0033FED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Business group affiliation</w:t>
            </w:r>
          </w:p>
        </w:tc>
        <w:tc>
          <w:tcPr>
            <w:tcW w:w="390" w:type="pct"/>
          </w:tcPr>
          <w:p w14:paraId="65C45BE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-0.169</w:t>
            </w:r>
          </w:p>
        </w:tc>
        <w:tc>
          <w:tcPr>
            <w:tcW w:w="390" w:type="pct"/>
          </w:tcPr>
          <w:p w14:paraId="390709B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-0.167</w:t>
            </w:r>
          </w:p>
        </w:tc>
        <w:tc>
          <w:tcPr>
            <w:tcW w:w="390" w:type="pct"/>
          </w:tcPr>
          <w:p w14:paraId="5E0D3E7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-0.153</w:t>
            </w:r>
          </w:p>
        </w:tc>
        <w:tc>
          <w:tcPr>
            <w:tcW w:w="390" w:type="pct"/>
            <w:tcBorders>
              <w:right w:val="single" w:sz="4" w:space="0" w:color="auto"/>
            </w:tcBorders>
          </w:tcPr>
          <w:p w14:paraId="3D22853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-0.151</w:t>
            </w:r>
          </w:p>
        </w:tc>
        <w:tc>
          <w:tcPr>
            <w:tcW w:w="390" w:type="pct"/>
            <w:tcBorders>
              <w:left w:val="single" w:sz="4" w:space="0" w:color="auto"/>
            </w:tcBorders>
          </w:tcPr>
          <w:p w14:paraId="705E7AD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0" w:type="pct"/>
          </w:tcPr>
          <w:p w14:paraId="739B190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0" w:type="pct"/>
          </w:tcPr>
          <w:p w14:paraId="201B8DF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87" w:type="pct"/>
          </w:tcPr>
          <w:p w14:paraId="5C22ED2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75DBCF63" w14:textId="77777777" w:rsidTr="00834F5A">
        <w:tc>
          <w:tcPr>
            <w:tcW w:w="1883" w:type="pct"/>
          </w:tcPr>
          <w:p w14:paraId="3BF0B65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1C91012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(0.190)</w:t>
            </w:r>
          </w:p>
        </w:tc>
        <w:tc>
          <w:tcPr>
            <w:tcW w:w="390" w:type="pct"/>
          </w:tcPr>
          <w:p w14:paraId="01E6EAB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(0.208)</w:t>
            </w:r>
          </w:p>
        </w:tc>
        <w:tc>
          <w:tcPr>
            <w:tcW w:w="390" w:type="pct"/>
          </w:tcPr>
          <w:p w14:paraId="12C6963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(0.189)</w:t>
            </w:r>
          </w:p>
        </w:tc>
        <w:tc>
          <w:tcPr>
            <w:tcW w:w="390" w:type="pct"/>
            <w:tcBorders>
              <w:right w:val="single" w:sz="4" w:space="0" w:color="auto"/>
            </w:tcBorders>
          </w:tcPr>
          <w:p w14:paraId="677D96D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(0.207)</w:t>
            </w:r>
          </w:p>
        </w:tc>
        <w:tc>
          <w:tcPr>
            <w:tcW w:w="390" w:type="pct"/>
            <w:tcBorders>
              <w:left w:val="single" w:sz="4" w:space="0" w:color="auto"/>
            </w:tcBorders>
          </w:tcPr>
          <w:p w14:paraId="5811C02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0" w:type="pct"/>
          </w:tcPr>
          <w:p w14:paraId="3C057B8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0" w:type="pct"/>
          </w:tcPr>
          <w:p w14:paraId="396097F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87" w:type="pct"/>
          </w:tcPr>
          <w:p w14:paraId="49B3128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r>
      <w:tr w:rsidR="00331AB6" w:rsidRPr="00E1789A" w14:paraId="1C2DC017" w14:textId="77777777" w:rsidTr="00834F5A">
        <w:tc>
          <w:tcPr>
            <w:tcW w:w="1883" w:type="pct"/>
          </w:tcPr>
          <w:p w14:paraId="0CB0083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diversity</w:t>
            </w:r>
          </w:p>
        </w:tc>
        <w:tc>
          <w:tcPr>
            <w:tcW w:w="390" w:type="pct"/>
          </w:tcPr>
          <w:p w14:paraId="58372A1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-0.024</w:t>
            </w:r>
          </w:p>
        </w:tc>
        <w:tc>
          <w:tcPr>
            <w:tcW w:w="390" w:type="pct"/>
          </w:tcPr>
          <w:p w14:paraId="5757DDC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-0.027</w:t>
            </w:r>
          </w:p>
        </w:tc>
        <w:tc>
          <w:tcPr>
            <w:tcW w:w="390" w:type="pct"/>
          </w:tcPr>
          <w:p w14:paraId="60E4C29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0" w:type="pct"/>
            <w:tcBorders>
              <w:right w:val="single" w:sz="4" w:space="0" w:color="auto"/>
            </w:tcBorders>
          </w:tcPr>
          <w:p w14:paraId="4309C86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90" w:type="pct"/>
            <w:tcBorders>
              <w:left w:val="single" w:sz="4" w:space="0" w:color="auto"/>
            </w:tcBorders>
          </w:tcPr>
          <w:p w14:paraId="695A4EC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390" w:type="pct"/>
          </w:tcPr>
          <w:p w14:paraId="488CA14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0" w:type="pct"/>
          </w:tcPr>
          <w:p w14:paraId="5612EB3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c>
          <w:tcPr>
            <w:tcW w:w="387" w:type="pct"/>
          </w:tcPr>
          <w:p w14:paraId="2ED77EF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r>
      <w:tr w:rsidR="00331AB6" w:rsidRPr="00E1789A" w14:paraId="48C46913" w14:textId="77777777" w:rsidTr="00834F5A">
        <w:tc>
          <w:tcPr>
            <w:tcW w:w="1883" w:type="pct"/>
          </w:tcPr>
          <w:p w14:paraId="222EF25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7E13F87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(0.110)</w:t>
            </w:r>
          </w:p>
        </w:tc>
        <w:tc>
          <w:tcPr>
            <w:tcW w:w="390" w:type="pct"/>
          </w:tcPr>
          <w:p w14:paraId="5F2F55D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390" w:type="pct"/>
          </w:tcPr>
          <w:p w14:paraId="35FD72A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(0.110)</w:t>
            </w:r>
          </w:p>
        </w:tc>
        <w:tc>
          <w:tcPr>
            <w:tcW w:w="390" w:type="pct"/>
            <w:tcBorders>
              <w:right w:val="single" w:sz="4" w:space="0" w:color="auto"/>
            </w:tcBorders>
          </w:tcPr>
          <w:p w14:paraId="5723233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390" w:type="pct"/>
            <w:tcBorders>
              <w:left w:val="single" w:sz="4" w:space="0" w:color="auto"/>
            </w:tcBorders>
          </w:tcPr>
          <w:p w14:paraId="7A0ACC9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90" w:type="pct"/>
          </w:tcPr>
          <w:p w14:paraId="0B56E3D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90" w:type="pct"/>
          </w:tcPr>
          <w:p w14:paraId="1F6F910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c>
          <w:tcPr>
            <w:tcW w:w="387" w:type="pct"/>
          </w:tcPr>
          <w:p w14:paraId="161BEF9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(0.010)</w:t>
            </w:r>
          </w:p>
        </w:tc>
      </w:tr>
      <w:tr w:rsidR="00331AB6" w:rsidRPr="00E1789A" w14:paraId="62347784" w14:textId="77777777" w:rsidTr="00834F5A">
        <w:tc>
          <w:tcPr>
            <w:tcW w:w="1883" w:type="pct"/>
          </w:tcPr>
          <w:p w14:paraId="31FFCE3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IMR_PD</w:t>
            </w:r>
          </w:p>
        </w:tc>
        <w:tc>
          <w:tcPr>
            <w:tcW w:w="390" w:type="pct"/>
          </w:tcPr>
          <w:p w14:paraId="3D97561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-0.288</w:t>
            </w:r>
            <w:r w:rsidRPr="00E1789A">
              <w:rPr>
                <w:rFonts w:ascii="Times New Roman" w:hAnsi="Times New Roman" w:cs="Times New Roman"/>
                <w:sz w:val="16"/>
                <w:szCs w:val="16"/>
                <w:vertAlign w:val="superscript"/>
                <w:lang w:val="en-US"/>
              </w:rPr>
              <w:t>*</w:t>
            </w:r>
          </w:p>
        </w:tc>
        <w:tc>
          <w:tcPr>
            <w:tcW w:w="390" w:type="pct"/>
          </w:tcPr>
          <w:p w14:paraId="71CFAEF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-0.284</w:t>
            </w:r>
            <w:r w:rsidRPr="00E1789A">
              <w:rPr>
                <w:rFonts w:ascii="Times New Roman" w:hAnsi="Times New Roman" w:cs="Times New Roman"/>
                <w:sz w:val="16"/>
                <w:szCs w:val="16"/>
                <w:vertAlign w:val="superscript"/>
                <w:lang w:val="en-US"/>
              </w:rPr>
              <w:t>*</w:t>
            </w:r>
          </w:p>
        </w:tc>
        <w:tc>
          <w:tcPr>
            <w:tcW w:w="390" w:type="pct"/>
          </w:tcPr>
          <w:p w14:paraId="4777188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-0.294</w:t>
            </w:r>
            <w:r w:rsidRPr="00E1789A">
              <w:rPr>
                <w:rFonts w:ascii="Times New Roman" w:hAnsi="Times New Roman" w:cs="Times New Roman"/>
                <w:sz w:val="16"/>
                <w:szCs w:val="16"/>
                <w:vertAlign w:val="superscript"/>
                <w:lang w:val="en-US"/>
              </w:rPr>
              <w:t>*</w:t>
            </w:r>
          </w:p>
        </w:tc>
        <w:tc>
          <w:tcPr>
            <w:tcW w:w="390" w:type="pct"/>
            <w:tcBorders>
              <w:right w:val="single" w:sz="4" w:space="0" w:color="auto"/>
            </w:tcBorders>
          </w:tcPr>
          <w:p w14:paraId="3EF60B0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-0.291</w:t>
            </w:r>
            <w:r w:rsidRPr="00E1789A">
              <w:rPr>
                <w:rFonts w:ascii="Times New Roman" w:hAnsi="Times New Roman" w:cs="Times New Roman"/>
                <w:sz w:val="16"/>
                <w:szCs w:val="16"/>
                <w:vertAlign w:val="superscript"/>
                <w:lang w:val="en-US"/>
              </w:rPr>
              <w:t>*</w:t>
            </w:r>
          </w:p>
        </w:tc>
        <w:tc>
          <w:tcPr>
            <w:tcW w:w="390" w:type="pct"/>
            <w:tcBorders>
              <w:left w:val="single" w:sz="4" w:space="0" w:color="auto"/>
            </w:tcBorders>
          </w:tcPr>
          <w:p w14:paraId="0011E6A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c>
          <w:tcPr>
            <w:tcW w:w="390" w:type="pct"/>
          </w:tcPr>
          <w:p w14:paraId="49CA901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c>
          <w:tcPr>
            <w:tcW w:w="390" w:type="pct"/>
          </w:tcPr>
          <w:p w14:paraId="7B0608F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87" w:type="pct"/>
          </w:tcPr>
          <w:p w14:paraId="3192A79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42ECA475" w14:textId="77777777" w:rsidTr="00834F5A">
        <w:tc>
          <w:tcPr>
            <w:tcW w:w="1883" w:type="pct"/>
          </w:tcPr>
          <w:p w14:paraId="11D9E21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6EC4403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(0.127)</w:t>
            </w:r>
          </w:p>
        </w:tc>
        <w:tc>
          <w:tcPr>
            <w:tcW w:w="390" w:type="pct"/>
          </w:tcPr>
          <w:p w14:paraId="79E1257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(0.121)</w:t>
            </w:r>
          </w:p>
        </w:tc>
        <w:tc>
          <w:tcPr>
            <w:tcW w:w="390" w:type="pct"/>
          </w:tcPr>
          <w:p w14:paraId="4D6861F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(0.128)</w:t>
            </w:r>
          </w:p>
        </w:tc>
        <w:tc>
          <w:tcPr>
            <w:tcW w:w="390" w:type="pct"/>
            <w:tcBorders>
              <w:right w:val="single" w:sz="4" w:space="0" w:color="auto"/>
            </w:tcBorders>
          </w:tcPr>
          <w:p w14:paraId="3882F8B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(0.122)</w:t>
            </w:r>
          </w:p>
        </w:tc>
        <w:tc>
          <w:tcPr>
            <w:tcW w:w="390" w:type="pct"/>
            <w:tcBorders>
              <w:left w:val="single" w:sz="4" w:space="0" w:color="auto"/>
            </w:tcBorders>
          </w:tcPr>
          <w:p w14:paraId="138BDF2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0" w:type="pct"/>
          </w:tcPr>
          <w:p w14:paraId="77FD3CE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0" w:type="pct"/>
          </w:tcPr>
          <w:p w14:paraId="491734C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87" w:type="pct"/>
          </w:tcPr>
          <w:p w14:paraId="1A517B1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2D74B708" w14:textId="77777777" w:rsidTr="00834F5A">
        <w:tc>
          <w:tcPr>
            <w:tcW w:w="1883" w:type="pct"/>
          </w:tcPr>
          <w:p w14:paraId="0B6DFAB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Year dummies included</w:t>
            </w:r>
          </w:p>
        </w:tc>
        <w:tc>
          <w:tcPr>
            <w:tcW w:w="390" w:type="pct"/>
          </w:tcPr>
          <w:p w14:paraId="1537182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7DA5ED9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6199F71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Borders>
              <w:right w:val="single" w:sz="4" w:space="0" w:color="auto"/>
            </w:tcBorders>
          </w:tcPr>
          <w:p w14:paraId="6AA8A01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Borders>
              <w:left w:val="single" w:sz="4" w:space="0" w:color="auto"/>
            </w:tcBorders>
          </w:tcPr>
          <w:p w14:paraId="62128CC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7CAFF39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0520589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87" w:type="pct"/>
          </w:tcPr>
          <w:p w14:paraId="44F2B0C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2CDD6C10" w14:textId="77777777" w:rsidTr="00834F5A">
        <w:tc>
          <w:tcPr>
            <w:tcW w:w="1883" w:type="pct"/>
          </w:tcPr>
          <w:p w14:paraId="719E879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Industry dummy included</w:t>
            </w:r>
          </w:p>
        </w:tc>
        <w:tc>
          <w:tcPr>
            <w:tcW w:w="390" w:type="pct"/>
          </w:tcPr>
          <w:p w14:paraId="69C4BC5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3B79510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382779E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Borders>
              <w:right w:val="single" w:sz="4" w:space="0" w:color="auto"/>
            </w:tcBorders>
          </w:tcPr>
          <w:p w14:paraId="5D7D4BE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Borders>
              <w:left w:val="single" w:sz="4" w:space="0" w:color="auto"/>
            </w:tcBorders>
          </w:tcPr>
          <w:p w14:paraId="2AD55F0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56AAF99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0" w:type="pct"/>
          </w:tcPr>
          <w:p w14:paraId="7835E73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87" w:type="pct"/>
          </w:tcPr>
          <w:p w14:paraId="46F47FF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71F0C5C2" w14:textId="77777777" w:rsidTr="00834F5A">
        <w:tc>
          <w:tcPr>
            <w:tcW w:w="1883" w:type="pct"/>
          </w:tcPr>
          <w:p w14:paraId="4587730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diversification experience unrelatedness</w:t>
            </w:r>
          </w:p>
        </w:tc>
        <w:tc>
          <w:tcPr>
            <w:tcW w:w="390" w:type="pct"/>
          </w:tcPr>
          <w:p w14:paraId="7854F63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-0.094</w:t>
            </w:r>
            <w:r w:rsidRPr="00E1789A">
              <w:rPr>
                <w:rFonts w:ascii="Times New Roman" w:hAnsi="Times New Roman" w:cs="Times New Roman"/>
                <w:sz w:val="16"/>
                <w:szCs w:val="16"/>
                <w:vertAlign w:val="superscript"/>
                <w:lang w:val="en-US"/>
              </w:rPr>
              <w:t>+</w:t>
            </w:r>
          </w:p>
        </w:tc>
        <w:tc>
          <w:tcPr>
            <w:tcW w:w="390" w:type="pct"/>
          </w:tcPr>
          <w:p w14:paraId="6E765C9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-0.083</w:t>
            </w:r>
            <w:r w:rsidRPr="00E1789A">
              <w:rPr>
                <w:rFonts w:ascii="Times New Roman" w:hAnsi="Times New Roman" w:cs="Times New Roman"/>
                <w:sz w:val="16"/>
                <w:szCs w:val="16"/>
                <w:vertAlign w:val="superscript"/>
                <w:lang w:val="en-US"/>
              </w:rPr>
              <w:t>+</w:t>
            </w:r>
          </w:p>
        </w:tc>
        <w:tc>
          <w:tcPr>
            <w:tcW w:w="390" w:type="pct"/>
          </w:tcPr>
          <w:p w14:paraId="4DCA16B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-0.084</w:t>
            </w:r>
            <w:r w:rsidRPr="00E1789A">
              <w:rPr>
                <w:rFonts w:ascii="Times New Roman" w:hAnsi="Times New Roman" w:cs="Times New Roman"/>
                <w:sz w:val="16"/>
                <w:szCs w:val="16"/>
                <w:vertAlign w:val="superscript"/>
                <w:lang w:val="en-US"/>
              </w:rPr>
              <w:t>+</w:t>
            </w:r>
          </w:p>
        </w:tc>
        <w:tc>
          <w:tcPr>
            <w:tcW w:w="390" w:type="pct"/>
            <w:tcBorders>
              <w:right w:val="single" w:sz="4" w:space="0" w:color="auto"/>
            </w:tcBorders>
          </w:tcPr>
          <w:p w14:paraId="5CD5736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-0.074</w:t>
            </w:r>
          </w:p>
        </w:tc>
        <w:tc>
          <w:tcPr>
            <w:tcW w:w="390" w:type="pct"/>
            <w:tcBorders>
              <w:left w:val="single" w:sz="4" w:space="0" w:color="auto"/>
            </w:tcBorders>
          </w:tcPr>
          <w:p w14:paraId="03B9B80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0" w:type="pct"/>
          </w:tcPr>
          <w:p w14:paraId="06D5841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Pr>
          <w:p w14:paraId="48392BE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87" w:type="pct"/>
          </w:tcPr>
          <w:p w14:paraId="545592E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r>
      <w:tr w:rsidR="00331AB6" w:rsidRPr="00E1789A" w14:paraId="3E907DB4" w14:textId="77777777" w:rsidTr="00834F5A">
        <w:tc>
          <w:tcPr>
            <w:tcW w:w="1883" w:type="pct"/>
          </w:tcPr>
          <w:p w14:paraId="3CDFA5A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6AE1D89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(0.049)</w:t>
            </w:r>
          </w:p>
        </w:tc>
        <w:tc>
          <w:tcPr>
            <w:tcW w:w="390" w:type="pct"/>
          </w:tcPr>
          <w:p w14:paraId="753F278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(0.048)</w:t>
            </w:r>
          </w:p>
        </w:tc>
        <w:tc>
          <w:tcPr>
            <w:tcW w:w="390" w:type="pct"/>
          </w:tcPr>
          <w:p w14:paraId="12DBED2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(0.050)</w:t>
            </w:r>
          </w:p>
        </w:tc>
        <w:tc>
          <w:tcPr>
            <w:tcW w:w="390" w:type="pct"/>
            <w:tcBorders>
              <w:right w:val="single" w:sz="4" w:space="0" w:color="auto"/>
            </w:tcBorders>
          </w:tcPr>
          <w:p w14:paraId="1A2621A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(0.049)</w:t>
            </w:r>
          </w:p>
        </w:tc>
        <w:tc>
          <w:tcPr>
            <w:tcW w:w="390" w:type="pct"/>
            <w:tcBorders>
              <w:left w:val="single" w:sz="4" w:space="0" w:color="auto"/>
            </w:tcBorders>
          </w:tcPr>
          <w:p w14:paraId="43E4C7E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0" w:type="pct"/>
          </w:tcPr>
          <w:p w14:paraId="3AD5950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0" w:type="pct"/>
          </w:tcPr>
          <w:p w14:paraId="2EC3ED0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87" w:type="pct"/>
          </w:tcPr>
          <w:p w14:paraId="2D695FE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10347D68" w14:textId="77777777" w:rsidTr="00834F5A">
        <w:tc>
          <w:tcPr>
            <w:tcW w:w="1883" w:type="pct"/>
          </w:tcPr>
          <w:p w14:paraId="48332DF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6E784DA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(0.187)</w:t>
            </w:r>
          </w:p>
        </w:tc>
        <w:tc>
          <w:tcPr>
            <w:tcW w:w="390" w:type="pct"/>
          </w:tcPr>
          <w:p w14:paraId="1848CEF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(0.207)</w:t>
            </w:r>
          </w:p>
        </w:tc>
        <w:tc>
          <w:tcPr>
            <w:tcW w:w="390" w:type="pct"/>
          </w:tcPr>
          <w:p w14:paraId="3C38FA4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(0.183)</w:t>
            </w:r>
          </w:p>
        </w:tc>
        <w:tc>
          <w:tcPr>
            <w:tcW w:w="390" w:type="pct"/>
            <w:tcBorders>
              <w:right w:val="single" w:sz="4" w:space="0" w:color="auto"/>
            </w:tcBorders>
          </w:tcPr>
          <w:p w14:paraId="70E73FA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(0.203)</w:t>
            </w:r>
          </w:p>
        </w:tc>
        <w:tc>
          <w:tcPr>
            <w:tcW w:w="390" w:type="pct"/>
            <w:tcBorders>
              <w:left w:val="single" w:sz="4" w:space="0" w:color="auto"/>
            </w:tcBorders>
          </w:tcPr>
          <w:p w14:paraId="7280CD4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0" w:type="pct"/>
          </w:tcPr>
          <w:p w14:paraId="52508CF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c>
          <w:tcPr>
            <w:tcW w:w="390" w:type="pct"/>
          </w:tcPr>
          <w:p w14:paraId="773BB32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87" w:type="pct"/>
          </w:tcPr>
          <w:p w14:paraId="48556C9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(0.013)</w:t>
            </w:r>
          </w:p>
        </w:tc>
      </w:tr>
      <w:tr w:rsidR="00331AB6" w:rsidRPr="00E1789A" w14:paraId="67E23C21" w14:textId="77777777" w:rsidTr="00834F5A">
        <w:tc>
          <w:tcPr>
            <w:tcW w:w="1883" w:type="pct"/>
          </w:tcPr>
          <w:p w14:paraId="48BBC55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Patent stock diversity</w:t>
            </w:r>
          </w:p>
        </w:tc>
        <w:tc>
          <w:tcPr>
            <w:tcW w:w="390" w:type="pct"/>
          </w:tcPr>
          <w:p w14:paraId="668F5EA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252FB6D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-0.045</w:t>
            </w:r>
          </w:p>
        </w:tc>
        <w:tc>
          <w:tcPr>
            <w:tcW w:w="390" w:type="pct"/>
          </w:tcPr>
          <w:p w14:paraId="32852A9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Borders>
              <w:right w:val="single" w:sz="4" w:space="0" w:color="auto"/>
            </w:tcBorders>
          </w:tcPr>
          <w:p w14:paraId="39BFEBA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-0.032</w:t>
            </w:r>
          </w:p>
        </w:tc>
        <w:tc>
          <w:tcPr>
            <w:tcW w:w="390" w:type="pct"/>
            <w:tcBorders>
              <w:left w:val="single" w:sz="4" w:space="0" w:color="auto"/>
            </w:tcBorders>
          </w:tcPr>
          <w:p w14:paraId="12C1194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14F2781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0" w:type="pct"/>
          </w:tcPr>
          <w:p w14:paraId="34F56A3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87" w:type="pct"/>
          </w:tcPr>
          <w:p w14:paraId="45F8766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0.008</w:t>
            </w:r>
          </w:p>
        </w:tc>
      </w:tr>
      <w:tr w:rsidR="00331AB6" w:rsidRPr="00E1789A" w14:paraId="56FD72B6" w14:textId="77777777" w:rsidTr="00834F5A">
        <w:tc>
          <w:tcPr>
            <w:tcW w:w="1883" w:type="pct"/>
          </w:tcPr>
          <w:p w14:paraId="6D29B67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744A1CC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5A3F73A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(0.205)</w:t>
            </w:r>
          </w:p>
        </w:tc>
        <w:tc>
          <w:tcPr>
            <w:tcW w:w="390" w:type="pct"/>
          </w:tcPr>
          <w:p w14:paraId="4F45D59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Borders>
              <w:right w:val="single" w:sz="4" w:space="0" w:color="auto"/>
            </w:tcBorders>
          </w:tcPr>
          <w:p w14:paraId="4520EE7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(0.204)</w:t>
            </w:r>
          </w:p>
        </w:tc>
        <w:tc>
          <w:tcPr>
            <w:tcW w:w="390" w:type="pct"/>
            <w:tcBorders>
              <w:left w:val="single" w:sz="4" w:space="0" w:color="auto"/>
            </w:tcBorders>
          </w:tcPr>
          <w:p w14:paraId="1B68D31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1F7742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0" w:type="pct"/>
          </w:tcPr>
          <w:p w14:paraId="3D466D9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87" w:type="pct"/>
          </w:tcPr>
          <w:p w14:paraId="51E8472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1D3CACEE" w14:textId="77777777" w:rsidTr="00834F5A">
        <w:tc>
          <w:tcPr>
            <w:tcW w:w="1883" w:type="pct"/>
          </w:tcPr>
          <w:p w14:paraId="5426930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diversification experience unrelatedness × Patent stock diversity (H2a)</w:t>
            </w:r>
          </w:p>
        </w:tc>
        <w:tc>
          <w:tcPr>
            <w:tcW w:w="390" w:type="pct"/>
          </w:tcPr>
          <w:p w14:paraId="66E31E0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3203CC0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-0.030</w:t>
            </w:r>
          </w:p>
          <w:p w14:paraId="56B63DE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(0.033)</w:t>
            </w:r>
          </w:p>
        </w:tc>
        <w:tc>
          <w:tcPr>
            <w:tcW w:w="390" w:type="pct"/>
          </w:tcPr>
          <w:p w14:paraId="28724E5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Borders>
              <w:right w:val="single" w:sz="4" w:space="0" w:color="auto"/>
            </w:tcBorders>
          </w:tcPr>
          <w:p w14:paraId="4435388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-0.032</w:t>
            </w:r>
          </w:p>
          <w:p w14:paraId="48C563D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(0.033)</w:t>
            </w:r>
          </w:p>
        </w:tc>
        <w:tc>
          <w:tcPr>
            <w:tcW w:w="390" w:type="pct"/>
            <w:tcBorders>
              <w:left w:val="single" w:sz="4" w:space="0" w:color="auto"/>
            </w:tcBorders>
          </w:tcPr>
          <w:p w14:paraId="5794D53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03C3DD0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p w14:paraId="0C03CED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0" w:type="pct"/>
          </w:tcPr>
          <w:p w14:paraId="0922811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87" w:type="pct"/>
          </w:tcPr>
          <w:p w14:paraId="0BBE522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p w14:paraId="1F62680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5A7835EE" w14:textId="77777777" w:rsidTr="00834F5A">
        <w:tc>
          <w:tcPr>
            <w:tcW w:w="1883" w:type="pct"/>
          </w:tcPr>
          <w:p w14:paraId="3BC2F3A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Intellectual capital efficiency</w:t>
            </w:r>
          </w:p>
        </w:tc>
        <w:tc>
          <w:tcPr>
            <w:tcW w:w="390" w:type="pct"/>
          </w:tcPr>
          <w:p w14:paraId="4109918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271FBAD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074E72D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0.089</w:t>
            </w:r>
            <w:r w:rsidRPr="00E1789A">
              <w:rPr>
                <w:rFonts w:ascii="Times New Roman" w:hAnsi="Times New Roman" w:cs="Times New Roman"/>
                <w:sz w:val="16"/>
                <w:szCs w:val="16"/>
                <w:vertAlign w:val="superscript"/>
                <w:lang w:val="en-US"/>
              </w:rPr>
              <w:t>**</w:t>
            </w:r>
          </w:p>
        </w:tc>
        <w:tc>
          <w:tcPr>
            <w:tcW w:w="390" w:type="pct"/>
            <w:tcBorders>
              <w:right w:val="single" w:sz="4" w:space="0" w:color="auto"/>
            </w:tcBorders>
          </w:tcPr>
          <w:p w14:paraId="67985B3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0.088</w:t>
            </w:r>
            <w:r w:rsidRPr="00E1789A">
              <w:rPr>
                <w:rFonts w:ascii="Times New Roman" w:hAnsi="Times New Roman" w:cs="Times New Roman"/>
                <w:sz w:val="16"/>
                <w:szCs w:val="16"/>
                <w:vertAlign w:val="superscript"/>
                <w:lang w:val="en-US"/>
              </w:rPr>
              <w:t>***</w:t>
            </w:r>
          </w:p>
        </w:tc>
        <w:tc>
          <w:tcPr>
            <w:tcW w:w="390" w:type="pct"/>
            <w:tcBorders>
              <w:left w:val="single" w:sz="4" w:space="0" w:color="auto"/>
            </w:tcBorders>
          </w:tcPr>
          <w:p w14:paraId="5AEF9D1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356AC5A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5C2DCEB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r w:rsidRPr="00E1789A">
              <w:rPr>
                <w:rFonts w:ascii="Times New Roman" w:hAnsi="Times New Roman" w:cs="Times New Roman"/>
                <w:sz w:val="16"/>
                <w:szCs w:val="16"/>
                <w:vertAlign w:val="superscript"/>
                <w:lang w:val="en-US"/>
              </w:rPr>
              <w:t>**</w:t>
            </w:r>
          </w:p>
        </w:tc>
        <w:tc>
          <w:tcPr>
            <w:tcW w:w="387" w:type="pct"/>
          </w:tcPr>
          <w:p w14:paraId="6460390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r w:rsidRPr="00E1789A">
              <w:rPr>
                <w:rFonts w:ascii="Times New Roman" w:hAnsi="Times New Roman" w:cs="Times New Roman"/>
                <w:sz w:val="16"/>
                <w:szCs w:val="16"/>
                <w:vertAlign w:val="superscript"/>
                <w:lang w:val="en-US"/>
              </w:rPr>
              <w:t>**</w:t>
            </w:r>
          </w:p>
        </w:tc>
      </w:tr>
      <w:tr w:rsidR="00331AB6" w:rsidRPr="00E1789A" w14:paraId="5434FC2B" w14:textId="77777777" w:rsidTr="00834F5A">
        <w:tc>
          <w:tcPr>
            <w:tcW w:w="1883" w:type="pct"/>
          </w:tcPr>
          <w:p w14:paraId="50B9BF6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0" w:type="pct"/>
          </w:tcPr>
          <w:p w14:paraId="00EFD6D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0C12A1F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41DC7E1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(0.027)</w:t>
            </w:r>
          </w:p>
        </w:tc>
        <w:tc>
          <w:tcPr>
            <w:tcW w:w="390" w:type="pct"/>
            <w:tcBorders>
              <w:right w:val="single" w:sz="4" w:space="0" w:color="auto"/>
            </w:tcBorders>
          </w:tcPr>
          <w:p w14:paraId="42DDF2E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(0.025)</w:t>
            </w:r>
          </w:p>
        </w:tc>
        <w:tc>
          <w:tcPr>
            <w:tcW w:w="390" w:type="pct"/>
            <w:tcBorders>
              <w:left w:val="single" w:sz="4" w:space="0" w:color="auto"/>
            </w:tcBorders>
          </w:tcPr>
          <w:p w14:paraId="57BCBFC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7F169ED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Pr>
          <w:p w14:paraId="21D8A4F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87" w:type="pct"/>
          </w:tcPr>
          <w:p w14:paraId="0F3DE2D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5A1097B2" w14:textId="77777777" w:rsidTr="00834F5A">
        <w:tc>
          <w:tcPr>
            <w:tcW w:w="1883" w:type="pct"/>
            <w:tcBorders>
              <w:bottom w:val="single" w:sz="4" w:space="0" w:color="auto"/>
            </w:tcBorders>
          </w:tcPr>
          <w:p w14:paraId="0FBAED3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Product diversification experience unrelatedness × Intellectual capital efficiency (H2a)</w:t>
            </w:r>
          </w:p>
        </w:tc>
        <w:tc>
          <w:tcPr>
            <w:tcW w:w="390" w:type="pct"/>
            <w:tcBorders>
              <w:bottom w:val="single" w:sz="4" w:space="0" w:color="auto"/>
            </w:tcBorders>
          </w:tcPr>
          <w:p w14:paraId="112A360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Borders>
              <w:bottom w:val="single" w:sz="4" w:space="0" w:color="auto"/>
            </w:tcBorders>
          </w:tcPr>
          <w:p w14:paraId="1B67CAD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Borders>
              <w:bottom w:val="single" w:sz="4" w:space="0" w:color="auto"/>
            </w:tcBorders>
          </w:tcPr>
          <w:p w14:paraId="77DC7BB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0.015</w:t>
            </w:r>
          </w:p>
          <w:p w14:paraId="6082A90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(0.022)</w:t>
            </w:r>
          </w:p>
        </w:tc>
        <w:tc>
          <w:tcPr>
            <w:tcW w:w="390" w:type="pct"/>
            <w:tcBorders>
              <w:bottom w:val="single" w:sz="4" w:space="0" w:color="auto"/>
              <w:right w:val="single" w:sz="4" w:space="0" w:color="auto"/>
            </w:tcBorders>
          </w:tcPr>
          <w:p w14:paraId="0F9BE03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p w14:paraId="69F47F6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(0.022)</w:t>
            </w:r>
          </w:p>
        </w:tc>
        <w:tc>
          <w:tcPr>
            <w:tcW w:w="390" w:type="pct"/>
            <w:tcBorders>
              <w:left w:val="single" w:sz="4" w:space="0" w:color="auto"/>
              <w:bottom w:val="single" w:sz="4" w:space="0" w:color="auto"/>
            </w:tcBorders>
          </w:tcPr>
          <w:p w14:paraId="63C991A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Borders>
              <w:bottom w:val="single" w:sz="4" w:space="0" w:color="auto"/>
            </w:tcBorders>
          </w:tcPr>
          <w:p w14:paraId="46E6773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0" w:type="pct"/>
            <w:tcBorders>
              <w:bottom w:val="single" w:sz="4" w:space="0" w:color="auto"/>
            </w:tcBorders>
          </w:tcPr>
          <w:p w14:paraId="1278128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p w14:paraId="236BC2E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87" w:type="pct"/>
            <w:tcBorders>
              <w:bottom w:val="single" w:sz="4" w:space="0" w:color="auto"/>
            </w:tcBorders>
          </w:tcPr>
          <w:p w14:paraId="7821B79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p w14:paraId="408C1BB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1828B978" w14:textId="77777777" w:rsidTr="00834F5A">
        <w:tc>
          <w:tcPr>
            <w:tcW w:w="1883" w:type="pct"/>
            <w:tcBorders>
              <w:top w:val="single" w:sz="4" w:space="0" w:color="auto"/>
            </w:tcBorders>
          </w:tcPr>
          <w:p w14:paraId="49985B6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Mean VIF</w:t>
            </w:r>
          </w:p>
        </w:tc>
        <w:tc>
          <w:tcPr>
            <w:tcW w:w="390" w:type="pct"/>
            <w:tcBorders>
              <w:top w:val="single" w:sz="4" w:space="0" w:color="auto"/>
            </w:tcBorders>
          </w:tcPr>
          <w:p w14:paraId="74F88E0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2.84</w:t>
            </w:r>
          </w:p>
        </w:tc>
        <w:tc>
          <w:tcPr>
            <w:tcW w:w="390" w:type="pct"/>
            <w:tcBorders>
              <w:top w:val="single" w:sz="4" w:space="0" w:color="auto"/>
            </w:tcBorders>
          </w:tcPr>
          <w:p w14:paraId="7E6CD70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2.80</w:t>
            </w:r>
          </w:p>
        </w:tc>
        <w:tc>
          <w:tcPr>
            <w:tcW w:w="390" w:type="pct"/>
            <w:tcBorders>
              <w:top w:val="single" w:sz="4" w:space="0" w:color="auto"/>
            </w:tcBorders>
          </w:tcPr>
          <w:p w14:paraId="30818A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2.73</w:t>
            </w:r>
          </w:p>
        </w:tc>
        <w:tc>
          <w:tcPr>
            <w:tcW w:w="390" w:type="pct"/>
            <w:tcBorders>
              <w:top w:val="single" w:sz="4" w:space="0" w:color="auto"/>
              <w:right w:val="single" w:sz="4" w:space="0" w:color="auto"/>
            </w:tcBorders>
          </w:tcPr>
          <w:p w14:paraId="74B2AB3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2.71</w:t>
            </w:r>
          </w:p>
        </w:tc>
        <w:tc>
          <w:tcPr>
            <w:tcW w:w="390" w:type="pct"/>
            <w:tcBorders>
              <w:top w:val="single" w:sz="4" w:space="0" w:color="auto"/>
              <w:left w:val="single" w:sz="4" w:space="0" w:color="auto"/>
            </w:tcBorders>
          </w:tcPr>
          <w:p w14:paraId="055EA9E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2.84</w:t>
            </w:r>
          </w:p>
        </w:tc>
        <w:tc>
          <w:tcPr>
            <w:tcW w:w="390" w:type="pct"/>
            <w:tcBorders>
              <w:top w:val="single" w:sz="4" w:space="0" w:color="auto"/>
            </w:tcBorders>
          </w:tcPr>
          <w:p w14:paraId="1BA7FB6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2.80</w:t>
            </w:r>
          </w:p>
        </w:tc>
        <w:tc>
          <w:tcPr>
            <w:tcW w:w="390" w:type="pct"/>
            <w:tcBorders>
              <w:top w:val="single" w:sz="4" w:space="0" w:color="auto"/>
            </w:tcBorders>
          </w:tcPr>
          <w:p w14:paraId="1663552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2.73</w:t>
            </w:r>
          </w:p>
        </w:tc>
        <w:tc>
          <w:tcPr>
            <w:tcW w:w="387" w:type="pct"/>
            <w:tcBorders>
              <w:top w:val="single" w:sz="4" w:space="0" w:color="auto"/>
            </w:tcBorders>
          </w:tcPr>
          <w:p w14:paraId="7BC6E41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2.71</w:t>
            </w:r>
          </w:p>
        </w:tc>
      </w:tr>
      <w:tr w:rsidR="00331AB6" w:rsidRPr="00E1789A" w14:paraId="50E2A3C5" w14:textId="77777777" w:rsidTr="00834F5A">
        <w:tc>
          <w:tcPr>
            <w:tcW w:w="1883" w:type="pct"/>
          </w:tcPr>
          <w:p w14:paraId="6D60012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i/>
                <w:iCs/>
                <w:sz w:val="16"/>
                <w:szCs w:val="16"/>
                <w:lang w:val="en-US"/>
              </w:rPr>
              <w:t>n/N</w:t>
            </w:r>
          </w:p>
        </w:tc>
        <w:tc>
          <w:tcPr>
            <w:tcW w:w="390" w:type="pct"/>
          </w:tcPr>
          <w:p w14:paraId="1718A60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0" w:type="pct"/>
          </w:tcPr>
          <w:p w14:paraId="27A666B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0" w:type="pct"/>
          </w:tcPr>
          <w:p w14:paraId="35C00E5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0" w:type="pct"/>
            <w:tcBorders>
              <w:right w:val="single" w:sz="4" w:space="0" w:color="auto"/>
            </w:tcBorders>
          </w:tcPr>
          <w:p w14:paraId="23F3FE5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1005/190</w:t>
            </w:r>
          </w:p>
        </w:tc>
        <w:tc>
          <w:tcPr>
            <w:tcW w:w="390" w:type="pct"/>
            <w:tcBorders>
              <w:left w:val="single" w:sz="4" w:space="0" w:color="auto"/>
            </w:tcBorders>
          </w:tcPr>
          <w:p w14:paraId="627159C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c>
          <w:tcPr>
            <w:tcW w:w="390" w:type="pct"/>
          </w:tcPr>
          <w:p w14:paraId="318DD8A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c>
          <w:tcPr>
            <w:tcW w:w="390" w:type="pct"/>
          </w:tcPr>
          <w:p w14:paraId="29BE0CD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c>
          <w:tcPr>
            <w:tcW w:w="387" w:type="pct"/>
          </w:tcPr>
          <w:p w14:paraId="7B002D9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1007/190</w:t>
            </w:r>
          </w:p>
        </w:tc>
      </w:tr>
      <w:tr w:rsidR="00331AB6" w:rsidRPr="00E1789A" w14:paraId="17866E46" w14:textId="77777777" w:rsidTr="00834F5A">
        <w:tc>
          <w:tcPr>
            <w:tcW w:w="1883" w:type="pct"/>
          </w:tcPr>
          <w:p w14:paraId="21B19E33"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w:t>
            </w:r>
            <w:r w:rsidRPr="00E1789A">
              <w:rPr>
                <w:rFonts w:ascii="Times New Roman" w:hAnsi="Times New Roman" w:cs="Times New Roman"/>
                <w:sz w:val="16"/>
                <w:szCs w:val="16"/>
                <w:vertAlign w:val="superscript"/>
                <w:lang w:val="en-US"/>
              </w:rPr>
              <w:t>2</w:t>
            </w:r>
          </w:p>
        </w:tc>
        <w:tc>
          <w:tcPr>
            <w:tcW w:w="390" w:type="pct"/>
          </w:tcPr>
          <w:p w14:paraId="360ED80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0.131</w:t>
            </w:r>
          </w:p>
        </w:tc>
        <w:tc>
          <w:tcPr>
            <w:tcW w:w="390" w:type="pct"/>
          </w:tcPr>
          <w:p w14:paraId="7281712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0.132</w:t>
            </w:r>
          </w:p>
        </w:tc>
        <w:tc>
          <w:tcPr>
            <w:tcW w:w="390" w:type="pct"/>
          </w:tcPr>
          <w:p w14:paraId="6ADF00B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0.133</w:t>
            </w:r>
          </w:p>
        </w:tc>
        <w:tc>
          <w:tcPr>
            <w:tcW w:w="390" w:type="pct"/>
            <w:tcBorders>
              <w:right w:val="single" w:sz="4" w:space="0" w:color="auto"/>
            </w:tcBorders>
          </w:tcPr>
          <w:p w14:paraId="082B6FF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0.133</w:t>
            </w:r>
          </w:p>
        </w:tc>
        <w:tc>
          <w:tcPr>
            <w:tcW w:w="390" w:type="pct"/>
            <w:tcBorders>
              <w:left w:val="single" w:sz="4" w:space="0" w:color="auto"/>
            </w:tcBorders>
          </w:tcPr>
          <w:p w14:paraId="0573C1A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0.213</w:t>
            </w:r>
          </w:p>
        </w:tc>
        <w:tc>
          <w:tcPr>
            <w:tcW w:w="390" w:type="pct"/>
          </w:tcPr>
          <w:p w14:paraId="44D8285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0.222</w:t>
            </w:r>
          </w:p>
        </w:tc>
        <w:tc>
          <w:tcPr>
            <w:tcW w:w="390" w:type="pct"/>
          </w:tcPr>
          <w:p w14:paraId="339045D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0.220</w:t>
            </w:r>
          </w:p>
        </w:tc>
        <w:tc>
          <w:tcPr>
            <w:tcW w:w="387" w:type="pct"/>
          </w:tcPr>
          <w:p w14:paraId="40D3C70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0.300</w:t>
            </w:r>
          </w:p>
        </w:tc>
      </w:tr>
      <w:tr w:rsidR="00331AB6" w:rsidRPr="00E1789A" w14:paraId="7C25863D" w14:textId="77777777" w:rsidTr="00834F5A">
        <w:tc>
          <w:tcPr>
            <w:tcW w:w="1883" w:type="pct"/>
            <w:tcBorders>
              <w:bottom w:val="single" w:sz="4" w:space="0" w:color="auto"/>
            </w:tcBorders>
          </w:tcPr>
          <w:p w14:paraId="1B411F0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Wald χ</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w:t>
            </w:r>
            <w:r w:rsidRPr="00E1789A">
              <w:rPr>
                <w:rFonts w:ascii="Times New Roman" w:hAnsi="Times New Roman" w:cs="Times New Roman"/>
                <w:i/>
                <w:iCs/>
                <w:sz w:val="16"/>
                <w:szCs w:val="16"/>
                <w:lang w:val="en-US"/>
              </w:rPr>
              <w:t>p</w:t>
            </w:r>
            <w:r w:rsidRPr="00E1789A">
              <w:rPr>
                <w:rFonts w:ascii="Times New Roman" w:hAnsi="Times New Roman" w:cs="Times New Roman"/>
                <w:sz w:val="16"/>
                <w:szCs w:val="16"/>
                <w:lang w:val="en-US"/>
              </w:rPr>
              <w:t>)</w:t>
            </w:r>
          </w:p>
        </w:tc>
        <w:tc>
          <w:tcPr>
            <w:tcW w:w="390" w:type="pct"/>
            <w:tcBorders>
              <w:bottom w:val="single" w:sz="4" w:space="0" w:color="auto"/>
            </w:tcBorders>
          </w:tcPr>
          <w:p w14:paraId="2C50918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Borders>
              <w:bottom w:val="single" w:sz="4" w:space="0" w:color="auto"/>
            </w:tcBorders>
          </w:tcPr>
          <w:p w14:paraId="29EBF28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Borders>
              <w:bottom w:val="single" w:sz="4" w:space="0" w:color="auto"/>
            </w:tcBorders>
          </w:tcPr>
          <w:p w14:paraId="5BC358D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Borders>
              <w:bottom w:val="single" w:sz="4" w:space="0" w:color="auto"/>
              <w:right w:val="single" w:sz="4" w:space="0" w:color="auto"/>
            </w:tcBorders>
          </w:tcPr>
          <w:p w14:paraId="7034145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Borders>
              <w:left w:val="single" w:sz="4" w:space="0" w:color="auto"/>
              <w:bottom w:val="single" w:sz="4" w:space="0" w:color="auto"/>
            </w:tcBorders>
          </w:tcPr>
          <w:p w14:paraId="18FDE89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Borders>
              <w:bottom w:val="single" w:sz="4" w:space="0" w:color="auto"/>
            </w:tcBorders>
          </w:tcPr>
          <w:p w14:paraId="5FD184C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0" w:type="pct"/>
            <w:tcBorders>
              <w:bottom w:val="single" w:sz="4" w:space="0" w:color="auto"/>
            </w:tcBorders>
          </w:tcPr>
          <w:p w14:paraId="03DEE96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87" w:type="pct"/>
            <w:tcBorders>
              <w:bottom w:val="single" w:sz="4" w:space="0" w:color="auto"/>
            </w:tcBorders>
          </w:tcPr>
          <w:p w14:paraId="19AC257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5FD39B8B" w14:textId="77777777" w:rsidTr="00834F5A">
        <w:tc>
          <w:tcPr>
            <w:tcW w:w="5000" w:type="pct"/>
            <w:gridSpan w:val="9"/>
            <w:tcBorders>
              <w:top w:val="single" w:sz="4" w:space="0" w:color="auto"/>
            </w:tcBorders>
          </w:tcPr>
          <w:p w14:paraId="469BCDB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925E67">
              <w:rPr>
                <w:rFonts w:ascii="Times New Roman" w:hAnsi="Times New Roman" w:cs="Times New Roman"/>
                <w:i/>
                <w:iCs/>
                <w:sz w:val="16"/>
                <w:szCs w:val="16"/>
                <w:lang w:val="en-US"/>
              </w:rPr>
              <w:t>Notes</w:t>
            </w:r>
            <w:r w:rsidRPr="00E1789A">
              <w:rPr>
                <w:rFonts w:ascii="Times New Roman" w:hAnsi="Times New Roman" w:cs="Times New Roman"/>
                <w:sz w:val="16"/>
                <w:szCs w:val="16"/>
                <w:lang w:val="en-US"/>
              </w:rPr>
              <w:t>: Unstandardized regression coefficients are reported with robust standard errors in parenthesis. R</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(between) is reported. Intercept terms are included but not shown. n=firm-year observations; N=firms. ROA = Return on Assets. R&amp;D = research and development; IMR_PD = Inverse Mills Ratio (Product Diversification); H = Hypothesis; VIF = variance inflation factor.</w:t>
            </w:r>
          </w:p>
          <w:p w14:paraId="622FD38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 p &lt; 0.1, * p &lt; 0.05, ** p &lt; 0.01, *** p &lt; 0.001</w:t>
            </w:r>
          </w:p>
        </w:tc>
      </w:tr>
    </w:tbl>
    <w:p w14:paraId="5402FCBC" w14:textId="77777777" w:rsidR="00331AB6" w:rsidRPr="00E1789A" w:rsidRDefault="00331AB6" w:rsidP="00331AB6">
      <w:pPr>
        <w:tabs>
          <w:tab w:val="left" w:pos="2090"/>
        </w:tabs>
        <w:rPr>
          <w:rFonts w:ascii="Times New Roman" w:hAnsi="Times New Roman" w:cs="Times New Roman"/>
          <w:sz w:val="24"/>
          <w:szCs w:val="24"/>
        </w:rPr>
      </w:pPr>
    </w:p>
    <w:p w14:paraId="11A69EF4" w14:textId="77777777" w:rsidR="00331AB6" w:rsidRPr="00E1789A" w:rsidRDefault="00331AB6" w:rsidP="00331AB6">
      <w:pPr>
        <w:tabs>
          <w:tab w:val="left" w:pos="2090"/>
        </w:tabs>
        <w:rPr>
          <w:rFonts w:ascii="Times New Roman" w:hAnsi="Times New Roman" w:cs="Times New Roman"/>
          <w:sz w:val="24"/>
          <w:szCs w:val="24"/>
        </w:rPr>
        <w:sectPr w:rsidR="00331AB6" w:rsidRPr="00E1789A" w:rsidSect="0054095A">
          <w:pgSz w:w="16838" w:h="11906" w:orient="landscape"/>
          <w:pgMar w:top="1440" w:right="1440" w:bottom="1440" w:left="1440" w:header="708" w:footer="708" w:gutter="0"/>
          <w:cols w:space="708"/>
          <w:docGrid w:linePitch="360"/>
        </w:sectPr>
      </w:pPr>
    </w:p>
    <w:tbl>
      <w:tblPr>
        <w:tblW w:w="5000" w:type="pct"/>
        <w:tblLook w:val="0000" w:firstRow="0" w:lastRow="0" w:firstColumn="0" w:lastColumn="0" w:noHBand="0" w:noVBand="0"/>
      </w:tblPr>
      <w:tblGrid>
        <w:gridCol w:w="5115"/>
        <w:gridCol w:w="1106"/>
        <w:gridCol w:w="1106"/>
        <w:gridCol w:w="1106"/>
        <w:gridCol w:w="1105"/>
        <w:gridCol w:w="1105"/>
        <w:gridCol w:w="1105"/>
        <w:gridCol w:w="1105"/>
        <w:gridCol w:w="1105"/>
      </w:tblGrid>
      <w:tr w:rsidR="00331AB6" w:rsidRPr="00E1789A" w14:paraId="0BA6DCA9" w14:textId="77777777" w:rsidTr="00834F5A">
        <w:tc>
          <w:tcPr>
            <w:tcW w:w="5000" w:type="pct"/>
            <w:gridSpan w:val="9"/>
            <w:tcBorders>
              <w:bottom w:val="single" w:sz="4" w:space="0" w:color="auto"/>
            </w:tcBorders>
          </w:tcPr>
          <w:p w14:paraId="402CA44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lastRenderedPageBreak/>
              <w:t xml:space="preserve">Table C4. Second </w:t>
            </w:r>
            <w:r>
              <w:rPr>
                <w:rFonts w:ascii="Times New Roman" w:hAnsi="Times New Roman" w:cs="Times New Roman"/>
                <w:sz w:val="16"/>
                <w:szCs w:val="16"/>
                <w:lang w:val="en-US"/>
              </w:rPr>
              <w:t>s</w:t>
            </w:r>
            <w:r w:rsidRPr="00E1789A">
              <w:rPr>
                <w:rFonts w:ascii="Times New Roman" w:hAnsi="Times New Roman" w:cs="Times New Roman"/>
                <w:sz w:val="16"/>
                <w:szCs w:val="16"/>
                <w:lang w:val="en-US"/>
              </w:rPr>
              <w:t xml:space="preserve">tage random-effect models (with robust standard errors) for firm performance (International </w:t>
            </w:r>
            <w:r>
              <w:rPr>
                <w:rFonts w:ascii="Times New Roman" w:hAnsi="Times New Roman" w:cs="Times New Roman"/>
                <w:sz w:val="16"/>
                <w:szCs w:val="16"/>
                <w:lang w:val="en-US"/>
              </w:rPr>
              <w:t>d</w:t>
            </w:r>
            <w:r w:rsidRPr="00E1789A">
              <w:rPr>
                <w:rFonts w:ascii="Times New Roman" w:hAnsi="Times New Roman" w:cs="Times New Roman"/>
                <w:sz w:val="16"/>
                <w:szCs w:val="16"/>
                <w:lang w:val="en-US"/>
              </w:rPr>
              <w:t xml:space="preserve">iversification </w:t>
            </w:r>
            <w:r>
              <w:rPr>
                <w:rFonts w:ascii="Times New Roman" w:hAnsi="Times New Roman" w:cs="Times New Roman"/>
                <w:sz w:val="16"/>
                <w:szCs w:val="16"/>
                <w:lang w:val="en-US"/>
              </w:rPr>
              <w:t>e</w:t>
            </w:r>
            <w:r w:rsidRPr="00E1789A">
              <w:rPr>
                <w:rFonts w:ascii="Times New Roman" w:hAnsi="Times New Roman" w:cs="Times New Roman"/>
                <w:sz w:val="16"/>
                <w:szCs w:val="16"/>
                <w:lang w:val="en-US"/>
              </w:rPr>
              <w:t xml:space="preserve">xperience </w:t>
            </w:r>
            <w:r>
              <w:rPr>
                <w:rFonts w:ascii="Times New Roman" w:hAnsi="Times New Roman" w:cs="Times New Roman"/>
                <w:sz w:val="16"/>
                <w:szCs w:val="16"/>
                <w:lang w:val="en-US"/>
              </w:rPr>
              <w:t>u</w:t>
            </w:r>
            <w:r w:rsidRPr="00E1789A">
              <w:rPr>
                <w:rFonts w:ascii="Times New Roman" w:hAnsi="Times New Roman" w:cs="Times New Roman"/>
                <w:sz w:val="16"/>
                <w:szCs w:val="16"/>
                <w:lang w:val="en-US"/>
              </w:rPr>
              <w:t>nrelatedness)</w:t>
            </w:r>
          </w:p>
        </w:tc>
      </w:tr>
      <w:tr w:rsidR="00331AB6" w:rsidRPr="00E1789A" w14:paraId="42DF1813" w14:textId="77777777" w:rsidTr="00834F5A">
        <w:tc>
          <w:tcPr>
            <w:tcW w:w="1832" w:type="pct"/>
            <w:tcBorders>
              <w:top w:val="single" w:sz="4" w:space="0" w:color="auto"/>
              <w:bottom w:val="single" w:sz="4" w:space="0" w:color="auto"/>
            </w:tcBorders>
          </w:tcPr>
          <w:p w14:paraId="1B6C00F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Variable</w:t>
            </w:r>
          </w:p>
        </w:tc>
        <w:tc>
          <w:tcPr>
            <w:tcW w:w="1584" w:type="pct"/>
            <w:gridSpan w:val="4"/>
            <w:tcBorders>
              <w:top w:val="single" w:sz="4" w:space="0" w:color="auto"/>
              <w:bottom w:val="single" w:sz="4" w:space="0" w:color="auto"/>
            </w:tcBorders>
          </w:tcPr>
          <w:p w14:paraId="196D8E5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Tobin’s Q</w:t>
            </w:r>
            <w:r w:rsidRPr="00E1789A">
              <w:rPr>
                <w:rFonts w:ascii="Times New Roman" w:hAnsi="Times New Roman" w:cs="Times New Roman"/>
                <w:sz w:val="16"/>
                <w:szCs w:val="16"/>
                <w:vertAlign w:val="subscript"/>
                <w:lang w:val="en-US"/>
              </w:rPr>
              <w:t>t+1</w:t>
            </w:r>
          </w:p>
        </w:tc>
        <w:tc>
          <w:tcPr>
            <w:tcW w:w="1585" w:type="pct"/>
            <w:gridSpan w:val="4"/>
            <w:tcBorders>
              <w:top w:val="single" w:sz="4" w:space="0" w:color="auto"/>
              <w:bottom w:val="single" w:sz="4" w:space="0" w:color="auto"/>
            </w:tcBorders>
          </w:tcPr>
          <w:p w14:paraId="1AFBA46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Dependent Variable = ROA</w:t>
            </w:r>
            <w:r w:rsidRPr="00E1789A">
              <w:rPr>
                <w:rFonts w:ascii="Times New Roman" w:hAnsi="Times New Roman" w:cs="Times New Roman"/>
                <w:sz w:val="16"/>
                <w:szCs w:val="16"/>
                <w:vertAlign w:val="subscript"/>
                <w:lang w:val="en-US"/>
              </w:rPr>
              <w:t>t+1</w:t>
            </w:r>
          </w:p>
        </w:tc>
      </w:tr>
      <w:tr w:rsidR="00331AB6" w:rsidRPr="00E1789A" w14:paraId="17B59EBB" w14:textId="77777777" w:rsidTr="00834F5A">
        <w:tc>
          <w:tcPr>
            <w:tcW w:w="1832" w:type="pct"/>
            <w:tcBorders>
              <w:top w:val="single" w:sz="4" w:space="0" w:color="auto"/>
            </w:tcBorders>
          </w:tcPr>
          <w:p w14:paraId="03AB792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Borders>
              <w:top w:val="single" w:sz="4" w:space="0" w:color="auto"/>
              <w:bottom w:val="single" w:sz="4" w:space="0" w:color="auto"/>
            </w:tcBorders>
          </w:tcPr>
          <w:p w14:paraId="6452B3D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B29</w:t>
            </w:r>
          </w:p>
        </w:tc>
        <w:tc>
          <w:tcPr>
            <w:tcW w:w="396" w:type="pct"/>
            <w:tcBorders>
              <w:top w:val="single" w:sz="4" w:space="0" w:color="auto"/>
              <w:bottom w:val="single" w:sz="4" w:space="0" w:color="auto"/>
            </w:tcBorders>
          </w:tcPr>
          <w:p w14:paraId="53CB0D0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B30</w:t>
            </w:r>
          </w:p>
        </w:tc>
        <w:tc>
          <w:tcPr>
            <w:tcW w:w="396" w:type="pct"/>
            <w:tcBorders>
              <w:top w:val="single" w:sz="4" w:space="0" w:color="auto"/>
              <w:bottom w:val="single" w:sz="4" w:space="0" w:color="auto"/>
            </w:tcBorders>
          </w:tcPr>
          <w:p w14:paraId="2FC0E83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B31</w:t>
            </w:r>
          </w:p>
        </w:tc>
        <w:tc>
          <w:tcPr>
            <w:tcW w:w="396" w:type="pct"/>
            <w:tcBorders>
              <w:top w:val="single" w:sz="4" w:space="0" w:color="auto"/>
              <w:bottom w:val="single" w:sz="4" w:space="0" w:color="auto"/>
              <w:right w:val="single" w:sz="4" w:space="0" w:color="auto"/>
            </w:tcBorders>
          </w:tcPr>
          <w:p w14:paraId="169A6CA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B32</w:t>
            </w:r>
          </w:p>
        </w:tc>
        <w:tc>
          <w:tcPr>
            <w:tcW w:w="396" w:type="pct"/>
            <w:tcBorders>
              <w:top w:val="single" w:sz="4" w:space="0" w:color="auto"/>
              <w:left w:val="single" w:sz="4" w:space="0" w:color="auto"/>
              <w:bottom w:val="single" w:sz="4" w:space="0" w:color="auto"/>
            </w:tcBorders>
          </w:tcPr>
          <w:p w14:paraId="3D477CF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B33</w:t>
            </w:r>
          </w:p>
        </w:tc>
        <w:tc>
          <w:tcPr>
            <w:tcW w:w="396" w:type="pct"/>
            <w:tcBorders>
              <w:top w:val="single" w:sz="4" w:space="0" w:color="auto"/>
              <w:bottom w:val="single" w:sz="4" w:space="0" w:color="auto"/>
            </w:tcBorders>
          </w:tcPr>
          <w:p w14:paraId="7A90F27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B34</w:t>
            </w:r>
          </w:p>
        </w:tc>
        <w:tc>
          <w:tcPr>
            <w:tcW w:w="396" w:type="pct"/>
            <w:tcBorders>
              <w:top w:val="single" w:sz="4" w:space="0" w:color="auto"/>
              <w:bottom w:val="single" w:sz="4" w:space="0" w:color="auto"/>
            </w:tcBorders>
          </w:tcPr>
          <w:p w14:paraId="25B2423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B35</w:t>
            </w:r>
          </w:p>
        </w:tc>
        <w:tc>
          <w:tcPr>
            <w:tcW w:w="396" w:type="pct"/>
            <w:tcBorders>
              <w:top w:val="single" w:sz="4" w:space="0" w:color="auto"/>
              <w:bottom w:val="single" w:sz="4" w:space="0" w:color="auto"/>
            </w:tcBorders>
          </w:tcPr>
          <w:p w14:paraId="42A38F1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Model B36</w:t>
            </w:r>
          </w:p>
        </w:tc>
      </w:tr>
      <w:tr w:rsidR="00331AB6" w:rsidRPr="00E1789A" w14:paraId="0FA96112" w14:textId="77777777" w:rsidTr="00834F5A">
        <w:tc>
          <w:tcPr>
            <w:tcW w:w="1832" w:type="pct"/>
          </w:tcPr>
          <w:p w14:paraId="2D972DF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size</w:t>
            </w:r>
          </w:p>
        </w:tc>
        <w:tc>
          <w:tcPr>
            <w:tcW w:w="396" w:type="pct"/>
            <w:tcBorders>
              <w:top w:val="single" w:sz="4" w:space="0" w:color="auto"/>
            </w:tcBorders>
          </w:tcPr>
          <w:p w14:paraId="1BCA77B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-0.359</w:t>
            </w:r>
            <w:r w:rsidRPr="00E1789A">
              <w:rPr>
                <w:rFonts w:ascii="Times New Roman" w:hAnsi="Times New Roman" w:cs="Times New Roman"/>
                <w:sz w:val="16"/>
                <w:szCs w:val="16"/>
                <w:vertAlign w:val="superscript"/>
                <w:lang w:val="en-US"/>
              </w:rPr>
              <w:t>*</w:t>
            </w:r>
          </w:p>
        </w:tc>
        <w:tc>
          <w:tcPr>
            <w:tcW w:w="396" w:type="pct"/>
            <w:tcBorders>
              <w:top w:val="single" w:sz="4" w:space="0" w:color="auto"/>
            </w:tcBorders>
          </w:tcPr>
          <w:p w14:paraId="415FFA1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-0.346</w:t>
            </w:r>
            <w:r w:rsidRPr="00E1789A">
              <w:rPr>
                <w:rFonts w:ascii="Times New Roman" w:hAnsi="Times New Roman" w:cs="Times New Roman"/>
                <w:sz w:val="16"/>
                <w:szCs w:val="16"/>
                <w:vertAlign w:val="superscript"/>
                <w:lang w:val="en-US"/>
              </w:rPr>
              <w:t>*</w:t>
            </w:r>
          </w:p>
        </w:tc>
        <w:tc>
          <w:tcPr>
            <w:tcW w:w="396" w:type="pct"/>
            <w:tcBorders>
              <w:top w:val="single" w:sz="4" w:space="0" w:color="auto"/>
            </w:tcBorders>
          </w:tcPr>
          <w:p w14:paraId="1A0AA7F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-0.367</w:t>
            </w:r>
            <w:r w:rsidRPr="00E1789A">
              <w:rPr>
                <w:rFonts w:ascii="Times New Roman" w:hAnsi="Times New Roman" w:cs="Times New Roman"/>
                <w:sz w:val="16"/>
                <w:szCs w:val="16"/>
                <w:vertAlign w:val="superscript"/>
                <w:lang w:val="en-US"/>
              </w:rPr>
              <w:t>*</w:t>
            </w:r>
          </w:p>
        </w:tc>
        <w:tc>
          <w:tcPr>
            <w:tcW w:w="396" w:type="pct"/>
            <w:tcBorders>
              <w:top w:val="single" w:sz="4" w:space="0" w:color="auto"/>
              <w:right w:val="single" w:sz="4" w:space="0" w:color="auto"/>
            </w:tcBorders>
          </w:tcPr>
          <w:p w14:paraId="25DB680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-0.355</w:t>
            </w:r>
            <w:r w:rsidRPr="00E1789A">
              <w:rPr>
                <w:rFonts w:ascii="Times New Roman" w:hAnsi="Times New Roman" w:cs="Times New Roman"/>
                <w:sz w:val="16"/>
                <w:szCs w:val="16"/>
                <w:vertAlign w:val="superscript"/>
                <w:lang w:val="en-US"/>
              </w:rPr>
              <w:t>*</w:t>
            </w:r>
          </w:p>
        </w:tc>
        <w:tc>
          <w:tcPr>
            <w:tcW w:w="396" w:type="pct"/>
            <w:tcBorders>
              <w:top w:val="single" w:sz="4" w:space="0" w:color="auto"/>
              <w:left w:val="single" w:sz="4" w:space="0" w:color="auto"/>
            </w:tcBorders>
          </w:tcPr>
          <w:p w14:paraId="6D31D90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Borders>
              <w:top w:val="single" w:sz="4" w:space="0" w:color="auto"/>
            </w:tcBorders>
          </w:tcPr>
          <w:p w14:paraId="2C61077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6" w:type="pct"/>
            <w:tcBorders>
              <w:top w:val="single" w:sz="4" w:space="0" w:color="auto"/>
            </w:tcBorders>
          </w:tcPr>
          <w:p w14:paraId="2168332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6" w:type="pct"/>
            <w:tcBorders>
              <w:top w:val="single" w:sz="4" w:space="0" w:color="auto"/>
            </w:tcBorders>
          </w:tcPr>
          <w:p w14:paraId="3580221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r>
      <w:tr w:rsidR="00331AB6" w:rsidRPr="00E1789A" w14:paraId="76A275BC" w14:textId="77777777" w:rsidTr="00834F5A">
        <w:tc>
          <w:tcPr>
            <w:tcW w:w="1832" w:type="pct"/>
          </w:tcPr>
          <w:p w14:paraId="6FFD9B4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6F3B8F7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(0.156)</w:t>
            </w:r>
          </w:p>
        </w:tc>
        <w:tc>
          <w:tcPr>
            <w:tcW w:w="396" w:type="pct"/>
          </w:tcPr>
          <w:p w14:paraId="5AFAE45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(0.145)</w:t>
            </w:r>
          </w:p>
        </w:tc>
        <w:tc>
          <w:tcPr>
            <w:tcW w:w="396" w:type="pct"/>
          </w:tcPr>
          <w:p w14:paraId="661725B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(0.158)</w:t>
            </w:r>
          </w:p>
        </w:tc>
        <w:tc>
          <w:tcPr>
            <w:tcW w:w="396" w:type="pct"/>
            <w:tcBorders>
              <w:right w:val="single" w:sz="4" w:space="0" w:color="auto"/>
            </w:tcBorders>
          </w:tcPr>
          <w:p w14:paraId="210FA3B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(0.147)</w:t>
            </w:r>
          </w:p>
        </w:tc>
        <w:tc>
          <w:tcPr>
            <w:tcW w:w="396" w:type="pct"/>
            <w:tcBorders>
              <w:left w:val="single" w:sz="4" w:space="0" w:color="auto"/>
            </w:tcBorders>
          </w:tcPr>
          <w:p w14:paraId="70089E6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6" w:type="pct"/>
          </w:tcPr>
          <w:p w14:paraId="15B30B4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6" w:type="pct"/>
          </w:tcPr>
          <w:p w14:paraId="10C54FE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6" w:type="pct"/>
          </w:tcPr>
          <w:p w14:paraId="7C9837D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38C9A351" w14:textId="77777777" w:rsidTr="00834F5A">
        <w:tc>
          <w:tcPr>
            <w:tcW w:w="1832" w:type="pct"/>
          </w:tcPr>
          <w:p w14:paraId="518BB6A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Firm age</w:t>
            </w:r>
          </w:p>
        </w:tc>
        <w:tc>
          <w:tcPr>
            <w:tcW w:w="396" w:type="pct"/>
          </w:tcPr>
          <w:p w14:paraId="77EA897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-0.031</w:t>
            </w:r>
          </w:p>
        </w:tc>
        <w:tc>
          <w:tcPr>
            <w:tcW w:w="396" w:type="pct"/>
          </w:tcPr>
          <w:p w14:paraId="7BA89CE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p>
        </w:tc>
        <w:tc>
          <w:tcPr>
            <w:tcW w:w="396" w:type="pct"/>
          </w:tcPr>
          <w:p w14:paraId="0E9841B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0.009</w:t>
            </w:r>
          </w:p>
        </w:tc>
        <w:tc>
          <w:tcPr>
            <w:tcW w:w="396" w:type="pct"/>
            <w:tcBorders>
              <w:right w:val="single" w:sz="4" w:space="0" w:color="auto"/>
            </w:tcBorders>
          </w:tcPr>
          <w:p w14:paraId="021E677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0.025</w:t>
            </w:r>
          </w:p>
        </w:tc>
        <w:tc>
          <w:tcPr>
            <w:tcW w:w="396" w:type="pct"/>
            <w:tcBorders>
              <w:left w:val="single" w:sz="4" w:space="0" w:color="auto"/>
            </w:tcBorders>
          </w:tcPr>
          <w:p w14:paraId="63752E5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6" w:type="pct"/>
          </w:tcPr>
          <w:p w14:paraId="217F396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6" w:type="pct"/>
          </w:tcPr>
          <w:p w14:paraId="28C978E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6" w:type="pct"/>
          </w:tcPr>
          <w:p w14:paraId="542F61D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r>
      <w:tr w:rsidR="00331AB6" w:rsidRPr="00E1789A" w14:paraId="0866ED32" w14:textId="77777777" w:rsidTr="00834F5A">
        <w:tc>
          <w:tcPr>
            <w:tcW w:w="1832" w:type="pct"/>
          </w:tcPr>
          <w:p w14:paraId="2A8B19F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356FF3C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(0.120)</w:t>
            </w:r>
          </w:p>
        </w:tc>
        <w:tc>
          <w:tcPr>
            <w:tcW w:w="396" w:type="pct"/>
          </w:tcPr>
          <w:p w14:paraId="22E79AA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(0.102)</w:t>
            </w:r>
          </w:p>
        </w:tc>
        <w:tc>
          <w:tcPr>
            <w:tcW w:w="396" w:type="pct"/>
          </w:tcPr>
          <w:p w14:paraId="2A2469C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(0.117)</w:t>
            </w:r>
          </w:p>
        </w:tc>
        <w:tc>
          <w:tcPr>
            <w:tcW w:w="396" w:type="pct"/>
            <w:tcBorders>
              <w:right w:val="single" w:sz="4" w:space="0" w:color="auto"/>
            </w:tcBorders>
          </w:tcPr>
          <w:p w14:paraId="51FA0B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(0.101)</w:t>
            </w:r>
          </w:p>
        </w:tc>
        <w:tc>
          <w:tcPr>
            <w:tcW w:w="396" w:type="pct"/>
            <w:tcBorders>
              <w:left w:val="single" w:sz="4" w:space="0" w:color="auto"/>
            </w:tcBorders>
          </w:tcPr>
          <w:p w14:paraId="009F8BC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6" w:type="pct"/>
          </w:tcPr>
          <w:p w14:paraId="03C2ECA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6" w:type="pct"/>
          </w:tcPr>
          <w:p w14:paraId="67FE5AF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6" w:type="pct"/>
          </w:tcPr>
          <w:p w14:paraId="23F4FBA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r>
      <w:tr w:rsidR="00331AB6" w:rsidRPr="00E1789A" w14:paraId="0670DA74" w14:textId="77777777" w:rsidTr="00834F5A">
        <w:tc>
          <w:tcPr>
            <w:tcW w:w="1832" w:type="pct"/>
          </w:tcPr>
          <w:p w14:paraId="6FA63B2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Leverage</w:t>
            </w:r>
          </w:p>
        </w:tc>
        <w:tc>
          <w:tcPr>
            <w:tcW w:w="396" w:type="pct"/>
          </w:tcPr>
          <w:p w14:paraId="5737420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6" w:type="pct"/>
          </w:tcPr>
          <w:p w14:paraId="7DEC9C5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6" w:type="pct"/>
          </w:tcPr>
          <w:p w14:paraId="7936D6B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6" w:type="pct"/>
            <w:tcBorders>
              <w:right w:val="single" w:sz="4" w:space="0" w:color="auto"/>
            </w:tcBorders>
          </w:tcPr>
          <w:p w14:paraId="47D77F3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6" w:type="pct"/>
            <w:tcBorders>
              <w:left w:val="single" w:sz="4" w:space="0" w:color="auto"/>
            </w:tcBorders>
          </w:tcPr>
          <w:p w14:paraId="3139753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0452BD5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753562F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1C23048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1F646F1B" w14:textId="77777777" w:rsidTr="00834F5A">
        <w:tc>
          <w:tcPr>
            <w:tcW w:w="1832" w:type="pct"/>
          </w:tcPr>
          <w:p w14:paraId="327944D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7152EED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6" w:type="pct"/>
          </w:tcPr>
          <w:p w14:paraId="15A21FF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6" w:type="pct"/>
          </w:tcPr>
          <w:p w14:paraId="07B17A3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6" w:type="pct"/>
            <w:tcBorders>
              <w:right w:val="single" w:sz="4" w:space="0" w:color="auto"/>
            </w:tcBorders>
          </w:tcPr>
          <w:p w14:paraId="3EA9380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6" w:type="pct"/>
            <w:tcBorders>
              <w:left w:val="single" w:sz="4" w:space="0" w:color="auto"/>
            </w:tcBorders>
          </w:tcPr>
          <w:p w14:paraId="7CD79EB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76F1A0F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2EB8D13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033EE85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0510F528" w14:textId="77777777" w:rsidTr="00834F5A">
        <w:tc>
          <w:tcPr>
            <w:tcW w:w="1832" w:type="pct"/>
          </w:tcPr>
          <w:p w14:paraId="6B07314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Knowledge stock</w:t>
            </w:r>
          </w:p>
        </w:tc>
        <w:tc>
          <w:tcPr>
            <w:tcW w:w="396" w:type="pct"/>
          </w:tcPr>
          <w:p w14:paraId="0DFB6DA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0.226</w:t>
            </w:r>
            <w:r w:rsidRPr="00E1789A">
              <w:rPr>
                <w:rFonts w:ascii="Times New Roman" w:hAnsi="Times New Roman" w:cs="Times New Roman"/>
                <w:sz w:val="16"/>
                <w:szCs w:val="16"/>
                <w:vertAlign w:val="superscript"/>
                <w:lang w:val="en-US"/>
              </w:rPr>
              <w:t>*</w:t>
            </w:r>
          </w:p>
        </w:tc>
        <w:tc>
          <w:tcPr>
            <w:tcW w:w="396" w:type="pct"/>
          </w:tcPr>
          <w:p w14:paraId="01AA844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0.261</w:t>
            </w:r>
          </w:p>
        </w:tc>
        <w:tc>
          <w:tcPr>
            <w:tcW w:w="396" w:type="pct"/>
          </w:tcPr>
          <w:p w14:paraId="05A22F4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0.226</w:t>
            </w:r>
            <w:r w:rsidRPr="00E1789A">
              <w:rPr>
                <w:rFonts w:ascii="Times New Roman" w:hAnsi="Times New Roman" w:cs="Times New Roman"/>
                <w:sz w:val="16"/>
                <w:szCs w:val="16"/>
                <w:vertAlign w:val="superscript"/>
                <w:lang w:val="en-US"/>
              </w:rPr>
              <w:t>*</w:t>
            </w:r>
          </w:p>
        </w:tc>
        <w:tc>
          <w:tcPr>
            <w:tcW w:w="396" w:type="pct"/>
            <w:tcBorders>
              <w:right w:val="single" w:sz="4" w:space="0" w:color="auto"/>
            </w:tcBorders>
          </w:tcPr>
          <w:p w14:paraId="39FC7E3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0.255</w:t>
            </w:r>
          </w:p>
        </w:tc>
        <w:tc>
          <w:tcPr>
            <w:tcW w:w="396" w:type="pct"/>
            <w:tcBorders>
              <w:left w:val="single" w:sz="4" w:space="0" w:color="auto"/>
            </w:tcBorders>
          </w:tcPr>
          <w:p w14:paraId="26825F5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r w:rsidRPr="00E1789A">
              <w:rPr>
                <w:rFonts w:ascii="Times New Roman" w:hAnsi="Times New Roman" w:cs="Times New Roman"/>
                <w:sz w:val="16"/>
                <w:szCs w:val="16"/>
                <w:vertAlign w:val="superscript"/>
                <w:lang w:val="en-US"/>
              </w:rPr>
              <w:t>+</w:t>
            </w:r>
          </w:p>
        </w:tc>
        <w:tc>
          <w:tcPr>
            <w:tcW w:w="396" w:type="pct"/>
          </w:tcPr>
          <w:p w14:paraId="7290114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1BF2A82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r w:rsidRPr="00E1789A">
              <w:rPr>
                <w:rFonts w:ascii="Times New Roman" w:hAnsi="Times New Roman" w:cs="Times New Roman"/>
                <w:sz w:val="16"/>
                <w:szCs w:val="16"/>
                <w:vertAlign w:val="superscript"/>
                <w:lang w:val="en-US"/>
              </w:rPr>
              <w:t>**</w:t>
            </w:r>
          </w:p>
        </w:tc>
        <w:tc>
          <w:tcPr>
            <w:tcW w:w="396" w:type="pct"/>
          </w:tcPr>
          <w:p w14:paraId="4728D8C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r>
      <w:tr w:rsidR="00331AB6" w:rsidRPr="00E1789A" w14:paraId="332EB3D1" w14:textId="77777777" w:rsidTr="00834F5A">
        <w:tc>
          <w:tcPr>
            <w:tcW w:w="1832" w:type="pct"/>
          </w:tcPr>
          <w:p w14:paraId="7699AF1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00DFAC2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(0.115)</w:t>
            </w:r>
          </w:p>
        </w:tc>
        <w:tc>
          <w:tcPr>
            <w:tcW w:w="396" w:type="pct"/>
          </w:tcPr>
          <w:p w14:paraId="1FDB114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(0.183)</w:t>
            </w:r>
          </w:p>
        </w:tc>
        <w:tc>
          <w:tcPr>
            <w:tcW w:w="396" w:type="pct"/>
          </w:tcPr>
          <w:p w14:paraId="3232BFD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(0.115)</w:t>
            </w:r>
          </w:p>
        </w:tc>
        <w:tc>
          <w:tcPr>
            <w:tcW w:w="396" w:type="pct"/>
            <w:tcBorders>
              <w:right w:val="single" w:sz="4" w:space="0" w:color="auto"/>
            </w:tcBorders>
          </w:tcPr>
          <w:p w14:paraId="5FF6616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(0.182)</w:t>
            </w:r>
          </w:p>
        </w:tc>
        <w:tc>
          <w:tcPr>
            <w:tcW w:w="396" w:type="pct"/>
            <w:tcBorders>
              <w:left w:val="single" w:sz="4" w:space="0" w:color="auto"/>
            </w:tcBorders>
          </w:tcPr>
          <w:p w14:paraId="0A046B4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6" w:type="pct"/>
          </w:tcPr>
          <w:p w14:paraId="6694485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Pr>
          <w:p w14:paraId="61A7879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6" w:type="pct"/>
          </w:tcPr>
          <w:p w14:paraId="7308C9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1A82CF88" w14:textId="77777777" w:rsidTr="00834F5A">
        <w:tc>
          <w:tcPr>
            <w:tcW w:w="1832" w:type="pct"/>
          </w:tcPr>
          <w:p w14:paraId="21B5200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Current ratio</w:t>
            </w:r>
          </w:p>
        </w:tc>
        <w:tc>
          <w:tcPr>
            <w:tcW w:w="396" w:type="pct"/>
          </w:tcPr>
          <w:p w14:paraId="3C9ABB3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0.182</w:t>
            </w:r>
          </w:p>
        </w:tc>
        <w:tc>
          <w:tcPr>
            <w:tcW w:w="396" w:type="pct"/>
          </w:tcPr>
          <w:p w14:paraId="170CB41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0.187</w:t>
            </w:r>
          </w:p>
        </w:tc>
        <w:tc>
          <w:tcPr>
            <w:tcW w:w="396" w:type="pct"/>
          </w:tcPr>
          <w:p w14:paraId="5D6606B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0.180</w:t>
            </w:r>
          </w:p>
        </w:tc>
        <w:tc>
          <w:tcPr>
            <w:tcW w:w="396" w:type="pct"/>
            <w:tcBorders>
              <w:right w:val="single" w:sz="4" w:space="0" w:color="auto"/>
            </w:tcBorders>
          </w:tcPr>
          <w:p w14:paraId="2E1D4A7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0.184</w:t>
            </w:r>
          </w:p>
        </w:tc>
        <w:tc>
          <w:tcPr>
            <w:tcW w:w="396" w:type="pct"/>
            <w:tcBorders>
              <w:left w:val="single" w:sz="4" w:space="0" w:color="auto"/>
            </w:tcBorders>
          </w:tcPr>
          <w:p w14:paraId="34BE8DD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96" w:type="pct"/>
          </w:tcPr>
          <w:p w14:paraId="0D5496C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0.065</w:t>
            </w:r>
            <w:r w:rsidRPr="00E1789A">
              <w:rPr>
                <w:rFonts w:ascii="Times New Roman" w:hAnsi="Times New Roman" w:cs="Times New Roman"/>
                <w:sz w:val="16"/>
                <w:szCs w:val="16"/>
                <w:vertAlign w:val="superscript"/>
                <w:lang w:val="en-US"/>
              </w:rPr>
              <w:t>**</w:t>
            </w:r>
          </w:p>
        </w:tc>
        <w:tc>
          <w:tcPr>
            <w:tcW w:w="396" w:type="pct"/>
          </w:tcPr>
          <w:p w14:paraId="0128F4B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0.066</w:t>
            </w:r>
            <w:r w:rsidRPr="00E1789A">
              <w:rPr>
                <w:rFonts w:ascii="Times New Roman" w:hAnsi="Times New Roman" w:cs="Times New Roman"/>
                <w:sz w:val="16"/>
                <w:szCs w:val="16"/>
                <w:vertAlign w:val="superscript"/>
                <w:lang w:val="en-US"/>
              </w:rPr>
              <w:t>**</w:t>
            </w:r>
          </w:p>
        </w:tc>
        <w:tc>
          <w:tcPr>
            <w:tcW w:w="396" w:type="pct"/>
          </w:tcPr>
          <w:p w14:paraId="1B40A83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0.065</w:t>
            </w:r>
            <w:r w:rsidRPr="00E1789A">
              <w:rPr>
                <w:rFonts w:ascii="Times New Roman" w:hAnsi="Times New Roman" w:cs="Times New Roman"/>
                <w:sz w:val="16"/>
                <w:szCs w:val="16"/>
                <w:vertAlign w:val="superscript"/>
                <w:lang w:val="en-US"/>
              </w:rPr>
              <w:t>**</w:t>
            </w:r>
          </w:p>
        </w:tc>
      </w:tr>
      <w:tr w:rsidR="00331AB6" w:rsidRPr="00E1789A" w14:paraId="3CBF39CD" w14:textId="77777777" w:rsidTr="00834F5A">
        <w:tc>
          <w:tcPr>
            <w:tcW w:w="1832" w:type="pct"/>
          </w:tcPr>
          <w:p w14:paraId="2760493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33E4C88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(0.122)</w:t>
            </w:r>
          </w:p>
        </w:tc>
        <w:tc>
          <w:tcPr>
            <w:tcW w:w="396" w:type="pct"/>
          </w:tcPr>
          <w:p w14:paraId="6AED146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(0.115)</w:t>
            </w:r>
          </w:p>
        </w:tc>
        <w:tc>
          <w:tcPr>
            <w:tcW w:w="396" w:type="pct"/>
          </w:tcPr>
          <w:p w14:paraId="2434AE9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(0.120)</w:t>
            </w:r>
          </w:p>
        </w:tc>
        <w:tc>
          <w:tcPr>
            <w:tcW w:w="396" w:type="pct"/>
            <w:tcBorders>
              <w:right w:val="single" w:sz="4" w:space="0" w:color="auto"/>
            </w:tcBorders>
          </w:tcPr>
          <w:p w14:paraId="1419A53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(0.113)</w:t>
            </w:r>
          </w:p>
        </w:tc>
        <w:tc>
          <w:tcPr>
            <w:tcW w:w="396" w:type="pct"/>
            <w:tcBorders>
              <w:left w:val="single" w:sz="4" w:space="0" w:color="auto"/>
            </w:tcBorders>
          </w:tcPr>
          <w:p w14:paraId="36E37C0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6" w:type="pct"/>
          </w:tcPr>
          <w:p w14:paraId="501A04F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6" w:type="pct"/>
          </w:tcPr>
          <w:p w14:paraId="113D4B3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c>
          <w:tcPr>
            <w:tcW w:w="396" w:type="pct"/>
          </w:tcPr>
          <w:p w14:paraId="777ACAB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(0.023)</w:t>
            </w:r>
          </w:p>
        </w:tc>
      </w:tr>
      <w:tr w:rsidR="00331AB6" w:rsidRPr="00E1789A" w14:paraId="5ABA60DB" w14:textId="77777777" w:rsidTr="00834F5A">
        <w:tc>
          <w:tcPr>
            <w:tcW w:w="1832" w:type="pct"/>
          </w:tcPr>
          <w:p w14:paraId="0F19423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R&amp;D intensity</w:t>
            </w:r>
          </w:p>
        </w:tc>
        <w:tc>
          <w:tcPr>
            <w:tcW w:w="396" w:type="pct"/>
          </w:tcPr>
          <w:p w14:paraId="570E228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0.839</w:t>
            </w:r>
          </w:p>
        </w:tc>
        <w:tc>
          <w:tcPr>
            <w:tcW w:w="396" w:type="pct"/>
          </w:tcPr>
          <w:p w14:paraId="544F7A1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0.867</w:t>
            </w:r>
          </w:p>
        </w:tc>
        <w:tc>
          <w:tcPr>
            <w:tcW w:w="396" w:type="pct"/>
          </w:tcPr>
          <w:p w14:paraId="080CD26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0.979</w:t>
            </w:r>
          </w:p>
        </w:tc>
        <w:tc>
          <w:tcPr>
            <w:tcW w:w="396" w:type="pct"/>
            <w:tcBorders>
              <w:right w:val="single" w:sz="4" w:space="0" w:color="auto"/>
            </w:tcBorders>
          </w:tcPr>
          <w:p w14:paraId="6EEF81E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1.001</w:t>
            </w:r>
          </w:p>
        </w:tc>
        <w:tc>
          <w:tcPr>
            <w:tcW w:w="396" w:type="pct"/>
            <w:tcBorders>
              <w:left w:val="single" w:sz="4" w:space="0" w:color="auto"/>
            </w:tcBorders>
          </w:tcPr>
          <w:p w14:paraId="7557F46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0.356</w:t>
            </w:r>
          </w:p>
        </w:tc>
        <w:tc>
          <w:tcPr>
            <w:tcW w:w="396" w:type="pct"/>
          </w:tcPr>
          <w:p w14:paraId="4A48F4B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0.349</w:t>
            </w:r>
          </w:p>
        </w:tc>
        <w:tc>
          <w:tcPr>
            <w:tcW w:w="396" w:type="pct"/>
          </w:tcPr>
          <w:p w14:paraId="6BE0880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0.395</w:t>
            </w:r>
          </w:p>
        </w:tc>
        <w:tc>
          <w:tcPr>
            <w:tcW w:w="396" w:type="pct"/>
          </w:tcPr>
          <w:p w14:paraId="1FCEC72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0.389</w:t>
            </w:r>
          </w:p>
        </w:tc>
      </w:tr>
      <w:tr w:rsidR="00331AB6" w:rsidRPr="00E1789A" w14:paraId="6313A8C3" w14:textId="77777777" w:rsidTr="00834F5A">
        <w:tc>
          <w:tcPr>
            <w:tcW w:w="1832" w:type="pct"/>
          </w:tcPr>
          <w:p w14:paraId="3B2294E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38B7A94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(3.602)</w:t>
            </w:r>
          </w:p>
        </w:tc>
        <w:tc>
          <w:tcPr>
            <w:tcW w:w="396" w:type="pct"/>
          </w:tcPr>
          <w:p w14:paraId="78E6D61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(3.610)</w:t>
            </w:r>
          </w:p>
        </w:tc>
        <w:tc>
          <w:tcPr>
            <w:tcW w:w="396" w:type="pct"/>
          </w:tcPr>
          <w:p w14:paraId="4AAF6E5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(3.591)</w:t>
            </w:r>
          </w:p>
        </w:tc>
        <w:tc>
          <w:tcPr>
            <w:tcW w:w="396" w:type="pct"/>
            <w:tcBorders>
              <w:right w:val="single" w:sz="4" w:space="0" w:color="auto"/>
            </w:tcBorders>
          </w:tcPr>
          <w:p w14:paraId="4728FEE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(3.595)</w:t>
            </w:r>
          </w:p>
        </w:tc>
        <w:tc>
          <w:tcPr>
            <w:tcW w:w="396" w:type="pct"/>
            <w:tcBorders>
              <w:left w:val="single" w:sz="4" w:space="0" w:color="auto"/>
            </w:tcBorders>
          </w:tcPr>
          <w:p w14:paraId="0AC7FB6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(0.344)</w:t>
            </w:r>
          </w:p>
        </w:tc>
        <w:tc>
          <w:tcPr>
            <w:tcW w:w="396" w:type="pct"/>
          </w:tcPr>
          <w:p w14:paraId="350542B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(0.341)</w:t>
            </w:r>
          </w:p>
        </w:tc>
        <w:tc>
          <w:tcPr>
            <w:tcW w:w="396" w:type="pct"/>
          </w:tcPr>
          <w:p w14:paraId="25DD303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(0.332)</w:t>
            </w:r>
          </w:p>
        </w:tc>
        <w:tc>
          <w:tcPr>
            <w:tcW w:w="396" w:type="pct"/>
          </w:tcPr>
          <w:p w14:paraId="318F574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(0.329)</w:t>
            </w:r>
          </w:p>
        </w:tc>
      </w:tr>
      <w:tr w:rsidR="00331AB6" w:rsidRPr="00E1789A" w14:paraId="62FD151C" w14:textId="77777777" w:rsidTr="00834F5A">
        <w:tc>
          <w:tcPr>
            <w:tcW w:w="1832" w:type="pct"/>
          </w:tcPr>
          <w:p w14:paraId="043E319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Business group affiliation</w:t>
            </w:r>
          </w:p>
        </w:tc>
        <w:tc>
          <w:tcPr>
            <w:tcW w:w="396" w:type="pct"/>
          </w:tcPr>
          <w:p w14:paraId="6101EF4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-0.236</w:t>
            </w:r>
          </w:p>
        </w:tc>
        <w:tc>
          <w:tcPr>
            <w:tcW w:w="396" w:type="pct"/>
          </w:tcPr>
          <w:p w14:paraId="2246880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-0.243</w:t>
            </w:r>
          </w:p>
        </w:tc>
        <w:tc>
          <w:tcPr>
            <w:tcW w:w="396" w:type="pct"/>
          </w:tcPr>
          <w:p w14:paraId="06DD8F0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-0.222</w:t>
            </w:r>
          </w:p>
        </w:tc>
        <w:tc>
          <w:tcPr>
            <w:tcW w:w="396" w:type="pct"/>
            <w:tcBorders>
              <w:right w:val="single" w:sz="4" w:space="0" w:color="auto"/>
            </w:tcBorders>
          </w:tcPr>
          <w:p w14:paraId="7CC587A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-0.228</w:t>
            </w:r>
          </w:p>
        </w:tc>
        <w:tc>
          <w:tcPr>
            <w:tcW w:w="396" w:type="pct"/>
            <w:tcBorders>
              <w:left w:val="single" w:sz="4" w:space="0" w:color="auto"/>
            </w:tcBorders>
          </w:tcPr>
          <w:p w14:paraId="40F2697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6" w:type="pct"/>
          </w:tcPr>
          <w:p w14:paraId="2EC4B28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6" w:type="pct"/>
          </w:tcPr>
          <w:p w14:paraId="4B00C22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Pr>
          <w:p w14:paraId="772509F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627356F8" w14:textId="77777777" w:rsidTr="00834F5A">
        <w:tc>
          <w:tcPr>
            <w:tcW w:w="1832" w:type="pct"/>
          </w:tcPr>
          <w:p w14:paraId="221FCA16"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38986B9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(0.221)</w:t>
            </w:r>
          </w:p>
        </w:tc>
        <w:tc>
          <w:tcPr>
            <w:tcW w:w="396" w:type="pct"/>
          </w:tcPr>
          <w:p w14:paraId="4A6418C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(0.239)</w:t>
            </w:r>
          </w:p>
        </w:tc>
        <w:tc>
          <w:tcPr>
            <w:tcW w:w="396" w:type="pct"/>
          </w:tcPr>
          <w:p w14:paraId="7D18835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(0.220)</w:t>
            </w:r>
          </w:p>
        </w:tc>
        <w:tc>
          <w:tcPr>
            <w:tcW w:w="396" w:type="pct"/>
            <w:tcBorders>
              <w:right w:val="single" w:sz="4" w:space="0" w:color="auto"/>
            </w:tcBorders>
          </w:tcPr>
          <w:p w14:paraId="30732E5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(0.238)</w:t>
            </w:r>
          </w:p>
        </w:tc>
        <w:tc>
          <w:tcPr>
            <w:tcW w:w="396" w:type="pct"/>
            <w:tcBorders>
              <w:left w:val="single" w:sz="4" w:space="0" w:color="auto"/>
            </w:tcBorders>
          </w:tcPr>
          <w:p w14:paraId="4DC4BC8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6" w:type="pct"/>
          </w:tcPr>
          <w:p w14:paraId="0F82795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6" w:type="pct"/>
          </w:tcPr>
          <w:p w14:paraId="1B75CBB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c>
          <w:tcPr>
            <w:tcW w:w="396" w:type="pct"/>
          </w:tcPr>
          <w:p w14:paraId="1114B51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(0.011)</w:t>
            </w:r>
          </w:p>
        </w:tc>
      </w:tr>
      <w:tr w:rsidR="00331AB6" w:rsidRPr="00E1789A" w14:paraId="5DB54854" w14:textId="77777777" w:rsidTr="00834F5A">
        <w:tc>
          <w:tcPr>
            <w:tcW w:w="1832" w:type="pct"/>
          </w:tcPr>
          <w:p w14:paraId="7DDC435A"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diversity</w:t>
            </w:r>
          </w:p>
        </w:tc>
        <w:tc>
          <w:tcPr>
            <w:tcW w:w="396" w:type="pct"/>
          </w:tcPr>
          <w:p w14:paraId="0610DD0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6" w:type="pct"/>
          </w:tcPr>
          <w:p w14:paraId="4FFCA08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6" w:type="pct"/>
          </w:tcPr>
          <w:p w14:paraId="29A710F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0.002</w:t>
            </w:r>
          </w:p>
        </w:tc>
        <w:tc>
          <w:tcPr>
            <w:tcW w:w="396" w:type="pct"/>
            <w:tcBorders>
              <w:right w:val="single" w:sz="4" w:space="0" w:color="auto"/>
            </w:tcBorders>
          </w:tcPr>
          <w:p w14:paraId="0943B1B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6" w:type="pct"/>
            <w:tcBorders>
              <w:left w:val="single" w:sz="4" w:space="0" w:color="auto"/>
            </w:tcBorders>
          </w:tcPr>
          <w:p w14:paraId="0505CA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4A3DC2E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Pr>
          <w:p w14:paraId="3E6A6F7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c>
          <w:tcPr>
            <w:tcW w:w="396" w:type="pct"/>
          </w:tcPr>
          <w:p w14:paraId="1442B20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0.001</w:t>
            </w:r>
          </w:p>
        </w:tc>
      </w:tr>
      <w:tr w:rsidR="00331AB6" w:rsidRPr="00E1789A" w14:paraId="656D06D0" w14:textId="77777777" w:rsidTr="00834F5A">
        <w:tc>
          <w:tcPr>
            <w:tcW w:w="1832" w:type="pct"/>
          </w:tcPr>
          <w:p w14:paraId="0EA4B3C8"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5F91BD6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(0.082)</w:t>
            </w:r>
          </w:p>
        </w:tc>
        <w:tc>
          <w:tcPr>
            <w:tcW w:w="396" w:type="pct"/>
          </w:tcPr>
          <w:p w14:paraId="751BBF4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(0.082)</w:t>
            </w:r>
          </w:p>
        </w:tc>
        <w:tc>
          <w:tcPr>
            <w:tcW w:w="396" w:type="pct"/>
          </w:tcPr>
          <w:p w14:paraId="4486F79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(0.083)</w:t>
            </w:r>
          </w:p>
        </w:tc>
        <w:tc>
          <w:tcPr>
            <w:tcW w:w="396" w:type="pct"/>
            <w:tcBorders>
              <w:right w:val="single" w:sz="4" w:space="0" w:color="auto"/>
            </w:tcBorders>
          </w:tcPr>
          <w:p w14:paraId="08D5373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(0.083)</w:t>
            </w:r>
          </w:p>
        </w:tc>
        <w:tc>
          <w:tcPr>
            <w:tcW w:w="396" w:type="pct"/>
            <w:tcBorders>
              <w:left w:val="single" w:sz="4" w:space="0" w:color="auto"/>
            </w:tcBorders>
          </w:tcPr>
          <w:p w14:paraId="76B33CB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6" w:type="pct"/>
          </w:tcPr>
          <w:p w14:paraId="552E657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6" w:type="pct"/>
          </w:tcPr>
          <w:p w14:paraId="6FF69C3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6" w:type="pct"/>
          </w:tcPr>
          <w:p w14:paraId="62D3764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239B1355" w14:textId="77777777" w:rsidTr="00834F5A">
        <w:tc>
          <w:tcPr>
            <w:tcW w:w="1832" w:type="pct"/>
          </w:tcPr>
          <w:p w14:paraId="22AB39EC"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IMR_ID</w:t>
            </w:r>
          </w:p>
        </w:tc>
        <w:tc>
          <w:tcPr>
            <w:tcW w:w="396" w:type="pct"/>
          </w:tcPr>
          <w:p w14:paraId="1DD9DCD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-0.219</w:t>
            </w:r>
            <w:r w:rsidRPr="00E1789A">
              <w:rPr>
                <w:rFonts w:ascii="Times New Roman" w:hAnsi="Times New Roman" w:cs="Times New Roman"/>
                <w:sz w:val="16"/>
                <w:szCs w:val="16"/>
                <w:vertAlign w:val="superscript"/>
                <w:lang w:val="en-US"/>
              </w:rPr>
              <w:t>*</w:t>
            </w:r>
          </w:p>
        </w:tc>
        <w:tc>
          <w:tcPr>
            <w:tcW w:w="396" w:type="pct"/>
          </w:tcPr>
          <w:p w14:paraId="49F9F03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-0.217</w:t>
            </w:r>
            <w:r w:rsidRPr="00E1789A">
              <w:rPr>
                <w:rFonts w:ascii="Times New Roman" w:hAnsi="Times New Roman" w:cs="Times New Roman"/>
                <w:sz w:val="16"/>
                <w:szCs w:val="16"/>
                <w:vertAlign w:val="superscript"/>
                <w:lang w:val="en-US"/>
              </w:rPr>
              <w:t>*</w:t>
            </w:r>
          </w:p>
        </w:tc>
        <w:tc>
          <w:tcPr>
            <w:tcW w:w="396" w:type="pct"/>
          </w:tcPr>
          <w:p w14:paraId="1481F64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-0.223</w:t>
            </w:r>
            <w:r w:rsidRPr="00E1789A">
              <w:rPr>
                <w:rFonts w:ascii="Times New Roman" w:hAnsi="Times New Roman" w:cs="Times New Roman"/>
                <w:sz w:val="16"/>
                <w:szCs w:val="16"/>
                <w:vertAlign w:val="superscript"/>
                <w:lang w:val="en-US"/>
              </w:rPr>
              <w:t>*</w:t>
            </w:r>
          </w:p>
        </w:tc>
        <w:tc>
          <w:tcPr>
            <w:tcW w:w="396" w:type="pct"/>
            <w:tcBorders>
              <w:right w:val="single" w:sz="4" w:space="0" w:color="auto"/>
            </w:tcBorders>
          </w:tcPr>
          <w:p w14:paraId="58D0E7E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-0.221</w:t>
            </w:r>
            <w:r w:rsidRPr="00E1789A">
              <w:rPr>
                <w:rFonts w:ascii="Times New Roman" w:hAnsi="Times New Roman" w:cs="Times New Roman"/>
                <w:sz w:val="16"/>
                <w:szCs w:val="16"/>
                <w:vertAlign w:val="superscript"/>
                <w:lang w:val="en-US"/>
              </w:rPr>
              <w:t>*</w:t>
            </w:r>
          </w:p>
        </w:tc>
        <w:tc>
          <w:tcPr>
            <w:tcW w:w="396" w:type="pct"/>
            <w:tcBorders>
              <w:left w:val="single" w:sz="4" w:space="0" w:color="auto"/>
            </w:tcBorders>
          </w:tcPr>
          <w:p w14:paraId="615CEC3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r w:rsidRPr="00E1789A">
              <w:rPr>
                <w:rFonts w:ascii="Times New Roman" w:hAnsi="Times New Roman" w:cs="Times New Roman"/>
                <w:sz w:val="16"/>
                <w:szCs w:val="16"/>
                <w:vertAlign w:val="superscript"/>
                <w:lang w:val="en-US"/>
              </w:rPr>
              <w:t>+</w:t>
            </w:r>
          </w:p>
        </w:tc>
        <w:tc>
          <w:tcPr>
            <w:tcW w:w="396" w:type="pct"/>
          </w:tcPr>
          <w:p w14:paraId="44DF0AB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r w:rsidRPr="00E1789A">
              <w:rPr>
                <w:rFonts w:ascii="Times New Roman" w:hAnsi="Times New Roman" w:cs="Times New Roman"/>
                <w:sz w:val="16"/>
                <w:szCs w:val="16"/>
                <w:vertAlign w:val="superscript"/>
                <w:lang w:val="en-US"/>
              </w:rPr>
              <w:t>+</w:t>
            </w:r>
          </w:p>
        </w:tc>
        <w:tc>
          <w:tcPr>
            <w:tcW w:w="396" w:type="pct"/>
          </w:tcPr>
          <w:p w14:paraId="3BABF22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Pr>
          <w:p w14:paraId="4E76189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4377DC8E" w14:textId="77777777" w:rsidTr="00834F5A">
        <w:tc>
          <w:tcPr>
            <w:tcW w:w="1832" w:type="pct"/>
          </w:tcPr>
          <w:p w14:paraId="0F41649F"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5ABDD8D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(0.108)</w:t>
            </w:r>
          </w:p>
        </w:tc>
        <w:tc>
          <w:tcPr>
            <w:tcW w:w="396" w:type="pct"/>
          </w:tcPr>
          <w:p w14:paraId="403488F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(0.105)</w:t>
            </w:r>
          </w:p>
        </w:tc>
        <w:tc>
          <w:tcPr>
            <w:tcW w:w="396" w:type="pct"/>
          </w:tcPr>
          <w:p w14:paraId="3A777C4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(0.110)</w:t>
            </w:r>
          </w:p>
        </w:tc>
        <w:tc>
          <w:tcPr>
            <w:tcW w:w="396" w:type="pct"/>
            <w:tcBorders>
              <w:right w:val="single" w:sz="4" w:space="0" w:color="auto"/>
            </w:tcBorders>
          </w:tcPr>
          <w:p w14:paraId="14E7254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(0.106)</w:t>
            </w:r>
          </w:p>
        </w:tc>
        <w:tc>
          <w:tcPr>
            <w:tcW w:w="396" w:type="pct"/>
            <w:tcBorders>
              <w:left w:val="single" w:sz="4" w:space="0" w:color="auto"/>
            </w:tcBorders>
          </w:tcPr>
          <w:p w14:paraId="028EEA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6" w:type="pct"/>
          </w:tcPr>
          <w:p w14:paraId="3FCE5B7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6" w:type="pct"/>
          </w:tcPr>
          <w:p w14:paraId="6A97FC4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c>
          <w:tcPr>
            <w:tcW w:w="396" w:type="pct"/>
          </w:tcPr>
          <w:p w14:paraId="63B575D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(0.003)</w:t>
            </w:r>
          </w:p>
        </w:tc>
      </w:tr>
      <w:tr w:rsidR="00331AB6" w:rsidRPr="00E1789A" w14:paraId="7F943DFF" w14:textId="77777777" w:rsidTr="00834F5A">
        <w:tc>
          <w:tcPr>
            <w:tcW w:w="1832" w:type="pct"/>
          </w:tcPr>
          <w:p w14:paraId="685506A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Year dummies included</w:t>
            </w:r>
          </w:p>
        </w:tc>
        <w:tc>
          <w:tcPr>
            <w:tcW w:w="396" w:type="pct"/>
          </w:tcPr>
          <w:p w14:paraId="20EE2BE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6C17564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5656747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Borders>
              <w:right w:val="single" w:sz="4" w:space="0" w:color="auto"/>
            </w:tcBorders>
          </w:tcPr>
          <w:p w14:paraId="4DBF68A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Borders>
              <w:left w:val="single" w:sz="4" w:space="0" w:color="auto"/>
            </w:tcBorders>
          </w:tcPr>
          <w:p w14:paraId="431DA91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63EC2DC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76A4BFA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295A12E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03B2A32A" w14:textId="77777777" w:rsidTr="00834F5A">
        <w:tc>
          <w:tcPr>
            <w:tcW w:w="1832" w:type="pct"/>
          </w:tcPr>
          <w:p w14:paraId="751B592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Industry dummy included</w:t>
            </w:r>
          </w:p>
        </w:tc>
        <w:tc>
          <w:tcPr>
            <w:tcW w:w="396" w:type="pct"/>
          </w:tcPr>
          <w:p w14:paraId="3538B87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5C08773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4BD2E46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Borders>
              <w:right w:val="single" w:sz="4" w:space="0" w:color="auto"/>
            </w:tcBorders>
          </w:tcPr>
          <w:p w14:paraId="749138A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Borders>
              <w:left w:val="single" w:sz="4" w:space="0" w:color="auto"/>
            </w:tcBorders>
          </w:tcPr>
          <w:p w14:paraId="02384F5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4547A3A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685F081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c>
          <w:tcPr>
            <w:tcW w:w="396" w:type="pct"/>
          </w:tcPr>
          <w:p w14:paraId="20C6BFA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Yes</w:t>
            </w:r>
          </w:p>
        </w:tc>
      </w:tr>
      <w:tr w:rsidR="00331AB6" w:rsidRPr="00E1789A" w14:paraId="15886ED5" w14:textId="77777777" w:rsidTr="00834F5A">
        <w:tc>
          <w:tcPr>
            <w:tcW w:w="1832" w:type="pct"/>
          </w:tcPr>
          <w:p w14:paraId="772A38A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diversification experience unrelatedness</w:t>
            </w:r>
          </w:p>
        </w:tc>
        <w:tc>
          <w:tcPr>
            <w:tcW w:w="396" w:type="pct"/>
          </w:tcPr>
          <w:p w14:paraId="29CC59E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0.118</w:t>
            </w:r>
          </w:p>
        </w:tc>
        <w:tc>
          <w:tcPr>
            <w:tcW w:w="396" w:type="pct"/>
          </w:tcPr>
          <w:p w14:paraId="1FA2AB4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0.122</w:t>
            </w:r>
          </w:p>
        </w:tc>
        <w:tc>
          <w:tcPr>
            <w:tcW w:w="396" w:type="pct"/>
          </w:tcPr>
          <w:p w14:paraId="3E92400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0.115</w:t>
            </w:r>
          </w:p>
        </w:tc>
        <w:tc>
          <w:tcPr>
            <w:tcW w:w="396" w:type="pct"/>
            <w:tcBorders>
              <w:right w:val="single" w:sz="4" w:space="0" w:color="auto"/>
            </w:tcBorders>
          </w:tcPr>
          <w:p w14:paraId="0BB00A7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0.118</w:t>
            </w:r>
          </w:p>
        </w:tc>
        <w:tc>
          <w:tcPr>
            <w:tcW w:w="396" w:type="pct"/>
            <w:tcBorders>
              <w:left w:val="single" w:sz="4" w:space="0" w:color="auto"/>
            </w:tcBorders>
          </w:tcPr>
          <w:p w14:paraId="7B8E459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6" w:type="pct"/>
          </w:tcPr>
          <w:p w14:paraId="1C11250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c>
          <w:tcPr>
            <w:tcW w:w="396" w:type="pct"/>
          </w:tcPr>
          <w:p w14:paraId="58C534C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6" w:type="pct"/>
          </w:tcPr>
          <w:p w14:paraId="2087D1C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6719A409" w14:textId="77777777" w:rsidTr="00834F5A">
        <w:tc>
          <w:tcPr>
            <w:tcW w:w="1832" w:type="pct"/>
          </w:tcPr>
          <w:p w14:paraId="2E108E3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4C2B92B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(0.083)</w:t>
            </w:r>
          </w:p>
        </w:tc>
        <w:tc>
          <w:tcPr>
            <w:tcW w:w="396" w:type="pct"/>
          </w:tcPr>
          <w:p w14:paraId="3EA94B8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(0.085)</w:t>
            </w:r>
          </w:p>
        </w:tc>
        <w:tc>
          <w:tcPr>
            <w:tcW w:w="396" w:type="pct"/>
          </w:tcPr>
          <w:p w14:paraId="7FC459D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(0.082)</w:t>
            </w:r>
          </w:p>
        </w:tc>
        <w:tc>
          <w:tcPr>
            <w:tcW w:w="396" w:type="pct"/>
            <w:tcBorders>
              <w:right w:val="single" w:sz="4" w:space="0" w:color="auto"/>
            </w:tcBorders>
          </w:tcPr>
          <w:p w14:paraId="2AB712A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(0.084)</w:t>
            </w:r>
          </w:p>
        </w:tc>
        <w:tc>
          <w:tcPr>
            <w:tcW w:w="396" w:type="pct"/>
            <w:tcBorders>
              <w:left w:val="single" w:sz="4" w:space="0" w:color="auto"/>
            </w:tcBorders>
          </w:tcPr>
          <w:p w14:paraId="4C53553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Pr>
          <w:p w14:paraId="33F973A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Pr>
          <w:p w14:paraId="03D5AE0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Pr>
          <w:p w14:paraId="3780E68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54EBDC9C" w14:textId="77777777" w:rsidTr="00834F5A">
        <w:tc>
          <w:tcPr>
            <w:tcW w:w="1832" w:type="pct"/>
          </w:tcPr>
          <w:p w14:paraId="5DB6CDED"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Patent stock diversity</w:t>
            </w:r>
          </w:p>
        </w:tc>
        <w:tc>
          <w:tcPr>
            <w:tcW w:w="396" w:type="pct"/>
          </w:tcPr>
          <w:p w14:paraId="4906E31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284231E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-0.114</w:t>
            </w:r>
          </w:p>
        </w:tc>
        <w:tc>
          <w:tcPr>
            <w:tcW w:w="396" w:type="pct"/>
          </w:tcPr>
          <w:p w14:paraId="0E81819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Borders>
              <w:right w:val="single" w:sz="4" w:space="0" w:color="auto"/>
            </w:tcBorders>
          </w:tcPr>
          <w:p w14:paraId="1955AF2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-0.102</w:t>
            </w:r>
          </w:p>
        </w:tc>
        <w:tc>
          <w:tcPr>
            <w:tcW w:w="396" w:type="pct"/>
            <w:tcBorders>
              <w:left w:val="single" w:sz="4" w:space="0" w:color="auto"/>
            </w:tcBorders>
          </w:tcPr>
          <w:p w14:paraId="072CA26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565F880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0.012</w:t>
            </w:r>
            <w:r w:rsidRPr="00E1789A">
              <w:rPr>
                <w:rFonts w:ascii="Times New Roman" w:hAnsi="Times New Roman" w:cs="Times New Roman"/>
                <w:sz w:val="16"/>
                <w:szCs w:val="16"/>
                <w:vertAlign w:val="superscript"/>
                <w:lang w:val="en-US"/>
              </w:rPr>
              <w:t>+</w:t>
            </w:r>
          </w:p>
        </w:tc>
        <w:tc>
          <w:tcPr>
            <w:tcW w:w="396" w:type="pct"/>
          </w:tcPr>
          <w:p w14:paraId="29F29EB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5BBF4CA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0.014</w:t>
            </w:r>
            <w:r w:rsidRPr="00E1789A">
              <w:rPr>
                <w:rFonts w:ascii="Times New Roman" w:hAnsi="Times New Roman" w:cs="Times New Roman"/>
                <w:sz w:val="16"/>
                <w:szCs w:val="16"/>
                <w:vertAlign w:val="superscript"/>
                <w:lang w:val="en-US"/>
              </w:rPr>
              <w:t>*</w:t>
            </w:r>
          </w:p>
        </w:tc>
      </w:tr>
      <w:tr w:rsidR="00331AB6" w:rsidRPr="00E1789A" w14:paraId="1CD601CA" w14:textId="77777777" w:rsidTr="00834F5A">
        <w:tc>
          <w:tcPr>
            <w:tcW w:w="1832" w:type="pct"/>
          </w:tcPr>
          <w:p w14:paraId="777B2CE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4B75964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7912A98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(0.184)</w:t>
            </w:r>
          </w:p>
        </w:tc>
        <w:tc>
          <w:tcPr>
            <w:tcW w:w="396" w:type="pct"/>
          </w:tcPr>
          <w:p w14:paraId="5BFDD54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Borders>
              <w:right w:val="single" w:sz="4" w:space="0" w:color="auto"/>
            </w:tcBorders>
          </w:tcPr>
          <w:p w14:paraId="33EB610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(0.182)</w:t>
            </w:r>
          </w:p>
        </w:tc>
        <w:tc>
          <w:tcPr>
            <w:tcW w:w="396" w:type="pct"/>
            <w:tcBorders>
              <w:left w:val="single" w:sz="4" w:space="0" w:color="auto"/>
            </w:tcBorders>
          </w:tcPr>
          <w:p w14:paraId="67F7174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0D44B35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tc>
        <w:tc>
          <w:tcPr>
            <w:tcW w:w="396" w:type="pct"/>
          </w:tcPr>
          <w:p w14:paraId="1FA010E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5AB6408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(0.006)</w:t>
            </w:r>
          </w:p>
        </w:tc>
      </w:tr>
      <w:tr w:rsidR="00331AB6" w:rsidRPr="00E1789A" w14:paraId="2E7F0AB0" w14:textId="77777777" w:rsidTr="00834F5A">
        <w:tc>
          <w:tcPr>
            <w:tcW w:w="1832" w:type="pct"/>
          </w:tcPr>
          <w:p w14:paraId="590F6332"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diversification experience unrelatedness × Patent stock diversity (H2b)</w:t>
            </w:r>
          </w:p>
        </w:tc>
        <w:tc>
          <w:tcPr>
            <w:tcW w:w="396" w:type="pct"/>
          </w:tcPr>
          <w:p w14:paraId="3E5D539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1D5C032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0.038</w:t>
            </w:r>
          </w:p>
          <w:p w14:paraId="6DF18CF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(0.059)</w:t>
            </w:r>
          </w:p>
        </w:tc>
        <w:tc>
          <w:tcPr>
            <w:tcW w:w="396" w:type="pct"/>
          </w:tcPr>
          <w:p w14:paraId="66BAAAF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Borders>
              <w:right w:val="single" w:sz="4" w:space="0" w:color="auto"/>
            </w:tcBorders>
          </w:tcPr>
          <w:p w14:paraId="223E871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0.040</w:t>
            </w:r>
          </w:p>
          <w:p w14:paraId="53D1A61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(0.057)</w:t>
            </w:r>
          </w:p>
        </w:tc>
        <w:tc>
          <w:tcPr>
            <w:tcW w:w="396" w:type="pct"/>
            <w:tcBorders>
              <w:left w:val="single" w:sz="4" w:space="0" w:color="auto"/>
            </w:tcBorders>
          </w:tcPr>
          <w:p w14:paraId="2CDDC2A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52817C0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p w14:paraId="4C7EE51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6" w:type="pct"/>
          </w:tcPr>
          <w:p w14:paraId="3B277C1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74CF9AC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-0.007</w:t>
            </w:r>
          </w:p>
          <w:p w14:paraId="5B718EC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7C61481B" w14:textId="77777777" w:rsidTr="00834F5A">
        <w:tc>
          <w:tcPr>
            <w:tcW w:w="1832" w:type="pct"/>
          </w:tcPr>
          <w:p w14:paraId="5AC9C3B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Intellectual capital efficiency</w:t>
            </w:r>
          </w:p>
        </w:tc>
        <w:tc>
          <w:tcPr>
            <w:tcW w:w="396" w:type="pct"/>
          </w:tcPr>
          <w:p w14:paraId="09667C7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3BC2403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26266D6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0.083</w:t>
            </w:r>
            <w:r w:rsidRPr="00E1789A">
              <w:rPr>
                <w:rFonts w:ascii="Times New Roman" w:hAnsi="Times New Roman" w:cs="Times New Roman"/>
                <w:sz w:val="16"/>
                <w:szCs w:val="16"/>
                <w:vertAlign w:val="superscript"/>
                <w:lang w:val="en-US"/>
              </w:rPr>
              <w:t>**</w:t>
            </w:r>
          </w:p>
        </w:tc>
        <w:tc>
          <w:tcPr>
            <w:tcW w:w="396" w:type="pct"/>
            <w:tcBorders>
              <w:right w:val="single" w:sz="4" w:space="0" w:color="auto"/>
            </w:tcBorders>
          </w:tcPr>
          <w:p w14:paraId="2B3FBFB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0.080</w:t>
            </w:r>
            <w:r w:rsidRPr="00E1789A">
              <w:rPr>
                <w:rFonts w:ascii="Times New Roman" w:hAnsi="Times New Roman" w:cs="Times New Roman"/>
                <w:sz w:val="16"/>
                <w:szCs w:val="16"/>
                <w:vertAlign w:val="superscript"/>
                <w:lang w:val="en-US"/>
              </w:rPr>
              <w:t>***</w:t>
            </w:r>
          </w:p>
        </w:tc>
        <w:tc>
          <w:tcPr>
            <w:tcW w:w="396" w:type="pct"/>
            <w:tcBorders>
              <w:left w:val="single" w:sz="4" w:space="0" w:color="auto"/>
            </w:tcBorders>
          </w:tcPr>
          <w:p w14:paraId="47AAAB4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79793D1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3B29C96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0.013</w:t>
            </w:r>
            <w:r w:rsidRPr="00E1789A">
              <w:rPr>
                <w:rFonts w:ascii="Times New Roman" w:hAnsi="Times New Roman" w:cs="Times New Roman"/>
                <w:sz w:val="16"/>
                <w:szCs w:val="16"/>
                <w:vertAlign w:val="superscript"/>
                <w:lang w:val="en-US"/>
              </w:rPr>
              <w:t>**</w:t>
            </w:r>
          </w:p>
        </w:tc>
        <w:tc>
          <w:tcPr>
            <w:tcW w:w="396" w:type="pct"/>
          </w:tcPr>
          <w:p w14:paraId="4D20BF8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0.014</w:t>
            </w:r>
            <w:r w:rsidRPr="00E1789A">
              <w:rPr>
                <w:rFonts w:ascii="Times New Roman" w:hAnsi="Times New Roman" w:cs="Times New Roman"/>
                <w:sz w:val="16"/>
                <w:szCs w:val="16"/>
                <w:vertAlign w:val="superscript"/>
                <w:lang w:val="en-US"/>
              </w:rPr>
              <w:t>**</w:t>
            </w:r>
          </w:p>
        </w:tc>
      </w:tr>
      <w:tr w:rsidR="00331AB6" w:rsidRPr="00E1789A" w14:paraId="5E35C522" w14:textId="77777777" w:rsidTr="00834F5A">
        <w:tc>
          <w:tcPr>
            <w:tcW w:w="1832" w:type="pct"/>
          </w:tcPr>
          <w:p w14:paraId="3B182361"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p>
        </w:tc>
        <w:tc>
          <w:tcPr>
            <w:tcW w:w="396" w:type="pct"/>
          </w:tcPr>
          <w:p w14:paraId="2812058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566BA65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7ADA748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(0.025)</w:t>
            </w:r>
          </w:p>
        </w:tc>
        <w:tc>
          <w:tcPr>
            <w:tcW w:w="396" w:type="pct"/>
            <w:tcBorders>
              <w:right w:val="single" w:sz="4" w:space="0" w:color="auto"/>
            </w:tcBorders>
          </w:tcPr>
          <w:p w14:paraId="29B5866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(0.024)</w:t>
            </w:r>
          </w:p>
        </w:tc>
        <w:tc>
          <w:tcPr>
            <w:tcW w:w="396" w:type="pct"/>
            <w:tcBorders>
              <w:left w:val="single" w:sz="4" w:space="0" w:color="auto"/>
            </w:tcBorders>
          </w:tcPr>
          <w:p w14:paraId="33F3221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116EECE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Pr>
          <w:p w14:paraId="6782FDA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c>
          <w:tcPr>
            <w:tcW w:w="396" w:type="pct"/>
          </w:tcPr>
          <w:p w14:paraId="274A088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(0.005)</w:t>
            </w:r>
          </w:p>
        </w:tc>
      </w:tr>
      <w:tr w:rsidR="00331AB6" w:rsidRPr="00E1789A" w14:paraId="0106879A" w14:textId="77777777" w:rsidTr="00834F5A">
        <w:tc>
          <w:tcPr>
            <w:tcW w:w="1832" w:type="pct"/>
            <w:tcBorders>
              <w:bottom w:val="single" w:sz="4" w:space="0" w:color="auto"/>
            </w:tcBorders>
          </w:tcPr>
          <w:p w14:paraId="4FD89BFE"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International diversification experience unrelatedness × Intellectual capital efficiency (H2b)</w:t>
            </w:r>
          </w:p>
        </w:tc>
        <w:tc>
          <w:tcPr>
            <w:tcW w:w="396" w:type="pct"/>
            <w:tcBorders>
              <w:bottom w:val="single" w:sz="4" w:space="0" w:color="auto"/>
            </w:tcBorders>
          </w:tcPr>
          <w:p w14:paraId="43E535A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Borders>
              <w:bottom w:val="single" w:sz="4" w:space="0" w:color="auto"/>
            </w:tcBorders>
          </w:tcPr>
          <w:p w14:paraId="4B48A52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Borders>
              <w:bottom w:val="single" w:sz="4" w:space="0" w:color="auto"/>
            </w:tcBorders>
          </w:tcPr>
          <w:p w14:paraId="3CF4C6A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0.042</w:t>
            </w:r>
            <w:r w:rsidRPr="00E1789A">
              <w:rPr>
                <w:rFonts w:ascii="Times New Roman" w:hAnsi="Times New Roman" w:cs="Times New Roman"/>
                <w:sz w:val="16"/>
                <w:szCs w:val="16"/>
                <w:vertAlign w:val="superscript"/>
                <w:lang w:val="en-US"/>
              </w:rPr>
              <w:t>+</w:t>
            </w:r>
          </w:p>
          <w:p w14:paraId="157697D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(0.025)</w:t>
            </w:r>
          </w:p>
        </w:tc>
        <w:tc>
          <w:tcPr>
            <w:tcW w:w="396" w:type="pct"/>
            <w:tcBorders>
              <w:bottom w:val="single" w:sz="4" w:space="0" w:color="auto"/>
              <w:right w:val="single" w:sz="4" w:space="0" w:color="auto"/>
            </w:tcBorders>
          </w:tcPr>
          <w:p w14:paraId="01ABE76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vertAlign w:val="superscript"/>
                <w:lang w:val="en-US"/>
              </w:rPr>
            </w:pPr>
            <w:r w:rsidRPr="00E1789A">
              <w:rPr>
                <w:rFonts w:ascii="Times New Roman" w:hAnsi="Times New Roman" w:cs="Times New Roman"/>
                <w:sz w:val="16"/>
                <w:szCs w:val="16"/>
                <w:lang w:val="en-US"/>
              </w:rPr>
              <w:t>0.044</w:t>
            </w:r>
            <w:r w:rsidRPr="00E1789A">
              <w:rPr>
                <w:rFonts w:ascii="Times New Roman" w:hAnsi="Times New Roman" w:cs="Times New Roman"/>
                <w:sz w:val="16"/>
                <w:szCs w:val="16"/>
                <w:vertAlign w:val="superscript"/>
                <w:lang w:val="en-US"/>
              </w:rPr>
              <w:t>+</w:t>
            </w:r>
          </w:p>
          <w:p w14:paraId="3AD91B2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(0.025)</w:t>
            </w:r>
          </w:p>
        </w:tc>
        <w:tc>
          <w:tcPr>
            <w:tcW w:w="396" w:type="pct"/>
            <w:tcBorders>
              <w:left w:val="single" w:sz="4" w:space="0" w:color="auto"/>
              <w:bottom w:val="single" w:sz="4" w:space="0" w:color="auto"/>
            </w:tcBorders>
          </w:tcPr>
          <w:p w14:paraId="35F3A4F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Borders>
              <w:bottom w:val="single" w:sz="4" w:space="0" w:color="auto"/>
            </w:tcBorders>
          </w:tcPr>
          <w:p w14:paraId="5F0CD45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p>
        </w:tc>
        <w:tc>
          <w:tcPr>
            <w:tcW w:w="396" w:type="pct"/>
            <w:tcBorders>
              <w:bottom w:val="single" w:sz="4" w:space="0" w:color="auto"/>
            </w:tcBorders>
          </w:tcPr>
          <w:p w14:paraId="0A3A5543"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p w14:paraId="7AE5AE6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c>
          <w:tcPr>
            <w:tcW w:w="396" w:type="pct"/>
            <w:tcBorders>
              <w:bottom w:val="single" w:sz="4" w:space="0" w:color="auto"/>
            </w:tcBorders>
          </w:tcPr>
          <w:p w14:paraId="58606EB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p w14:paraId="0683956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(0.004)</w:t>
            </w:r>
          </w:p>
        </w:tc>
      </w:tr>
      <w:tr w:rsidR="00331AB6" w:rsidRPr="00E1789A" w14:paraId="0969D091" w14:textId="77777777" w:rsidTr="00834F5A">
        <w:tc>
          <w:tcPr>
            <w:tcW w:w="1832" w:type="pct"/>
            <w:tcBorders>
              <w:top w:val="single" w:sz="4" w:space="0" w:color="auto"/>
            </w:tcBorders>
          </w:tcPr>
          <w:p w14:paraId="728CDEDB"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Mean VIF</w:t>
            </w:r>
          </w:p>
        </w:tc>
        <w:tc>
          <w:tcPr>
            <w:tcW w:w="396" w:type="pct"/>
            <w:tcBorders>
              <w:top w:val="single" w:sz="4" w:space="0" w:color="auto"/>
            </w:tcBorders>
          </w:tcPr>
          <w:p w14:paraId="214E757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2.48</w:t>
            </w:r>
          </w:p>
        </w:tc>
        <w:tc>
          <w:tcPr>
            <w:tcW w:w="396" w:type="pct"/>
            <w:tcBorders>
              <w:top w:val="single" w:sz="4" w:space="0" w:color="auto"/>
            </w:tcBorders>
          </w:tcPr>
          <w:p w14:paraId="59FC350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2.52</w:t>
            </w:r>
          </w:p>
        </w:tc>
        <w:tc>
          <w:tcPr>
            <w:tcW w:w="396" w:type="pct"/>
            <w:tcBorders>
              <w:top w:val="single" w:sz="4" w:space="0" w:color="auto"/>
            </w:tcBorders>
          </w:tcPr>
          <w:p w14:paraId="3B8C6574"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2.59</w:t>
            </w:r>
          </w:p>
        </w:tc>
        <w:tc>
          <w:tcPr>
            <w:tcW w:w="396" w:type="pct"/>
            <w:tcBorders>
              <w:top w:val="single" w:sz="4" w:space="0" w:color="auto"/>
              <w:right w:val="single" w:sz="4" w:space="0" w:color="auto"/>
            </w:tcBorders>
          </w:tcPr>
          <w:p w14:paraId="141CE74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2.62</w:t>
            </w:r>
          </w:p>
        </w:tc>
        <w:tc>
          <w:tcPr>
            <w:tcW w:w="396" w:type="pct"/>
            <w:tcBorders>
              <w:top w:val="single" w:sz="4" w:space="0" w:color="auto"/>
              <w:left w:val="single" w:sz="4" w:space="0" w:color="auto"/>
            </w:tcBorders>
          </w:tcPr>
          <w:p w14:paraId="33E1B4AF"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2.48</w:t>
            </w:r>
          </w:p>
        </w:tc>
        <w:tc>
          <w:tcPr>
            <w:tcW w:w="396" w:type="pct"/>
            <w:tcBorders>
              <w:top w:val="single" w:sz="4" w:space="0" w:color="auto"/>
            </w:tcBorders>
          </w:tcPr>
          <w:p w14:paraId="74DD7D4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2.52</w:t>
            </w:r>
          </w:p>
        </w:tc>
        <w:tc>
          <w:tcPr>
            <w:tcW w:w="396" w:type="pct"/>
            <w:tcBorders>
              <w:top w:val="single" w:sz="4" w:space="0" w:color="auto"/>
            </w:tcBorders>
          </w:tcPr>
          <w:p w14:paraId="701B251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2.59</w:t>
            </w:r>
          </w:p>
        </w:tc>
        <w:tc>
          <w:tcPr>
            <w:tcW w:w="396" w:type="pct"/>
            <w:tcBorders>
              <w:top w:val="single" w:sz="4" w:space="0" w:color="auto"/>
            </w:tcBorders>
          </w:tcPr>
          <w:p w14:paraId="5C6AD49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8"/>
                <w:szCs w:val="18"/>
                <w:lang w:val="en-US"/>
              </w:rPr>
              <w:t>2.62</w:t>
            </w:r>
          </w:p>
        </w:tc>
      </w:tr>
      <w:tr w:rsidR="00331AB6" w:rsidRPr="00E1789A" w14:paraId="69231571" w14:textId="77777777" w:rsidTr="00834F5A">
        <w:tc>
          <w:tcPr>
            <w:tcW w:w="1832" w:type="pct"/>
          </w:tcPr>
          <w:p w14:paraId="3B72F0E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i/>
                <w:iCs/>
                <w:sz w:val="16"/>
                <w:szCs w:val="16"/>
                <w:lang w:val="en-US"/>
              </w:rPr>
              <w:t>n/N</w:t>
            </w:r>
          </w:p>
        </w:tc>
        <w:tc>
          <w:tcPr>
            <w:tcW w:w="396" w:type="pct"/>
          </w:tcPr>
          <w:p w14:paraId="439026B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396" w:type="pct"/>
          </w:tcPr>
          <w:p w14:paraId="0C2AADD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396" w:type="pct"/>
          </w:tcPr>
          <w:p w14:paraId="5C5C367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396" w:type="pct"/>
            <w:tcBorders>
              <w:right w:val="single" w:sz="4" w:space="0" w:color="auto"/>
            </w:tcBorders>
          </w:tcPr>
          <w:p w14:paraId="58A29539"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999/189</w:t>
            </w:r>
          </w:p>
        </w:tc>
        <w:tc>
          <w:tcPr>
            <w:tcW w:w="396" w:type="pct"/>
            <w:tcBorders>
              <w:left w:val="single" w:sz="4" w:space="0" w:color="auto"/>
            </w:tcBorders>
          </w:tcPr>
          <w:p w14:paraId="7043A0A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c>
          <w:tcPr>
            <w:tcW w:w="396" w:type="pct"/>
          </w:tcPr>
          <w:p w14:paraId="6D77AEB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c>
          <w:tcPr>
            <w:tcW w:w="396" w:type="pct"/>
          </w:tcPr>
          <w:p w14:paraId="2376803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c>
          <w:tcPr>
            <w:tcW w:w="396" w:type="pct"/>
          </w:tcPr>
          <w:p w14:paraId="1421A0D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1001/189</w:t>
            </w:r>
          </w:p>
        </w:tc>
      </w:tr>
      <w:tr w:rsidR="00331AB6" w:rsidRPr="00E1789A" w14:paraId="2ADFC832" w14:textId="77777777" w:rsidTr="00834F5A">
        <w:tc>
          <w:tcPr>
            <w:tcW w:w="1832" w:type="pct"/>
          </w:tcPr>
          <w:p w14:paraId="01FA6DA4"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R</w:t>
            </w:r>
            <w:r w:rsidRPr="00E1789A">
              <w:rPr>
                <w:rFonts w:ascii="Times New Roman" w:hAnsi="Times New Roman" w:cs="Times New Roman"/>
                <w:sz w:val="16"/>
                <w:szCs w:val="16"/>
                <w:vertAlign w:val="superscript"/>
                <w:lang w:val="en-US"/>
              </w:rPr>
              <w:t>2</w:t>
            </w:r>
          </w:p>
        </w:tc>
        <w:tc>
          <w:tcPr>
            <w:tcW w:w="396" w:type="pct"/>
          </w:tcPr>
          <w:p w14:paraId="7F4CDB08"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0.121</w:t>
            </w:r>
          </w:p>
        </w:tc>
        <w:tc>
          <w:tcPr>
            <w:tcW w:w="396" w:type="pct"/>
          </w:tcPr>
          <w:p w14:paraId="427BB36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0.121</w:t>
            </w:r>
          </w:p>
        </w:tc>
        <w:tc>
          <w:tcPr>
            <w:tcW w:w="396" w:type="pct"/>
          </w:tcPr>
          <w:p w14:paraId="1E9F2E32"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0.122</w:t>
            </w:r>
          </w:p>
        </w:tc>
        <w:tc>
          <w:tcPr>
            <w:tcW w:w="396" w:type="pct"/>
            <w:tcBorders>
              <w:right w:val="single" w:sz="4" w:space="0" w:color="auto"/>
            </w:tcBorders>
          </w:tcPr>
          <w:p w14:paraId="5BBC069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0.121</w:t>
            </w:r>
          </w:p>
        </w:tc>
        <w:tc>
          <w:tcPr>
            <w:tcW w:w="396" w:type="pct"/>
            <w:tcBorders>
              <w:left w:val="single" w:sz="4" w:space="0" w:color="auto"/>
            </w:tcBorders>
          </w:tcPr>
          <w:p w14:paraId="57557AD6"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0.198</w:t>
            </w:r>
          </w:p>
        </w:tc>
        <w:tc>
          <w:tcPr>
            <w:tcW w:w="396" w:type="pct"/>
          </w:tcPr>
          <w:p w14:paraId="0556557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0.207</w:t>
            </w:r>
          </w:p>
        </w:tc>
        <w:tc>
          <w:tcPr>
            <w:tcW w:w="396" w:type="pct"/>
          </w:tcPr>
          <w:p w14:paraId="5C1A458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0.207</w:t>
            </w:r>
          </w:p>
        </w:tc>
        <w:tc>
          <w:tcPr>
            <w:tcW w:w="396" w:type="pct"/>
          </w:tcPr>
          <w:p w14:paraId="76EADAFB"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0.220</w:t>
            </w:r>
          </w:p>
        </w:tc>
      </w:tr>
      <w:tr w:rsidR="00331AB6" w:rsidRPr="00E1789A" w14:paraId="2AF32938" w14:textId="77777777" w:rsidTr="00834F5A">
        <w:tc>
          <w:tcPr>
            <w:tcW w:w="1832" w:type="pct"/>
            <w:tcBorders>
              <w:bottom w:val="single" w:sz="4" w:space="0" w:color="auto"/>
            </w:tcBorders>
          </w:tcPr>
          <w:p w14:paraId="660FE720"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6"/>
                <w:szCs w:val="16"/>
                <w:lang w:val="en-US"/>
              </w:rPr>
              <w:t>Wald χ</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w:t>
            </w:r>
            <w:r w:rsidRPr="00E1789A">
              <w:rPr>
                <w:rFonts w:ascii="Times New Roman" w:hAnsi="Times New Roman" w:cs="Times New Roman"/>
                <w:i/>
                <w:iCs/>
                <w:sz w:val="16"/>
                <w:szCs w:val="16"/>
                <w:lang w:val="en-US"/>
              </w:rPr>
              <w:t>p</w:t>
            </w:r>
            <w:r w:rsidRPr="00E1789A">
              <w:rPr>
                <w:rFonts w:ascii="Times New Roman" w:hAnsi="Times New Roman" w:cs="Times New Roman"/>
                <w:sz w:val="16"/>
                <w:szCs w:val="16"/>
                <w:lang w:val="en-US"/>
              </w:rPr>
              <w:t>)</w:t>
            </w:r>
          </w:p>
        </w:tc>
        <w:tc>
          <w:tcPr>
            <w:tcW w:w="396" w:type="pct"/>
            <w:tcBorders>
              <w:bottom w:val="single" w:sz="4" w:space="0" w:color="auto"/>
            </w:tcBorders>
          </w:tcPr>
          <w:p w14:paraId="0B22A2FA"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Borders>
              <w:bottom w:val="single" w:sz="4" w:space="0" w:color="auto"/>
            </w:tcBorders>
          </w:tcPr>
          <w:p w14:paraId="4AD2F6F5"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Borders>
              <w:bottom w:val="single" w:sz="4" w:space="0" w:color="auto"/>
            </w:tcBorders>
          </w:tcPr>
          <w:p w14:paraId="1A59004E"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Borders>
              <w:bottom w:val="single" w:sz="4" w:space="0" w:color="auto"/>
              <w:right w:val="single" w:sz="4" w:space="0" w:color="auto"/>
            </w:tcBorders>
          </w:tcPr>
          <w:p w14:paraId="636D6801"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Borders>
              <w:left w:val="single" w:sz="4" w:space="0" w:color="auto"/>
              <w:bottom w:val="single" w:sz="4" w:space="0" w:color="auto"/>
            </w:tcBorders>
          </w:tcPr>
          <w:p w14:paraId="773BECFD"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Borders>
              <w:bottom w:val="single" w:sz="4" w:space="0" w:color="auto"/>
            </w:tcBorders>
          </w:tcPr>
          <w:p w14:paraId="50FFA510"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Borders>
              <w:bottom w:val="single" w:sz="4" w:space="0" w:color="auto"/>
            </w:tcBorders>
          </w:tcPr>
          <w:p w14:paraId="7A6C3A17"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c>
          <w:tcPr>
            <w:tcW w:w="396" w:type="pct"/>
            <w:tcBorders>
              <w:bottom w:val="single" w:sz="4" w:space="0" w:color="auto"/>
            </w:tcBorders>
          </w:tcPr>
          <w:p w14:paraId="24FD780C" w14:textId="77777777" w:rsidR="00331AB6" w:rsidRPr="00E1789A" w:rsidRDefault="00331AB6" w:rsidP="00834F5A">
            <w:pPr>
              <w:widowControl w:val="0"/>
              <w:autoSpaceDE w:val="0"/>
              <w:autoSpaceDN w:val="0"/>
              <w:adjustRightInd w:val="0"/>
              <w:spacing w:after="0" w:line="240" w:lineRule="auto"/>
              <w:jc w:val="center"/>
              <w:rPr>
                <w:rFonts w:ascii="Times New Roman" w:hAnsi="Times New Roman" w:cs="Times New Roman"/>
                <w:sz w:val="16"/>
                <w:szCs w:val="16"/>
                <w:lang w:val="en-US"/>
              </w:rPr>
            </w:pPr>
            <w:r w:rsidRPr="00E1789A">
              <w:rPr>
                <w:rFonts w:ascii="Times New Roman" w:hAnsi="Times New Roman" w:cs="Times New Roman"/>
                <w:sz w:val="16"/>
                <w:szCs w:val="16"/>
                <w:lang w:val="en-US"/>
              </w:rPr>
              <w:t>0.000</w:t>
            </w:r>
          </w:p>
        </w:tc>
      </w:tr>
      <w:tr w:rsidR="00331AB6" w:rsidRPr="00E1789A" w14:paraId="421691D2" w14:textId="77777777" w:rsidTr="00834F5A">
        <w:tc>
          <w:tcPr>
            <w:tcW w:w="5000" w:type="pct"/>
            <w:gridSpan w:val="9"/>
            <w:tcBorders>
              <w:top w:val="single" w:sz="4" w:space="0" w:color="auto"/>
            </w:tcBorders>
          </w:tcPr>
          <w:p w14:paraId="4D812069"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925E67">
              <w:rPr>
                <w:rFonts w:ascii="Times New Roman" w:hAnsi="Times New Roman" w:cs="Times New Roman"/>
                <w:i/>
                <w:iCs/>
                <w:sz w:val="16"/>
                <w:szCs w:val="16"/>
                <w:lang w:val="en-US"/>
              </w:rPr>
              <w:t>Note</w:t>
            </w:r>
            <w:r>
              <w:rPr>
                <w:rFonts w:ascii="Times New Roman" w:hAnsi="Times New Roman" w:cs="Times New Roman"/>
                <w:i/>
                <w:iCs/>
                <w:sz w:val="16"/>
                <w:szCs w:val="16"/>
                <w:lang w:val="en-US"/>
              </w:rPr>
              <w:t>s</w:t>
            </w:r>
            <w:r w:rsidRPr="00E1789A">
              <w:rPr>
                <w:rFonts w:ascii="Times New Roman" w:hAnsi="Times New Roman" w:cs="Times New Roman"/>
                <w:sz w:val="16"/>
                <w:szCs w:val="16"/>
                <w:lang w:val="en-US"/>
              </w:rPr>
              <w:t>: Unstandardized regression coefficients are reported with robust standard errors in parenthesis. R</w:t>
            </w:r>
            <w:r w:rsidRPr="00E1789A">
              <w:rPr>
                <w:rFonts w:ascii="Times New Roman" w:hAnsi="Times New Roman" w:cs="Times New Roman"/>
                <w:sz w:val="16"/>
                <w:szCs w:val="16"/>
                <w:vertAlign w:val="superscript"/>
                <w:lang w:val="en-US"/>
              </w:rPr>
              <w:t xml:space="preserve">2 </w:t>
            </w:r>
            <w:r w:rsidRPr="00E1789A">
              <w:rPr>
                <w:rFonts w:ascii="Times New Roman" w:hAnsi="Times New Roman" w:cs="Times New Roman"/>
                <w:sz w:val="16"/>
                <w:szCs w:val="16"/>
                <w:lang w:val="en-US"/>
              </w:rPr>
              <w:t>(between) is reported. Intercept terms are included but not shown. n=firm-year observations; N=firms. ROA = Return on Assets. R&amp;D = research and development; IMR_ID = Inverse Mills Ratio (International Diversification); H = Hypothesis; VIF = variance inflation factor.</w:t>
            </w:r>
          </w:p>
          <w:p w14:paraId="6DC53887" w14:textId="77777777" w:rsidR="00331AB6" w:rsidRPr="00E1789A" w:rsidRDefault="00331AB6" w:rsidP="00834F5A">
            <w:pPr>
              <w:widowControl w:val="0"/>
              <w:autoSpaceDE w:val="0"/>
              <w:autoSpaceDN w:val="0"/>
              <w:adjustRightInd w:val="0"/>
              <w:spacing w:after="0" w:line="240" w:lineRule="auto"/>
              <w:rPr>
                <w:rFonts w:ascii="Times New Roman" w:hAnsi="Times New Roman" w:cs="Times New Roman"/>
                <w:sz w:val="16"/>
                <w:szCs w:val="16"/>
                <w:lang w:val="en-US"/>
              </w:rPr>
            </w:pPr>
            <w:r w:rsidRPr="00E1789A">
              <w:rPr>
                <w:rFonts w:ascii="Times New Roman" w:hAnsi="Times New Roman" w:cs="Times New Roman"/>
                <w:sz w:val="18"/>
                <w:szCs w:val="18"/>
                <w:vertAlign w:val="superscript"/>
                <w:lang w:val="en-US"/>
              </w:rPr>
              <w:t>+</w:t>
            </w:r>
            <w:r w:rsidRPr="00E1789A">
              <w:rPr>
                <w:rFonts w:ascii="Times New Roman" w:hAnsi="Times New Roman" w:cs="Times New Roman"/>
                <w:sz w:val="18"/>
                <w:szCs w:val="18"/>
                <w:lang w:val="en-US"/>
              </w:rPr>
              <w:t xml:space="preserve"> </w:t>
            </w:r>
            <w:r w:rsidRPr="00E1789A">
              <w:rPr>
                <w:rFonts w:ascii="Times New Roman" w:hAnsi="Times New Roman" w:cs="Times New Roman"/>
                <w:i/>
                <w:iCs/>
                <w:sz w:val="18"/>
                <w:szCs w:val="18"/>
                <w:lang w:val="en-US"/>
              </w:rPr>
              <w:t>p</w:t>
            </w:r>
            <w:r w:rsidRPr="00E1789A">
              <w:rPr>
                <w:rFonts w:ascii="Times New Roman" w:hAnsi="Times New Roman" w:cs="Times New Roman"/>
                <w:sz w:val="18"/>
                <w:szCs w:val="18"/>
                <w:lang w:val="en-US"/>
              </w:rPr>
              <w:t xml:space="preserve"> &lt; 0.1, </w:t>
            </w:r>
            <w:r w:rsidRPr="00E1789A">
              <w:rPr>
                <w:rFonts w:ascii="Times New Roman" w:hAnsi="Times New Roman" w:cs="Times New Roman"/>
                <w:sz w:val="18"/>
                <w:szCs w:val="18"/>
                <w:vertAlign w:val="superscript"/>
                <w:lang w:val="en-US"/>
              </w:rPr>
              <w:t>*</w:t>
            </w:r>
            <w:r w:rsidRPr="00E1789A">
              <w:rPr>
                <w:rFonts w:ascii="Times New Roman" w:hAnsi="Times New Roman" w:cs="Times New Roman"/>
                <w:sz w:val="18"/>
                <w:szCs w:val="18"/>
                <w:lang w:val="en-US"/>
              </w:rPr>
              <w:t xml:space="preserve"> </w:t>
            </w:r>
            <w:r w:rsidRPr="00E1789A">
              <w:rPr>
                <w:rFonts w:ascii="Times New Roman" w:hAnsi="Times New Roman" w:cs="Times New Roman"/>
                <w:i/>
                <w:iCs/>
                <w:sz w:val="18"/>
                <w:szCs w:val="18"/>
                <w:lang w:val="en-US"/>
              </w:rPr>
              <w:t>p</w:t>
            </w:r>
            <w:r w:rsidRPr="00E1789A">
              <w:rPr>
                <w:rFonts w:ascii="Times New Roman" w:hAnsi="Times New Roman" w:cs="Times New Roman"/>
                <w:sz w:val="18"/>
                <w:szCs w:val="18"/>
                <w:lang w:val="en-US"/>
              </w:rPr>
              <w:t xml:space="preserve"> &lt; 0.05, </w:t>
            </w:r>
            <w:r w:rsidRPr="00E1789A">
              <w:rPr>
                <w:rFonts w:ascii="Times New Roman" w:hAnsi="Times New Roman" w:cs="Times New Roman"/>
                <w:sz w:val="18"/>
                <w:szCs w:val="18"/>
                <w:vertAlign w:val="superscript"/>
                <w:lang w:val="en-US"/>
              </w:rPr>
              <w:t>**</w:t>
            </w:r>
            <w:r w:rsidRPr="00E1789A">
              <w:rPr>
                <w:rFonts w:ascii="Times New Roman" w:hAnsi="Times New Roman" w:cs="Times New Roman"/>
                <w:sz w:val="18"/>
                <w:szCs w:val="18"/>
                <w:lang w:val="en-US"/>
              </w:rPr>
              <w:t xml:space="preserve"> </w:t>
            </w:r>
            <w:r w:rsidRPr="00E1789A">
              <w:rPr>
                <w:rFonts w:ascii="Times New Roman" w:hAnsi="Times New Roman" w:cs="Times New Roman"/>
                <w:i/>
                <w:iCs/>
                <w:sz w:val="18"/>
                <w:szCs w:val="18"/>
                <w:lang w:val="en-US"/>
              </w:rPr>
              <w:t>p</w:t>
            </w:r>
            <w:r w:rsidRPr="00E1789A">
              <w:rPr>
                <w:rFonts w:ascii="Times New Roman" w:hAnsi="Times New Roman" w:cs="Times New Roman"/>
                <w:sz w:val="18"/>
                <w:szCs w:val="18"/>
                <w:lang w:val="en-US"/>
              </w:rPr>
              <w:t xml:space="preserve"> &lt; 0.01, </w:t>
            </w:r>
            <w:r w:rsidRPr="00E1789A">
              <w:rPr>
                <w:rFonts w:ascii="Times New Roman" w:hAnsi="Times New Roman" w:cs="Times New Roman"/>
                <w:sz w:val="18"/>
                <w:szCs w:val="18"/>
                <w:vertAlign w:val="superscript"/>
                <w:lang w:val="en-US"/>
              </w:rPr>
              <w:t>***</w:t>
            </w:r>
            <w:r w:rsidRPr="00E1789A">
              <w:rPr>
                <w:rFonts w:ascii="Times New Roman" w:hAnsi="Times New Roman" w:cs="Times New Roman"/>
                <w:sz w:val="18"/>
                <w:szCs w:val="18"/>
                <w:lang w:val="en-US"/>
              </w:rPr>
              <w:t xml:space="preserve"> </w:t>
            </w:r>
            <w:r w:rsidRPr="00E1789A">
              <w:rPr>
                <w:rFonts w:ascii="Times New Roman" w:hAnsi="Times New Roman" w:cs="Times New Roman"/>
                <w:i/>
                <w:iCs/>
                <w:sz w:val="18"/>
                <w:szCs w:val="18"/>
                <w:lang w:val="en-US"/>
              </w:rPr>
              <w:t>p</w:t>
            </w:r>
            <w:r w:rsidRPr="00E1789A">
              <w:rPr>
                <w:rFonts w:ascii="Times New Roman" w:hAnsi="Times New Roman" w:cs="Times New Roman"/>
                <w:sz w:val="18"/>
                <w:szCs w:val="18"/>
                <w:lang w:val="en-US"/>
              </w:rPr>
              <w:t xml:space="preserve"> &lt; 0.001</w:t>
            </w:r>
          </w:p>
        </w:tc>
      </w:tr>
    </w:tbl>
    <w:p w14:paraId="76E50C03" w14:textId="77777777" w:rsidR="00331AB6" w:rsidRPr="00E1789A" w:rsidRDefault="00331AB6" w:rsidP="00331AB6">
      <w:pPr>
        <w:tabs>
          <w:tab w:val="left" w:pos="2090"/>
        </w:tabs>
        <w:rPr>
          <w:rFonts w:ascii="Times New Roman" w:hAnsi="Times New Roman" w:cs="Times New Roman"/>
          <w:sz w:val="24"/>
          <w:szCs w:val="24"/>
        </w:rPr>
        <w:sectPr w:rsidR="00331AB6" w:rsidRPr="00E1789A" w:rsidSect="0054095A">
          <w:pgSz w:w="16838" w:h="11906" w:orient="landscape"/>
          <w:pgMar w:top="1440" w:right="1440" w:bottom="1440" w:left="1440" w:header="708" w:footer="708" w:gutter="0"/>
          <w:cols w:space="708"/>
          <w:docGrid w:linePitch="360"/>
        </w:sectPr>
      </w:pPr>
    </w:p>
    <w:p w14:paraId="4C0AD06A" w14:textId="77777777" w:rsidR="00331AB6" w:rsidRDefault="00331AB6" w:rsidP="00331AB6">
      <w:pPr>
        <w:tabs>
          <w:tab w:val="left" w:pos="1610"/>
        </w:tabs>
        <w:rPr>
          <w:rFonts w:ascii="Times New Roman" w:hAnsi="Times New Roman" w:cs="Times New Roman"/>
          <w:b/>
          <w:bCs/>
          <w:noProof/>
        </w:rPr>
      </w:pPr>
      <w:bookmarkStart w:id="6" w:name="_Hlk86746010"/>
      <w:r>
        <w:rPr>
          <w:rFonts w:ascii="Times New Roman" w:hAnsi="Times New Roman" w:cs="Times New Roman"/>
          <w:b/>
          <w:bCs/>
          <w:noProof/>
        </w:rPr>
        <w:lastRenderedPageBreak/>
        <w:t>APPENDIX</w:t>
      </w:r>
      <w:r w:rsidRPr="002F1621">
        <w:rPr>
          <w:rFonts w:ascii="Times New Roman" w:hAnsi="Times New Roman" w:cs="Times New Roman"/>
          <w:b/>
          <w:bCs/>
          <w:noProof/>
        </w:rPr>
        <w:t xml:space="preserve"> VI </w:t>
      </w:r>
    </w:p>
    <w:p w14:paraId="55EA6020" w14:textId="77777777" w:rsidR="00331AB6" w:rsidRPr="002F1621" w:rsidRDefault="00331AB6" w:rsidP="00331AB6">
      <w:pPr>
        <w:tabs>
          <w:tab w:val="left" w:pos="1610"/>
        </w:tabs>
        <w:rPr>
          <w:rFonts w:ascii="Times New Roman" w:hAnsi="Times New Roman" w:cs="Times New Roman"/>
          <w:b/>
          <w:bCs/>
          <w:noProof/>
        </w:rPr>
      </w:pPr>
      <w:r w:rsidRPr="002F1621">
        <w:rPr>
          <w:rFonts w:ascii="Times New Roman" w:hAnsi="Times New Roman" w:cs="Times New Roman"/>
          <w:b/>
          <w:bCs/>
          <w:noProof/>
        </w:rPr>
        <w:t xml:space="preserve">Figures </w:t>
      </w:r>
      <w:r>
        <w:rPr>
          <w:rFonts w:ascii="Times New Roman" w:hAnsi="Times New Roman" w:cs="Times New Roman"/>
          <w:b/>
          <w:bCs/>
          <w:noProof/>
        </w:rPr>
        <w:t>D</w:t>
      </w:r>
      <w:r w:rsidRPr="002F1621">
        <w:rPr>
          <w:rFonts w:ascii="Times New Roman" w:hAnsi="Times New Roman" w:cs="Times New Roman"/>
          <w:b/>
          <w:bCs/>
          <w:noProof/>
        </w:rPr>
        <w:t xml:space="preserve">epicting the </w:t>
      </w:r>
      <w:r>
        <w:rPr>
          <w:rFonts w:ascii="Times New Roman" w:hAnsi="Times New Roman" w:cs="Times New Roman"/>
          <w:b/>
          <w:bCs/>
          <w:noProof/>
        </w:rPr>
        <w:t>M</w:t>
      </w:r>
      <w:r w:rsidRPr="002F1621">
        <w:rPr>
          <w:rFonts w:ascii="Times New Roman" w:hAnsi="Times New Roman" w:cs="Times New Roman"/>
          <w:b/>
          <w:bCs/>
          <w:noProof/>
        </w:rPr>
        <w:t xml:space="preserve">oderation </w:t>
      </w:r>
      <w:r>
        <w:rPr>
          <w:rFonts w:ascii="Times New Roman" w:hAnsi="Times New Roman" w:cs="Times New Roman"/>
          <w:b/>
          <w:bCs/>
          <w:noProof/>
        </w:rPr>
        <w:t>E</w:t>
      </w:r>
      <w:r w:rsidRPr="002F1621">
        <w:rPr>
          <w:rFonts w:ascii="Times New Roman" w:hAnsi="Times New Roman" w:cs="Times New Roman"/>
          <w:b/>
          <w:bCs/>
          <w:noProof/>
        </w:rPr>
        <w:t>ffects</w:t>
      </w:r>
    </w:p>
    <w:bookmarkEnd w:id="6"/>
    <w:p w14:paraId="1B76A1DD" w14:textId="77777777" w:rsidR="00331AB6" w:rsidRPr="00E1789A" w:rsidRDefault="00331AB6" w:rsidP="00331AB6">
      <w:pPr>
        <w:rPr>
          <w:rFonts w:ascii="Times New Roman" w:hAnsi="Times New Roman" w:cs="Times New Roman"/>
          <w:sz w:val="24"/>
          <w:szCs w:val="24"/>
        </w:rPr>
      </w:pPr>
    </w:p>
    <w:p w14:paraId="312C66E4" w14:textId="77777777" w:rsidR="00331AB6" w:rsidRPr="00E1789A" w:rsidRDefault="00331AB6" w:rsidP="00331AB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0" locked="0" layoutInCell="1" allowOverlap="1" wp14:anchorId="6807AECF" wp14:editId="09CA3C61">
            <wp:simplePos x="0" y="0"/>
            <wp:positionH relativeFrom="column">
              <wp:posOffset>127000</wp:posOffset>
            </wp:positionH>
            <wp:positionV relativeFrom="paragraph">
              <wp:posOffset>161290</wp:posOffset>
            </wp:positionV>
            <wp:extent cx="5727700" cy="2559050"/>
            <wp:effectExtent l="0" t="0" r="6350" b="0"/>
            <wp:wrapNone/>
            <wp:docPr id="1" name="Picture 1"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2559050"/>
                    </a:xfrm>
                    <a:prstGeom prst="rect">
                      <a:avLst/>
                    </a:prstGeom>
                    <a:noFill/>
                    <a:ln>
                      <a:noFill/>
                    </a:ln>
                  </pic:spPr>
                </pic:pic>
              </a:graphicData>
            </a:graphic>
          </wp:anchor>
        </w:drawing>
      </w:r>
    </w:p>
    <w:p w14:paraId="0F73F6DF" w14:textId="77777777" w:rsidR="00331AB6" w:rsidRPr="00E1789A" w:rsidRDefault="00331AB6" w:rsidP="00331AB6">
      <w:pPr>
        <w:rPr>
          <w:rFonts w:ascii="Times New Roman" w:hAnsi="Times New Roman" w:cs="Times New Roman"/>
          <w:noProof/>
          <w:sz w:val="24"/>
          <w:szCs w:val="24"/>
        </w:rPr>
      </w:pPr>
    </w:p>
    <w:p w14:paraId="6ED28BC5" w14:textId="77777777" w:rsidR="00331AB6" w:rsidRPr="00E1789A" w:rsidRDefault="00331AB6" w:rsidP="00331AB6">
      <w:pPr>
        <w:tabs>
          <w:tab w:val="left" w:pos="2730"/>
        </w:tabs>
        <w:rPr>
          <w:rFonts w:ascii="Times New Roman" w:hAnsi="Times New Roman" w:cs="Times New Roman"/>
          <w:noProof/>
          <w:sz w:val="24"/>
          <w:szCs w:val="24"/>
        </w:rPr>
      </w:pPr>
      <w:r w:rsidRPr="00E1789A">
        <w:rPr>
          <w:rFonts w:ascii="Times New Roman" w:hAnsi="Times New Roman" w:cs="Times New Roman"/>
          <w:noProof/>
          <w:sz w:val="24"/>
          <w:szCs w:val="24"/>
        </w:rPr>
        <w:tab/>
      </w:r>
    </w:p>
    <w:p w14:paraId="1E48FEB4" w14:textId="77777777" w:rsidR="00331AB6" w:rsidRPr="00E1789A" w:rsidRDefault="00331AB6" w:rsidP="00331AB6">
      <w:pPr>
        <w:rPr>
          <w:rFonts w:ascii="Times New Roman" w:hAnsi="Times New Roman" w:cs="Times New Roman"/>
          <w:noProof/>
          <w:sz w:val="24"/>
          <w:szCs w:val="24"/>
        </w:rPr>
      </w:pPr>
    </w:p>
    <w:p w14:paraId="715FF5DC" w14:textId="77777777" w:rsidR="00331AB6" w:rsidRPr="00E1789A" w:rsidRDefault="00331AB6" w:rsidP="00331AB6">
      <w:pPr>
        <w:rPr>
          <w:rFonts w:ascii="Times New Roman" w:hAnsi="Times New Roman" w:cs="Times New Roman"/>
          <w:sz w:val="24"/>
          <w:szCs w:val="24"/>
        </w:rPr>
      </w:pPr>
    </w:p>
    <w:p w14:paraId="0967FB27" w14:textId="77777777" w:rsidR="00331AB6" w:rsidRPr="00E1789A" w:rsidRDefault="00331AB6" w:rsidP="00331AB6">
      <w:pPr>
        <w:rPr>
          <w:rFonts w:ascii="Times New Roman" w:hAnsi="Times New Roman" w:cs="Times New Roman"/>
          <w:sz w:val="24"/>
          <w:szCs w:val="24"/>
        </w:rPr>
      </w:pPr>
    </w:p>
    <w:p w14:paraId="751AAEF4" w14:textId="77777777" w:rsidR="00331AB6" w:rsidRPr="00E1789A" w:rsidRDefault="00331AB6" w:rsidP="00331AB6">
      <w:pPr>
        <w:rPr>
          <w:rFonts w:ascii="Times New Roman" w:hAnsi="Times New Roman" w:cs="Times New Roman"/>
          <w:sz w:val="24"/>
          <w:szCs w:val="24"/>
        </w:rPr>
      </w:pPr>
    </w:p>
    <w:p w14:paraId="1BB6B1CA" w14:textId="77777777" w:rsidR="00331AB6" w:rsidRPr="00E1789A" w:rsidRDefault="00331AB6" w:rsidP="00331AB6">
      <w:pPr>
        <w:rPr>
          <w:rFonts w:ascii="Times New Roman" w:hAnsi="Times New Roman" w:cs="Times New Roman"/>
          <w:sz w:val="24"/>
          <w:szCs w:val="24"/>
        </w:rPr>
      </w:pPr>
    </w:p>
    <w:p w14:paraId="4ACF62A1" w14:textId="77777777" w:rsidR="00331AB6" w:rsidRPr="00E1789A" w:rsidRDefault="00331AB6" w:rsidP="00331AB6">
      <w:pPr>
        <w:rPr>
          <w:rFonts w:ascii="Times New Roman" w:hAnsi="Times New Roman" w:cs="Times New Roman"/>
          <w:sz w:val="24"/>
          <w:szCs w:val="24"/>
        </w:rPr>
      </w:pPr>
      <w:r w:rsidRPr="00E1789A">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2E7B0E69" wp14:editId="41E49C53">
                <wp:simplePos x="0" y="0"/>
                <wp:positionH relativeFrom="column">
                  <wp:posOffset>565150</wp:posOffset>
                </wp:positionH>
                <wp:positionV relativeFrom="paragraph">
                  <wp:posOffset>425450</wp:posOffset>
                </wp:positionV>
                <wp:extent cx="5378450" cy="1404620"/>
                <wp:effectExtent l="0" t="0" r="12700" b="16510"/>
                <wp:wrapThrough wrapText="bothSides">
                  <wp:wrapPolygon edited="0">
                    <wp:start x="0" y="0"/>
                    <wp:lineTo x="0" y="21494"/>
                    <wp:lineTo x="21574" y="21494"/>
                    <wp:lineTo x="21574"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404620"/>
                        </a:xfrm>
                        <a:prstGeom prst="rect">
                          <a:avLst/>
                        </a:prstGeom>
                        <a:solidFill>
                          <a:srgbClr val="FFFFFF"/>
                        </a:solidFill>
                        <a:ln w="9525">
                          <a:solidFill>
                            <a:schemeClr val="bg1"/>
                          </a:solidFill>
                          <a:miter lim="800000"/>
                          <a:headEnd/>
                          <a:tailEnd/>
                        </a:ln>
                      </wps:spPr>
                      <wps:txbx>
                        <w:txbxContent>
                          <w:p w14:paraId="70564175" w14:textId="77777777" w:rsidR="00331AB6" w:rsidRPr="00D11DE2" w:rsidRDefault="00331AB6" w:rsidP="00331AB6">
                            <w:pPr>
                              <w:rPr>
                                <w:rFonts w:ascii="Times New Roman" w:hAnsi="Times New Roman" w:cs="Times New Roman"/>
                              </w:rPr>
                            </w:pPr>
                            <w:r w:rsidRPr="00D11DE2">
                              <w:rPr>
                                <w:rFonts w:ascii="Times New Roman" w:hAnsi="Times New Roman" w:cs="Times New Roman"/>
                              </w:rPr>
                              <w:t>Figure A1. The moderation effect of patent stock diversity on the performance impacts of product diversification experience (Model 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7B0E69" id="_x0000_t202" coordsize="21600,21600" o:spt="202" path="m,l,21600r21600,l21600,xe">
                <v:stroke joinstyle="miter"/>
                <v:path gradientshapeok="t" o:connecttype="rect"/>
              </v:shapetype>
              <v:shape id="Text Box 2" o:spid="_x0000_s1026" type="#_x0000_t202" style="position:absolute;margin-left:44.5pt;margin-top:33.5pt;width:42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" strokecolor="white [3212]">
                <v:textbox style="mso-fit-shape-to-text:t">
                  <w:txbxContent>
                    <w:p w14:paraId="70564175" w14:textId="77777777" w:rsidR="00331AB6" w:rsidRPr="00D11DE2" w:rsidRDefault="00331AB6" w:rsidP="00331AB6">
                      <w:pPr>
                        <w:rPr>
                          <w:rFonts w:ascii="Times New Roman" w:hAnsi="Times New Roman" w:cs="Times New Roman"/>
                        </w:rPr>
                      </w:pPr>
                      <w:r w:rsidRPr="00D11DE2">
                        <w:rPr>
                          <w:rFonts w:ascii="Times New Roman" w:hAnsi="Times New Roman" w:cs="Times New Roman"/>
                        </w:rPr>
                        <w:t>Figure A1. The moderation effect of patent stock diversity on the performance impacts of product diversification experience (Model 3)</w:t>
                      </w:r>
                    </w:p>
                  </w:txbxContent>
                </v:textbox>
                <w10:wrap type="through"/>
              </v:shape>
            </w:pict>
          </mc:Fallback>
        </mc:AlternateContent>
      </w:r>
    </w:p>
    <w:p w14:paraId="1107A8F0" w14:textId="77777777" w:rsidR="00331AB6" w:rsidRPr="00E1789A" w:rsidRDefault="00331AB6" w:rsidP="00331AB6">
      <w:pPr>
        <w:tabs>
          <w:tab w:val="left" w:pos="1500"/>
        </w:tabs>
        <w:rPr>
          <w:rFonts w:ascii="Times New Roman" w:hAnsi="Times New Roman" w:cs="Times New Roman"/>
          <w:sz w:val="24"/>
          <w:szCs w:val="24"/>
        </w:rPr>
      </w:pPr>
      <w:r w:rsidRPr="00E1789A">
        <w:rPr>
          <w:rFonts w:ascii="Times New Roman" w:hAnsi="Times New Roman" w:cs="Times New Roman"/>
          <w:sz w:val="24"/>
          <w:szCs w:val="24"/>
        </w:rPr>
        <w:tab/>
      </w:r>
    </w:p>
    <w:p w14:paraId="6DE8A89F" w14:textId="77777777" w:rsidR="00331AB6" w:rsidRPr="00E1789A" w:rsidRDefault="00331AB6" w:rsidP="00331AB6">
      <w:pPr>
        <w:tabs>
          <w:tab w:val="left" w:pos="1500"/>
        </w:tabs>
        <w:rPr>
          <w:rFonts w:ascii="Times New Roman" w:hAnsi="Times New Roman" w:cs="Times New Roman"/>
          <w:sz w:val="24"/>
          <w:szCs w:val="24"/>
        </w:rPr>
        <w:sectPr w:rsidR="00331AB6" w:rsidRPr="00E1789A" w:rsidSect="00C77070">
          <w:pgSz w:w="11906" w:h="16838" w:code="9"/>
          <w:pgMar w:top="1440" w:right="1440" w:bottom="1440" w:left="1440" w:header="709" w:footer="709" w:gutter="0"/>
          <w:cols w:space="708"/>
          <w:docGrid w:linePitch="360"/>
        </w:sectPr>
      </w:pPr>
      <w:r>
        <w:rPr>
          <w:rFonts w:ascii="Times New Roman" w:hAnsi="Times New Roman" w:cs="Times New Roman"/>
          <w:noProof/>
          <w:sz w:val="24"/>
          <w:szCs w:val="24"/>
        </w:rPr>
        <w:drawing>
          <wp:anchor distT="0" distB="0" distL="114300" distR="114300" simplePos="0" relativeHeight="251665408" behindDoc="0" locked="0" layoutInCell="1" allowOverlap="1" wp14:anchorId="7A4DEF3F" wp14:editId="1AE02E96">
            <wp:simplePos x="0" y="0"/>
            <wp:positionH relativeFrom="column">
              <wp:posOffset>127000</wp:posOffset>
            </wp:positionH>
            <wp:positionV relativeFrom="paragraph">
              <wp:posOffset>140970</wp:posOffset>
            </wp:positionV>
            <wp:extent cx="5727700" cy="2768600"/>
            <wp:effectExtent l="0" t="0" r="6350" b="0"/>
            <wp:wrapNone/>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0" cy="2768600"/>
                    </a:xfrm>
                    <a:prstGeom prst="rect">
                      <a:avLst/>
                    </a:prstGeom>
                    <a:noFill/>
                    <a:ln>
                      <a:noFill/>
                    </a:ln>
                  </pic:spPr>
                </pic:pic>
              </a:graphicData>
            </a:graphic>
            <wp14:sizeRelV relativeFrom="margin">
              <wp14:pctHeight>0</wp14:pctHeight>
            </wp14:sizeRelV>
          </wp:anchor>
        </w:drawing>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567FD25" wp14:editId="21674750">
                <wp:simplePos x="0" y="0"/>
                <wp:positionH relativeFrom="column">
                  <wp:posOffset>514350</wp:posOffset>
                </wp:positionH>
                <wp:positionV relativeFrom="paragraph">
                  <wp:posOffset>3055620</wp:posOffset>
                </wp:positionV>
                <wp:extent cx="5379084" cy="549274"/>
                <wp:effectExtent l="0" t="0" r="12700"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4" cy="549274"/>
                        </a:xfrm>
                        <a:prstGeom prst="rect">
                          <a:avLst/>
                        </a:prstGeom>
                        <a:solidFill>
                          <a:srgbClr val="FFFFFF"/>
                        </a:solidFill>
                        <a:ln w="9525">
                          <a:solidFill>
                            <a:schemeClr val="bg1"/>
                          </a:solidFill>
                          <a:miter lim="800000"/>
                          <a:headEnd/>
                          <a:tailEnd/>
                        </a:ln>
                      </wps:spPr>
                      <wps:txbx>
                        <w:txbxContent>
                          <w:p w14:paraId="5C3F986E" w14:textId="77777777" w:rsidR="00331AB6" w:rsidRPr="00D11DE2" w:rsidRDefault="00331AB6" w:rsidP="00331AB6">
                            <w:pPr>
                              <w:rPr>
                                <w:rFonts w:ascii="Times New Roman" w:hAnsi="Times New Roman" w:cs="Times New Roman"/>
                              </w:rPr>
                            </w:pPr>
                            <w:r w:rsidRPr="00D11DE2">
                              <w:rPr>
                                <w:rFonts w:ascii="Times New Roman" w:hAnsi="Times New Roman" w:cs="Times New Roman"/>
                              </w:rPr>
                              <w:t>Figure A2. The moderation effect of intellectual capital efficiency on the performance impacts of product diversification experience (Model 4)</w:t>
                            </w:r>
                          </w:p>
                        </w:txbxContent>
                      </wps:txbx>
                      <wps:bodyPr rot="0" vert="horz" wrap="square" lIns="91440" tIns="45720" rIns="91440" bIns="45720" anchor="t" anchorCtr="0">
                        <a:spAutoFit/>
                      </wps:bodyPr>
                    </wps:wsp>
                  </a:graphicData>
                </a:graphic>
              </wp:anchor>
            </w:drawing>
          </mc:Choice>
          <mc:Fallback>
            <w:pict>
              <v:shape w14:anchorId="2567FD25" id="_x0000_s1027" type="#_x0000_t202" style="position:absolute;margin-left:40.5pt;margin-top:240.6pt;width:423.55pt;height:4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" strokecolor="white [3212]">
                <v:textbox style="mso-fit-shape-to-text:t">
                  <w:txbxContent>
                    <w:p w14:paraId="5C3F986E" w14:textId="77777777" w:rsidR="00331AB6" w:rsidRPr="00D11DE2" w:rsidRDefault="00331AB6" w:rsidP="00331AB6">
                      <w:pPr>
                        <w:rPr>
                          <w:rFonts w:ascii="Times New Roman" w:hAnsi="Times New Roman" w:cs="Times New Roman"/>
                        </w:rPr>
                      </w:pPr>
                      <w:r w:rsidRPr="00D11DE2">
                        <w:rPr>
                          <w:rFonts w:ascii="Times New Roman" w:hAnsi="Times New Roman" w:cs="Times New Roman"/>
                        </w:rPr>
                        <w:t>Figure A2. The moderation effect of intellectual capital efficiency on the performance impacts of product diversification experience (Model 4)</w:t>
                      </w:r>
                    </w:p>
                  </w:txbxContent>
                </v:textbox>
              </v:shape>
            </w:pict>
          </mc:Fallback>
        </mc:AlternateContent>
      </w:r>
      <w:r w:rsidRPr="00E1789A">
        <w:rPr>
          <w:rFonts w:ascii="Times New Roman" w:hAnsi="Times New Roman" w:cs="Times New Roman"/>
          <w:sz w:val="24"/>
          <w:szCs w:val="24"/>
        </w:rPr>
        <w:tab/>
      </w:r>
    </w:p>
    <w:p w14:paraId="1199C6C3" w14:textId="77777777" w:rsidR="00331AB6" w:rsidRPr="00E1789A" w:rsidRDefault="00331AB6" w:rsidP="00331AB6">
      <w:pPr>
        <w:rPr>
          <w:rFonts w:ascii="Times New Roman" w:hAnsi="Times New Roman" w:cs="Times New Roman"/>
          <w:sz w:val="24"/>
          <w:szCs w:val="24"/>
        </w:rPr>
      </w:pPr>
    </w:p>
    <w:p w14:paraId="536AE900" w14:textId="77777777" w:rsidR="00331AB6" w:rsidRPr="00E1789A" w:rsidRDefault="00331AB6" w:rsidP="00331AB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6432" behindDoc="0" locked="0" layoutInCell="1" allowOverlap="1" wp14:anchorId="12279DDC" wp14:editId="14DFB394">
            <wp:simplePos x="0" y="0"/>
            <wp:positionH relativeFrom="column">
              <wp:posOffset>38100</wp:posOffset>
            </wp:positionH>
            <wp:positionV relativeFrom="paragraph">
              <wp:posOffset>83820</wp:posOffset>
            </wp:positionV>
            <wp:extent cx="5727700" cy="2984500"/>
            <wp:effectExtent l="0" t="0" r="6350" b="6350"/>
            <wp:wrapNone/>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0" cy="2984500"/>
                    </a:xfrm>
                    <a:prstGeom prst="rect">
                      <a:avLst/>
                    </a:prstGeom>
                    <a:noFill/>
                    <a:ln>
                      <a:noFill/>
                    </a:ln>
                  </pic:spPr>
                </pic:pic>
              </a:graphicData>
            </a:graphic>
            <wp14:sizeRelV relativeFrom="margin">
              <wp14:pctHeight>0</wp14:pctHeight>
            </wp14:sizeRelV>
          </wp:anchor>
        </w:drawing>
      </w:r>
    </w:p>
    <w:p w14:paraId="47798DC0" w14:textId="77777777" w:rsidR="00331AB6" w:rsidRPr="00E1789A" w:rsidRDefault="00331AB6" w:rsidP="00331AB6">
      <w:pPr>
        <w:rPr>
          <w:rFonts w:ascii="Times New Roman" w:hAnsi="Times New Roman" w:cs="Times New Roman"/>
          <w:sz w:val="24"/>
          <w:szCs w:val="24"/>
        </w:rPr>
      </w:pPr>
    </w:p>
    <w:p w14:paraId="1D3FD60B" w14:textId="77777777" w:rsidR="00331AB6" w:rsidRPr="00E1789A" w:rsidRDefault="00331AB6" w:rsidP="00331AB6">
      <w:pPr>
        <w:rPr>
          <w:rFonts w:ascii="Times New Roman" w:hAnsi="Times New Roman" w:cs="Times New Roman"/>
          <w:sz w:val="24"/>
          <w:szCs w:val="24"/>
        </w:rPr>
      </w:pPr>
    </w:p>
    <w:p w14:paraId="35032EED" w14:textId="77777777" w:rsidR="00331AB6" w:rsidRPr="00E1789A" w:rsidRDefault="00331AB6" w:rsidP="00331AB6">
      <w:pPr>
        <w:rPr>
          <w:rFonts w:ascii="Times New Roman" w:hAnsi="Times New Roman" w:cs="Times New Roman"/>
          <w:sz w:val="24"/>
          <w:szCs w:val="24"/>
        </w:rPr>
      </w:pPr>
    </w:p>
    <w:p w14:paraId="562C0626" w14:textId="77777777" w:rsidR="00331AB6" w:rsidRPr="00E1789A" w:rsidRDefault="00331AB6" w:rsidP="00331AB6">
      <w:pPr>
        <w:rPr>
          <w:rFonts w:ascii="Times New Roman" w:hAnsi="Times New Roman" w:cs="Times New Roman"/>
          <w:sz w:val="24"/>
          <w:szCs w:val="24"/>
        </w:rPr>
      </w:pPr>
    </w:p>
    <w:p w14:paraId="71F4C7A7" w14:textId="77777777" w:rsidR="00331AB6" w:rsidRPr="00E1789A" w:rsidRDefault="00331AB6" w:rsidP="00331AB6">
      <w:pPr>
        <w:rPr>
          <w:rFonts w:ascii="Times New Roman" w:hAnsi="Times New Roman" w:cs="Times New Roman"/>
          <w:sz w:val="24"/>
          <w:szCs w:val="24"/>
        </w:rPr>
      </w:pPr>
    </w:p>
    <w:p w14:paraId="569C486E" w14:textId="77777777" w:rsidR="00331AB6" w:rsidRPr="00E1789A" w:rsidRDefault="00331AB6" w:rsidP="00331AB6">
      <w:pPr>
        <w:rPr>
          <w:rFonts w:ascii="Times New Roman" w:hAnsi="Times New Roman" w:cs="Times New Roman"/>
          <w:sz w:val="24"/>
          <w:szCs w:val="24"/>
        </w:rPr>
      </w:pPr>
    </w:p>
    <w:p w14:paraId="44937A0E" w14:textId="77777777" w:rsidR="00331AB6" w:rsidRPr="00E1789A" w:rsidRDefault="00331AB6" w:rsidP="00331AB6">
      <w:pPr>
        <w:rPr>
          <w:rFonts w:ascii="Times New Roman" w:hAnsi="Times New Roman" w:cs="Times New Roman"/>
          <w:sz w:val="24"/>
          <w:szCs w:val="24"/>
        </w:rPr>
      </w:pPr>
    </w:p>
    <w:p w14:paraId="68BE399C" w14:textId="77777777" w:rsidR="00331AB6" w:rsidRPr="00E1789A" w:rsidRDefault="00331AB6" w:rsidP="00331AB6">
      <w:pPr>
        <w:rPr>
          <w:rFonts w:ascii="Times New Roman" w:hAnsi="Times New Roman" w:cs="Times New Roman"/>
          <w:sz w:val="24"/>
          <w:szCs w:val="24"/>
        </w:rPr>
      </w:pPr>
    </w:p>
    <w:p w14:paraId="64B4FD4C" w14:textId="77777777" w:rsidR="00331AB6" w:rsidRPr="00E1789A" w:rsidRDefault="00331AB6" w:rsidP="00331AB6">
      <w:pPr>
        <w:rPr>
          <w:rFonts w:ascii="Times New Roman" w:hAnsi="Times New Roman" w:cs="Times New Roman"/>
          <w:sz w:val="24"/>
          <w:szCs w:val="24"/>
        </w:rPr>
      </w:pPr>
    </w:p>
    <w:p w14:paraId="0E662E78" w14:textId="77777777" w:rsidR="00331AB6" w:rsidRPr="00E1789A" w:rsidRDefault="00331AB6" w:rsidP="00331AB6">
      <w:pPr>
        <w:rPr>
          <w:rFonts w:ascii="Times New Roman" w:hAnsi="Times New Roman" w:cs="Times New Roman"/>
          <w:sz w:val="24"/>
          <w:szCs w:val="24"/>
        </w:rPr>
      </w:pPr>
      <w:r w:rsidRPr="00E1789A">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14:anchorId="64F8E026" wp14:editId="3ABBF22A">
                <wp:simplePos x="0" y="0"/>
                <wp:positionH relativeFrom="column">
                  <wp:posOffset>735330</wp:posOffset>
                </wp:positionH>
                <wp:positionV relativeFrom="paragraph">
                  <wp:posOffset>283210</wp:posOffset>
                </wp:positionV>
                <wp:extent cx="5378450" cy="1404620"/>
                <wp:effectExtent l="0" t="0" r="12700" b="20320"/>
                <wp:wrapThrough wrapText="bothSides">
                  <wp:wrapPolygon edited="0">
                    <wp:start x="0" y="0"/>
                    <wp:lineTo x="0" y="21648"/>
                    <wp:lineTo x="21574" y="21648"/>
                    <wp:lineTo x="21574"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404620"/>
                        </a:xfrm>
                        <a:prstGeom prst="rect">
                          <a:avLst/>
                        </a:prstGeom>
                        <a:solidFill>
                          <a:srgbClr val="FFFFFF"/>
                        </a:solidFill>
                        <a:ln w="9525">
                          <a:solidFill>
                            <a:schemeClr val="bg1"/>
                          </a:solidFill>
                          <a:miter lim="800000"/>
                          <a:headEnd/>
                          <a:tailEnd/>
                        </a:ln>
                      </wps:spPr>
                      <wps:txbx>
                        <w:txbxContent>
                          <w:p w14:paraId="1B8041A7" w14:textId="77777777" w:rsidR="00331AB6" w:rsidRPr="00706DA4" w:rsidRDefault="00331AB6" w:rsidP="00331AB6">
                            <w:pPr>
                              <w:rPr>
                                <w:rFonts w:ascii="Times New Roman" w:hAnsi="Times New Roman" w:cs="Times New Roman"/>
                              </w:rPr>
                            </w:pPr>
                            <w:r w:rsidRPr="00706DA4">
                              <w:rPr>
                                <w:rFonts w:ascii="Times New Roman" w:hAnsi="Times New Roman" w:cs="Times New Roman"/>
                              </w:rPr>
                              <w:t>Figure A3. The moderation effect of intellectual capital efficiency on the performance impacts of international diversification experience (Model 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F8E026" id="_x0000_s1028" type="#_x0000_t202" style="position:absolute;margin-left:57.9pt;margin-top:22.3pt;width:42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" strokecolor="white [3212]">
                <v:textbox style="mso-fit-shape-to-text:t">
                  <w:txbxContent>
                    <w:p w14:paraId="1B8041A7" w14:textId="77777777" w:rsidR="00331AB6" w:rsidRPr="00706DA4" w:rsidRDefault="00331AB6" w:rsidP="00331AB6">
                      <w:pPr>
                        <w:rPr>
                          <w:rFonts w:ascii="Times New Roman" w:hAnsi="Times New Roman" w:cs="Times New Roman"/>
                        </w:rPr>
                      </w:pPr>
                      <w:r w:rsidRPr="00706DA4">
                        <w:rPr>
                          <w:rFonts w:ascii="Times New Roman" w:hAnsi="Times New Roman" w:cs="Times New Roman"/>
                        </w:rPr>
                        <w:t>Figure A3. The moderation effect of intellectual capital efficiency on the performance impacts of international diversification experience (Model 14)</w:t>
                      </w:r>
                    </w:p>
                  </w:txbxContent>
                </v:textbox>
                <w10:wrap type="through"/>
              </v:shape>
            </w:pict>
          </mc:Fallback>
        </mc:AlternateContent>
      </w:r>
    </w:p>
    <w:p w14:paraId="01116D9E" w14:textId="77777777" w:rsidR="00331AB6" w:rsidRPr="00E1789A" w:rsidRDefault="00331AB6" w:rsidP="00331AB6">
      <w:pPr>
        <w:rPr>
          <w:rFonts w:ascii="Times New Roman" w:hAnsi="Times New Roman" w:cs="Times New Roman"/>
          <w:sz w:val="24"/>
          <w:szCs w:val="24"/>
        </w:rPr>
      </w:pPr>
    </w:p>
    <w:p w14:paraId="14A6E679" w14:textId="77777777" w:rsidR="00331AB6" w:rsidRPr="00E1789A" w:rsidRDefault="00331AB6" w:rsidP="00331AB6">
      <w:pPr>
        <w:rPr>
          <w:rFonts w:ascii="Times New Roman" w:hAnsi="Times New Roman" w:cs="Times New Roman"/>
          <w:sz w:val="24"/>
          <w:szCs w:val="24"/>
        </w:rPr>
      </w:pPr>
    </w:p>
    <w:p w14:paraId="61E4598B" w14:textId="77777777" w:rsidR="00331AB6" w:rsidRPr="00E1789A" w:rsidRDefault="00331AB6" w:rsidP="00331AB6">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0" locked="0" layoutInCell="1" allowOverlap="1" wp14:anchorId="5745FF5C" wp14:editId="33625EEA">
            <wp:simplePos x="0" y="0"/>
            <wp:positionH relativeFrom="column">
              <wp:posOffset>107950</wp:posOffset>
            </wp:positionH>
            <wp:positionV relativeFrom="paragraph">
              <wp:posOffset>95250</wp:posOffset>
            </wp:positionV>
            <wp:extent cx="5727700" cy="3105150"/>
            <wp:effectExtent l="0" t="0" r="6350" b="0"/>
            <wp:wrapNone/>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3105150"/>
                    </a:xfrm>
                    <a:prstGeom prst="rect">
                      <a:avLst/>
                    </a:prstGeom>
                    <a:noFill/>
                    <a:ln>
                      <a:noFill/>
                    </a:ln>
                  </pic:spPr>
                </pic:pic>
              </a:graphicData>
            </a:graphic>
            <wp14:sizeRelV relativeFrom="margin">
              <wp14:pctHeight>0</wp14:pctHeight>
            </wp14:sizeRelV>
          </wp:anchor>
        </w:drawing>
      </w:r>
      <w:r w:rsidRPr="00E1789A">
        <w:rPr>
          <w:rFonts w:ascii="Times New Roman" w:hAnsi="Times New Roman" w:cs="Times New Roman"/>
          <w:noProof/>
          <w:sz w:val="24"/>
          <w:szCs w:val="24"/>
        </w:rPr>
        <w:t xml:space="preserve"> </w:t>
      </w:r>
    </w:p>
    <w:p w14:paraId="104C0792" w14:textId="77777777" w:rsidR="00331AB6" w:rsidRPr="00E1789A" w:rsidRDefault="00331AB6" w:rsidP="00331AB6">
      <w:pPr>
        <w:rPr>
          <w:rFonts w:ascii="Times New Roman" w:hAnsi="Times New Roman" w:cs="Times New Roman"/>
          <w:sz w:val="24"/>
          <w:szCs w:val="24"/>
        </w:rPr>
      </w:pPr>
    </w:p>
    <w:p w14:paraId="4FCB3492" w14:textId="77777777" w:rsidR="00331AB6" w:rsidRPr="00E1789A" w:rsidRDefault="00331AB6" w:rsidP="00331AB6">
      <w:pPr>
        <w:rPr>
          <w:rFonts w:ascii="Times New Roman" w:hAnsi="Times New Roman" w:cs="Times New Roman"/>
          <w:sz w:val="24"/>
          <w:szCs w:val="24"/>
        </w:rPr>
      </w:pPr>
    </w:p>
    <w:p w14:paraId="41AC9849" w14:textId="77777777" w:rsidR="00331AB6" w:rsidRPr="00E1789A" w:rsidRDefault="00331AB6" w:rsidP="00331AB6">
      <w:pPr>
        <w:rPr>
          <w:rFonts w:ascii="Times New Roman" w:hAnsi="Times New Roman" w:cs="Times New Roman"/>
          <w:sz w:val="24"/>
          <w:szCs w:val="24"/>
        </w:rPr>
      </w:pPr>
    </w:p>
    <w:p w14:paraId="155AFACB" w14:textId="77777777" w:rsidR="00331AB6" w:rsidRPr="00E1789A" w:rsidRDefault="00331AB6" w:rsidP="00331AB6">
      <w:pPr>
        <w:rPr>
          <w:rFonts w:ascii="Times New Roman" w:hAnsi="Times New Roman" w:cs="Times New Roman"/>
          <w:sz w:val="24"/>
          <w:szCs w:val="24"/>
        </w:rPr>
      </w:pPr>
    </w:p>
    <w:p w14:paraId="5E540227" w14:textId="77777777" w:rsidR="00331AB6" w:rsidRPr="00E1789A" w:rsidRDefault="00331AB6" w:rsidP="00331AB6">
      <w:pPr>
        <w:rPr>
          <w:rFonts w:ascii="Times New Roman" w:hAnsi="Times New Roman" w:cs="Times New Roman"/>
          <w:sz w:val="24"/>
          <w:szCs w:val="24"/>
        </w:rPr>
      </w:pPr>
    </w:p>
    <w:p w14:paraId="57E38C26" w14:textId="77777777" w:rsidR="00331AB6" w:rsidRPr="00E1789A" w:rsidRDefault="00331AB6" w:rsidP="00331AB6">
      <w:pPr>
        <w:rPr>
          <w:rFonts w:ascii="Times New Roman" w:hAnsi="Times New Roman" w:cs="Times New Roman"/>
          <w:sz w:val="24"/>
          <w:szCs w:val="24"/>
        </w:rPr>
      </w:pPr>
    </w:p>
    <w:p w14:paraId="4F8482EB" w14:textId="77777777" w:rsidR="00331AB6" w:rsidRPr="00E1789A" w:rsidRDefault="00331AB6" w:rsidP="00331AB6">
      <w:pPr>
        <w:rPr>
          <w:rFonts w:ascii="Times New Roman" w:hAnsi="Times New Roman" w:cs="Times New Roman"/>
          <w:sz w:val="24"/>
          <w:szCs w:val="24"/>
        </w:rPr>
      </w:pPr>
    </w:p>
    <w:p w14:paraId="299F478A" w14:textId="77777777" w:rsidR="00331AB6" w:rsidRPr="00E1789A" w:rsidRDefault="00331AB6" w:rsidP="00331AB6">
      <w:pPr>
        <w:rPr>
          <w:rFonts w:ascii="Times New Roman" w:hAnsi="Times New Roman" w:cs="Times New Roman"/>
          <w:sz w:val="24"/>
          <w:szCs w:val="24"/>
        </w:rPr>
      </w:pPr>
    </w:p>
    <w:p w14:paraId="5E884EA0" w14:textId="77777777" w:rsidR="00331AB6" w:rsidRPr="00E1789A" w:rsidRDefault="00331AB6" w:rsidP="00331AB6">
      <w:pPr>
        <w:rPr>
          <w:rFonts w:ascii="Times New Roman" w:hAnsi="Times New Roman" w:cs="Times New Roman"/>
          <w:sz w:val="24"/>
          <w:szCs w:val="24"/>
        </w:rPr>
      </w:pPr>
    </w:p>
    <w:p w14:paraId="2E3D33A2" w14:textId="77777777" w:rsidR="00331AB6" w:rsidRPr="00E1789A" w:rsidRDefault="00331AB6" w:rsidP="00331AB6">
      <w:pPr>
        <w:rPr>
          <w:rFonts w:ascii="Times New Roman" w:hAnsi="Times New Roman" w:cs="Times New Roman"/>
          <w:sz w:val="24"/>
          <w:szCs w:val="24"/>
        </w:rPr>
      </w:pPr>
    </w:p>
    <w:p w14:paraId="7CF289B7" w14:textId="77777777" w:rsidR="00331AB6" w:rsidRPr="00E1789A" w:rsidRDefault="00331AB6" w:rsidP="00331AB6">
      <w:pPr>
        <w:rPr>
          <w:rFonts w:ascii="Times New Roman" w:hAnsi="Times New Roman" w:cs="Times New Roman"/>
          <w:sz w:val="24"/>
          <w:szCs w:val="24"/>
        </w:rPr>
      </w:pPr>
      <w:r w:rsidRPr="00E1789A">
        <w:rPr>
          <w:rFonts w:ascii="Times New Roman" w:hAnsi="Times New Roman" w:cs="Times New Roman"/>
          <w:noProof/>
          <w:sz w:val="24"/>
          <w:szCs w:val="24"/>
        </w:rPr>
        <mc:AlternateContent>
          <mc:Choice Requires="wps">
            <w:drawing>
              <wp:anchor distT="45720" distB="45720" distL="114300" distR="114300" simplePos="0" relativeHeight="251661312" behindDoc="0" locked="0" layoutInCell="1" allowOverlap="1" wp14:anchorId="5FDFFF76" wp14:editId="2F584482">
                <wp:simplePos x="0" y="0"/>
                <wp:positionH relativeFrom="column">
                  <wp:posOffset>422910</wp:posOffset>
                </wp:positionH>
                <wp:positionV relativeFrom="paragraph">
                  <wp:posOffset>126365</wp:posOffset>
                </wp:positionV>
                <wp:extent cx="5378450" cy="1404620"/>
                <wp:effectExtent l="0" t="0" r="12700" b="20320"/>
                <wp:wrapThrough wrapText="bothSides">
                  <wp:wrapPolygon edited="0">
                    <wp:start x="0" y="0"/>
                    <wp:lineTo x="0" y="21648"/>
                    <wp:lineTo x="21574" y="21648"/>
                    <wp:lineTo x="21574"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0" cy="1404620"/>
                        </a:xfrm>
                        <a:prstGeom prst="rect">
                          <a:avLst/>
                        </a:prstGeom>
                        <a:solidFill>
                          <a:srgbClr val="FFFFFF"/>
                        </a:solidFill>
                        <a:ln w="9525">
                          <a:solidFill>
                            <a:schemeClr val="bg1"/>
                          </a:solidFill>
                          <a:miter lim="800000"/>
                          <a:headEnd/>
                          <a:tailEnd/>
                        </a:ln>
                      </wps:spPr>
                      <wps:txbx>
                        <w:txbxContent>
                          <w:p w14:paraId="59074D1F" w14:textId="77777777" w:rsidR="00331AB6" w:rsidRPr="00706DA4" w:rsidRDefault="00331AB6" w:rsidP="00331AB6">
                            <w:pPr>
                              <w:rPr>
                                <w:rFonts w:ascii="Times New Roman" w:hAnsi="Times New Roman" w:cs="Times New Roman"/>
                              </w:rPr>
                            </w:pPr>
                            <w:r w:rsidRPr="00706DA4">
                              <w:rPr>
                                <w:rFonts w:ascii="Times New Roman" w:hAnsi="Times New Roman" w:cs="Times New Roman"/>
                              </w:rPr>
                              <w:t>Figure A4. The moderation effect of patent stock diversity on the performance impacts of product diversification experience unrelatedness (Model 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DFFF76" id="_x0000_s1029" type="#_x0000_t202" style="position:absolute;margin-left:33.3pt;margin-top:9.95pt;width:423.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" strokecolor="white [3212]">
                <v:textbox style="mso-fit-shape-to-text:t">
                  <w:txbxContent>
                    <w:p w14:paraId="59074D1F" w14:textId="77777777" w:rsidR="00331AB6" w:rsidRPr="00706DA4" w:rsidRDefault="00331AB6" w:rsidP="00331AB6">
                      <w:pPr>
                        <w:rPr>
                          <w:rFonts w:ascii="Times New Roman" w:hAnsi="Times New Roman" w:cs="Times New Roman"/>
                        </w:rPr>
                      </w:pPr>
                      <w:r w:rsidRPr="00706DA4">
                        <w:rPr>
                          <w:rFonts w:ascii="Times New Roman" w:hAnsi="Times New Roman" w:cs="Times New Roman"/>
                        </w:rPr>
                        <w:t>Figure A4. The moderation effect of patent stock diversity on the performance impacts of product diversification experience unrelatedness (Model 22)</w:t>
                      </w:r>
                    </w:p>
                  </w:txbxContent>
                </v:textbox>
                <w10:wrap type="through"/>
              </v:shape>
            </w:pict>
          </mc:Fallback>
        </mc:AlternateContent>
      </w:r>
    </w:p>
    <w:p w14:paraId="7F9A36B3" w14:textId="77777777" w:rsidR="00331AB6" w:rsidRPr="00E1789A" w:rsidRDefault="00331AB6" w:rsidP="00331AB6">
      <w:pPr>
        <w:rPr>
          <w:rFonts w:ascii="Times New Roman" w:hAnsi="Times New Roman" w:cs="Times New Roman"/>
          <w:sz w:val="24"/>
          <w:szCs w:val="24"/>
        </w:rPr>
      </w:pPr>
    </w:p>
    <w:p w14:paraId="5A316FBB" w14:textId="77777777" w:rsidR="00331AB6" w:rsidRPr="00E1789A" w:rsidRDefault="00331AB6" w:rsidP="00331AB6">
      <w:pPr>
        <w:tabs>
          <w:tab w:val="left" w:pos="2090"/>
        </w:tabs>
        <w:rPr>
          <w:rFonts w:ascii="Times New Roman" w:hAnsi="Times New Roman" w:cs="Times New Roman"/>
          <w:sz w:val="24"/>
          <w:szCs w:val="24"/>
        </w:rPr>
      </w:pPr>
      <w:r w:rsidRPr="00E1789A">
        <w:rPr>
          <w:rFonts w:ascii="Times New Roman" w:hAnsi="Times New Roman" w:cs="Times New Roman"/>
          <w:noProof/>
          <w:sz w:val="24"/>
          <w:szCs w:val="24"/>
        </w:rPr>
        <mc:AlternateContent>
          <mc:Choice Requires="wps">
            <w:drawing>
              <wp:anchor distT="45720" distB="45720" distL="114300" distR="114300" simplePos="0" relativeHeight="251662336" behindDoc="0" locked="0" layoutInCell="1" allowOverlap="1" wp14:anchorId="6849059E" wp14:editId="546968CC">
                <wp:simplePos x="0" y="0"/>
                <wp:positionH relativeFrom="column">
                  <wp:posOffset>330200</wp:posOffset>
                </wp:positionH>
                <wp:positionV relativeFrom="paragraph">
                  <wp:posOffset>177165</wp:posOffset>
                </wp:positionV>
                <wp:extent cx="4737100" cy="56515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0" cy="565150"/>
                        </a:xfrm>
                        <a:prstGeom prst="rect">
                          <a:avLst/>
                        </a:prstGeom>
                        <a:solidFill>
                          <a:srgbClr val="FFFFFF"/>
                        </a:solidFill>
                        <a:ln w="9525">
                          <a:solidFill>
                            <a:schemeClr val="bg1"/>
                          </a:solidFill>
                          <a:miter lim="800000"/>
                          <a:headEnd/>
                          <a:tailEnd/>
                        </a:ln>
                      </wps:spPr>
                      <wps:txbx>
                        <w:txbxContent>
                          <w:p w14:paraId="4608788F" w14:textId="77777777" w:rsidR="00331AB6" w:rsidRPr="005272AC" w:rsidRDefault="00331AB6" w:rsidP="00331AB6">
                            <w:pPr>
                              <w:rPr>
                                <w:rFonts w:ascii="Times New Roman" w:hAnsi="Times New Roman" w:cs="Times New Roman"/>
                                <w:sz w:val="20"/>
                                <w:szCs w:val="20"/>
                              </w:rPr>
                            </w:pPr>
                            <w:r w:rsidRPr="00925E67">
                              <w:rPr>
                                <w:rFonts w:ascii="Times New Roman" w:hAnsi="Times New Roman" w:cs="Times New Roman"/>
                                <w:i/>
                                <w:iCs/>
                                <w:sz w:val="20"/>
                                <w:szCs w:val="20"/>
                              </w:rPr>
                              <w:t>Note</w:t>
                            </w:r>
                            <w:r w:rsidRPr="00C04133">
                              <w:rPr>
                                <w:rFonts w:ascii="Times New Roman" w:hAnsi="Times New Roman" w:cs="Times New Roman"/>
                                <w:sz w:val="20"/>
                                <w:szCs w:val="20"/>
                              </w:rPr>
                              <w:t>: SD = Standard deviation</w:t>
                            </w:r>
                            <w:r>
                              <w:rPr>
                                <w:rFonts w:ascii="Times New Roman" w:hAnsi="Times New Roman" w:cs="Times New Roman"/>
                                <w:sz w:val="20"/>
                                <w:szCs w:val="20"/>
                              </w:rPr>
                              <w:t>; All figures are plotted over the entire range of the explanatory variables (i.e., X-axis)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9059E" id="_x0000_s1030" type="#_x0000_t202" style="position:absolute;margin-left:26pt;margin-top:13.95pt;width:373pt;height:4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" strokecolor="white [3212]">
                <v:textbox>
                  <w:txbxContent>
                    <w:p w14:paraId="4608788F" w14:textId="77777777" w:rsidR="00331AB6" w:rsidRPr="005272AC" w:rsidRDefault="00331AB6" w:rsidP="00331AB6">
                      <w:pPr>
                        <w:rPr>
                          <w:rFonts w:ascii="Times New Roman" w:hAnsi="Times New Roman" w:cs="Times New Roman"/>
                          <w:sz w:val="20"/>
                          <w:szCs w:val="20"/>
                        </w:rPr>
                      </w:pPr>
                      <w:r w:rsidRPr="00925E67">
                        <w:rPr>
                          <w:rFonts w:ascii="Times New Roman" w:hAnsi="Times New Roman" w:cs="Times New Roman"/>
                          <w:i/>
                          <w:iCs/>
                          <w:sz w:val="20"/>
                          <w:szCs w:val="20"/>
                        </w:rPr>
                        <w:t>Note</w:t>
                      </w:r>
                      <w:r w:rsidRPr="00C04133">
                        <w:rPr>
                          <w:rFonts w:ascii="Times New Roman" w:hAnsi="Times New Roman" w:cs="Times New Roman"/>
                          <w:sz w:val="20"/>
                          <w:szCs w:val="20"/>
                        </w:rPr>
                        <w:t>: SD = Standard deviation</w:t>
                      </w:r>
                      <w:r>
                        <w:rPr>
                          <w:rFonts w:ascii="Times New Roman" w:hAnsi="Times New Roman" w:cs="Times New Roman"/>
                          <w:sz w:val="20"/>
                          <w:szCs w:val="20"/>
                        </w:rPr>
                        <w:t>; All figures are plotted over the entire range of the explanatory variables (i.e., X-axis)</w:t>
                      </w:r>
                    </w:p>
                  </w:txbxContent>
                </v:textbox>
                <w10:wrap type="square"/>
              </v:shape>
            </w:pict>
          </mc:Fallback>
        </mc:AlternateContent>
      </w:r>
    </w:p>
    <w:p w14:paraId="359838C5" w14:textId="77777777" w:rsidR="00331AB6" w:rsidRPr="00E1789A" w:rsidRDefault="00331AB6" w:rsidP="00331AB6">
      <w:pPr>
        <w:tabs>
          <w:tab w:val="left" w:pos="2090"/>
        </w:tabs>
        <w:rPr>
          <w:rFonts w:ascii="Times New Roman" w:hAnsi="Times New Roman" w:cs="Times New Roman"/>
          <w:sz w:val="24"/>
          <w:szCs w:val="24"/>
        </w:rPr>
      </w:pPr>
    </w:p>
    <w:p w14:paraId="2BC69D42" w14:textId="77777777" w:rsidR="00331AB6" w:rsidRPr="00E1789A" w:rsidRDefault="00331AB6" w:rsidP="00331AB6">
      <w:pPr>
        <w:tabs>
          <w:tab w:val="left" w:pos="2090"/>
        </w:tabs>
        <w:rPr>
          <w:rFonts w:ascii="Times New Roman" w:hAnsi="Times New Roman" w:cs="Times New Roman"/>
          <w:sz w:val="24"/>
          <w:szCs w:val="24"/>
        </w:rPr>
        <w:sectPr w:rsidR="00331AB6" w:rsidRPr="00E1789A" w:rsidSect="00200DE3">
          <w:pgSz w:w="11906" w:h="16838"/>
          <w:pgMar w:top="1440" w:right="1440" w:bottom="1440" w:left="1440" w:header="708" w:footer="708" w:gutter="0"/>
          <w:cols w:space="708"/>
          <w:docGrid w:linePitch="360"/>
        </w:sectPr>
      </w:pPr>
    </w:p>
    <w:bookmarkEnd w:id="0"/>
    <w:p w14:paraId="7D8BAF96" w14:textId="77777777" w:rsidR="00331AB6" w:rsidRPr="00C555AB" w:rsidRDefault="00331AB6" w:rsidP="00331AB6">
      <w:pPr>
        <w:spacing w:after="0" w:line="480" w:lineRule="auto"/>
        <w:rPr>
          <w:rFonts w:ascii="Times New Roman" w:hAnsi="Times New Roman" w:cs="Times New Roman"/>
          <w:b/>
          <w:bCs/>
          <w:sz w:val="24"/>
          <w:szCs w:val="24"/>
        </w:rPr>
      </w:pPr>
      <w:r w:rsidRPr="00C555AB">
        <w:rPr>
          <w:rFonts w:ascii="Times New Roman" w:hAnsi="Times New Roman" w:cs="Times New Roman"/>
          <w:b/>
          <w:bCs/>
          <w:sz w:val="24"/>
          <w:szCs w:val="24"/>
        </w:rPr>
        <w:lastRenderedPageBreak/>
        <w:t>NOTES</w:t>
      </w:r>
    </w:p>
    <w:p w14:paraId="72DBF9B0" w14:textId="77777777" w:rsidR="00331AB6" w:rsidRPr="00C555AB" w:rsidRDefault="00331AB6" w:rsidP="00331AB6">
      <w:pPr>
        <w:pStyle w:val="FootnoteText"/>
        <w:rPr>
          <w:rFonts w:ascii="Times New Roman" w:hAnsi="Times New Roman" w:cs="Times New Roman"/>
        </w:rPr>
      </w:pPr>
      <w:r w:rsidRPr="00C555AB">
        <w:rPr>
          <w:rFonts w:ascii="Times New Roman" w:hAnsi="Times New Roman" w:cs="Times New Roman"/>
        </w:rPr>
        <w:t>[1] Indian Patent Search interface can be accessed at http://ipindiaservices.gov.in/publicsearch. Indian Patent Data have now also been available through the PATENTSCOPE search engine of the World Intellectual Property Organization (WIPO) since March 2018.</w:t>
      </w:r>
    </w:p>
    <w:p w14:paraId="7C06B9DD" w14:textId="77777777" w:rsidR="00331AB6" w:rsidRDefault="00331AB6" w:rsidP="00331AB6">
      <w:pPr>
        <w:spacing w:after="0" w:line="240" w:lineRule="auto"/>
        <w:rPr>
          <w:rFonts w:ascii="Times New Roman" w:hAnsi="Times New Roman" w:cs="Times New Roman"/>
          <w:sz w:val="20"/>
          <w:szCs w:val="20"/>
        </w:rPr>
      </w:pPr>
    </w:p>
    <w:p w14:paraId="291546E7" w14:textId="77777777" w:rsidR="00331AB6" w:rsidRPr="00C555AB" w:rsidRDefault="00331AB6" w:rsidP="00331AB6">
      <w:pPr>
        <w:spacing w:after="0" w:line="240" w:lineRule="auto"/>
        <w:rPr>
          <w:rFonts w:ascii="Times New Roman" w:hAnsi="Times New Roman" w:cs="Times New Roman"/>
          <w:sz w:val="20"/>
          <w:szCs w:val="20"/>
        </w:rPr>
      </w:pPr>
      <w:r w:rsidRPr="00C555AB">
        <w:rPr>
          <w:rFonts w:ascii="Times New Roman" w:hAnsi="Times New Roman" w:cs="Times New Roman"/>
          <w:sz w:val="20"/>
          <w:szCs w:val="20"/>
        </w:rPr>
        <w:t>[2] Please note that modes of international diversification such as exports and greenfield operating subsidiaries are not reported in SDC Platinum database.</w:t>
      </w:r>
    </w:p>
    <w:p w14:paraId="304DC9E3" w14:textId="77777777" w:rsidR="00331AB6" w:rsidRDefault="00331AB6" w:rsidP="00331AB6">
      <w:pPr>
        <w:spacing w:after="0" w:line="240" w:lineRule="auto"/>
        <w:rPr>
          <w:rFonts w:ascii="Times New Roman" w:hAnsi="Times New Roman" w:cs="Times New Roman"/>
          <w:sz w:val="20"/>
          <w:szCs w:val="20"/>
        </w:rPr>
      </w:pPr>
    </w:p>
    <w:p w14:paraId="3346C542" w14:textId="77777777" w:rsidR="00331AB6" w:rsidRPr="00C555AB" w:rsidRDefault="00331AB6" w:rsidP="00331AB6">
      <w:pPr>
        <w:spacing w:after="0" w:line="240" w:lineRule="auto"/>
        <w:rPr>
          <w:rFonts w:ascii="Times New Roman" w:hAnsi="Times New Roman" w:cs="Times New Roman"/>
          <w:b/>
          <w:bCs/>
          <w:sz w:val="20"/>
          <w:szCs w:val="20"/>
        </w:rPr>
      </w:pPr>
      <w:r w:rsidRPr="00C555AB">
        <w:rPr>
          <w:rFonts w:ascii="Times New Roman" w:hAnsi="Times New Roman" w:cs="Times New Roman"/>
          <w:sz w:val="20"/>
          <w:szCs w:val="20"/>
        </w:rPr>
        <w:t>[3] Results of RE and FGLS are consistent when absorptive capacity was measured using intellectual capital efficiency, but not when using patent stock diversity. We believe the presence of heteroscedastic and autocorrelated error terms in our model might be one of the reasons why results of RE models vary from those of FGLS, as unlike FGLS, RE does not model both heteroscedastic and autocorrelated error terms simultaneously. In an additional analysis, we used generalized estimating equation (GEE) for the second stage analysis, which allows addressing these two concerns together (</w:t>
      </w:r>
      <w:proofErr w:type="spellStart"/>
      <w:r w:rsidRPr="00C555AB">
        <w:rPr>
          <w:rFonts w:ascii="Times New Roman" w:hAnsi="Times New Roman" w:cs="Times New Roman"/>
          <w:sz w:val="20"/>
          <w:szCs w:val="20"/>
        </w:rPr>
        <w:t>xtgee</w:t>
      </w:r>
      <w:proofErr w:type="spellEnd"/>
      <w:r w:rsidRPr="00C555AB">
        <w:rPr>
          <w:rFonts w:ascii="Times New Roman" w:hAnsi="Times New Roman" w:cs="Times New Roman"/>
          <w:sz w:val="20"/>
          <w:szCs w:val="20"/>
        </w:rPr>
        <w:t xml:space="preserve"> with first order correlation and robust standard errors in Stata) (Ballinger, 2004). We found that results of GEE were similar those of FGLS models, as the coefficient of interaction term between product diversification experience and patent stock diversity (DV = Tobin’s Q: β = 0.03, p &lt; 0.01) and that of the product diversification experience unrelatedness and patent stock diversity were positive and significant (DV = Tobin’s Q: β = 0.01, p &lt; 0.05). Additionally, the moderation effects of patent stock diversity on the outcomes of international diversification experience and unrelatedness therein also remained </w:t>
      </w:r>
      <w:proofErr w:type="gramStart"/>
      <w:r w:rsidRPr="00C555AB">
        <w:rPr>
          <w:rFonts w:ascii="Times New Roman" w:hAnsi="Times New Roman" w:cs="Times New Roman"/>
          <w:sz w:val="20"/>
          <w:szCs w:val="20"/>
        </w:rPr>
        <w:t>similar to</w:t>
      </w:r>
      <w:proofErr w:type="gramEnd"/>
      <w:r w:rsidRPr="00C555AB">
        <w:rPr>
          <w:rFonts w:ascii="Times New Roman" w:hAnsi="Times New Roman" w:cs="Times New Roman"/>
          <w:sz w:val="20"/>
          <w:szCs w:val="20"/>
        </w:rPr>
        <w:t xml:space="preserve"> those of the FGLS models. Results of the GEE models could be obtained from the authors on request. This additional analysis enhanced our confidence in the findings of the FGLS model.</w:t>
      </w:r>
    </w:p>
    <w:p w14:paraId="3D0A4CDE" w14:textId="77777777" w:rsidR="00331AB6" w:rsidRDefault="00331AB6" w:rsidP="00331AB6">
      <w:pPr>
        <w:spacing w:after="0" w:line="480" w:lineRule="auto"/>
        <w:rPr>
          <w:rFonts w:ascii="Times New Roman" w:hAnsi="Times New Roman" w:cs="Times New Roman"/>
          <w:b/>
          <w:bCs/>
          <w:sz w:val="24"/>
          <w:szCs w:val="24"/>
        </w:rPr>
      </w:pPr>
    </w:p>
    <w:p w14:paraId="4F33BCF6" w14:textId="77777777" w:rsidR="00331AB6" w:rsidRPr="00925E67" w:rsidRDefault="00331AB6" w:rsidP="00331AB6">
      <w:pPr>
        <w:spacing w:after="0" w:line="480" w:lineRule="auto"/>
        <w:rPr>
          <w:rFonts w:ascii="Times New Roman" w:hAnsi="Times New Roman" w:cs="Times New Roman"/>
          <w:b/>
          <w:bCs/>
          <w:sz w:val="24"/>
          <w:szCs w:val="24"/>
        </w:rPr>
      </w:pPr>
      <w:r>
        <w:rPr>
          <w:rFonts w:ascii="Times New Roman" w:hAnsi="Times New Roman" w:cs="Times New Roman"/>
          <w:b/>
          <w:bCs/>
          <w:sz w:val="24"/>
          <w:szCs w:val="24"/>
        </w:rPr>
        <w:t>REFERENCES</w:t>
      </w:r>
      <w:r w:rsidRPr="00C555AB">
        <w:rPr>
          <w:rFonts w:ascii="Times New Roman" w:hAnsi="Times New Roman" w:cs="Times New Roman"/>
          <w:b/>
          <w:bCs/>
          <w:sz w:val="24"/>
          <w:szCs w:val="24"/>
        </w:rPr>
        <w:t xml:space="preserve"> (used in online supplementary material)</w:t>
      </w:r>
      <w:r w:rsidRPr="00C555AB">
        <w:rPr>
          <w:rFonts w:ascii="Times New Roman" w:hAnsi="Times New Roman" w:cs="Times New Roman"/>
          <w:sz w:val="24"/>
          <w:szCs w:val="24"/>
        </w:rPr>
        <w:fldChar w:fldCharType="begin"/>
      </w:r>
      <w:r w:rsidRPr="00C555AB">
        <w:rPr>
          <w:rFonts w:ascii="Times New Roman" w:hAnsi="Times New Roman" w:cs="Times New Roman"/>
          <w:sz w:val="24"/>
          <w:szCs w:val="24"/>
        </w:rPr>
        <w:instrText xml:space="preserve"> ADDIN ZOTERO_BIBL {"uncited":[],"omitted":[],"custom":[]} CSL_BIBLIOGRAPHY </w:instrText>
      </w:r>
      <w:r w:rsidRPr="00C555AB">
        <w:rPr>
          <w:rFonts w:ascii="Times New Roman" w:hAnsi="Times New Roman" w:cs="Times New Roman"/>
          <w:sz w:val="24"/>
          <w:szCs w:val="24"/>
        </w:rPr>
        <w:fldChar w:fldCharType="separate"/>
      </w:r>
    </w:p>
    <w:p w14:paraId="0EE4FAD1"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Ahuja, G., &amp; </w:t>
      </w:r>
      <w:proofErr w:type="spellStart"/>
      <w:r w:rsidRPr="00C555AB">
        <w:rPr>
          <w:rFonts w:ascii="Times New Roman" w:hAnsi="Times New Roman" w:cs="Times New Roman"/>
          <w:sz w:val="24"/>
          <w:szCs w:val="24"/>
        </w:rPr>
        <w:t>Novelli</w:t>
      </w:r>
      <w:proofErr w:type="spellEnd"/>
      <w:r w:rsidRPr="00C555AB">
        <w:rPr>
          <w:rFonts w:ascii="Times New Roman" w:hAnsi="Times New Roman" w:cs="Times New Roman"/>
          <w:sz w:val="24"/>
          <w:szCs w:val="24"/>
        </w:rPr>
        <w:t xml:space="preserve">, E. 2017. Redirecting research efforts on the diversification–performance linkage: The search for synergy. </w:t>
      </w:r>
      <w:r w:rsidRPr="00C555AB">
        <w:rPr>
          <w:rFonts w:ascii="Times New Roman" w:hAnsi="Times New Roman" w:cs="Times New Roman"/>
          <w:b/>
          <w:bCs/>
          <w:i/>
          <w:iCs/>
          <w:sz w:val="24"/>
          <w:szCs w:val="24"/>
        </w:rPr>
        <w:t>Academy of Management Annals</w:t>
      </w:r>
      <w:r w:rsidRPr="00C555AB">
        <w:rPr>
          <w:rFonts w:ascii="Times New Roman" w:hAnsi="Times New Roman" w:cs="Times New Roman"/>
          <w:sz w:val="24"/>
          <w:szCs w:val="24"/>
        </w:rPr>
        <w:t>, 11(1)</w:t>
      </w:r>
      <w:r>
        <w:rPr>
          <w:rFonts w:ascii="Times New Roman" w:hAnsi="Times New Roman" w:cs="Times New Roman"/>
          <w:sz w:val="24"/>
          <w:szCs w:val="24"/>
        </w:rPr>
        <w:t>:</w:t>
      </w:r>
      <w:r w:rsidRPr="00C555AB">
        <w:rPr>
          <w:rFonts w:ascii="Times New Roman" w:hAnsi="Times New Roman" w:cs="Times New Roman"/>
          <w:sz w:val="24"/>
          <w:szCs w:val="24"/>
        </w:rPr>
        <w:t xml:space="preserve"> 342–390.</w:t>
      </w:r>
    </w:p>
    <w:p w14:paraId="0176E86A"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Ballinger, G. A. 2004. Using generalized estimating equations for longitudinal data analysis. </w:t>
      </w:r>
      <w:r w:rsidRPr="00C555AB">
        <w:rPr>
          <w:rFonts w:ascii="Times New Roman" w:hAnsi="Times New Roman" w:cs="Times New Roman"/>
          <w:b/>
          <w:bCs/>
          <w:i/>
          <w:iCs/>
          <w:sz w:val="24"/>
          <w:szCs w:val="24"/>
        </w:rPr>
        <w:t>Organizational Research Methods</w:t>
      </w:r>
      <w:r w:rsidRPr="00C555AB">
        <w:rPr>
          <w:rFonts w:ascii="Times New Roman" w:hAnsi="Times New Roman" w:cs="Times New Roman"/>
          <w:sz w:val="24"/>
          <w:szCs w:val="24"/>
        </w:rPr>
        <w:t>, 7(2)</w:t>
      </w:r>
      <w:r>
        <w:rPr>
          <w:rFonts w:ascii="Times New Roman" w:hAnsi="Times New Roman" w:cs="Times New Roman"/>
          <w:sz w:val="24"/>
          <w:szCs w:val="24"/>
        </w:rPr>
        <w:t>:</w:t>
      </w:r>
      <w:r w:rsidRPr="00C555AB">
        <w:rPr>
          <w:rFonts w:ascii="Times New Roman" w:hAnsi="Times New Roman" w:cs="Times New Roman"/>
          <w:sz w:val="24"/>
          <w:szCs w:val="24"/>
        </w:rPr>
        <w:t xml:space="preserve"> 127–150.</w:t>
      </w:r>
    </w:p>
    <w:p w14:paraId="49BEDEBC"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Bell, J., Crick, D., &amp; Young, S. 2004. Small </w:t>
      </w:r>
      <w:r>
        <w:rPr>
          <w:rFonts w:ascii="Times New Roman" w:hAnsi="Times New Roman" w:cs="Times New Roman"/>
          <w:sz w:val="24"/>
          <w:szCs w:val="24"/>
        </w:rPr>
        <w:t>f</w:t>
      </w:r>
      <w:r w:rsidRPr="00C555AB">
        <w:rPr>
          <w:rFonts w:ascii="Times New Roman" w:hAnsi="Times New Roman" w:cs="Times New Roman"/>
          <w:sz w:val="24"/>
          <w:szCs w:val="24"/>
        </w:rPr>
        <w:t xml:space="preserve">irm </w:t>
      </w:r>
      <w:r>
        <w:rPr>
          <w:rFonts w:ascii="Times New Roman" w:hAnsi="Times New Roman" w:cs="Times New Roman"/>
          <w:sz w:val="24"/>
          <w:szCs w:val="24"/>
        </w:rPr>
        <w:t>i</w:t>
      </w:r>
      <w:r w:rsidRPr="00C555AB">
        <w:rPr>
          <w:rFonts w:ascii="Times New Roman" w:hAnsi="Times New Roman" w:cs="Times New Roman"/>
          <w:sz w:val="24"/>
          <w:szCs w:val="24"/>
        </w:rPr>
        <w:t xml:space="preserve">nternationalization and </w:t>
      </w:r>
      <w:r>
        <w:rPr>
          <w:rFonts w:ascii="Times New Roman" w:hAnsi="Times New Roman" w:cs="Times New Roman"/>
          <w:sz w:val="24"/>
          <w:szCs w:val="24"/>
        </w:rPr>
        <w:t>b</w:t>
      </w:r>
      <w:r w:rsidRPr="00C555AB">
        <w:rPr>
          <w:rFonts w:ascii="Times New Roman" w:hAnsi="Times New Roman" w:cs="Times New Roman"/>
          <w:sz w:val="24"/>
          <w:szCs w:val="24"/>
        </w:rPr>
        <w:t xml:space="preserve">usiness </w:t>
      </w:r>
      <w:r>
        <w:rPr>
          <w:rFonts w:ascii="Times New Roman" w:hAnsi="Times New Roman" w:cs="Times New Roman"/>
          <w:sz w:val="24"/>
          <w:szCs w:val="24"/>
        </w:rPr>
        <w:t>s</w:t>
      </w:r>
      <w:r w:rsidRPr="00C555AB">
        <w:rPr>
          <w:rFonts w:ascii="Times New Roman" w:hAnsi="Times New Roman" w:cs="Times New Roman"/>
          <w:sz w:val="24"/>
          <w:szCs w:val="24"/>
        </w:rPr>
        <w:t xml:space="preserve">trategy: An </w:t>
      </w:r>
      <w:r>
        <w:rPr>
          <w:rFonts w:ascii="Times New Roman" w:hAnsi="Times New Roman" w:cs="Times New Roman"/>
          <w:sz w:val="24"/>
          <w:szCs w:val="24"/>
        </w:rPr>
        <w:t>e</w:t>
      </w:r>
      <w:r w:rsidRPr="00C555AB">
        <w:rPr>
          <w:rFonts w:ascii="Times New Roman" w:hAnsi="Times New Roman" w:cs="Times New Roman"/>
          <w:sz w:val="24"/>
          <w:szCs w:val="24"/>
        </w:rPr>
        <w:t xml:space="preserve">xploratory </w:t>
      </w:r>
      <w:r>
        <w:rPr>
          <w:rFonts w:ascii="Times New Roman" w:hAnsi="Times New Roman" w:cs="Times New Roman"/>
          <w:sz w:val="24"/>
          <w:szCs w:val="24"/>
        </w:rPr>
        <w:t>s</w:t>
      </w:r>
      <w:r w:rsidRPr="00C555AB">
        <w:rPr>
          <w:rFonts w:ascii="Times New Roman" w:hAnsi="Times New Roman" w:cs="Times New Roman"/>
          <w:sz w:val="24"/>
          <w:szCs w:val="24"/>
        </w:rPr>
        <w:t>tudy of ‘</w:t>
      </w:r>
      <w:r>
        <w:rPr>
          <w:rFonts w:ascii="Times New Roman" w:hAnsi="Times New Roman" w:cs="Times New Roman"/>
          <w:sz w:val="24"/>
          <w:szCs w:val="24"/>
        </w:rPr>
        <w:t>k</w:t>
      </w:r>
      <w:r w:rsidRPr="00C555AB">
        <w:rPr>
          <w:rFonts w:ascii="Times New Roman" w:hAnsi="Times New Roman" w:cs="Times New Roman"/>
          <w:sz w:val="24"/>
          <w:szCs w:val="24"/>
        </w:rPr>
        <w:t>nowledge-</w:t>
      </w:r>
      <w:r>
        <w:rPr>
          <w:rFonts w:ascii="Times New Roman" w:hAnsi="Times New Roman" w:cs="Times New Roman"/>
          <w:sz w:val="24"/>
          <w:szCs w:val="24"/>
        </w:rPr>
        <w:t>i</w:t>
      </w:r>
      <w:r w:rsidRPr="00C555AB">
        <w:rPr>
          <w:rFonts w:ascii="Times New Roman" w:hAnsi="Times New Roman" w:cs="Times New Roman"/>
          <w:sz w:val="24"/>
          <w:szCs w:val="24"/>
        </w:rPr>
        <w:t>ntensive’ and ‘</w:t>
      </w:r>
      <w:r>
        <w:rPr>
          <w:rFonts w:ascii="Times New Roman" w:hAnsi="Times New Roman" w:cs="Times New Roman"/>
          <w:sz w:val="24"/>
          <w:szCs w:val="24"/>
        </w:rPr>
        <w:t>t</w:t>
      </w:r>
      <w:r w:rsidRPr="00C555AB">
        <w:rPr>
          <w:rFonts w:ascii="Times New Roman" w:hAnsi="Times New Roman" w:cs="Times New Roman"/>
          <w:sz w:val="24"/>
          <w:szCs w:val="24"/>
        </w:rPr>
        <w:t xml:space="preserve">raditional’ </w:t>
      </w:r>
      <w:r>
        <w:rPr>
          <w:rFonts w:ascii="Times New Roman" w:hAnsi="Times New Roman" w:cs="Times New Roman"/>
          <w:sz w:val="24"/>
          <w:szCs w:val="24"/>
        </w:rPr>
        <w:t>m</w:t>
      </w:r>
      <w:r w:rsidRPr="00C555AB">
        <w:rPr>
          <w:rFonts w:ascii="Times New Roman" w:hAnsi="Times New Roman" w:cs="Times New Roman"/>
          <w:sz w:val="24"/>
          <w:szCs w:val="24"/>
        </w:rPr>
        <w:t xml:space="preserve">anufacturing </w:t>
      </w:r>
      <w:r>
        <w:rPr>
          <w:rFonts w:ascii="Times New Roman" w:hAnsi="Times New Roman" w:cs="Times New Roman"/>
          <w:sz w:val="24"/>
          <w:szCs w:val="24"/>
        </w:rPr>
        <w:t>f</w:t>
      </w:r>
      <w:r w:rsidRPr="00C555AB">
        <w:rPr>
          <w:rFonts w:ascii="Times New Roman" w:hAnsi="Times New Roman" w:cs="Times New Roman"/>
          <w:sz w:val="24"/>
          <w:szCs w:val="24"/>
        </w:rPr>
        <w:t xml:space="preserve">irms in the UK. </w:t>
      </w:r>
      <w:r w:rsidRPr="00C555AB">
        <w:rPr>
          <w:rFonts w:ascii="Times New Roman" w:hAnsi="Times New Roman" w:cs="Times New Roman"/>
          <w:i/>
          <w:iCs/>
          <w:sz w:val="24"/>
          <w:szCs w:val="24"/>
        </w:rPr>
        <w:t>I</w:t>
      </w:r>
      <w:r w:rsidRPr="00C555AB">
        <w:rPr>
          <w:rFonts w:ascii="Times New Roman" w:hAnsi="Times New Roman" w:cs="Times New Roman"/>
          <w:b/>
          <w:bCs/>
          <w:i/>
          <w:iCs/>
          <w:sz w:val="24"/>
          <w:szCs w:val="24"/>
        </w:rPr>
        <w:t>nternational Small Business Journal</w:t>
      </w:r>
      <w:r w:rsidRPr="00C555AB">
        <w:rPr>
          <w:rFonts w:ascii="Times New Roman" w:hAnsi="Times New Roman" w:cs="Times New Roman"/>
          <w:sz w:val="24"/>
          <w:szCs w:val="24"/>
        </w:rPr>
        <w:t xml:space="preserve">, </w:t>
      </w:r>
      <w:r w:rsidRPr="00011A00">
        <w:rPr>
          <w:rFonts w:ascii="Times New Roman" w:hAnsi="Times New Roman" w:cs="Times New Roman"/>
          <w:sz w:val="24"/>
          <w:szCs w:val="24"/>
        </w:rPr>
        <w:t>22</w:t>
      </w:r>
      <w:r w:rsidRPr="00C555AB">
        <w:rPr>
          <w:rFonts w:ascii="Times New Roman" w:hAnsi="Times New Roman" w:cs="Times New Roman"/>
          <w:sz w:val="24"/>
          <w:szCs w:val="24"/>
        </w:rPr>
        <w:t>(1)</w:t>
      </w:r>
      <w:r>
        <w:rPr>
          <w:rFonts w:ascii="Times New Roman" w:hAnsi="Times New Roman" w:cs="Times New Roman"/>
          <w:sz w:val="24"/>
          <w:szCs w:val="24"/>
        </w:rPr>
        <w:t>:</w:t>
      </w:r>
      <w:r w:rsidRPr="00C555AB">
        <w:rPr>
          <w:rFonts w:ascii="Times New Roman" w:hAnsi="Times New Roman" w:cs="Times New Roman"/>
          <w:sz w:val="24"/>
          <w:szCs w:val="24"/>
        </w:rPr>
        <w:t xml:space="preserve"> 23–56. </w:t>
      </w:r>
    </w:p>
    <w:p w14:paraId="3A739CED"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Berry, C. 1975. </w:t>
      </w:r>
      <w:r w:rsidRPr="00C555AB">
        <w:rPr>
          <w:rFonts w:ascii="Times New Roman" w:hAnsi="Times New Roman" w:cs="Times New Roman"/>
          <w:b/>
          <w:bCs/>
          <w:i/>
          <w:iCs/>
          <w:sz w:val="24"/>
          <w:szCs w:val="24"/>
        </w:rPr>
        <w:t xml:space="preserve">Corporate </w:t>
      </w:r>
      <w:r>
        <w:rPr>
          <w:rFonts w:ascii="Times New Roman" w:hAnsi="Times New Roman" w:cs="Times New Roman"/>
          <w:b/>
          <w:bCs/>
          <w:i/>
          <w:iCs/>
          <w:sz w:val="24"/>
          <w:szCs w:val="24"/>
        </w:rPr>
        <w:t>g</w:t>
      </w:r>
      <w:r w:rsidRPr="00C555AB">
        <w:rPr>
          <w:rFonts w:ascii="Times New Roman" w:hAnsi="Times New Roman" w:cs="Times New Roman"/>
          <w:b/>
          <w:bCs/>
          <w:i/>
          <w:iCs/>
          <w:sz w:val="24"/>
          <w:szCs w:val="24"/>
        </w:rPr>
        <w:t xml:space="preserve">rowth and </w:t>
      </w:r>
      <w:r>
        <w:rPr>
          <w:rFonts w:ascii="Times New Roman" w:hAnsi="Times New Roman" w:cs="Times New Roman"/>
          <w:b/>
          <w:bCs/>
          <w:i/>
          <w:iCs/>
          <w:sz w:val="24"/>
          <w:szCs w:val="24"/>
        </w:rPr>
        <w:t>d</w:t>
      </w:r>
      <w:r w:rsidRPr="00C555AB">
        <w:rPr>
          <w:rFonts w:ascii="Times New Roman" w:hAnsi="Times New Roman" w:cs="Times New Roman"/>
          <w:b/>
          <w:bCs/>
          <w:i/>
          <w:iCs/>
          <w:sz w:val="24"/>
          <w:szCs w:val="24"/>
        </w:rPr>
        <w:t>iversification</w:t>
      </w:r>
      <w:r w:rsidRPr="00C555AB">
        <w:rPr>
          <w:rFonts w:ascii="Times New Roman" w:hAnsi="Times New Roman" w:cs="Times New Roman"/>
          <w:sz w:val="24"/>
          <w:szCs w:val="24"/>
        </w:rPr>
        <w:t xml:space="preserve">. </w:t>
      </w:r>
      <w:r>
        <w:rPr>
          <w:rFonts w:ascii="Times New Roman" w:hAnsi="Times New Roman" w:cs="Times New Roman"/>
          <w:sz w:val="24"/>
          <w:szCs w:val="24"/>
        </w:rPr>
        <w:t xml:space="preserve">Princeton, NJ: </w:t>
      </w:r>
      <w:r w:rsidRPr="00C555AB">
        <w:rPr>
          <w:rFonts w:ascii="Times New Roman" w:hAnsi="Times New Roman" w:cs="Times New Roman"/>
          <w:sz w:val="24"/>
          <w:szCs w:val="24"/>
        </w:rPr>
        <w:t>Princetown University Press.</w:t>
      </w:r>
    </w:p>
    <w:p w14:paraId="0058121C"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Bontis</w:t>
      </w:r>
      <w:proofErr w:type="spellEnd"/>
      <w:r w:rsidRPr="00C555AB">
        <w:rPr>
          <w:rFonts w:ascii="Times New Roman" w:hAnsi="Times New Roman" w:cs="Times New Roman"/>
          <w:sz w:val="24"/>
          <w:szCs w:val="24"/>
        </w:rPr>
        <w:t xml:space="preserve">, N. 2001. Assessing knowledge assets: A review of the models used to measure intellectual capital. </w:t>
      </w:r>
      <w:r w:rsidRPr="00C555AB">
        <w:rPr>
          <w:rFonts w:ascii="Times New Roman" w:hAnsi="Times New Roman" w:cs="Times New Roman"/>
          <w:b/>
          <w:bCs/>
          <w:i/>
          <w:iCs/>
          <w:sz w:val="24"/>
          <w:szCs w:val="24"/>
        </w:rPr>
        <w:t>International Journal of Management Reviews</w:t>
      </w:r>
      <w:r w:rsidRPr="00C555AB">
        <w:rPr>
          <w:rFonts w:ascii="Times New Roman" w:hAnsi="Times New Roman" w:cs="Times New Roman"/>
          <w:sz w:val="24"/>
          <w:szCs w:val="24"/>
        </w:rPr>
        <w:t>, 3(1)</w:t>
      </w:r>
      <w:r>
        <w:rPr>
          <w:rFonts w:ascii="Times New Roman" w:hAnsi="Times New Roman" w:cs="Times New Roman"/>
          <w:sz w:val="24"/>
          <w:szCs w:val="24"/>
        </w:rPr>
        <w:t>:</w:t>
      </w:r>
      <w:r w:rsidRPr="00C555AB">
        <w:rPr>
          <w:rFonts w:ascii="Times New Roman" w:hAnsi="Times New Roman" w:cs="Times New Roman"/>
          <w:sz w:val="24"/>
          <w:szCs w:val="24"/>
        </w:rPr>
        <w:t xml:space="preserve"> 41–60.</w:t>
      </w:r>
    </w:p>
    <w:p w14:paraId="4DBB5FC3"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lastRenderedPageBreak/>
        <w:t xml:space="preserve">Cavaliere, V., Lombardi, S., &amp; </w:t>
      </w:r>
      <w:proofErr w:type="spellStart"/>
      <w:r w:rsidRPr="00C555AB">
        <w:rPr>
          <w:rFonts w:ascii="Times New Roman" w:hAnsi="Times New Roman" w:cs="Times New Roman"/>
          <w:sz w:val="24"/>
          <w:szCs w:val="24"/>
        </w:rPr>
        <w:t>Giustiniano</w:t>
      </w:r>
      <w:proofErr w:type="spellEnd"/>
      <w:r w:rsidRPr="00C555AB">
        <w:rPr>
          <w:rFonts w:ascii="Times New Roman" w:hAnsi="Times New Roman" w:cs="Times New Roman"/>
          <w:sz w:val="24"/>
          <w:szCs w:val="24"/>
        </w:rPr>
        <w:t xml:space="preserve">, L. 2015. Knowledge sharing in knowledge-intensive manufacturing firms. An empirical study of its enablers. </w:t>
      </w:r>
      <w:r w:rsidRPr="00C555AB">
        <w:rPr>
          <w:rFonts w:ascii="Times New Roman" w:hAnsi="Times New Roman" w:cs="Times New Roman"/>
          <w:b/>
          <w:bCs/>
          <w:i/>
          <w:iCs/>
          <w:sz w:val="24"/>
          <w:szCs w:val="24"/>
        </w:rPr>
        <w:t>Journal of Knowledge Management</w:t>
      </w:r>
      <w:r w:rsidRPr="00C555AB">
        <w:rPr>
          <w:rFonts w:ascii="Times New Roman" w:hAnsi="Times New Roman" w:cs="Times New Roman"/>
          <w:sz w:val="24"/>
          <w:szCs w:val="24"/>
        </w:rPr>
        <w:t xml:space="preserve">, </w:t>
      </w:r>
      <w:r w:rsidRPr="00011A00">
        <w:rPr>
          <w:rFonts w:ascii="Times New Roman" w:hAnsi="Times New Roman" w:cs="Times New Roman"/>
          <w:sz w:val="24"/>
          <w:szCs w:val="24"/>
        </w:rPr>
        <w:t>19</w:t>
      </w:r>
      <w:r w:rsidRPr="00C555AB">
        <w:rPr>
          <w:rFonts w:ascii="Times New Roman" w:hAnsi="Times New Roman" w:cs="Times New Roman"/>
          <w:sz w:val="24"/>
          <w:szCs w:val="24"/>
        </w:rPr>
        <w:t>(6)</w:t>
      </w:r>
      <w:r>
        <w:rPr>
          <w:rFonts w:ascii="Times New Roman" w:hAnsi="Times New Roman" w:cs="Times New Roman"/>
          <w:sz w:val="24"/>
          <w:szCs w:val="24"/>
        </w:rPr>
        <w:t>:</w:t>
      </w:r>
      <w:r w:rsidRPr="00C555AB">
        <w:rPr>
          <w:rFonts w:ascii="Times New Roman" w:hAnsi="Times New Roman" w:cs="Times New Roman"/>
          <w:sz w:val="24"/>
          <w:szCs w:val="24"/>
        </w:rPr>
        <w:t xml:space="preserve"> 1124–1145. </w:t>
      </w:r>
    </w:p>
    <w:p w14:paraId="2855A066"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Chakrabarti, A., Singh, K., &amp; Mahmood, I. 2007. Diversification and performance: Evidence from East Asian firms. </w:t>
      </w:r>
      <w:r w:rsidRPr="00C555AB">
        <w:rPr>
          <w:rFonts w:ascii="Times New Roman" w:hAnsi="Times New Roman" w:cs="Times New Roman"/>
          <w:b/>
          <w:bCs/>
          <w:i/>
          <w:iCs/>
          <w:sz w:val="24"/>
          <w:szCs w:val="24"/>
        </w:rPr>
        <w:t>Strategic Management Journal</w:t>
      </w:r>
      <w:r w:rsidRPr="00C555AB">
        <w:rPr>
          <w:rFonts w:ascii="Times New Roman" w:hAnsi="Times New Roman" w:cs="Times New Roman"/>
          <w:sz w:val="24"/>
          <w:szCs w:val="24"/>
        </w:rPr>
        <w:t>, 28(2): 101–120.</w:t>
      </w:r>
    </w:p>
    <w:p w14:paraId="77F721C6"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Chang, S.-C., &amp; Wang, C.-F. 2007. The effect of product diversification strategies on the relationship between international diversification and firm performance. </w:t>
      </w:r>
      <w:r w:rsidRPr="00C555AB">
        <w:rPr>
          <w:rFonts w:ascii="Times New Roman" w:hAnsi="Times New Roman" w:cs="Times New Roman"/>
          <w:b/>
          <w:bCs/>
          <w:i/>
          <w:iCs/>
          <w:sz w:val="24"/>
          <w:szCs w:val="24"/>
        </w:rPr>
        <w:t>Journal of World Business</w:t>
      </w:r>
      <w:r w:rsidRPr="00C555AB">
        <w:rPr>
          <w:rFonts w:ascii="Times New Roman" w:hAnsi="Times New Roman" w:cs="Times New Roman"/>
          <w:sz w:val="24"/>
          <w:szCs w:val="24"/>
        </w:rPr>
        <w:t>, 42(1): 61–79.</w:t>
      </w:r>
    </w:p>
    <w:p w14:paraId="5ED79606"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Chittoor, R. (R</w:t>
      </w:r>
      <w:r>
        <w:rPr>
          <w:rFonts w:ascii="Times New Roman" w:hAnsi="Times New Roman" w:cs="Times New Roman"/>
          <w:sz w:val="24"/>
          <w:szCs w:val="24"/>
        </w:rPr>
        <w:t>.</w:t>
      </w:r>
      <w:r w:rsidRPr="00C555AB">
        <w:rPr>
          <w:rFonts w:ascii="Times New Roman" w:hAnsi="Times New Roman" w:cs="Times New Roman"/>
          <w:sz w:val="24"/>
          <w:szCs w:val="24"/>
        </w:rPr>
        <w:t xml:space="preserve">), &amp; </w:t>
      </w:r>
      <w:proofErr w:type="spellStart"/>
      <w:r w:rsidRPr="00C555AB">
        <w:rPr>
          <w:rFonts w:ascii="Times New Roman" w:hAnsi="Times New Roman" w:cs="Times New Roman"/>
          <w:sz w:val="24"/>
          <w:szCs w:val="24"/>
        </w:rPr>
        <w:t>Aulakh</w:t>
      </w:r>
      <w:proofErr w:type="spellEnd"/>
      <w:r w:rsidRPr="00C555AB">
        <w:rPr>
          <w:rFonts w:ascii="Times New Roman" w:hAnsi="Times New Roman" w:cs="Times New Roman"/>
          <w:sz w:val="24"/>
          <w:szCs w:val="24"/>
        </w:rPr>
        <w:t xml:space="preserve">, P. S. 2015. Organizational </w:t>
      </w:r>
      <w:r>
        <w:rPr>
          <w:rFonts w:ascii="Times New Roman" w:hAnsi="Times New Roman" w:cs="Times New Roman"/>
          <w:sz w:val="24"/>
          <w:szCs w:val="24"/>
        </w:rPr>
        <w:t>l</w:t>
      </w:r>
      <w:r w:rsidRPr="00C555AB">
        <w:rPr>
          <w:rFonts w:ascii="Times New Roman" w:hAnsi="Times New Roman" w:cs="Times New Roman"/>
          <w:sz w:val="24"/>
          <w:szCs w:val="24"/>
        </w:rPr>
        <w:t xml:space="preserve">andscape in India: Historical </w:t>
      </w:r>
      <w:r>
        <w:rPr>
          <w:rFonts w:ascii="Times New Roman" w:hAnsi="Times New Roman" w:cs="Times New Roman"/>
          <w:sz w:val="24"/>
          <w:szCs w:val="24"/>
        </w:rPr>
        <w:t>d</w:t>
      </w:r>
      <w:r w:rsidRPr="00C555AB">
        <w:rPr>
          <w:rFonts w:ascii="Times New Roman" w:hAnsi="Times New Roman" w:cs="Times New Roman"/>
          <w:sz w:val="24"/>
          <w:szCs w:val="24"/>
        </w:rPr>
        <w:t xml:space="preserve">evelopment, </w:t>
      </w:r>
      <w:r>
        <w:rPr>
          <w:rFonts w:ascii="Times New Roman" w:hAnsi="Times New Roman" w:cs="Times New Roman"/>
          <w:sz w:val="24"/>
          <w:szCs w:val="24"/>
        </w:rPr>
        <w:t>m</w:t>
      </w:r>
      <w:r w:rsidRPr="00C555AB">
        <w:rPr>
          <w:rFonts w:ascii="Times New Roman" w:hAnsi="Times New Roman" w:cs="Times New Roman"/>
          <w:sz w:val="24"/>
          <w:szCs w:val="24"/>
        </w:rPr>
        <w:t xml:space="preserve">ultiplicity of </w:t>
      </w:r>
      <w:r>
        <w:rPr>
          <w:rFonts w:ascii="Times New Roman" w:hAnsi="Times New Roman" w:cs="Times New Roman"/>
          <w:sz w:val="24"/>
          <w:szCs w:val="24"/>
        </w:rPr>
        <w:t>f</w:t>
      </w:r>
      <w:r w:rsidRPr="00C555AB">
        <w:rPr>
          <w:rFonts w:ascii="Times New Roman" w:hAnsi="Times New Roman" w:cs="Times New Roman"/>
          <w:sz w:val="24"/>
          <w:szCs w:val="24"/>
        </w:rPr>
        <w:t xml:space="preserve">orms and </w:t>
      </w:r>
      <w:r>
        <w:rPr>
          <w:rFonts w:ascii="Times New Roman" w:hAnsi="Times New Roman" w:cs="Times New Roman"/>
          <w:sz w:val="24"/>
          <w:szCs w:val="24"/>
        </w:rPr>
        <w:t>i</w:t>
      </w:r>
      <w:r w:rsidRPr="00C555AB">
        <w:rPr>
          <w:rFonts w:ascii="Times New Roman" w:hAnsi="Times New Roman" w:cs="Times New Roman"/>
          <w:sz w:val="24"/>
          <w:szCs w:val="24"/>
        </w:rPr>
        <w:t xml:space="preserve">mplications for </w:t>
      </w:r>
      <w:r>
        <w:rPr>
          <w:rFonts w:ascii="Times New Roman" w:hAnsi="Times New Roman" w:cs="Times New Roman"/>
          <w:sz w:val="24"/>
          <w:szCs w:val="24"/>
        </w:rPr>
        <w:t>p</w:t>
      </w:r>
      <w:r w:rsidRPr="00C555AB">
        <w:rPr>
          <w:rFonts w:ascii="Times New Roman" w:hAnsi="Times New Roman" w:cs="Times New Roman"/>
          <w:sz w:val="24"/>
          <w:szCs w:val="24"/>
        </w:rPr>
        <w:t xml:space="preserve">ractice and </w:t>
      </w:r>
      <w:r>
        <w:rPr>
          <w:rFonts w:ascii="Times New Roman" w:hAnsi="Times New Roman" w:cs="Times New Roman"/>
          <w:sz w:val="24"/>
          <w:szCs w:val="24"/>
        </w:rPr>
        <w:t>r</w:t>
      </w:r>
      <w:r w:rsidRPr="00C555AB">
        <w:rPr>
          <w:rFonts w:ascii="Times New Roman" w:hAnsi="Times New Roman" w:cs="Times New Roman"/>
          <w:sz w:val="24"/>
          <w:szCs w:val="24"/>
        </w:rPr>
        <w:t xml:space="preserve">esearch. </w:t>
      </w:r>
      <w:r w:rsidRPr="00C555AB">
        <w:rPr>
          <w:rFonts w:ascii="Times New Roman" w:hAnsi="Times New Roman" w:cs="Times New Roman"/>
          <w:b/>
          <w:bCs/>
          <w:i/>
          <w:iCs/>
          <w:sz w:val="24"/>
          <w:szCs w:val="24"/>
        </w:rPr>
        <w:t>Long Range Planning</w:t>
      </w:r>
      <w:r w:rsidRPr="00C555AB">
        <w:rPr>
          <w:rFonts w:ascii="Times New Roman" w:hAnsi="Times New Roman" w:cs="Times New Roman"/>
          <w:sz w:val="24"/>
          <w:szCs w:val="24"/>
        </w:rPr>
        <w:t>, 48(5)</w:t>
      </w:r>
      <w:r>
        <w:rPr>
          <w:rFonts w:ascii="Times New Roman" w:hAnsi="Times New Roman" w:cs="Times New Roman"/>
          <w:sz w:val="24"/>
          <w:szCs w:val="24"/>
        </w:rPr>
        <w:t>:</w:t>
      </w:r>
      <w:r w:rsidRPr="00C555AB">
        <w:rPr>
          <w:rFonts w:ascii="Times New Roman" w:hAnsi="Times New Roman" w:cs="Times New Roman"/>
          <w:sz w:val="24"/>
          <w:szCs w:val="24"/>
        </w:rPr>
        <w:t xml:space="preserve"> 291–300.</w:t>
      </w:r>
    </w:p>
    <w:p w14:paraId="0FA35001"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Cohen, J. 1960. A coefficient of agreement for nominal scales. </w:t>
      </w:r>
      <w:r w:rsidRPr="00C555AB">
        <w:rPr>
          <w:rFonts w:ascii="Times New Roman" w:hAnsi="Times New Roman" w:cs="Times New Roman"/>
          <w:b/>
          <w:bCs/>
          <w:i/>
          <w:iCs/>
          <w:sz w:val="24"/>
          <w:szCs w:val="24"/>
        </w:rPr>
        <w:t>Educational and Psychological Measurement</w:t>
      </w:r>
      <w:r w:rsidRPr="00C555AB">
        <w:rPr>
          <w:rFonts w:ascii="Times New Roman" w:hAnsi="Times New Roman" w:cs="Times New Roman"/>
          <w:sz w:val="24"/>
          <w:szCs w:val="24"/>
        </w:rPr>
        <w:t xml:space="preserve">, </w:t>
      </w:r>
      <w:r w:rsidRPr="00011A00">
        <w:rPr>
          <w:rFonts w:ascii="Times New Roman" w:hAnsi="Times New Roman" w:cs="Times New Roman"/>
          <w:sz w:val="24"/>
          <w:szCs w:val="24"/>
        </w:rPr>
        <w:t>20</w:t>
      </w:r>
      <w:r w:rsidRPr="00C555AB">
        <w:rPr>
          <w:rFonts w:ascii="Times New Roman" w:hAnsi="Times New Roman" w:cs="Times New Roman"/>
          <w:sz w:val="24"/>
          <w:szCs w:val="24"/>
        </w:rPr>
        <w:t>(1)</w:t>
      </w:r>
      <w:r>
        <w:rPr>
          <w:rFonts w:ascii="Times New Roman" w:hAnsi="Times New Roman" w:cs="Times New Roman"/>
          <w:sz w:val="24"/>
          <w:szCs w:val="24"/>
        </w:rPr>
        <w:t>:</w:t>
      </w:r>
      <w:r w:rsidRPr="00C555AB">
        <w:rPr>
          <w:rFonts w:ascii="Times New Roman" w:hAnsi="Times New Roman" w:cs="Times New Roman"/>
          <w:sz w:val="24"/>
          <w:szCs w:val="24"/>
        </w:rPr>
        <w:t xml:space="preserve"> 37–46.</w:t>
      </w:r>
    </w:p>
    <w:p w14:paraId="0740F874"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Cohen, W. M., &amp; Levinthal, D. A. 1990. Absorptive capacity: A new perspective on learning and innovation. </w:t>
      </w:r>
      <w:r w:rsidRPr="00C555AB">
        <w:rPr>
          <w:rFonts w:ascii="Times New Roman" w:hAnsi="Times New Roman" w:cs="Times New Roman"/>
          <w:b/>
          <w:bCs/>
          <w:i/>
          <w:iCs/>
          <w:sz w:val="24"/>
          <w:szCs w:val="24"/>
        </w:rPr>
        <w:t>Administrative Science Quarterly</w:t>
      </w:r>
      <w:r w:rsidRPr="00C555AB">
        <w:rPr>
          <w:rFonts w:ascii="Times New Roman" w:hAnsi="Times New Roman" w:cs="Times New Roman"/>
          <w:sz w:val="24"/>
          <w:szCs w:val="24"/>
        </w:rPr>
        <w:t xml:space="preserve">, </w:t>
      </w:r>
      <w:r w:rsidRPr="00291195">
        <w:rPr>
          <w:rFonts w:ascii="Times New Roman" w:hAnsi="Times New Roman" w:cs="Times New Roman"/>
          <w:sz w:val="24"/>
          <w:szCs w:val="24"/>
        </w:rPr>
        <w:t>35</w:t>
      </w:r>
      <w:r>
        <w:rPr>
          <w:rFonts w:ascii="Times New Roman" w:hAnsi="Times New Roman" w:cs="Times New Roman"/>
          <w:sz w:val="24"/>
          <w:szCs w:val="24"/>
        </w:rPr>
        <w:t>(1):</w:t>
      </w:r>
      <w:r w:rsidRPr="00C555AB">
        <w:rPr>
          <w:rFonts w:ascii="Times New Roman" w:hAnsi="Times New Roman" w:cs="Times New Roman"/>
          <w:sz w:val="24"/>
          <w:szCs w:val="24"/>
        </w:rPr>
        <w:t xml:space="preserve"> 128–152.</w:t>
      </w:r>
    </w:p>
    <w:p w14:paraId="6288358F"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Cuervo-</w:t>
      </w:r>
      <w:proofErr w:type="spellStart"/>
      <w:r w:rsidRPr="00C555AB">
        <w:rPr>
          <w:rFonts w:ascii="Times New Roman" w:hAnsi="Times New Roman" w:cs="Times New Roman"/>
          <w:sz w:val="24"/>
          <w:szCs w:val="24"/>
        </w:rPr>
        <w:t>Cazurra</w:t>
      </w:r>
      <w:proofErr w:type="spellEnd"/>
      <w:r w:rsidRPr="00C555AB">
        <w:rPr>
          <w:rFonts w:ascii="Times New Roman" w:hAnsi="Times New Roman" w:cs="Times New Roman"/>
          <w:sz w:val="24"/>
          <w:szCs w:val="24"/>
        </w:rPr>
        <w:t xml:space="preserve">, A. 2008. The effectiveness of laws against bribery abroad. </w:t>
      </w:r>
      <w:r w:rsidRPr="00C555AB">
        <w:rPr>
          <w:rFonts w:ascii="Times New Roman" w:hAnsi="Times New Roman" w:cs="Times New Roman"/>
          <w:b/>
          <w:bCs/>
          <w:i/>
          <w:iCs/>
          <w:sz w:val="24"/>
          <w:szCs w:val="24"/>
        </w:rPr>
        <w:t>Journal of International Business Studies</w:t>
      </w:r>
      <w:r w:rsidRPr="00C555AB">
        <w:rPr>
          <w:rFonts w:ascii="Times New Roman" w:hAnsi="Times New Roman" w:cs="Times New Roman"/>
          <w:sz w:val="24"/>
          <w:szCs w:val="24"/>
        </w:rPr>
        <w:t xml:space="preserve">, </w:t>
      </w:r>
      <w:r w:rsidRPr="00291195">
        <w:rPr>
          <w:rFonts w:ascii="Times New Roman" w:hAnsi="Times New Roman" w:cs="Times New Roman"/>
          <w:sz w:val="24"/>
          <w:szCs w:val="24"/>
        </w:rPr>
        <w:t>39(</w:t>
      </w:r>
      <w:r w:rsidRPr="00C555AB">
        <w:rPr>
          <w:rFonts w:ascii="Times New Roman" w:hAnsi="Times New Roman" w:cs="Times New Roman"/>
          <w:sz w:val="24"/>
          <w:szCs w:val="24"/>
        </w:rPr>
        <w:t>4)</w:t>
      </w:r>
      <w:r>
        <w:rPr>
          <w:rFonts w:ascii="Times New Roman" w:hAnsi="Times New Roman" w:cs="Times New Roman"/>
          <w:sz w:val="24"/>
          <w:szCs w:val="24"/>
        </w:rPr>
        <w:t>:</w:t>
      </w:r>
      <w:r w:rsidRPr="00C555AB">
        <w:rPr>
          <w:rFonts w:ascii="Times New Roman" w:hAnsi="Times New Roman" w:cs="Times New Roman"/>
          <w:sz w:val="24"/>
          <w:szCs w:val="24"/>
        </w:rPr>
        <w:t xml:space="preserve"> 634–651.</w:t>
      </w:r>
    </w:p>
    <w:p w14:paraId="1E7B8A5D"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Dastidar</w:t>
      </w:r>
      <w:proofErr w:type="spellEnd"/>
      <w:r w:rsidRPr="00C555AB">
        <w:rPr>
          <w:rFonts w:ascii="Times New Roman" w:hAnsi="Times New Roman" w:cs="Times New Roman"/>
          <w:sz w:val="24"/>
          <w:szCs w:val="24"/>
        </w:rPr>
        <w:t xml:space="preserve">, P. 2009. International corporate diversification and performance: Does firm self-selection matter? </w:t>
      </w:r>
      <w:r w:rsidRPr="00C555AB">
        <w:rPr>
          <w:rFonts w:ascii="Times New Roman" w:hAnsi="Times New Roman" w:cs="Times New Roman"/>
          <w:b/>
          <w:bCs/>
          <w:i/>
          <w:iCs/>
          <w:sz w:val="24"/>
          <w:szCs w:val="24"/>
        </w:rPr>
        <w:t>Journal of International Business Studies</w:t>
      </w:r>
      <w:r w:rsidRPr="00C555AB">
        <w:rPr>
          <w:rFonts w:ascii="Times New Roman" w:hAnsi="Times New Roman" w:cs="Times New Roman"/>
          <w:sz w:val="24"/>
          <w:szCs w:val="24"/>
        </w:rPr>
        <w:t xml:space="preserve">, </w:t>
      </w:r>
      <w:r w:rsidRPr="00291195">
        <w:rPr>
          <w:rFonts w:ascii="Times New Roman" w:hAnsi="Times New Roman" w:cs="Times New Roman"/>
          <w:sz w:val="24"/>
          <w:szCs w:val="24"/>
        </w:rPr>
        <w:t>40</w:t>
      </w:r>
      <w:r w:rsidRPr="00C555AB">
        <w:rPr>
          <w:rFonts w:ascii="Times New Roman" w:hAnsi="Times New Roman" w:cs="Times New Roman"/>
          <w:sz w:val="24"/>
          <w:szCs w:val="24"/>
        </w:rPr>
        <w:t>(1)</w:t>
      </w:r>
      <w:r>
        <w:rPr>
          <w:rFonts w:ascii="Times New Roman" w:hAnsi="Times New Roman" w:cs="Times New Roman"/>
          <w:sz w:val="24"/>
          <w:szCs w:val="24"/>
        </w:rPr>
        <w:t>:</w:t>
      </w:r>
      <w:r w:rsidRPr="00C555AB">
        <w:rPr>
          <w:rFonts w:ascii="Times New Roman" w:hAnsi="Times New Roman" w:cs="Times New Roman"/>
          <w:sz w:val="24"/>
          <w:szCs w:val="24"/>
        </w:rPr>
        <w:t xml:space="preserve"> 71–85.</w:t>
      </w:r>
    </w:p>
    <w:p w14:paraId="0477DC58"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Delios</w:t>
      </w:r>
      <w:proofErr w:type="spellEnd"/>
      <w:r w:rsidRPr="00C555AB">
        <w:rPr>
          <w:rFonts w:ascii="Times New Roman" w:hAnsi="Times New Roman" w:cs="Times New Roman"/>
          <w:sz w:val="24"/>
          <w:szCs w:val="24"/>
        </w:rPr>
        <w:t xml:space="preserve">, A., &amp; Beamish, P. W. 1999. Geographic scope, product diversification, and the corporate performance of Japanese firms. </w:t>
      </w:r>
      <w:r w:rsidRPr="00C555AB">
        <w:rPr>
          <w:rFonts w:ascii="Times New Roman" w:hAnsi="Times New Roman" w:cs="Times New Roman"/>
          <w:b/>
          <w:bCs/>
          <w:i/>
          <w:iCs/>
          <w:sz w:val="24"/>
          <w:szCs w:val="24"/>
        </w:rPr>
        <w:t>Strategic Management Journal</w:t>
      </w:r>
      <w:r w:rsidRPr="00C555AB">
        <w:rPr>
          <w:rFonts w:ascii="Times New Roman" w:hAnsi="Times New Roman" w:cs="Times New Roman"/>
          <w:sz w:val="24"/>
          <w:szCs w:val="24"/>
        </w:rPr>
        <w:t>, 20(8): 711–727.</w:t>
      </w:r>
    </w:p>
    <w:p w14:paraId="054CC52F"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Dushnitsky</w:t>
      </w:r>
      <w:proofErr w:type="spellEnd"/>
      <w:r w:rsidRPr="00C555AB">
        <w:rPr>
          <w:rFonts w:ascii="Times New Roman" w:hAnsi="Times New Roman" w:cs="Times New Roman"/>
          <w:sz w:val="24"/>
          <w:szCs w:val="24"/>
        </w:rPr>
        <w:t xml:space="preserve">, G., &amp; Lenox, M. J. 2005. When do firms undertake R&amp;D by investing in new ventures? </w:t>
      </w:r>
      <w:r w:rsidRPr="00C555AB">
        <w:rPr>
          <w:rFonts w:ascii="Times New Roman" w:hAnsi="Times New Roman" w:cs="Times New Roman"/>
          <w:b/>
          <w:bCs/>
          <w:i/>
          <w:iCs/>
          <w:sz w:val="24"/>
          <w:szCs w:val="24"/>
        </w:rPr>
        <w:t>Strategic Management Journal</w:t>
      </w:r>
      <w:r w:rsidRPr="00C555AB">
        <w:rPr>
          <w:rFonts w:ascii="Times New Roman" w:hAnsi="Times New Roman" w:cs="Times New Roman"/>
          <w:sz w:val="24"/>
          <w:szCs w:val="24"/>
        </w:rPr>
        <w:t xml:space="preserve">, </w:t>
      </w:r>
      <w:r w:rsidRPr="00291195">
        <w:rPr>
          <w:rFonts w:ascii="Times New Roman" w:hAnsi="Times New Roman" w:cs="Times New Roman"/>
          <w:sz w:val="24"/>
          <w:szCs w:val="24"/>
        </w:rPr>
        <w:t>26</w:t>
      </w:r>
      <w:r w:rsidRPr="00C555AB">
        <w:rPr>
          <w:rFonts w:ascii="Times New Roman" w:hAnsi="Times New Roman" w:cs="Times New Roman"/>
          <w:sz w:val="24"/>
          <w:szCs w:val="24"/>
        </w:rPr>
        <w:t>(10)</w:t>
      </w:r>
      <w:r>
        <w:rPr>
          <w:rFonts w:ascii="Times New Roman" w:hAnsi="Times New Roman" w:cs="Times New Roman"/>
          <w:sz w:val="24"/>
          <w:szCs w:val="24"/>
        </w:rPr>
        <w:t>:</w:t>
      </w:r>
      <w:r w:rsidRPr="00C555AB">
        <w:rPr>
          <w:rFonts w:ascii="Times New Roman" w:hAnsi="Times New Roman" w:cs="Times New Roman"/>
          <w:sz w:val="24"/>
          <w:szCs w:val="24"/>
        </w:rPr>
        <w:t xml:space="preserve"> 947–965. </w:t>
      </w:r>
    </w:p>
    <w:p w14:paraId="6D354BCD"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lastRenderedPageBreak/>
        <w:t>Edvinsson</w:t>
      </w:r>
      <w:proofErr w:type="spellEnd"/>
      <w:r w:rsidRPr="00C555AB">
        <w:rPr>
          <w:rFonts w:ascii="Times New Roman" w:hAnsi="Times New Roman" w:cs="Times New Roman"/>
          <w:sz w:val="24"/>
          <w:szCs w:val="24"/>
        </w:rPr>
        <w:t xml:space="preserve">, L., &amp; Sullivan, P. 1996. Developing a model for managing intellectual capital. </w:t>
      </w:r>
      <w:r w:rsidRPr="00C555AB">
        <w:rPr>
          <w:rFonts w:ascii="Times New Roman" w:hAnsi="Times New Roman" w:cs="Times New Roman"/>
          <w:b/>
          <w:bCs/>
          <w:i/>
          <w:iCs/>
          <w:sz w:val="24"/>
          <w:szCs w:val="24"/>
        </w:rPr>
        <w:t>European Management Journal</w:t>
      </w:r>
      <w:r w:rsidRPr="00C555AB">
        <w:rPr>
          <w:rFonts w:ascii="Times New Roman" w:hAnsi="Times New Roman" w:cs="Times New Roman"/>
          <w:sz w:val="24"/>
          <w:szCs w:val="24"/>
        </w:rPr>
        <w:t xml:space="preserve">, </w:t>
      </w:r>
      <w:r w:rsidRPr="00291195">
        <w:rPr>
          <w:rFonts w:ascii="Times New Roman" w:hAnsi="Times New Roman" w:cs="Times New Roman"/>
          <w:sz w:val="24"/>
          <w:szCs w:val="24"/>
        </w:rPr>
        <w:t>14</w:t>
      </w:r>
      <w:r w:rsidRPr="00C555AB">
        <w:rPr>
          <w:rFonts w:ascii="Times New Roman" w:hAnsi="Times New Roman" w:cs="Times New Roman"/>
          <w:sz w:val="24"/>
          <w:szCs w:val="24"/>
        </w:rPr>
        <w:t>(4)</w:t>
      </w:r>
      <w:r>
        <w:rPr>
          <w:rFonts w:ascii="Times New Roman" w:hAnsi="Times New Roman" w:cs="Times New Roman"/>
          <w:sz w:val="24"/>
          <w:szCs w:val="24"/>
        </w:rPr>
        <w:t>:</w:t>
      </w:r>
      <w:r w:rsidRPr="00C555AB">
        <w:rPr>
          <w:rFonts w:ascii="Times New Roman" w:hAnsi="Times New Roman" w:cs="Times New Roman"/>
          <w:sz w:val="24"/>
          <w:szCs w:val="24"/>
        </w:rPr>
        <w:t xml:space="preserve"> 356–364.</w:t>
      </w:r>
    </w:p>
    <w:p w14:paraId="30A9EC5D"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Gertler, P., &amp; Horvath, R. 2018. Central bank communication and financial markets: New high-frequency evidence.</w:t>
      </w:r>
      <w:r w:rsidRPr="00C555AB">
        <w:rPr>
          <w:rFonts w:ascii="Times New Roman" w:hAnsi="Times New Roman" w:cs="Times New Roman"/>
          <w:b/>
          <w:bCs/>
          <w:sz w:val="24"/>
          <w:szCs w:val="24"/>
        </w:rPr>
        <w:t xml:space="preserve"> </w:t>
      </w:r>
      <w:r w:rsidRPr="00C555AB">
        <w:rPr>
          <w:rFonts w:ascii="Times New Roman" w:hAnsi="Times New Roman" w:cs="Times New Roman"/>
          <w:b/>
          <w:bCs/>
          <w:i/>
          <w:iCs/>
          <w:sz w:val="24"/>
          <w:szCs w:val="24"/>
        </w:rPr>
        <w:t>Journal of Financial Stability</w:t>
      </w:r>
      <w:r w:rsidRPr="00C555AB">
        <w:rPr>
          <w:rFonts w:ascii="Times New Roman" w:hAnsi="Times New Roman" w:cs="Times New Roman"/>
          <w:sz w:val="24"/>
          <w:szCs w:val="24"/>
        </w:rPr>
        <w:t xml:space="preserve">, </w:t>
      </w:r>
      <w:r w:rsidRPr="00291195">
        <w:rPr>
          <w:rFonts w:ascii="Times New Roman" w:hAnsi="Times New Roman" w:cs="Times New Roman"/>
          <w:sz w:val="24"/>
          <w:szCs w:val="24"/>
        </w:rPr>
        <w:t>36</w:t>
      </w:r>
      <w:r>
        <w:rPr>
          <w:rFonts w:ascii="Times New Roman" w:hAnsi="Times New Roman" w:cs="Times New Roman"/>
          <w:sz w:val="24"/>
          <w:szCs w:val="24"/>
        </w:rPr>
        <w:t xml:space="preserve">: </w:t>
      </w:r>
      <w:r w:rsidRPr="00C555AB">
        <w:rPr>
          <w:rFonts w:ascii="Times New Roman" w:hAnsi="Times New Roman" w:cs="Times New Roman"/>
          <w:sz w:val="24"/>
          <w:szCs w:val="24"/>
        </w:rPr>
        <w:t xml:space="preserve">336–345. </w:t>
      </w:r>
    </w:p>
    <w:p w14:paraId="01DD6D0D"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Greene, W. H. 2003. </w:t>
      </w:r>
      <w:r w:rsidRPr="00291195">
        <w:rPr>
          <w:rFonts w:ascii="Times New Roman" w:hAnsi="Times New Roman" w:cs="Times New Roman"/>
          <w:b/>
          <w:bCs/>
          <w:i/>
          <w:iCs/>
          <w:sz w:val="24"/>
          <w:szCs w:val="24"/>
        </w:rPr>
        <w:t>Econometric analysis</w:t>
      </w:r>
      <w:r w:rsidRPr="00C555AB">
        <w:rPr>
          <w:rFonts w:ascii="Times New Roman" w:hAnsi="Times New Roman" w:cs="Times New Roman"/>
          <w:sz w:val="24"/>
          <w:szCs w:val="24"/>
        </w:rPr>
        <w:t xml:space="preserve">. </w:t>
      </w:r>
      <w:proofErr w:type="spellStart"/>
      <w:r>
        <w:rPr>
          <w:rFonts w:ascii="Times New Roman" w:hAnsi="Times New Roman" w:cs="Times New Roman"/>
          <w:sz w:val="24"/>
          <w:szCs w:val="24"/>
        </w:rPr>
        <w:t>Dehli</w:t>
      </w:r>
      <w:proofErr w:type="spellEnd"/>
      <w:r>
        <w:rPr>
          <w:rFonts w:ascii="Times New Roman" w:hAnsi="Times New Roman" w:cs="Times New Roman"/>
          <w:sz w:val="24"/>
          <w:szCs w:val="24"/>
        </w:rPr>
        <w:t xml:space="preserve">, India: </w:t>
      </w:r>
      <w:r w:rsidRPr="00C555AB">
        <w:rPr>
          <w:rFonts w:ascii="Times New Roman" w:hAnsi="Times New Roman" w:cs="Times New Roman"/>
          <w:sz w:val="24"/>
          <w:szCs w:val="24"/>
        </w:rPr>
        <w:t>Pearson Education India.</w:t>
      </w:r>
    </w:p>
    <w:p w14:paraId="26AD4738"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Haleblian</w:t>
      </w:r>
      <w:proofErr w:type="spellEnd"/>
      <w:r w:rsidRPr="00C555AB">
        <w:rPr>
          <w:rFonts w:ascii="Times New Roman" w:hAnsi="Times New Roman" w:cs="Times New Roman"/>
          <w:sz w:val="24"/>
          <w:szCs w:val="24"/>
        </w:rPr>
        <w:t xml:space="preserve">, J., &amp; Finkelstein, S. 1999. The </w:t>
      </w:r>
      <w:r>
        <w:rPr>
          <w:rFonts w:ascii="Times New Roman" w:hAnsi="Times New Roman" w:cs="Times New Roman"/>
          <w:sz w:val="24"/>
          <w:szCs w:val="24"/>
        </w:rPr>
        <w:t>i</w:t>
      </w:r>
      <w:r w:rsidRPr="00C555AB">
        <w:rPr>
          <w:rFonts w:ascii="Times New Roman" w:hAnsi="Times New Roman" w:cs="Times New Roman"/>
          <w:sz w:val="24"/>
          <w:szCs w:val="24"/>
        </w:rPr>
        <w:t xml:space="preserve">nfluence of </w:t>
      </w:r>
      <w:r>
        <w:rPr>
          <w:rFonts w:ascii="Times New Roman" w:hAnsi="Times New Roman" w:cs="Times New Roman"/>
          <w:sz w:val="24"/>
          <w:szCs w:val="24"/>
        </w:rPr>
        <w:t>o</w:t>
      </w:r>
      <w:r w:rsidRPr="00C555AB">
        <w:rPr>
          <w:rFonts w:ascii="Times New Roman" w:hAnsi="Times New Roman" w:cs="Times New Roman"/>
          <w:sz w:val="24"/>
          <w:szCs w:val="24"/>
        </w:rPr>
        <w:t xml:space="preserve">rganizational </w:t>
      </w:r>
      <w:r>
        <w:rPr>
          <w:rFonts w:ascii="Times New Roman" w:hAnsi="Times New Roman" w:cs="Times New Roman"/>
          <w:sz w:val="24"/>
          <w:szCs w:val="24"/>
        </w:rPr>
        <w:t>a</w:t>
      </w:r>
      <w:r w:rsidRPr="00C555AB">
        <w:rPr>
          <w:rFonts w:ascii="Times New Roman" w:hAnsi="Times New Roman" w:cs="Times New Roman"/>
          <w:sz w:val="24"/>
          <w:szCs w:val="24"/>
        </w:rPr>
        <w:t xml:space="preserve">cquisition </w:t>
      </w:r>
      <w:r>
        <w:rPr>
          <w:rFonts w:ascii="Times New Roman" w:hAnsi="Times New Roman" w:cs="Times New Roman"/>
          <w:sz w:val="24"/>
          <w:szCs w:val="24"/>
        </w:rPr>
        <w:t>e</w:t>
      </w:r>
      <w:r w:rsidRPr="00C555AB">
        <w:rPr>
          <w:rFonts w:ascii="Times New Roman" w:hAnsi="Times New Roman" w:cs="Times New Roman"/>
          <w:sz w:val="24"/>
          <w:szCs w:val="24"/>
        </w:rPr>
        <w:t xml:space="preserve">xperience on </w:t>
      </w:r>
      <w:r>
        <w:rPr>
          <w:rFonts w:ascii="Times New Roman" w:hAnsi="Times New Roman" w:cs="Times New Roman"/>
          <w:sz w:val="24"/>
          <w:szCs w:val="24"/>
        </w:rPr>
        <w:t>a</w:t>
      </w:r>
      <w:r w:rsidRPr="00C555AB">
        <w:rPr>
          <w:rFonts w:ascii="Times New Roman" w:hAnsi="Times New Roman" w:cs="Times New Roman"/>
          <w:sz w:val="24"/>
          <w:szCs w:val="24"/>
        </w:rPr>
        <w:t xml:space="preserve">cquisition </w:t>
      </w:r>
      <w:r>
        <w:rPr>
          <w:rFonts w:ascii="Times New Roman" w:hAnsi="Times New Roman" w:cs="Times New Roman"/>
          <w:sz w:val="24"/>
          <w:szCs w:val="24"/>
        </w:rPr>
        <w:t>p</w:t>
      </w:r>
      <w:r w:rsidRPr="00C555AB">
        <w:rPr>
          <w:rFonts w:ascii="Times New Roman" w:hAnsi="Times New Roman" w:cs="Times New Roman"/>
          <w:sz w:val="24"/>
          <w:szCs w:val="24"/>
        </w:rPr>
        <w:t xml:space="preserve">erformance: A </w:t>
      </w:r>
      <w:proofErr w:type="spellStart"/>
      <w:r>
        <w:rPr>
          <w:rFonts w:ascii="Times New Roman" w:hAnsi="Times New Roman" w:cs="Times New Roman"/>
          <w:sz w:val="24"/>
          <w:szCs w:val="24"/>
        </w:rPr>
        <w:t>b</w:t>
      </w:r>
      <w:r w:rsidRPr="00C555AB">
        <w:rPr>
          <w:rFonts w:ascii="Times New Roman" w:hAnsi="Times New Roman" w:cs="Times New Roman"/>
          <w:sz w:val="24"/>
          <w:szCs w:val="24"/>
        </w:rPr>
        <w:t>ehavioral</w:t>
      </w:r>
      <w:proofErr w:type="spellEnd"/>
      <w:r w:rsidRPr="00C555AB">
        <w:rPr>
          <w:rFonts w:ascii="Times New Roman" w:hAnsi="Times New Roman" w:cs="Times New Roman"/>
          <w:sz w:val="24"/>
          <w:szCs w:val="24"/>
        </w:rPr>
        <w:t xml:space="preserve"> </w:t>
      </w:r>
      <w:r>
        <w:rPr>
          <w:rFonts w:ascii="Times New Roman" w:hAnsi="Times New Roman" w:cs="Times New Roman"/>
          <w:sz w:val="24"/>
          <w:szCs w:val="24"/>
        </w:rPr>
        <w:t>l</w:t>
      </w:r>
      <w:r w:rsidRPr="00C555AB">
        <w:rPr>
          <w:rFonts w:ascii="Times New Roman" w:hAnsi="Times New Roman" w:cs="Times New Roman"/>
          <w:sz w:val="24"/>
          <w:szCs w:val="24"/>
        </w:rPr>
        <w:t xml:space="preserve">earning </w:t>
      </w:r>
      <w:r>
        <w:rPr>
          <w:rFonts w:ascii="Times New Roman" w:hAnsi="Times New Roman" w:cs="Times New Roman"/>
          <w:sz w:val="24"/>
          <w:szCs w:val="24"/>
        </w:rPr>
        <w:t>p</w:t>
      </w:r>
      <w:r w:rsidRPr="00C555AB">
        <w:rPr>
          <w:rFonts w:ascii="Times New Roman" w:hAnsi="Times New Roman" w:cs="Times New Roman"/>
          <w:sz w:val="24"/>
          <w:szCs w:val="24"/>
        </w:rPr>
        <w:t xml:space="preserve">erspective. </w:t>
      </w:r>
      <w:r w:rsidRPr="00C555AB">
        <w:rPr>
          <w:rFonts w:ascii="Times New Roman" w:hAnsi="Times New Roman" w:cs="Times New Roman"/>
          <w:b/>
          <w:bCs/>
          <w:i/>
          <w:iCs/>
          <w:sz w:val="24"/>
          <w:szCs w:val="24"/>
        </w:rPr>
        <w:t>Administrative Science Quarterly</w:t>
      </w:r>
      <w:r w:rsidRPr="00C555AB">
        <w:rPr>
          <w:rFonts w:ascii="Times New Roman" w:hAnsi="Times New Roman" w:cs="Times New Roman"/>
          <w:sz w:val="24"/>
          <w:szCs w:val="24"/>
        </w:rPr>
        <w:t>, 44(1): 29–56.</w:t>
      </w:r>
    </w:p>
    <w:p w14:paraId="6091EB5D"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Haley, G. T., &amp; Haley, U. C. V. 2012. The effects of patent-law changes on innovation: The case of India’s pharmaceutical industry. </w:t>
      </w:r>
      <w:r w:rsidRPr="00C555AB">
        <w:rPr>
          <w:rFonts w:ascii="Times New Roman" w:hAnsi="Times New Roman" w:cs="Times New Roman"/>
          <w:b/>
          <w:bCs/>
          <w:i/>
          <w:iCs/>
          <w:sz w:val="24"/>
          <w:szCs w:val="24"/>
        </w:rPr>
        <w:t>Technological Forecasting and Social Change</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79</w:t>
      </w:r>
      <w:r w:rsidRPr="00C555AB">
        <w:rPr>
          <w:rFonts w:ascii="Times New Roman" w:hAnsi="Times New Roman" w:cs="Times New Roman"/>
          <w:sz w:val="24"/>
          <w:szCs w:val="24"/>
        </w:rPr>
        <w:t>(4)</w:t>
      </w:r>
      <w:r>
        <w:rPr>
          <w:rFonts w:ascii="Times New Roman" w:hAnsi="Times New Roman" w:cs="Times New Roman"/>
          <w:sz w:val="24"/>
          <w:szCs w:val="24"/>
        </w:rPr>
        <w:t>:</w:t>
      </w:r>
      <w:r w:rsidRPr="00C555AB">
        <w:rPr>
          <w:rFonts w:ascii="Times New Roman" w:hAnsi="Times New Roman" w:cs="Times New Roman"/>
          <w:sz w:val="24"/>
          <w:szCs w:val="24"/>
        </w:rPr>
        <w:t xml:space="preserve"> 607–619. </w:t>
      </w:r>
    </w:p>
    <w:p w14:paraId="58FF2C38"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Hausman, J. A. 1978. Specification </w:t>
      </w:r>
      <w:r>
        <w:rPr>
          <w:rFonts w:ascii="Times New Roman" w:hAnsi="Times New Roman" w:cs="Times New Roman"/>
          <w:sz w:val="24"/>
          <w:szCs w:val="24"/>
        </w:rPr>
        <w:t>t</w:t>
      </w:r>
      <w:r w:rsidRPr="00C555AB">
        <w:rPr>
          <w:rFonts w:ascii="Times New Roman" w:hAnsi="Times New Roman" w:cs="Times New Roman"/>
          <w:sz w:val="24"/>
          <w:szCs w:val="24"/>
        </w:rPr>
        <w:t xml:space="preserve">ests in </w:t>
      </w:r>
      <w:r>
        <w:rPr>
          <w:rFonts w:ascii="Times New Roman" w:hAnsi="Times New Roman" w:cs="Times New Roman"/>
          <w:sz w:val="24"/>
          <w:szCs w:val="24"/>
        </w:rPr>
        <w:t>e</w:t>
      </w:r>
      <w:r w:rsidRPr="00C555AB">
        <w:rPr>
          <w:rFonts w:ascii="Times New Roman" w:hAnsi="Times New Roman" w:cs="Times New Roman"/>
          <w:sz w:val="24"/>
          <w:szCs w:val="24"/>
        </w:rPr>
        <w:t xml:space="preserve">conometrics. </w:t>
      </w:r>
      <w:proofErr w:type="spellStart"/>
      <w:r w:rsidRPr="00C555AB">
        <w:rPr>
          <w:rFonts w:ascii="Times New Roman" w:hAnsi="Times New Roman" w:cs="Times New Roman"/>
          <w:b/>
          <w:bCs/>
          <w:i/>
          <w:iCs/>
          <w:sz w:val="24"/>
          <w:szCs w:val="24"/>
        </w:rPr>
        <w:t>Econometrica</w:t>
      </w:r>
      <w:proofErr w:type="spellEnd"/>
      <w:r w:rsidRPr="00C555AB">
        <w:rPr>
          <w:rFonts w:ascii="Times New Roman" w:hAnsi="Times New Roman" w:cs="Times New Roman"/>
          <w:sz w:val="24"/>
          <w:szCs w:val="24"/>
        </w:rPr>
        <w:t xml:space="preserve">, </w:t>
      </w:r>
      <w:r w:rsidRPr="000C34D1">
        <w:rPr>
          <w:rFonts w:ascii="Times New Roman" w:hAnsi="Times New Roman" w:cs="Times New Roman"/>
          <w:sz w:val="24"/>
          <w:szCs w:val="24"/>
        </w:rPr>
        <w:t>46</w:t>
      </w:r>
      <w:r w:rsidRPr="00C555AB">
        <w:rPr>
          <w:rFonts w:ascii="Times New Roman" w:hAnsi="Times New Roman" w:cs="Times New Roman"/>
          <w:sz w:val="24"/>
          <w:szCs w:val="24"/>
        </w:rPr>
        <w:t>(6)</w:t>
      </w:r>
      <w:r>
        <w:rPr>
          <w:rFonts w:ascii="Times New Roman" w:hAnsi="Times New Roman" w:cs="Times New Roman"/>
          <w:sz w:val="24"/>
          <w:szCs w:val="24"/>
        </w:rPr>
        <w:t>:</w:t>
      </w:r>
      <w:r w:rsidRPr="00C555AB">
        <w:rPr>
          <w:rFonts w:ascii="Times New Roman" w:hAnsi="Times New Roman" w:cs="Times New Roman"/>
          <w:sz w:val="24"/>
          <w:szCs w:val="24"/>
        </w:rPr>
        <w:t xml:space="preserve"> 1251–1271. </w:t>
      </w:r>
    </w:p>
    <w:p w14:paraId="50504D97"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Hitt</w:t>
      </w:r>
      <w:proofErr w:type="spellEnd"/>
      <w:r w:rsidRPr="00C555AB">
        <w:rPr>
          <w:rFonts w:ascii="Times New Roman" w:hAnsi="Times New Roman" w:cs="Times New Roman"/>
          <w:sz w:val="24"/>
          <w:szCs w:val="24"/>
        </w:rPr>
        <w:t xml:space="preserve">, M. A., </w:t>
      </w:r>
      <w:proofErr w:type="spellStart"/>
      <w:r w:rsidRPr="00C555AB">
        <w:rPr>
          <w:rFonts w:ascii="Times New Roman" w:hAnsi="Times New Roman" w:cs="Times New Roman"/>
          <w:sz w:val="24"/>
          <w:szCs w:val="24"/>
        </w:rPr>
        <w:t>Tihanyi</w:t>
      </w:r>
      <w:proofErr w:type="spellEnd"/>
      <w:r w:rsidRPr="00C555AB">
        <w:rPr>
          <w:rFonts w:ascii="Times New Roman" w:hAnsi="Times New Roman" w:cs="Times New Roman"/>
          <w:sz w:val="24"/>
          <w:szCs w:val="24"/>
        </w:rPr>
        <w:t xml:space="preserve">, L., Miller, T., &amp; Connelly, B. 2006. International diversification: Antecedents, outcomes, and moderators. </w:t>
      </w:r>
      <w:r w:rsidRPr="00C555AB">
        <w:rPr>
          <w:rFonts w:ascii="Times New Roman" w:hAnsi="Times New Roman" w:cs="Times New Roman"/>
          <w:b/>
          <w:bCs/>
          <w:i/>
          <w:iCs/>
          <w:sz w:val="24"/>
          <w:szCs w:val="24"/>
        </w:rPr>
        <w:t>Journal of Management</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32</w:t>
      </w:r>
      <w:r w:rsidRPr="00C555AB">
        <w:rPr>
          <w:rFonts w:ascii="Times New Roman" w:hAnsi="Times New Roman" w:cs="Times New Roman"/>
          <w:sz w:val="24"/>
          <w:szCs w:val="24"/>
        </w:rPr>
        <w:t>(6)</w:t>
      </w:r>
      <w:r>
        <w:rPr>
          <w:rFonts w:ascii="Times New Roman" w:hAnsi="Times New Roman" w:cs="Times New Roman"/>
          <w:sz w:val="24"/>
          <w:szCs w:val="24"/>
        </w:rPr>
        <w:t>:</w:t>
      </w:r>
      <w:r w:rsidRPr="00C555AB">
        <w:rPr>
          <w:rFonts w:ascii="Times New Roman" w:hAnsi="Times New Roman" w:cs="Times New Roman"/>
          <w:sz w:val="24"/>
          <w:szCs w:val="24"/>
        </w:rPr>
        <w:t xml:space="preserve"> 831–867.</w:t>
      </w:r>
    </w:p>
    <w:p w14:paraId="33BD6D40"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Huang, Y.-F., &amp; Chen, C.-J. 2010. The impact of technological diversity and organizational slack on innovation. </w:t>
      </w:r>
      <w:proofErr w:type="spellStart"/>
      <w:r w:rsidRPr="00C555AB">
        <w:rPr>
          <w:rFonts w:ascii="Times New Roman" w:hAnsi="Times New Roman" w:cs="Times New Roman"/>
          <w:b/>
          <w:bCs/>
          <w:i/>
          <w:iCs/>
          <w:sz w:val="24"/>
          <w:szCs w:val="24"/>
        </w:rPr>
        <w:t>Technovation</w:t>
      </w:r>
      <w:proofErr w:type="spellEnd"/>
      <w:r w:rsidRPr="00C555AB">
        <w:rPr>
          <w:rFonts w:ascii="Times New Roman" w:hAnsi="Times New Roman" w:cs="Times New Roman"/>
          <w:sz w:val="24"/>
          <w:szCs w:val="24"/>
        </w:rPr>
        <w:t xml:space="preserve">, </w:t>
      </w:r>
      <w:r w:rsidRPr="000C34D1">
        <w:rPr>
          <w:rFonts w:ascii="Times New Roman" w:hAnsi="Times New Roman" w:cs="Times New Roman"/>
          <w:sz w:val="24"/>
          <w:szCs w:val="24"/>
        </w:rPr>
        <w:t>30</w:t>
      </w:r>
      <w:r w:rsidRPr="00C555AB">
        <w:rPr>
          <w:rFonts w:ascii="Times New Roman" w:hAnsi="Times New Roman" w:cs="Times New Roman"/>
          <w:sz w:val="24"/>
          <w:szCs w:val="24"/>
        </w:rPr>
        <w:t>(7)</w:t>
      </w:r>
      <w:r>
        <w:rPr>
          <w:rFonts w:ascii="Times New Roman" w:hAnsi="Times New Roman" w:cs="Times New Roman"/>
          <w:sz w:val="24"/>
          <w:szCs w:val="24"/>
        </w:rPr>
        <w:t>:</w:t>
      </w:r>
      <w:r w:rsidRPr="00C555AB">
        <w:rPr>
          <w:rFonts w:ascii="Times New Roman" w:hAnsi="Times New Roman" w:cs="Times New Roman"/>
          <w:sz w:val="24"/>
          <w:szCs w:val="24"/>
        </w:rPr>
        <w:t xml:space="preserve"> 420–428. </w:t>
      </w:r>
    </w:p>
    <w:p w14:paraId="05151076"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Khanna, T., &amp; Palepu, K. 2000. Is group affiliation profitable in emerging markets? An analysis of diversified Indian business groups. </w:t>
      </w:r>
      <w:r w:rsidRPr="00C555AB">
        <w:rPr>
          <w:rFonts w:ascii="Times New Roman" w:hAnsi="Times New Roman" w:cs="Times New Roman"/>
          <w:b/>
          <w:bCs/>
          <w:i/>
          <w:iCs/>
          <w:sz w:val="24"/>
          <w:szCs w:val="24"/>
        </w:rPr>
        <w:t>The Journal of Finance</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55</w:t>
      </w:r>
      <w:r w:rsidRPr="00C555AB">
        <w:rPr>
          <w:rFonts w:ascii="Times New Roman" w:hAnsi="Times New Roman" w:cs="Times New Roman"/>
          <w:sz w:val="24"/>
          <w:szCs w:val="24"/>
        </w:rPr>
        <w:t>(2): 867–891.</w:t>
      </w:r>
    </w:p>
    <w:p w14:paraId="14253B0A"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Kim, H., </w:t>
      </w:r>
      <w:proofErr w:type="spellStart"/>
      <w:r w:rsidRPr="00C555AB">
        <w:rPr>
          <w:rFonts w:ascii="Times New Roman" w:hAnsi="Times New Roman" w:cs="Times New Roman"/>
          <w:sz w:val="24"/>
          <w:szCs w:val="24"/>
        </w:rPr>
        <w:t>Hoskisson</w:t>
      </w:r>
      <w:proofErr w:type="spellEnd"/>
      <w:r w:rsidRPr="00C555AB">
        <w:rPr>
          <w:rFonts w:ascii="Times New Roman" w:hAnsi="Times New Roman" w:cs="Times New Roman"/>
          <w:sz w:val="24"/>
          <w:szCs w:val="24"/>
        </w:rPr>
        <w:t xml:space="preserve">, R. E., &amp; Lee, S.-H. 2015. Why strategic factor markets matter: “New” multinationals’ geographic diversification and firm profitability. </w:t>
      </w:r>
      <w:r w:rsidRPr="00C555AB">
        <w:rPr>
          <w:rFonts w:ascii="Times New Roman" w:hAnsi="Times New Roman" w:cs="Times New Roman"/>
          <w:b/>
          <w:bCs/>
          <w:i/>
          <w:iCs/>
          <w:sz w:val="24"/>
          <w:szCs w:val="24"/>
        </w:rPr>
        <w:t>Strategic Management Journal</w:t>
      </w:r>
      <w:r w:rsidRPr="00C555AB">
        <w:rPr>
          <w:rFonts w:ascii="Times New Roman" w:hAnsi="Times New Roman" w:cs="Times New Roman"/>
          <w:sz w:val="24"/>
          <w:szCs w:val="24"/>
        </w:rPr>
        <w:t xml:space="preserve">, 36(4): 518–536. </w:t>
      </w:r>
    </w:p>
    <w:p w14:paraId="73569CA3"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lastRenderedPageBreak/>
        <w:t>Lettl</w:t>
      </w:r>
      <w:proofErr w:type="spellEnd"/>
      <w:r w:rsidRPr="00C555AB">
        <w:rPr>
          <w:rFonts w:ascii="Times New Roman" w:hAnsi="Times New Roman" w:cs="Times New Roman"/>
          <w:sz w:val="24"/>
          <w:szCs w:val="24"/>
        </w:rPr>
        <w:t xml:space="preserve">, C., </w:t>
      </w:r>
      <w:proofErr w:type="spellStart"/>
      <w:r w:rsidRPr="00C555AB">
        <w:rPr>
          <w:rFonts w:ascii="Times New Roman" w:hAnsi="Times New Roman" w:cs="Times New Roman"/>
          <w:sz w:val="24"/>
          <w:szCs w:val="24"/>
        </w:rPr>
        <w:t>Rost</w:t>
      </w:r>
      <w:proofErr w:type="spellEnd"/>
      <w:r w:rsidRPr="00C555AB">
        <w:rPr>
          <w:rFonts w:ascii="Times New Roman" w:hAnsi="Times New Roman" w:cs="Times New Roman"/>
          <w:sz w:val="24"/>
          <w:szCs w:val="24"/>
        </w:rPr>
        <w:t>, K., &amp; von Wartburg, I. 2009. Why are some independent inventors ‘heroes’ and others ‘</w:t>
      </w:r>
      <w:proofErr w:type="gramStart"/>
      <w:r w:rsidRPr="00C555AB">
        <w:rPr>
          <w:rFonts w:ascii="Times New Roman" w:hAnsi="Times New Roman" w:cs="Times New Roman"/>
          <w:sz w:val="24"/>
          <w:szCs w:val="24"/>
        </w:rPr>
        <w:t>hobbyists’</w:t>
      </w:r>
      <w:proofErr w:type="gramEnd"/>
      <w:r w:rsidRPr="00C555AB">
        <w:rPr>
          <w:rFonts w:ascii="Times New Roman" w:hAnsi="Times New Roman" w:cs="Times New Roman"/>
          <w:sz w:val="24"/>
          <w:szCs w:val="24"/>
        </w:rPr>
        <w:t xml:space="preserve">? The moderating role of technological diversity and specialization. </w:t>
      </w:r>
      <w:r w:rsidRPr="00C555AB">
        <w:rPr>
          <w:rFonts w:ascii="Times New Roman" w:hAnsi="Times New Roman" w:cs="Times New Roman"/>
          <w:b/>
          <w:bCs/>
          <w:i/>
          <w:iCs/>
          <w:sz w:val="24"/>
          <w:szCs w:val="24"/>
        </w:rPr>
        <w:t>Research Policy</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38</w:t>
      </w:r>
      <w:r w:rsidRPr="00C555AB">
        <w:rPr>
          <w:rFonts w:ascii="Times New Roman" w:hAnsi="Times New Roman" w:cs="Times New Roman"/>
          <w:sz w:val="24"/>
          <w:szCs w:val="24"/>
        </w:rPr>
        <w:t>(2)</w:t>
      </w:r>
      <w:r>
        <w:rPr>
          <w:rFonts w:ascii="Times New Roman" w:hAnsi="Times New Roman" w:cs="Times New Roman"/>
          <w:sz w:val="24"/>
          <w:szCs w:val="24"/>
        </w:rPr>
        <w:t>:</w:t>
      </w:r>
      <w:r w:rsidRPr="00C555AB">
        <w:rPr>
          <w:rFonts w:ascii="Times New Roman" w:hAnsi="Times New Roman" w:cs="Times New Roman"/>
          <w:sz w:val="24"/>
          <w:szCs w:val="24"/>
        </w:rPr>
        <w:t xml:space="preserve"> 243–254. </w:t>
      </w:r>
    </w:p>
    <w:p w14:paraId="5CC40748"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Lööf</w:t>
      </w:r>
      <w:proofErr w:type="spellEnd"/>
      <w:r w:rsidRPr="00C555AB">
        <w:rPr>
          <w:rFonts w:ascii="Times New Roman" w:hAnsi="Times New Roman" w:cs="Times New Roman"/>
          <w:sz w:val="24"/>
          <w:szCs w:val="24"/>
        </w:rPr>
        <w:t xml:space="preserve">, H., &amp; </w:t>
      </w:r>
      <w:proofErr w:type="spellStart"/>
      <w:r w:rsidRPr="00C555AB">
        <w:rPr>
          <w:rFonts w:ascii="Times New Roman" w:hAnsi="Times New Roman" w:cs="Times New Roman"/>
          <w:sz w:val="24"/>
          <w:szCs w:val="24"/>
        </w:rPr>
        <w:t>Heshmati</w:t>
      </w:r>
      <w:proofErr w:type="spellEnd"/>
      <w:r w:rsidRPr="00C555AB">
        <w:rPr>
          <w:rFonts w:ascii="Times New Roman" w:hAnsi="Times New Roman" w:cs="Times New Roman"/>
          <w:sz w:val="24"/>
          <w:szCs w:val="24"/>
        </w:rPr>
        <w:t xml:space="preserve">, A. 2002. Knowledge capital and performance heterogeneity: A firm-level innovation study. </w:t>
      </w:r>
      <w:r w:rsidRPr="00C555AB">
        <w:rPr>
          <w:rFonts w:ascii="Times New Roman" w:hAnsi="Times New Roman" w:cs="Times New Roman"/>
          <w:b/>
          <w:bCs/>
          <w:i/>
          <w:iCs/>
          <w:sz w:val="24"/>
          <w:szCs w:val="24"/>
        </w:rPr>
        <w:t>International Journal of Production Economics</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76</w:t>
      </w:r>
      <w:r w:rsidRPr="00C555AB">
        <w:rPr>
          <w:rFonts w:ascii="Times New Roman" w:hAnsi="Times New Roman" w:cs="Times New Roman"/>
          <w:sz w:val="24"/>
          <w:szCs w:val="24"/>
        </w:rPr>
        <w:t>(1)</w:t>
      </w:r>
      <w:r>
        <w:rPr>
          <w:rFonts w:ascii="Times New Roman" w:hAnsi="Times New Roman" w:cs="Times New Roman"/>
          <w:sz w:val="24"/>
          <w:szCs w:val="24"/>
        </w:rPr>
        <w:t>:</w:t>
      </w:r>
      <w:r w:rsidRPr="00C555AB">
        <w:rPr>
          <w:rFonts w:ascii="Times New Roman" w:hAnsi="Times New Roman" w:cs="Times New Roman"/>
          <w:sz w:val="24"/>
          <w:szCs w:val="24"/>
        </w:rPr>
        <w:t xml:space="preserve"> 61–85. </w:t>
      </w:r>
    </w:p>
    <w:p w14:paraId="67584EEA"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Lu, W.-M., Wang, W.-K., &amp; </w:t>
      </w:r>
      <w:proofErr w:type="spellStart"/>
      <w:r w:rsidRPr="00C555AB">
        <w:rPr>
          <w:rFonts w:ascii="Times New Roman" w:hAnsi="Times New Roman" w:cs="Times New Roman"/>
          <w:sz w:val="24"/>
          <w:szCs w:val="24"/>
        </w:rPr>
        <w:t>Kweh</w:t>
      </w:r>
      <w:proofErr w:type="spellEnd"/>
      <w:r w:rsidRPr="00C555AB">
        <w:rPr>
          <w:rFonts w:ascii="Times New Roman" w:hAnsi="Times New Roman" w:cs="Times New Roman"/>
          <w:sz w:val="24"/>
          <w:szCs w:val="24"/>
        </w:rPr>
        <w:t xml:space="preserve">, Q. L. 2014. Intellectual capital and performance in the Chinese life insurance industry. </w:t>
      </w:r>
      <w:r w:rsidRPr="00C555AB">
        <w:rPr>
          <w:rFonts w:ascii="Times New Roman" w:hAnsi="Times New Roman" w:cs="Times New Roman"/>
          <w:b/>
          <w:bCs/>
          <w:i/>
          <w:iCs/>
          <w:sz w:val="24"/>
          <w:szCs w:val="24"/>
        </w:rPr>
        <w:t>Omega</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42</w:t>
      </w:r>
      <w:r w:rsidRPr="00C555AB">
        <w:rPr>
          <w:rFonts w:ascii="Times New Roman" w:hAnsi="Times New Roman" w:cs="Times New Roman"/>
          <w:sz w:val="24"/>
          <w:szCs w:val="24"/>
        </w:rPr>
        <w:t>(1)</w:t>
      </w:r>
      <w:r>
        <w:rPr>
          <w:rFonts w:ascii="Times New Roman" w:hAnsi="Times New Roman" w:cs="Times New Roman"/>
          <w:sz w:val="24"/>
          <w:szCs w:val="24"/>
        </w:rPr>
        <w:t>:</w:t>
      </w:r>
      <w:r w:rsidRPr="00C555AB">
        <w:rPr>
          <w:rFonts w:ascii="Times New Roman" w:hAnsi="Times New Roman" w:cs="Times New Roman"/>
          <w:sz w:val="24"/>
          <w:szCs w:val="24"/>
        </w:rPr>
        <w:t xml:space="preserve"> 65–74.</w:t>
      </w:r>
    </w:p>
    <w:p w14:paraId="41D84737"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McCann, B. T., &amp; </w:t>
      </w:r>
      <w:proofErr w:type="spellStart"/>
      <w:r w:rsidRPr="00C555AB">
        <w:rPr>
          <w:rFonts w:ascii="Times New Roman" w:hAnsi="Times New Roman" w:cs="Times New Roman"/>
          <w:sz w:val="24"/>
          <w:szCs w:val="24"/>
        </w:rPr>
        <w:t>Folta</w:t>
      </w:r>
      <w:proofErr w:type="spellEnd"/>
      <w:r w:rsidRPr="00C555AB">
        <w:rPr>
          <w:rFonts w:ascii="Times New Roman" w:hAnsi="Times New Roman" w:cs="Times New Roman"/>
          <w:sz w:val="24"/>
          <w:szCs w:val="24"/>
        </w:rPr>
        <w:t xml:space="preserve">, T. B. 2011. Performance differentials within geographic clusters. </w:t>
      </w:r>
      <w:r w:rsidRPr="00C555AB">
        <w:rPr>
          <w:rFonts w:ascii="Times New Roman" w:hAnsi="Times New Roman" w:cs="Times New Roman"/>
          <w:b/>
          <w:bCs/>
          <w:i/>
          <w:iCs/>
          <w:sz w:val="24"/>
          <w:szCs w:val="24"/>
        </w:rPr>
        <w:t>Journal of Business Venturing</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26</w:t>
      </w:r>
      <w:r w:rsidRPr="00C555AB">
        <w:rPr>
          <w:rFonts w:ascii="Times New Roman" w:hAnsi="Times New Roman" w:cs="Times New Roman"/>
          <w:sz w:val="24"/>
          <w:szCs w:val="24"/>
        </w:rPr>
        <w:t>(1)</w:t>
      </w:r>
      <w:r>
        <w:rPr>
          <w:rFonts w:ascii="Times New Roman" w:hAnsi="Times New Roman" w:cs="Times New Roman"/>
          <w:sz w:val="24"/>
          <w:szCs w:val="24"/>
        </w:rPr>
        <w:t>:</w:t>
      </w:r>
      <w:r w:rsidRPr="00C555AB">
        <w:rPr>
          <w:rFonts w:ascii="Times New Roman" w:hAnsi="Times New Roman" w:cs="Times New Roman"/>
          <w:sz w:val="24"/>
          <w:szCs w:val="24"/>
        </w:rPr>
        <w:t xml:space="preserve"> 104–123. </w:t>
      </w:r>
    </w:p>
    <w:p w14:paraId="2130EB83"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Nguyen, T., &amp; Cai, C. X. 2016. Value-enhancing </w:t>
      </w:r>
      <w:r>
        <w:rPr>
          <w:rFonts w:ascii="Times New Roman" w:hAnsi="Times New Roman" w:cs="Times New Roman"/>
          <w:sz w:val="24"/>
          <w:szCs w:val="24"/>
        </w:rPr>
        <w:t>l</w:t>
      </w:r>
      <w:r w:rsidRPr="00C555AB">
        <w:rPr>
          <w:rFonts w:ascii="Times New Roman" w:hAnsi="Times New Roman" w:cs="Times New Roman"/>
          <w:sz w:val="24"/>
          <w:szCs w:val="24"/>
        </w:rPr>
        <w:t xml:space="preserve">earning from </w:t>
      </w:r>
      <w:r>
        <w:rPr>
          <w:rFonts w:ascii="Times New Roman" w:hAnsi="Times New Roman" w:cs="Times New Roman"/>
          <w:sz w:val="24"/>
          <w:szCs w:val="24"/>
        </w:rPr>
        <w:t>i</w:t>
      </w:r>
      <w:r w:rsidRPr="00C555AB">
        <w:rPr>
          <w:rFonts w:ascii="Times New Roman" w:hAnsi="Times New Roman" w:cs="Times New Roman"/>
          <w:sz w:val="24"/>
          <w:szCs w:val="24"/>
        </w:rPr>
        <w:t xml:space="preserve">ndustry-wide </w:t>
      </w:r>
      <w:r>
        <w:rPr>
          <w:rFonts w:ascii="Times New Roman" w:hAnsi="Times New Roman" w:cs="Times New Roman"/>
          <w:sz w:val="24"/>
          <w:szCs w:val="24"/>
        </w:rPr>
        <w:t>d</w:t>
      </w:r>
      <w:r w:rsidRPr="00C555AB">
        <w:rPr>
          <w:rFonts w:ascii="Times New Roman" w:hAnsi="Times New Roman" w:cs="Times New Roman"/>
          <w:sz w:val="24"/>
          <w:szCs w:val="24"/>
        </w:rPr>
        <w:t xml:space="preserve">iversification </w:t>
      </w:r>
      <w:r>
        <w:rPr>
          <w:rFonts w:ascii="Times New Roman" w:hAnsi="Times New Roman" w:cs="Times New Roman"/>
          <w:sz w:val="24"/>
          <w:szCs w:val="24"/>
        </w:rPr>
        <w:t>e</w:t>
      </w:r>
      <w:r w:rsidRPr="00C555AB">
        <w:rPr>
          <w:rFonts w:ascii="Times New Roman" w:hAnsi="Times New Roman" w:cs="Times New Roman"/>
          <w:sz w:val="24"/>
          <w:szCs w:val="24"/>
        </w:rPr>
        <w:t xml:space="preserve">xperience. </w:t>
      </w:r>
      <w:r w:rsidRPr="000C34D1">
        <w:rPr>
          <w:rFonts w:ascii="Times New Roman" w:hAnsi="Times New Roman" w:cs="Times New Roman"/>
          <w:b/>
          <w:bCs/>
          <w:i/>
          <w:iCs/>
          <w:sz w:val="24"/>
          <w:szCs w:val="24"/>
        </w:rPr>
        <w:t>British Journal of Management</w:t>
      </w:r>
      <w:r w:rsidRPr="00C555AB">
        <w:rPr>
          <w:rFonts w:ascii="Times New Roman" w:hAnsi="Times New Roman" w:cs="Times New Roman"/>
          <w:sz w:val="24"/>
          <w:szCs w:val="24"/>
        </w:rPr>
        <w:t>, 27(2): 323–337.</w:t>
      </w:r>
    </w:p>
    <w:p w14:paraId="6CC7D4F5"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Nieto, M., &amp; Quevedo, P. 2005. Absorptive capacity, technological opportunity, knowledge </w:t>
      </w:r>
      <w:proofErr w:type="spellStart"/>
      <w:r w:rsidRPr="00C555AB">
        <w:rPr>
          <w:rFonts w:ascii="Times New Roman" w:hAnsi="Times New Roman" w:cs="Times New Roman"/>
          <w:sz w:val="24"/>
          <w:szCs w:val="24"/>
        </w:rPr>
        <w:t>spillovers</w:t>
      </w:r>
      <w:proofErr w:type="spellEnd"/>
      <w:r w:rsidRPr="00C555AB">
        <w:rPr>
          <w:rFonts w:ascii="Times New Roman" w:hAnsi="Times New Roman" w:cs="Times New Roman"/>
          <w:sz w:val="24"/>
          <w:szCs w:val="24"/>
        </w:rPr>
        <w:t xml:space="preserve">, and innovative effort. </w:t>
      </w:r>
      <w:proofErr w:type="spellStart"/>
      <w:r w:rsidRPr="00C555AB">
        <w:rPr>
          <w:rFonts w:ascii="Times New Roman" w:hAnsi="Times New Roman" w:cs="Times New Roman"/>
          <w:b/>
          <w:bCs/>
          <w:i/>
          <w:iCs/>
          <w:sz w:val="24"/>
          <w:szCs w:val="24"/>
        </w:rPr>
        <w:t>Technovation</w:t>
      </w:r>
      <w:proofErr w:type="spellEnd"/>
      <w:r w:rsidRPr="00C555AB">
        <w:rPr>
          <w:rFonts w:ascii="Times New Roman" w:hAnsi="Times New Roman" w:cs="Times New Roman"/>
          <w:sz w:val="24"/>
          <w:szCs w:val="24"/>
        </w:rPr>
        <w:t xml:space="preserve">, </w:t>
      </w:r>
      <w:r w:rsidRPr="000C34D1">
        <w:rPr>
          <w:rFonts w:ascii="Times New Roman" w:hAnsi="Times New Roman" w:cs="Times New Roman"/>
          <w:sz w:val="24"/>
          <w:szCs w:val="24"/>
        </w:rPr>
        <w:t>25</w:t>
      </w:r>
      <w:r w:rsidRPr="00C555AB">
        <w:rPr>
          <w:rFonts w:ascii="Times New Roman" w:hAnsi="Times New Roman" w:cs="Times New Roman"/>
          <w:sz w:val="24"/>
          <w:szCs w:val="24"/>
        </w:rPr>
        <w:t>(10)</w:t>
      </w:r>
      <w:r>
        <w:rPr>
          <w:rFonts w:ascii="Times New Roman" w:hAnsi="Times New Roman" w:cs="Times New Roman"/>
          <w:sz w:val="24"/>
          <w:szCs w:val="24"/>
        </w:rPr>
        <w:t>:</w:t>
      </w:r>
      <w:r w:rsidRPr="00C555AB">
        <w:rPr>
          <w:rFonts w:ascii="Times New Roman" w:hAnsi="Times New Roman" w:cs="Times New Roman"/>
          <w:sz w:val="24"/>
          <w:szCs w:val="24"/>
        </w:rPr>
        <w:t xml:space="preserve"> 1141–1157.</w:t>
      </w:r>
    </w:p>
    <w:p w14:paraId="4941A913"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Palepu, K. 1985. Diversification strategy, profit performance and the entropy measure. </w:t>
      </w:r>
      <w:r w:rsidRPr="00C555AB">
        <w:rPr>
          <w:rFonts w:ascii="Times New Roman" w:hAnsi="Times New Roman" w:cs="Times New Roman"/>
          <w:b/>
          <w:bCs/>
          <w:i/>
          <w:iCs/>
          <w:sz w:val="24"/>
          <w:szCs w:val="24"/>
        </w:rPr>
        <w:t>Strategic Management Journal</w:t>
      </w:r>
      <w:r w:rsidRPr="00C555AB">
        <w:rPr>
          <w:rFonts w:ascii="Times New Roman" w:hAnsi="Times New Roman" w:cs="Times New Roman"/>
          <w:sz w:val="24"/>
          <w:szCs w:val="24"/>
        </w:rPr>
        <w:t>, 6(3): 239–255.</w:t>
      </w:r>
    </w:p>
    <w:p w14:paraId="7700114B"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Pulic</w:t>
      </w:r>
      <w:proofErr w:type="spellEnd"/>
      <w:r w:rsidRPr="00C555AB">
        <w:rPr>
          <w:rFonts w:ascii="Times New Roman" w:hAnsi="Times New Roman" w:cs="Times New Roman"/>
          <w:sz w:val="24"/>
          <w:szCs w:val="24"/>
        </w:rPr>
        <w:t>, A. 2000. VAIC</w:t>
      </w:r>
      <w:r w:rsidRPr="00C555AB">
        <w:rPr>
          <w:rFonts w:ascii="Times New Roman" w:hAnsi="Times New Roman" w:cs="Times New Roman"/>
          <w:sz w:val="24"/>
          <w:szCs w:val="24"/>
          <w:vertAlign w:val="superscript"/>
        </w:rPr>
        <w:t>TM</w:t>
      </w:r>
      <w:r w:rsidRPr="00C555AB">
        <w:rPr>
          <w:rFonts w:ascii="Times New Roman" w:hAnsi="Times New Roman" w:cs="Times New Roman"/>
          <w:sz w:val="24"/>
          <w:szCs w:val="24"/>
        </w:rPr>
        <w:t xml:space="preserve">–an accounting tool for IC management. </w:t>
      </w:r>
      <w:r w:rsidRPr="00C555AB">
        <w:rPr>
          <w:rFonts w:ascii="Times New Roman" w:hAnsi="Times New Roman" w:cs="Times New Roman"/>
          <w:b/>
          <w:bCs/>
          <w:i/>
          <w:iCs/>
          <w:sz w:val="24"/>
          <w:szCs w:val="24"/>
        </w:rPr>
        <w:t>International Journal of Technology Management</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20</w:t>
      </w:r>
      <w:r w:rsidRPr="00C555AB">
        <w:rPr>
          <w:rFonts w:ascii="Times New Roman" w:hAnsi="Times New Roman" w:cs="Times New Roman"/>
          <w:sz w:val="24"/>
          <w:szCs w:val="24"/>
        </w:rPr>
        <w:t>(5)</w:t>
      </w:r>
      <w:r>
        <w:rPr>
          <w:rFonts w:ascii="Times New Roman" w:hAnsi="Times New Roman" w:cs="Times New Roman"/>
          <w:sz w:val="24"/>
          <w:szCs w:val="24"/>
        </w:rPr>
        <w:t>:</w:t>
      </w:r>
      <w:r w:rsidRPr="00C555AB">
        <w:rPr>
          <w:rFonts w:ascii="Times New Roman" w:hAnsi="Times New Roman" w:cs="Times New Roman"/>
          <w:sz w:val="24"/>
          <w:szCs w:val="24"/>
        </w:rPr>
        <w:t xml:space="preserve"> 702–714.</w:t>
      </w:r>
    </w:p>
    <w:p w14:paraId="58A470D1"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Quintana-García, C., &amp; Benavides-Velasco, C. A. 2011. Knowledge organisation in R&amp;D alliances: Its impact on product innovation. </w:t>
      </w:r>
      <w:r w:rsidRPr="00C555AB">
        <w:rPr>
          <w:rFonts w:ascii="Times New Roman" w:hAnsi="Times New Roman" w:cs="Times New Roman"/>
          <w:b/>
          <w:bCs/>
          <w:i/>
          <w:iCs/>
          <w:sz w:val="24"/>
          <w:szCs w:val="24"/>
        </w:rPr>
        <w:t>Technology Analysis &amp; Strategic Management</w:t>
      </w:r>
      <w:r w:rsidRPr="00C555AB">
        <w:rPr>
          <w:rFonts w:ascii="Times New Roman" w:hAnsi="Times New Roman" w:cs="Times New Roman"/>
          <w:sz w:val="24"/>
          <w:szCs w:val="24"/>
        </w:rPr>
        <w:t xml:space="preserve">, </w:t>
      </w:r>
      <w:r w:rsidRPr="000C34D1">
        <w:rPr>
          <w:rFonts w:ascii="Times New Roman" w:hAnsi="Times New Roman" w:cs="Times New Roman"/>
          <w:sz w:val="24"/>
          <w:szCs w:val="24"/>
        </w:rPr>
        <w:t>23</w:t>
      </w:r>
      <w:r w:rsidRPr="00C555AB">
        <w:rPr>
          <w:rFonts w:ascii="Times New Roman" w:hAnsi="Times New Roman" w:cs="Times New Roman"/>
          <w:sz w:val="24"/>
          <w:szCs w:val="24"/>
        </w:rPr>
        <w:t>(10)</w:t>
      </w:r>
      <w:r>
        <w:rPr>
          <w:rFonts w:ascii="Times New Roman" w:hAnsi="Times New Roman" w:cs="Times New Roman"/>
          <w:sz w:val="24"/>
          <w:szCs w:val="24"/>
        </w:rPr>
        <w:t>:</w:t>
      </w:r>
      <w:r w:rsidRPr="00C555AB">
        <w:rPr>
          <w:rFonts w:ascii="Times New Roman" w:hAnsi="Times New Roman" w:cs="Times New Roman"/>
          <w:sz w:val="24"/>
          <w:szCs w:val="24"/>
        </w:rPr>
        <w:t xml:space="preserve"> 1047–1061.</w:t>
      </w:r>
    </w:p>
    <w:p w14:paraId="3788E475"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Richard, P. J., </w:t>
      </w:r>
      <w:proofErr w:type="spellStart"/>
      <w:r w:rsidRPr="00C555AB">
        <w:rPr>
          <w:rFonts w:ascii="Times New Roman" w:hAnsi="Times New Roman" w:cs="Times New Roman"/>
          <w:sz w:val="24"/>
          <w:szCs w:val="24"/>
        </w:rPr>
        <w:t>Devinney</w:t>
      </w:r>
      <w:proofErr w:type="spellEnd"/>
      <w:r w:rsidRPr="00C555AB">
        <w:rPr>
          <w:rFonts w:ascii="Times New Roman" w:hAnsi="Times New Roman" w:cs="Times New Roman"/>
          <w:sz w:val="24"/>
          <w:szCs w:val="24"/>
        </w:rPr>
        <w:t xml:space="preserve">, T. M., Yip, G. S., &amp; Johnson, G. 2009. Measuring </w:t>
      </w:r>
      <w:r>
        <w:rPr>
          <w:rFonts w:ascii="Times New Roman" w:hAnsi="Times New Roman" w:cs="Times New Roman"/>
          <w:sz w:val="24"/>
          <w:szCs w:val="24"/>
        </w:rPr>
        <w:t>o</w:t>
      </w:r>
      <w:r w:rsidRPr="00C555AB">
        <w:rPr>
          <w:rFonts w:ascii="Times New Roman" w:hAnsi="Times New Roman" w:cs="Times New Roman"/>
          <w:sz w:val="24"/>
          <w:szCs w:val="24"/>
        </w:rPr>
        <w:t xml:space="preserve">rganizational </w:t>
      </w:r>
      <w:r>
        <w:rPr>
          <w:rFonts w:ascii="Times New Roman" w:hAnsi="Times New Roman" w:cs="Times New Roman"/>
          <w:sz w:val="24"/>
          <w:szCs w:val="24"/>
        </w:rPr>
        <w:t>p</w:t>
      </w:r>
      <w:r w:rsidRPr="00C555AB">
        <w:rPr>
          <w:rFonts w:ascii="Times New Roman" w:hAnsi="Times New Roman" w:cs="Times New Roman"/>
          <w:sz w:val="24"/>
          <w:szCs w:val="24"/>
        </w:rPr>
        <w:t xml:space="preserve">erformance: Towards </w:t>
      </w:r>
      <w:r>
        <w:rPr>
          <w:rFonts w:ascii="Times New Roman" w:hAnsi="Times New Roman" w:cs="Times New Roman"/>
          <w:sz w:val="24"/>
          <w:szCs w:val="24"/>
        </w:rPr>
        <w:t>m</w:t>
      </w:r>
      <w:r w:rsidRPr="00C555AB">
        <w:rPr>
          <w:rFonts w:ascii="Times New Roman" w:hAnsi="Times New Roman" w:cs="Times New Roman"/>
          <w:sz w:val="24"/>
          <w:szCs w:val="24"/>
        </w:rPr>
        <w:t xml:space="preserve">ethodological </w:t>
      </w:r>
      <w:r>
        <w:rPr>
          <w:rFonts w:ascii="Times New Roman" w:hAnsi="Times New Roman" w:cs="Times New Roman"/>
          <w:sz w:val="24"/>
          <w:szCs w:val="24"/>
        </w:rPr>
        <w:t>b</w:t>
      </w:r>
      <w:r w:rsidRPr="00C555AB">
        <w:rPr>
          <w:rFonts w:ascii="Times New Roman" w:hAnsi="Times New Roman" w:cs="Times New Roman"/>
          <w:sz w:val="24"/>
          <w:szCs w:val="24"/>
        </w:rPr>
        <w:t xml:space="preserve">est </w:t>
      </w:r>
      <w:r>
        <w:rPr>
          <w:rFonts w:ascii="Times New Roman" w:hAnsi="Times New Roman" w:cs="Times New Roman"/>
          <w:sz w:val="24"/>
          <w:szCs w:val="24"/>
        </w:rPr>
        <w:t>p</w:t>
      </w:r>
      <w:r w:rsidRPr="00C555AB">
        <w:rPr>
          <w:rFonts w:ascii="Times New Roman" w:hAnsi="Times New Roman" w:cs="Times New Roman"/>
          <w:sz w:val="24"/>
          <w:szCs w:val="24"/>
        </w:rPr>
        <w:t xml:space="preserve">ractice. </w:t>
      </w:r>
      <w:r w:rsidRPr="00C555AB">
        <w:rPr>
          <w:rFonts w:ascii="Times New Roman" w:hAnsi="Times New Roman" w:cs="Times New Roman"/>
          <w:b/>
          <w:bCs/>
          <w:i/>
          <w:iCs/>
          <w:sz w:val="24"/>
          <w:szCs w:val="24"/>
        </w:rPr>
        <w:t>Journal of Management</w:t>
      </w:r>
      <w:r w:rsidRPr="00C555AB">
        <w:rPr>
          <w:rFonts w:ascii="Times New Roman" w:hAnsi="Times New Roman" w:cs="Times New Roman"/>
          <w:sz w:val="24"/>
          <w:szCs w:val="24"/>
        </w:rPr>
        <w:t>, 35(3): 718–804.</w:t>
      </w:r>
    </w:p>
    <w:p w14:paraId="19B130E0"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lastRenderedPageBreak/>
        <w:t xml:space="preserve">Shukla, D. M., </w:t>
      </w:r>
      <w:proofErr w:type="spellStart"/>
      <w:r w:rsidRPr="00C555AB">
        <w:rPr>
          <w:rFonts w:ascii="Times New Roman" w:hAnsi="Times New Roman" w:cs="Times New Roman"/>
          <w:sz w:val="24"/>
          <w:szCs w:val="24"/>
        </w:rPr>
        <w:t>Mital</w:t>
      </w:r>
      <w:proofErr w:type="spellEnd"/>
      <w:r w:rsidRPr="00C555AB">
        <w:rPr>
          <w:rFonts w:ascii="Times New Roman" w:hAnsi="Times New Roman" w:cs="Times New Roman"/>
          <w:sz w:val="24"/>
          <w:szCs w:val="24"/>
        </w:rPr>
        <w:t xml:space="preserve">, A., Qureshi, I., &amp; Wang, T. 2020. Valuation effects of alliance portfolio expansion speed and strength: Evidence from high-tech firms. </w:t>
      </w:r>
      <w:r w:rsidRPr="00C555AB">
        <w:rPr>
          <w:rFonts w:ascii="Times New Roman" w:hAnsi="Times New Roman" w:cs="Times New Roman"/>
          <w:b/>
          <w:bCs/>
          <w:i/>
          <w:iCs/>
          <w:sz w:val="24"/>
          <w:szCs w:val="24"/>
        </w:rPr>
        <w:t>Journal of Business Research</w:t>
      </w:r>
      <w:r w:rsidRPr="00C555AB">
        <w:rPr>
          <w:rFonts w:ascii="Times New Roman" w:hAnsi="Times New Roman" w:cs="Times New Roman"/>
          <w:sz w:val="24"/>
          <w:szCs w:val="24"/>
        </w:rPr>
        <w:t>, 113: 370–383</w:t>
      </w:r>
      <w:r>
        <w:rPr>
          <w:rFonts w:ascii="Times New Roman" w:hAnsi="Times New Roman" w:cs="Times New Roman"/>
          <w:sz w:val="24"/>
          <w:szCs w:val="24"/>
        </w:rPr>
        <w:t>.</w:t>
      </w:r>
    </w:p>
    <w:p w14:paraId="3DACC915"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Su</w:t>
      </w:r>
      <w:proofErr w:type="spellEnd"/>
      <w:r w:rsidRPr="00C555AB">
        <w:rPr>
          <w:rFonts w:ascii="Times New Roman" w:hAnsi="Times New Roman" w:cs="Times New Roman"/>
          <w:sz w:val="24"/>
          <w:szCs w:val="24"/>
        </w:rPr>
        <w:t xml:space="preserve">, W., &amp; Tsang, E. W. K. 2014. Product </w:t>
      </w:r>
      <w:r>
        <w:rPr>
          <w:rFonts w:ascii="Times New Roman" w:hAnsi="Times New Roman" w:cs="Times New Roman"/>
          <w:sz w:val="24"/>
          <w:szCs w:val="24"/>
        </w:rPr>
        <w:t>d</w:t>
      </w:r>
      <w:r w:rsidRPr="00C555AB">
        <w:rPr>
          <w:rFonts w:ascii="Times New Roman" w:hAnsi="Times New Roman" w:cs="Times New Roman"/>
          <w:sz w:val="24"/>
          <w:szCs w:val="24"/>
        </w:rPr>
        <w:t xml:space="preserve">iversification and </w:t>
      </w:r>
      <w:r>
        <w:rPr>
          <w:rFonts w:ascii="Times New Roman" w:hAnsi="Times New Roman" w:cs="Times New Roman"/>
          <w:sz w:val="24"/>
          <w:szCs w:val="24"/>
        </w:rPr>
        <w:t>f</w:t>
      </w:r>
      <w:r w:rsidRPr="00C555AB">
        <w:rPr>
          <w:rFonts w:ascii="Times New Roman" w:hAnsi="Times New Roman" w:cs="Times New Roman"/>
          <w:sz w:val="24"/>
          <w:szCs w:val="24"/>
        </w:rPr>
        <w:t xml:space="preserve">inancial </w:t>
      </w:r>
      <w:r>
        <w:rPr>
          <w:rFonts w:ascii="Times New Roman" w:hAnsi="Times New Roman" w:cs="Times New Roman"/>
          <w:sz w:val="24"/>
          <w:szCs w:val="24"/>
        </w:rPr>
        <w:t>p</w:t>
      </w:r>
      <w:r w:rsidRPr="00C555AB">
        <w:rPr>
          <w:rFonts w:ascii="Times New Roman" w:hAnsi="Times New Roman" w:cs="Times New Roman"/>
          <w:sz w:val="24"/>
          <w:szCs w:val="24"/>
        </w:rPr>
        <w:t xml:space="preserve">erformance: The </w:t>
      </w:r>
      <w:r>
        <w:rPr>
          <w:rFonts w:ascii="Times New Roman" w:hAnsi="Times New Roman" w:cs="Times New Roman"/>
          <w:sz w:val="24"/>
          <w:szCs w:val="24"/>
        </w:rPr>
        <w:t>m</w:t>
      </w:r>
      <w:r w:rsidRPr="00C555AB">
        <w:rPr>
          <w:rFonts w:ascii="Times New Roman" w:hAnsi="Times New Roman" w:cs="Times New Roman"/>
          <w:sz w:val="24"/>
          <w:szCs w:val="24"/>
        </w:rPr>
        <w:t xml:space="preserve">oderating </w:t>
      </w:r>
      <w:r>
        <w:rPr>
          <w:rFonts w:ascii="Times New Roman" w:hAnsi="Times New Roman" w:cs="Times New Roman"/>
          <w:sz w:val="24"/>
          <w:szCs w:val="24"/>
        </w:rPr>
        <w:t>r</w:t>
      </w:r>
      <w:r w:rsidRPr="00C555AB">
        <w:rPr>
          <w:rFonts w:ascii="Times New Roman" w:hAnsi="Times New Roman" w:cs="Times New Roman"/>
          <w:sz w:val="24"/>
          <w:szCs w:val="24"/>
        </w:rPr>
        <w:t xml:space="preserve">ole of </w:t>
      </w:r>
      <w:r>
        <w:rPr>
          <w:rFonts w:ascii="Times New Roman" w:hAnsi="Times New Roman" w:cs="Times New Roman"/>
          <w:sz w:val="24"/>
          <w:szCs w:val="24"/>
        </w:rPr>
        <w:t>s</w:t>
      </w:r>
      <w:r w:rsidRPr="00C555AB">
        <w:rPr>
          <w:rFonts w:ascii="Times New Roman" w:hAnsi="Times New Roman" w:cs="Times New Roman"/>
          <w:sz w:val="24"/>
          <w:szCs w:val="24"/>
        </w:rPr>
        <w:t xml:space="preserve">econdary </w:t>
      </w:r>
      <w:r>
        <w:rPr>
          <w:rFonts w:ascii="Times New Roman" w:hAnsi="Times New Roman" w:cs="Times New Roman"/>
          <w:sz w:val="24"/>
          <w:szCs w:val="24"/>
        </w:rPr>
        <w:t>s</w:t>
      </w:r>
      <w:r w:rsidRPr="00C555AB">
        <w:rPr>
          <w:rFonts w:ascii="Times New Roman" w:hAnsi="Times New Roman" w:cs="Times New Roman"/>
          <w:sz w:val="24"/>
          <w:szCs w:val="24"/>
        </w:rPr>
        <w:t xml:space="preserve">takeholders. </w:t>
      </w:r>
      <w:r w:rsidRPr="00C555AB">
        <w:rPr>
          <w:rFonts w:ascii="Times New Roman" w:hAnsi="Times New Roman" w:cs="Times New Roman"/>
          <w:b/>
          <w:bCs/>
          <w:i/>
          <w:iCs/>
          <w:sz w:val="24"/>
          <w:szCs w:val="24"/>
        </w:rPr>
        <w:t>Academy of Management Journal</w:t>
      </w:r>
      <w:r w:rsidRPr="00C555AB">
        <w:rPr>
          <w:rFonts w:ascii="Times New Roman" w:hAnsi="Times New Roman" w:cs="Times New Roman"/>
          <w:sz w:val="24"/>
          <w:szCs w:val="24"/>
        </w:rPr>
        <w:t>, 58(4)</w:t>
      </w:r>
      <w:r>
        <w:rPr>
          <w:rFonts w:ascii="Times New Roman" w:hAnsi="Times New Roman" w:cs="Times New Roman"/>
          <w:sz w:val="24"/>
          <w:szCs w:val="24"/>
        </w:rPr>
        <w:t>:</w:t>
      </w:r>
      <w:r w:rsidRPr="00C555AB">
        <w:rPr>
          <w:rFonts w:ascii="Times New Roman" w:hAnsi="Times New Roman" w:cs="Times New Roman"/>
          <w:sz w:val="24"/>
          <w:szCs w:val="24"/>
        </w:rPr>
        <w:t xml:space="preserve"> 1128–1148.</w:t>
      </w:r>
    </w:p>
    <w:p w14:paraId="28AAFDF3"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Tallman, S., &amp; Li, J. 1996. Effects of international diversity and product diversity on the performance of multinational firms. </w:t>
      </w:r>
      <w:r w:rsidRPr="00C555AB">
        <w:rPr>
          <w:rFonts w:ascii="Times New Roman" w:hAnsi="Times New Roman" w:cs="Times New Roman"/>
          <w:b/>
          <w:bCs/>
          <w:i/>
          <w:iCs/>
          <w:sz w:val="24"/>
          <w:szCs w:val="24"/>
        </w:rPr>
        <w:t>The Academy of Management Journal</w:t>
      </w:r>
      <w:r w:rsidRPr="00C555AB">
        <w:rPr>
          <w:rFonts w:ascii="Times New Roman" w:hAnsi="Times New Roman" w:cs="Times New Roman"/>
          <w:sz w:val="24"/>
          <w:szCs w:val="24"/>
        </w:rPr>
        <w:t xml:space="preserve">, </w:t>
      </w:r>
      <w:r w:rsidRPr="00925E67">
        <w:rPr>
          <w:rFonts w:ascii="Times New Roman" w:hAnsi="Times New Roman" w:cs="Times New Roman"/>
          <w:sz w:val="24"/>
          <w:szCs w:val="24"/>
        </w:rPr>
        <w:t>39</w:t>
      </w:r>
      <w:r w:rsidRPr="00C555AB">
        <w:rPr>
          <w:rFonts w:ascii="Times New Roman" w:hAnsi="Times New Roman" w:cs="Times New Roman"/>
          <w:sz w:val="24"/>
          <w:szCs w:val="24"/>
        </w:rPr>
        <w:t>(1)</w:t>
      </w:r>
      <w:r>
        <w:rPr>
          <w:rFonts w:ascii="Times New Roman" w:hAnsi="Times New Roman" w:cs="Times New Roman"/>
          <w:sz w:val="24"/>
          <w:szCs w:val="24"/>
        </w:rPr>
        <w:t>:</w:t>
      </w:r>
      <w:r w:rsidRPr="00C555AB">
        <w:rPr>
          <w:rFonts w:ascii="Times New Roman" w:hAnsi="Times New Roman" w:cs="Times New Roman"/>
          <w:sz w:val="24"/>
          <w:szCs w:val="24"/>
        </w:rPr>
        <w:t xml:space="preserve"> 179–196. </w:t>
      </w:r>
    </w:p>
    <w:p w14:paraId="42DD2C84"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Tsai, W. 2001. Knowledge </w:t>
      </w:r>
      <w:r>
        <w:rPr>
          <w:rFonts w:ascii="Times New Roman" w:hAnsi="Times New Roman" w:cs="Times New Roman"/>
          <w:sz w:val="24"/>
          <w:szCs w:val="24"/>
        </w:rPr>
        <w:t>t</w:t>
      </w:r>
      <w:r w:rsidRPr="00C555AB">
        <w:rPr>
          <w:rFonts w:ascii="Times New Roman" w:hAnsi="Times New Roman" w:cs="Times New Roman"/>
          <w:sz w:val="24"/>
          <w:szCs w:val="24"/>
        </w:rPr>
        <w:t xml:space="preserve">ransfer in </w:t>
      </w:r>
      <w:r>
        <w:rPr>
          <w:rFonts w:ascii="Times New Roman" w:hAnsi="Times New Roman" w:cs="Times New Roman"/>
          <w:sz w:val="24"/>
          <w:szCs w:val="24"/>
        </w:rPr>
        <w:t>i</w:t>
      </w:r>
      <w:r w:rsidRPr="00C555AB">
        <w:rPr>
          <w:rFonts w:ascii="Times New Roman" w:hAnsi="Times New Roman" w:cs="Times New Roman"/>
          <w:sz w:val="24"/>
          <w:szCs w:val="24"/>
        </w:rPr>
        <w:t xml:space="preserve">ntraorganizational </w:t>
      </w:r>
      <w:r>
        <w:rPr>
          <w:rFonts w:ascii="Times New Roman" w:hAnsi="Times New Roman" w:cs="Times New Roman"/>
          <w:sz w:val="24"/>
          <w:szCs w:val="24"/>
        </w:rPr>
        <w:t>n</w:t>
      </w:r>
      <w:r w:rsidRPr="00C555AB">
        <w:rPr>
          <w:rFonts w:ascii="Times New Roman" w:hAnsi="Times New Roman" w:cs="Times New Roman"/>
          <w:sz w:val="24"/>
          <w:szCs w:val="24"/>
        </w:rPr>
        <w:t xml:space="preserve">etworks: Effects of </w:t>
      </w:r>
      <w:r>
        <w:rPr>
          <w:rFonts w:ascii="Times New Roman" w:hAnsi="Times New Roman" w:cs="Times New Roman"/>
          <w:sz w:val="24"/>
          <w:szCs w:val="24"/>
        </w:rPr>
        <w:t>n</w:t>
      </w:r>
      <w:r w:rsidRPr="00C555AB">
        <w:rPr>
          <w:rFonts w:ascii="Times New Roman" w:hAnsi="Times New Roman" w:cs="Times New Roman"/>
          <w:sz w:val="24"/>
          <w:szCs w:val="24"/>
        </w:rPr>
        <w:t xml:space="preserve">etwork </w:t>
      </w:r>
      <w:r>
        <w:rPr>
          <w:rFonts w:ascii="Times New Roman" w:hAnsi="Times New Roman" w:cs="Times New Roman"/>
          <w:sz w:val="24"/>
          <w:szCs w:val="24"/>
        </w:rPr>
        <w:t>p</w:t>
      </w:r>
      <w:r w:rsidRPr="00C555AB">
        <w:rPr>
          <w:rFonts w:ascii="Times New Roman" w:hAnsi="Times New Roman" w:cs="Times New Roman"/>
          <w:sz w:val="24"/>
          <w:szCs w:val="24"/>
        </w:rPr>
        <w:t xml:space="preserve">osition and </w:t>
      </w:r>
      <w:r>
        <w:rPr>
          <w:rFonts w:ascii="Times New Roman" w:hAnsi="Times New Roman" w:cs="Times New Roman"/>
          <w:sz w:val="24"/>
          <w:szCs w:val="24"/>
        </w:rPr>
        <w:t>a</w:t>
      </w:r>
      <w:r w:rsidRPr="00C555AB">
        <w:rPr>
          <w:rFonts w:ascii="Times New Roman" w:hAnsi="Times New Roman" w:cs="Times New Roman"/>
          <w:sz w:val="24"/>
          <w:szCs w:val="24"/>
        </w:rPr>
        <w:t xml:space="preserve">bsorptive </w:t>
      </w:r>
      <w:r>
        <w:rPr>
          <w:rFonts w:ascii="Times New Roman" w:hAnsi="Times New Roman" w:cs="Times New Roman"/>
          <w:sz w:val="24"/>
          <w:szCs w:val="24"/>
        </w:rPr>
        <w:t>c</w:t>
      </w:r>
      <w:r w:rsidRPr="00C555AB">
        <w:rPr>
          <w:rFonts w:ascii="Times New Roman" w:hAnsi="Times New Roman" w:cs="Times New Roman"/>
          <w:sz w:val="24"/>
          <w:szCs w:val="24"/>
        </w:rPr>
        <w:t xml:space="preserve">apacity on </w:t>
      </w:r>
      <w:r>
        <w:rPr>
          <w:rFonts w:ascii="Times New Roman" w:hAnsi="Times New Roman" w:cs="Times New Roman"/>
          <w:sz w:val="24"/>
          <w:szCs w:val="24"/>
        </w:rPr>
        <w:t>b</w:t>
      </w:r>
      <w:r w:rsidRPr="00C555AB">
        <w:rPr>
          <w:rFonts w:ascii="Times New Roman" w:hAnsi="Times New Roman" w:cs="Times New Roman"/>
          <w:sz w:val="24"/>
          <w:szCs w:val="24"/>
        </w:rPr>
        <w:t xml:space="preserve">usiness </w:t>
      </w:r>
      <w:r>
        <w:rPr>
          <w:rFonts w:ascii="Times New Roman" w:hAnsi="Times New Roman" w:cs="Times New Roman"/>
          <w:sz w:val="24"/>
          <w:szCs w:val="24"/>
        </w:rPr>
        <w:t>u</w:t>
      </w:r>
      <w:r w:rsidRPr="00C555AB">
        <w:rPr>
          <w:rFonts w:ascii="Times New Roman" w:hAnsi="Times New Roman" w:cs="Times New Roman"/>
          <w:sz w:val="24"/>
          <w:szCs w:val="24"/>
        </w:rPr>
        <w:t xml:space="preserve">nit </w:t>
      </w:r>
      <w:r>
        <w:rPr>
          <w:rFonts w:ascii="Times New Roman" w:hAnsi="Times New Roman" w:cs="Times New Roman"/>
          <w:sz w:val="24"/>
          <w:szCs w:val="24"/>
        </w:rPr>
        <w:t>i</w:t>
      </w:r>
      <w:r w:rsidRPr="00C555AB">
        <w:rPr>
          <w:rFonts w:ascii="Times New Roman" w:hAnsi="Times New Roman" w:cs="Times New Roman"/>
          <w:sz w:val="24"/>
          <w:szCs w:val="24"/>
        </w:rPr>
        <w:t xml:space="preserve">nnovation and </w:t>
      </w:r>
      <w:r>
        <w:rPr>
          <w:rFonts w:ascii="Times New Roman" w:hAnsi="Times New Roman" w:cs="Times New Roman"/>
          <w:sz w:val="24"/>
          <w:szCs w:val="24"/>
        </w:rPr>
        <w:t>p</w:t>
      </w:r>
      <w:r w:rsidRPr="00C555AB">
        <w:rPr>
          <w:rFonts w:ascii="Times New Roman" w:hAnsi="Times New Roman" w:cs="Times New Roman"/>
          <w:sz w:val="24"/>
          <w:szCs w:val="24"/>
        </w:rPr>
        <w:t xml:space="preserve">erformance. </w:t>
      </w:r>
      <w:r w:rsidRPr="00C555AB">
        <w:rPr>
          <w:rFonts w:ascii="Times New Roman" w:hAnsi="Times New Roman" w:cs="Times New Roman"/>
          <w:b/>
          <w:bCs/>
          <w:i/>
          <w:iCs/>
          <w:sz w:val="24"/>
          <w:szCs w:val="24"/>
        </w:rPr>
        <w:t>The Academy of Management Journal</w:t>
      </w:r>
      <w:r w:rsidRPr="00C555AB">
        <w:rPr>
          <w:rFonts w:ascii="Times New Roman" w:hAnsi="Times New Roman" w:cs="Times New Roman"/>
          <w:sz w:val="24"/>
          <w:szCs w:val="24"/>
        </w:rPr>
        <w:t xml:space="preserve">, </w:t>
      </w:r>
      <w:r w:rsidRPr="00925E67">
        <w:rPr>
          <w:rFonts w:ascii="Times New Roman" w:hAnsi="Times New Roman" w:cs="Times New Roman"/>
          <w:sz w:val="24"/>
          <w:szCs w:val="24"/>
        </w:rPr>
        <w:t>44</w:t>
      </w:r>
      <w:r w:rsidRPr="00C555AB">
        <w:rPr>
          <w:rFonts w:ascii="Times New Roman" w:hAnsi="Times New Roman" w:cs="Times New Roman"/>
          <w:sz w:val="24"/>
          <w:szCs w:val="24"/>
        </w:rPr>
        <w:t>(5)</w:t>
      </w:r>
      <w:r>
        <w:rPr>
          <w:rFonts w:ascii="Times New Roman" w:hAnsi="Times New Roman" w:cs="Times New Roman"/>
          <w:sz w:val="24"/>
          <w:szCs w:val="24"/>
        </w:rPr>
        <w:t>:</w:t>
      </w:r>
      <w:r w:rsidRPr="00C555AB">
        <w:rPr>
          <w:rFonts w:ascii="Times New Roman" w:hAnsi="Times New Roman" w:cs="Times New Roman"/>
          <w:sz w:val="24"/>
          <w:szCs w:val="24"/>
        </w:rPr>
        <w:t xml:space="preserve"> 996–1004. </w:t>
      </w:r>
    </w:p>
    <w:p w14:paraId="3A01AA9B"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Vachani</w:t>
      </w:r>
      <w:proofErr w:type="spellEnd"/>
      <w:r w:rsidRPr="00C555AB">
        <w:rPr>
          <w:rFonts w:ascii="Times New Roman" w:hAnsi="Times New Roman" w:cs="Times New Roman"/>
          <w:sz w:val="24"/>
          <w:szCs w:val="24"/>
        </w:rPr>
        <w:t xml:space="preserve">, S. 1991. Distinguishing between </w:t>
      </w:r>
      <w:r>
        <w:rPr>
          <w:rFonts w:ascii="Times New Roman" w:hAnsi="Times New Roman" w:cs="Times New Roman"/>
          <w:sz w:val="24"/>
          <w:szCs w:val="24"/>
        </w:rPr>
        <w:t>r</w:t>
      </w:r>
      <w:r w:rsidRPr="00C555AB">
        <w:rPr>
          <w:rFonts w:ascii="Times New Roman" w:hAnsi="Times New Roman" w:cs="Times New Roman"/>
          <w:sz w:val="24"/>
          <w:szCs w:val="24"/>
        </w:rPr>
        <w:t xml:space="preserve">elated and </w:t>
      </w:r>
      <w:r>
        <w:rPr>
          <w:rFonts w:ascii="Times New Roman" w:hAnsi="Times New Roman" w:cs="Times New Roman"/>
          <w:sz w:val="24"/>
          <w:szCs w:val="24"/>
        </w:rPr>
        <w:t>u</w:t>
      </w:r>
      <w:r w:rsidRPr="00C555AB">
        <w:rPr>
          <w:rFonts w:ascii="Times New Roman" w:hAnsi="Times New Roman" w:cs="Times New Roman"/>
          <w:sz w:val="24"/>
          <w:szCs w:val="24"/>
        </w:rPr>
        <w:t xml:space="preserve">nrelated </w:t>
      </w:r>
      <w:r>
        <w:rPr>
          <w:rFonts w:ascii="Times New Roman" w:hAnsi="Times New Roman" w:cs="Times New Roman"/>
          <w:sz w:val="24"/>
          <w:szCs w:val="24"/>
        </w:rPr>
        <w:t>i</w:t>
      </w:r>
      <w:r w:rsidRPr="00C555AB">
        <w:rPr>
          <w:rFonts w:ascii="Times New Roman" w:hAnsi="Times New Roman" w:cs="Times New Roman"/>
          <w:sz w:val="24"/>
          <w:szCs w:val="24"/>
        </w:rPr>
        <w:t xml:space="preserve">nternational </w:t>
      </w:r>
      <w:r>
        <w:rPr>
          <w:rFonts w:ascii="Times New Roman" w:hAnsi="Times New Roman" w:cs="Times New Roman"/>
          <w:sz w:val="24"/>
          <w:szCs w:val="24"/>
        </w:rPr>
        <w:t>g</w:t>
      </w:r>
      <w:r w:rsidRPr="00C555AB">
        <w:rPr>
          <w:rFonts w:ascii="Times New Roman" w:hAnsi="Times New Roman" w:cs="Times New Roman"/>
          <w:sz w:val="24"/>
          <w:szCs w:val="24"/>
        </w:rPr>
        <w:t xml:space="preserve">eographic </w:t>
      </w:r>
      <w:r>
        <w:rPr>
          <w:rFonts w:ascii="Times New Roman" w:hAnsi="Times New Roman" w:cs="Times New Roman"/>
          <w:sz w:val="24"/>
          <w:szCs w:val="24"/>
        </w:rPr>
        <w:t>d</w:t>
      </w:r>
      <w:r w:rsidRPr="00C555AB">
        <w:rPr>
          <w:rFonts w:ascii="Times New Roman" w:hAnsi="Times New Roman" w:cs="Times New Roman"/>
          <w:sz w:val="24"/>
          <w:szCs w:val="24"/>
        </w:rPr>
        <w:t xml:space="preserve">iversification: A </w:t>
      </w:r>
      <w:r>
        <w:rPr>
          <w:rFonts w:ascii="Times New Roman" w:hAnsi="Times New Roman" w:cs="Times New Roman"/>
          <w:sz w:val="24"/>
          <w:szCs w:val="24"/>
        </w:rPr>
        <w:t>c</w:t>
      </w:r>
      <w:r w:rsidRPr="00C555AB">
        <w:rPr>
          <w:rFonts w:ascii="Times New Roman" w:hAnsi="Times New Roman" w:cs="Times New Roman"/>
          <w:sz w:val="24"/>
          <w:szCs w:val="24"/>
        </w:rPr>
        <w:t xml:space="preserve">omprehensive </w:t>
      </w:r>
      <w:r>
        <w:rPr>
          <w:rFonts w:ascii="Times New Roman" w:hAnsi="Times New Roman" w:cs="Times New Roman"/>
          <w:sz w:val="24"/>
          <w:szCs w:val="24"/>
        </w:rPr>
        <w:t>m</w:t>
      </w:r>
      <w:r w:rsidRPr="00C555AB">
        <w:rPr>
          <w:rFonts w:ascii="Times New Roman" w:hAnsi="Times New Roman" w:cs="Times New Roman"/>
          <w:sz w:val="24"/>
          <w:szCs w:val="24"/>
        </w:rPr>
        <w:t xml:space="preserve">easure of </w:t>
      </w:r>
      <w:r>
        <w:rPr>
          <w:rFonts w:ascii="Times New Roman" w:hAnsi="Times New Roman" w:cs="Times New Roman"/>
          <w:sz w:val="24"/>
          <w:szCs w:val="24"/>
        </w:rPr>
        <w:t>g</w:t>
      </w:r>
      <w:r w:rsidRPr="00C555AB">
        <w:rPr>
          <w:rFonts w:ascii="Times New Roman" w:hAnsi="Times New Roman" w:cs="Times New Roman"/>
          <w:sz w:val="24"/>
          <w:szCs w:val="24"/>
        </w:rPr>
        <w:t xml:space="preserve">lobal </w:t>
      </w:r>
      <w:r>
        <w:rPr>
          <w:rFonts w:ascii="Times New Roman" w:hAnsi="Times New Roman" w:cs="Times New Roman"/>
          <w:sz w:val="24"/>
          <w:szCs w:val="24"/>
        </w:rPr>
        <w:t>d</w:t>
      </w:r>
      <w:r w:rsidRPr="00C555AB">
        <w:rPr>
          <w:rFonts w:ascii="Times New Roman" w:hAnsi="Times New Roman" w:cs="Times New Roman"/>
          <w:sz w:val="24"/>
          <w:szCs w:val="24"/>
        </w:rPr>
        <w:t xml:space="preserve">iversification. </w:t>
      </w:r>
      <w:r w:rsidRPr="00C555AB">
        <w:rPr>
          <w:rFonts w:ascii="Times New Roman" w:hAnsi="Times New Roman" w:cs="Times New Roman"/>
          <w:b/>
          <w:bCs/>
          <w:i/>
          <w:iCs/>
          <w:sz w:val="24"/>
          <w:szCs w:val="24"/>
        </w:rPr>
        <w:t>Journal of International Business Studies</w:t>
      </w:r>
      <w:r w:rsidRPr="00C555AB">
        <w:rPr>
          <w:rFonts w:ascii="Times New Roman" w:hAnsi="Times New Roman" w:cs="Times New Roman"/>
          <w:sz w:val="24"/>
          <w:szCs w:val="24"/>
        </w:rPr>
        <w:t>, 22(2): 307–322.</w:t>
      </w:r>
    </w:p>
    <w:p w14:paraId="6CFAD04D"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Yamakawa</w:t>
      </w:r>
      <w:proofErr w:type="spellEnd"/>
      <w:r w:rsidRPr="00C555AB">
        <w:rPr>
          <w:rFonts w:ascii="Times New Roman" w:hAnsi="Times New Roman" w:cs="Times New Roman"/>
          <w:sz w:val="24"/>
          <w:szCs w:val="24"/>
        </w:rPr>
        <w:t>, Y., Yang, H., &amp; Lin, Z. (J</w:t>
      </w:r>
      <w:r>
        <w:rPr>
          <w:rFonts w:ascii="Times New Roman" w:hAnsi="Times New Roman" w:cs="Times New Roman"/>
          <w:sz w:val="24"/>
          <w:szCs w:val="24"/>
        </w:rPr>
        <w:t>.</w:t>
      </w:r>
      <w:r w:rsidRPr="00C555AB">
        <w:rPr>
          <w:rFonts w:ascii="Times New Roman" w:hAnsi="Times New Roman" w:cs="Times New Roman"/>
          <w:sz w:val="24"/>
          <w:szCs w:val="24"/>
        </w:rPr>
        <w:t xml:space="preserve">). 2011. Exploration versus exploitation in alliance portfolio: Performance implications of organizational, strategic, and environmental fit. </w:t>
      </w:r>
      <w:r w:rsidRPr="00C555AB">
        <w:rPr>
          <w:rFonts w:ascii="Times New Roman" w:hAnsi="Times New Roman" w:cs="Times New Roman"/>
          <w:b/>
          <w:bCs/>
          <w:i/>
          <w:iCs/>
          <w:sz w:val="24"/>
          <w:szCs w:val="24"/>
        </w:rPr>
        <w:t>Research Policy</w:t>
      </w:r>
      <w:r w:rsidRPr="00C555AB">
        <w:rPr>
          <w:rFonts w:ascii="Times New Roman" w:hAnsi="Times New Roman" w:cs="Times New Roman"/>
          <w:sz w:val="24"/>
          <w:szCs w:val="24"/>
        </w:rPr>
        <w:t>, 40(2)</w:t>
      </w:r>
      <w:r>
        <w:rPr>
          <w:rFonts w:ascii="Times New Roman" w:hAnsi="Times New Roman" w:cs="Times New Roman"/>
          <w:sz w:val="24"/>
          <w:szCs w:val="24"/>
        </w:rPr>
        <w:t>:</w:t>
      </w:r>
      <w:r w:rsidRPr="00C555AB">
        <w:rPr>
          <w:rFonts w:ascii="Times New Roman" w:hAnsi="Times New Roman" w:cs="Times New Roman"/>
          <w:sz w:val="24"/>
          <w:szCs w:val="24"/>
        </w:rPr>
        <w:t xml:space="preserve"> 287–296.</w:t>
      </w:r>
    </w:p>
    <w:p w14:paraId="6D160B90" w14:textId="77777777" w:rsidR="00331AB6" w:rsidRPr="00C555AB" w:rsidRDefault="00331AB6" w:rsidP="00331AB6">
      <w:pPr>
        <w:pStyle w:val="Bibliography"/>
        <w:rPr>
          <w:rFonts w:ascii="Times New Roman" w:hAnsi="Times New Roman" w:cs="Times New Roman"/>
          <w:sz w:val="24"/>
          <w:szCs w:val="24"/>
        </w:rPr>
      </w:pPr>
      <w:proofErr w:type="spellStart"/>
      <w:r w:rsidRPr="00C555AB">
        <w:rPr>
          <w:rFonts w:ascii="Times New Roman" w:hAnsi="Times New Roman" w:cs="Times New Roman"/>
          <w:sz w:val="24"/>
          <w:szCs w:val="24"/>
        </w:rPr>
        <w:t>Zahavi</w:t>
      </w:r>
      <w:proofErr w:type="spellEnd"/>
      <w:r w:rsidRPr="00C555AB">
        <w:rPr>
          <w:rFonts w:ascii="Times New Roman" w:hAnsi="Times New Roman" w:cs="Times New Roman"/>
          <w:sz w:val="24"/>
          <w:szCs w:val="24"/>
        </w:rPr>
        <w:t xml:space="preserve">, T., &amp; </w:t>
      </w:r>
      <w:proofErr w:type="spellStart"/>
      <w:r w:rsidRPr="00C555AB">
        <w:rPr>
          <w:rFonts w:ascii="Times New Roman" w:hAnsi="Times New Roman" w:cs="Times New Roman"/>
          <w:sz w:val="24"/>
          <w:szCs w:val="24"/>
        </w:rPr>
        <w:t>Lavie</w:t>
      </w:r>
      <w:proofErr w:type="spellEnd"/>
      <w:r w:rsidRPr="00C555AB">
        <w:rPr>
          <w:rFonts w:ascii="Times New Roman" w:hAnsi="Times New Roman" w:cs="Times New Roman"/>
          <w:sz w:val="24"/>
          <w:szCs w:val="24"/>
        </w:rPr>
        <w:t>, D. 2013. Intra-industry diversification and firm performance.</w:t>
      </w:r>
      <w:r w:rsidRPr="00C555AB">
        <w:rPr>
          <w:rFonts w:ascii="Times New Roman" w:hAnsi="Times New Roman" w:cs="Times New Roman"/>
          <w:b/>
          <w:bCs/>
          <w:sz w:val="24"/>
          <w:szCs w:val="24"/>
        </w:rPr>
        <w:t xml:space="preserve"> </w:t>
      </w:r>
      <w:r w:rsidRPr="00C555AB">
        <w:rPr>
          <w:rFonts w:ascii="Times New Roman" w:hAnsi="Times New Roman" w:cs="Times New Roman"/>
          <w:b/>
          <w:bCs/>
          <w:i/>
          <w:iCs/>
          <w:sz w:val="24"/>
          <w:szCs w:val="24"/>
        </w:rPr>
        <w:t>Strategic Management Journal</w:t>
      </w:r>
      <w:r w:rsidRPr="00C555AB">
        <w:rPr>
          <w:rFonts w:ascii="Times New Roman" w:hAnsi="Times New Roman" w:cs="Times New Roman"/>
          <w:sz w:val="24"/>
          <w:szCs w:val="24"/>
        </w:rPr>
        <w:t xml:space="preserve">, </w:t>
      </w:r>
      <w:r w:rsidRPr="00925E67">
        <w:rPr>
          <w:rFonts w:ascii="Times New Roman" w:hAnsi="Times New Roman" w:cs="Times New Roman"/>
          <w:sz w:val="24"/>
          <w:szCs w:val="24"/>
        </w:rPr>
        <w:t>34</w:t>
      </w:r>
      <w:r w:rsidRPr="00C555AB">
        <w:rPr>
          <w:rFonts w:ascii="Times New Roman" w:hAnsi="Times New Roman" w:cs="Times New Roman"/>
          <w:sz w:val="24"/>
          <w:szCs w:val="24"/>
        </w:rPr>
        <w:t>(8)</w:t>
      </w:r>
      <w:r>
        <w:rPr>
          <w:rFonts w:ascii="Times New Roman" w:hAnsi="Times New Roman" w:cs="Times New Roman"/>
          <w:sz w:val="24"/>
          <w:szCs w:val="24"/>
        </w:rPr>
        <w:t>:</w:t>
      </w:r>
      <w:r w:rsidRPr="00C555AB">
        <w:rPr>
          <w:rFonts w:ascii="Times New Roman" w:hAnsi="Times New Roman" w:cs="Times New Roman"/>
          <w:sz w:val="24"/>
          <w:szCs w:val="24"/>
        </w:rPr>
        <w:t xml:space="preserve"> 978–998. </w:t>
      </w:r>
    </w:p>
    <w:p w14:paraId="01C67B3E" w14:textId="77777777" w:rsidR="00331AB6" w:rsidRPr="00C555AB" w:rsidRDefault="00331AB6" w:rsidP="00331AB6">
      <w:pPr>
        <w:pStyle w:val="Bibliography"/>
        <w:rPr>
          <w:rFonts w:ascii="Times New Roman" w:hAnsi="Times New Roman" w:cs="Times New Roman"/>
          <w:sz w:val="24"/>
          <w:szCs w:val="24"/>
        </w:rPr>
      </w:pPr>
      <w:r w:rsidRPr="00C555AB">
        <w:rPr>
          <w:rFonts w:ascii="Times New Roman" w:hAnsi="Times New Roman" w:cs="Times New Roman"/>
          <w:sz w:val="24"/>
          <w:szCs w:val="24"/>
        </w:rPr>
        <w:t xml:space="preserve">Zahra, S. A., &amp; George, G. 2002. Absorptive </w:t>
      </w:r>
      <w:r>
        <w:rPr>
          <w:rFonts w:ascii="Times New Roman" w:hAnsi="Times New Roman" w:cs="Times New Roman"/>
          <w:sz w:val="24"/>
          <w:szCs w:val="24"/>
        </w:rPr>
        <w:t>c</w:t>
      </w:r>
      <w:r w:rsidRPr="00C555AB">
        <w:rPr>
          <w:rFonts w:ascii="Times New Roman" w:hAnsi="Times New Roman" w:cs="Times New Roman"/>
          <w:sz w:val="24"/>
          <w:szCs w:val="24"/>
        </w:rPr>
        <w:t xml:space="preserve">apacity: A </w:t>
      </w:r>
      <w:r>
        <w:rPr>
          <w:rFonts w:ascii="Times New Roman" w:hAnsi="Times New Roman" w:cs="Times New Roman"/>
          <w:sz w:val="24"/>
          <w:szCs w:val="24"/>
        </w:rPr>
        <w:t>r</w:t>
      </w:r>
      <w:r w:rsidRPr="00C555AB">
        <w:rPr>
          <w:rFonts w:ascii="Times New Roman" w:hAnsi="Times New Roman" w:cs="Times New Roman"/>
          <w:sz w:val="24"/>
          <w:szCs w:val="24"/>
        </w:rPr>
        <w:t xml:space="preserve">eview, </w:t>
      </w:r>
      <w:r>
        <w:rPr>
          <w:rFonts w:ascii="Times New Roman" w:hAnsi="Times New Roman" w:cs="Times New Roman"/>
          <w:sz w:val="24"/>
          <w:szCs w:val="24"/>
        </w:rPr>
        <w:t>r</w:t>
      </w:r>
      <w:r w:rsidRPr="00C555AB">
        <w:rPr>
          <w:rFonts w:ascii="Times New Roman" w:hAnsi="Times New Roman" w:cs="Times New Roman"/>
          <w:sz w:val="24"/>
          <w:szCs w:val="24"/>
        </w:rPr>
        <w:t xml:space="preserve">econceptualization, and </w:t>
      </w:r>
      <w:r>
        <w:rPr>
          <w:rFonts w:ascii="Times New Roman" w:hAnsi="Times New Roman" w:cs="Times New Roman"/>
          <w:sz w:val="24"/>
          <w:szCs w:val="24"/>
        </w:rPr>
        <w:t>e</w:t>
      </w:r>
      <w:r w:rsidRPr="00C555AB">
        <w:rPr>
          <w:rFonts w:ascii="Times New Roman" w:hAnsi="Times New Roman" w:cs="Times New Roman"/>
          <w:sz w:val="24"/>
          <w:szCs w:val="24"/>
        </w:rPr>
        <w:t xml:space="preserve">xtension. </w:t>
      </w:r>
      <w:r w:rsidRPr="00C555AB">
        <w:rPr>
          <w:rFonts w:ascii="Times New Roman" w:hAnsi="Times New Roman" w:cs="Times New Roman"/>
          <w:b/>
          <w:bCs/>
          <w:i/>
          <w:iCs/>
          <w:sz w:val="24"/>
          <w:szCs w:val="24"/>
        </w:rPr>
        <w:t>The Academy of Management Review</w:t>
      </w:r>
      <w:r w:rsidRPr="00C555AB">
        <w:rPr>
          <w:rFonts w:ascii="Times New Roman" w:hAnsi="Times New Roman" w:cs="Times New Roman"/>
          <w:sz w:val="24"/>
          <w:szCs w:val="24"/>
        </w:rPr>
        <w:t xml:space="preserve">, </w:t>
      </w:r>
      <w:r w:rsidRPr="00925E67">
        <w:rPr>
          <w:rFonts w:ascii="Times New Roman" w:hAnsi="Times New Roman" w:cs="Times New Roman"/>
          <w:sz w:val="24"/>
          <w:szCs w:val="24"/>
        </w:rPr>
        <w:t>27</w:t>
      </w:r>
      <w:r w:rsidRPr="00C555AB">
        <w:rPr>
          <w:rFonts w:ascii="Times New Roman" w:hAnsi="Times New Roman" w:cs="Times New Roman"/>
          <w:sz w:val="24"/>
          <w:szCs w:val="24"/>
        </w:rPr>
        <w:t>(2)</w:t>
      </w:r>
      <w:r>
        <w:rPr>
          <w:rFonts w:ascii="Times New Roman" w:hAnsi="Times New Roman" w:cs="Times New Roman"/>
          <w:sz w:val="24"/>
          <w:szCs w:val="24"/>
        </w:rPr>
        <w:t>:</w:t>
      </w:r>
      <w:r w:rsidRPr="00C555AB">
        <w:rPr>
          <w:rFonts w:ascii="Times New Roman" w:hAnsi="Times New Roman" w:cs="Times New Roman"/>
          <w:sz w:val="24"/>
          <w:szCs w:val="24"/>
        </w:rPr>
        <w:t xml:space="preserve"> 185–203. </w:t>
      </w:r>
    </w:p>
    <w:p w14:paraId="0FD60845" w14:textId="4F2948D3" w:rsidR="002B2E1F" w:rsidRPr="00331AB6" w:rsidRDefault="00331AB6" w:rsidP="00331AB6">
      <w:pPr>
        <w:pStyle w:val="Bibliography"/>
        <w:rPr>
          <w:rFonts w:ascii="Times New Roman" w:hAnsi="Times New Roman" w:cs="Times New Roman"/>
          <w:b/>
          <w:bCs/>
          <w:sz w:val="24"/>
          <w:szCs w:val="24"/>
        </w:rPr>
      </w:pPr>
      <w:r w:rsidRPr="00C555AB">
        <w:rPr>
          <w:rFonts w:ascii="Times New Roman" w:hAnsi="Times New Roman" w:cs="Times New Roman"/>
          <w:sz w:val="24"/>
          <w:szCs w:val="24"/>
        </w:rPr>
        <w:fldChar w:fldCharType="end"/>
      </w:r>
    </w:p>
    <w:sectPr w:rsidR="002B2E1F" w:rsidRPr="00331A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974242"/>
      <w:docPartObj>
        <w:docPartGallery w:val="Page Numbers (Bottom of Page)"/>
        <w:docPartUnique/>
      </w:docPartObj>
    </w:sdtPr>
    <w:sdtEndPr>
      <w:rPr>
        <w:noProof/>
      </w:rPr>
    </w:sdtEndPr>
    <w:sdtContent>
      <w:p w14:paraId="6AE63140" w14:textId="77777777" w:rsidR="008C6764" w:rsidRDefault="000000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FC479C" w14:textId="77777777" w:rsidR="008C6764"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01D"/>
    <w:multiLevelType w:val="hybridMultilevel"/>
    <w:tmpl w:val="A99446CA"/>
    <w:lvl w:ilvl="0" w:tplc="F0C0B906">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562F17"/>
    <w:multiLevelType w:val="hybridMultilevel"/>
    <w:tmpl w:val="D8A6EACE"/>
    <w:lvl w:ilvl="0" w:tplc="9638555A">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8C12115"/>
    <w:multiLevelType w:val="hybridMultilevel"/>
    <w:tmpl w:val="5176923C"/>
    <w:lvl w:ilvl="0" w:tplc="C986B384">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F494E2E"/>
    <w:multiLevelType w:val="hybridMultilevel"/>
    <w:tmpl w:val="BB0C54DE"/>
    <w:lvl w:ilvl="0" w:tplc="0B34351C">
      <w:numFmt w:val="bullet"/>
      <w:lvlText w:val=""/>
      <w:lvlJc w:val="left"/>
      <w:pPr>
        <w:ind w:left="720" w:hanging="360"/>
      </w:pPr>
      <w:rPr>
        <w:rFonts w:ascii="Symbol" w:eastAsiaTheme="minorHAnsi" w:hAnsi="Symbol"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1264E67"/>
    <w:multiLevelType w:val="hybridMultilevel"/>
    <w:tmpl w:val="50FE71C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DFB6AAF"/>
    <w:multiLevelType w:val="hybridMultilevel"/>
    <w:tmpl w:val="FD820B0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0347BA8"/>
    <w:multiLevelType w:val="hybridMultilevel"/>
    <w:tmpl w:val="5AA25FC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77815352"/>
    <w:multiLevelType w:val="hybridMultilevel"/>
    <w:tmpl w:val="FC1681DC"/>
    <w:lvl w:ilvl="0" w:tplc="F1248D44">
      <w:numFmt w:val="bullet"/>
      <w:lvlText w:val="-"/>
      <w:lvlJc w:val="left"/>
      <w:pPr>
        <w:ind w:left="720" w:hanging="360"/>
      </w:pPr>
      <w:rPr>
        <w:rFonts w:ascii="Calibri" w:eastAsiaTheme="minorHAnsi" w:hAnsi="Calibri" w:cstheme="minorBid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8AF2091"/>
    <w:multiLevelType w:val="hybridMultilevel"/>
    <w:tmpl w:val="106EC3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64303865">
    <w:abstractNumId w:val="5"/>
  </w:num>
  <w:num w:numId="2" w16cid:durableId="1023477273">
    <w:abstractNumId w:val="2"/>
  </w:num>
  <w:num w:numId="3" w16cid:durableId="267545145">
    <w:abstractNumId w:val="3"/>
  </w:num>
  <w:num w:numId="4" w16cid:durableId="1732539174">
    <w:abstractNumId w:val="0"/>
  </w:num>
  <w:num w:numId="5" w16cid:durableId="1323316729">
    <w:abstractNumId w:val="1"/>
  </w:num>
  <w:num w:numId="6" w16cid:durableId="1297568617">
    <w:abstractNumId w:val="7"/>
  </w:num>
  <w:num w:numId="7" w16cid:durableId="824785149">
    <w:abstractNumId w:val="4"/>
  </w:num>
  <w:num w:numId="8" w16cid:durableId="342319734">
    <w:abstractNumId w:val="6"/>
  </w:num>
  <w:num w:numId="9" w16cid:durableId="3570040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AB6"/>
    <w:rsid w:val="002B2E1F"/>
    <w:rsid w:val="0033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DBAB3"/>
  <w15:chartTrackingRefBased/>
  <w15:docId w15:val="{8E93155B-65A7-494E-99BD-1DD7E1FD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AB6"/>
    <w:rPr>
      <w:lang w:val="en-IN"/>
    </w:rPr>
  </w:style>
  <w:style w:type="paragraph" w:styleId="Heading1">
    <w:name w:val="heading 1"/>
    <w:basedOn w:val="Normal"/>
    <w:next w:val="Normal"/>
    <w:link w:val="Heading1Char"/>
    <w:uiPriority w:val="9"/>
    <w:qFormat/>
    <w:rsid w:val="00331A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AB6"/>
    <w:rPr>
      <w:rFonts w:asciiTheme="majorHAnsi" w:eastAsiaTheme="majorEastAsia" w:hAnsiTheme="majorHAnsi" w:cstheme="majorBidi"/>
      <w:color w:val="2F5496" w:themeColor="accent1" w:themeShade="BF"/>
      <w:sz w:val="32"/>
      <w:szCs w:val="32"/>
      <w:lang w:val="en-IN"/>
    </w:rPr>
  </w:style>
  <w:style w:type="table" w:styleId="TableGrid">
    <w:name w:val="Table Grid"/>
    <w:basedOn w:val="TableNormal"/>
    <w:uiPriority w:val="39"/>
    <w:rsid w:val="00331AB6"/>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AB6"/>
    <w:rPr>
      <w:lang w:val="en-IN"/>
    </w:rPr>
  </w:style>
  <w:style w:type="paragraph" w:styleId="Footer">
    <w:name w:val="footer"/>
    <w:basedOn w:val="Normal"/>
    <w:link w:val="FooterChar"/>
    <w:uiPriority w:val="99"/>
    <w:unhideWhenUsed/>
    <w:rsid w:val="00331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AB6"/>
    <w:rPr>
      <w:lang w:val="en-IN"/>
    </w:rPr>
  </w:style>
  <w:style w:type="paragraph" w:styleId="ListParagraph">
    <w:name w:val="List Paragraph"/>
    <w:basedOn w:val="Normal"/>
    <w:uiPriority w:val="34"/>
    <w:qFormat/>
    <w:rsid w:val="00331AB6"/>
    <w:pPr>
      <w:ind w:left="720"/>
      <w:contextualSpacing/>
    </w:pPr>
  </w:style>
  <w:style w:type="paragraph" w:styleId="Bibliography">
    <w:name w:val="Bibliography"/>
    <w:basedOn w:val="Normal"/>
    <w:next w:val="Normal"/>
    <w:uiPriority w:val="37"/>
    <w:unhideWhenUsed/>
    <w:rsid w:val="00331AB6"/>
    <w:pPr>
      <w:spacing w:after="0" w:line="480" w:lineRule="auto"/>
      <w:ind w:left="720" w:hanging="720"/>
    </w:pPr>
  </w:style>
  <w:style w:type="paragraph" w:styleId="NoSpacing">
    <w:name w:val="No Spacing"/>
    <w:link w:val="NoSpacingChar"/>
    <w:uiPriority w:val="1"/>
    <w:qFormat/>
    <w:rsid w:val="00331AB6"/>
    <w:pPr>
      <w:spacing w:after="0" w:line="240" w:lineRule="auto"/>
    </w:pPr>
    <w:rPr>
      <w:rFonts w:eastAsiaTheme="minorEastAsia"/>
    </w:rPr>
  </w:style>
  <w:style w:type="character" w:customStyle="1" w:styleId="NoSpacingChar">
    <w:name w:val="No Spacing Char"/>
    <w:basedOn w:val="DefaultParagraphFont"/>
    <w:link w:val="NoSpacing"/>
    <w:uiPriority w:val="1"/>
    <w:rsid w:val="00331AB6"/>
    <w:rPr>
      <w:rFonts w:eastAsiaTheme="minorEastAsia"/>
    </w:rPr>
  </w:style>
  <w:style w:type="character" w:styleId="CommentReference">
    <w:name w:val="annotation reference"/>
    <w:basedOn w:val="DefaultParagraphFont"/>
    <w:uiPriority w:val="99"/>
    <w:semiHidden/>
    <w:unhideWhenUsed/>
    <w:rsid w:val="00331AB6"/>
    <w:rPr>
      <w:sz w:val="16"/>
      <w:szCs w:val="16"/>
    </w:rPr>
  </w:style>
  <w:style w:type="paragraph" w:styleId="CommentText">
    <w:name w:val="annotation text"/>
    <w:basedOn w:val="Normal"/>
    <w:link w:val="CommentTextChar"/>
    <w:uiPriority w:val="99"/>
    <w:unhideWhenUsed/>
    <w:rsid w:val="00331AB6"/>
    <w:pPr>
      <w:spacing w:line="240" w:lineRule="auto"/>
    </w:pPr>
    <w:rPr>
      <w:sz w:val="20"/>
      <w:szCs w:val="20"/>
    </w:rPr>
  </w:style>
  <w:style w:type="character" w:customStyle="1" w:styleId="CommentTextChar">
    <w:name w:val="Comment Text Char"/>
    <w:basedOn w:val="DefaultParagraphFont"/>
    <w:link w:val="CommentText"/>
    <w:uiPriority w:val="99"/>
    <w:rsid w:val="00331AB6"/>
    <w:rPr>
      <w:sz w:val="20"/>
      <w:szCs w:val="20"/>
      <w:lang w:val="en-IN"/>
    </w:rPr>
  </w:style>
  <w:style w:type="paragraph" w:styleId="CommentSubject">
    <w:name w:val="annotation subject"/>
    <w:basedOn w:val="CommentText"/>
    <w:next w:val="CommentText"/>
    <w:link w:val="CommentSubjectChar"/>
    <w:uiPriority w:val="99"/>
    <w:semiHidden/>
    <w:unhideWhenUsed/>
    <w:rsid w:val="00331AB6"/>
    <w:rPr>
      <w:b/>
      <w:bCs/>
    </w:rPr>
  </w:style>
  <w:style w:type="character" w:customStyle="1" w:styleId="CommentSubjectChar">
    <w:name w:val="Comment Subject Char"/>
    <w:basedOn w:val="CommentTextChar"/>
    <w:link w:val="CommentSubject"/>
    <w:uiPriority w:val="99"/>
    <w:semiHidden/>
    <w:rsid w:val="00331AB6"/>
    <w:rPr>
      <w:b/>
      <w:bCs/>
      <w:sz w:val="20"/>
      <w:szCs w:val="20"/>
      <w:lang w:val="en-IN"/>
    </w:rPr>
  </w:style>
  <w:style w:type="paragraph" w:styleId="BalloonText">
    <w:name w:val="Balloon Text"/>
    <w:basedOn w:val="Normal"/>
    <w:link w:val="BalloonTextChar"/>
    <w:uiPriority w:val="99"/>
    <w:semiHidden/>
    <w:unhideWhenUsed/>
    <w:rsid w:val="00331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1AB6"/>
    <w:rPr>
      <w:rFonts w:ascii="Segoe UI" w:hAnsi="Segoe UI" w:cs="Segoe UI"/>
      <w:sz w:val="18"/>
      <w:szCs w:val="18"/>
      <w:lang w:val="en-IN"/>
    </w:rPr>
  </w:style>
  <w:style w:type="character" w:styleId="PlaceholderText">
    <w:name w:val="Placeholder Text"/>
    <w:basedOn w:val="DefaultParagraphFont"/>
    <w:uiPriority w:val="99"/>
    <w:semiHidden/>
    <w:rsid w:val="00331AB6"/>
    <w:rPr>
      <w:color w:val="808080"/>
    </w:rPr>
  </w:style>
  <w:style w:type="paragraph" w:styleId="FootnoteText">
    <w:name w:val="footnote text"/>
    <w:basedOn w:val="Normal"/>
    <w:link w:val="FootnoteTextChar"/>
    <w:uiPriority w:val="99"/>
    <w:unhideWhenUsed/>
    <w:rsid w:val="00331AB6"/>
    <w:pPr>
      <w:spacing w:after="0" w:line="240" w:lineRule="auto"/>
    </w:pPr>
    <w:rPr>
      <w:sz w:val="20"/>
      <w:szCs w:val="20"/>
    </w:rPr>
  </w:style>
  <w:style w:type="character" w:customStyle="1" w:styleId="FootnoteTextChar">
    <w:name w:val="Footnote Text Char"/>
    <w:basedOn w:val="DefaultParagraphFont"/>
    <w:link w:val="FootnoteText"/>
    <w:uiPriority w:val="99"/>
    <w:rsid w:val="00331AB6"/>
    <w:rPr>
      <w:sz w:val="20"/>
      <w:szCs w:val="20"/>
      <w:lang w:val="en-IN"/>
    </w:rPr>
  </w:style>
  <w:style w:type="character" w:styleId="FootnoteReference">
    <w:name w:val="footnote reference"/>
    <w:basedOn w:val="DefaultParagraphFont"/>
    <w:uiPriority w:val="99"/>
    <w:semiHidden/>
    <w:unhideWhenUsed/>
    <w:rsid w:val="00331AB6"/>
    <w:rPr>
      <w:vertAlign w:val="superscript"/>
    </w:rPr>
  </w:style>
  <w:style w:type="character" w:styleId="LineNumber">
    <w:name w:val="line number"/>
    <w:basedOn w:val="DefaultParagraphFont"/>
    <w:uiPriority w:val="99"/>
    <w:semiHidden/>
    <w:unhideWhenUsed/>
    <w:rsid w:val="00331AB6"/>
  </w:style>
  <w:style w:type="character" w:styleId="Hyperlink">
    <w:name w:val="Hyperlink"/>
    <w:uiPriority w:val="99"/>
    <w:unhideWhenUsed/>
    <w:rsid w:val="00331AB6"/>
    <w:rPr>
      <w:color w:val="0563C1"/>
      <w:u w:val="single"/>
    </w:rPr>
  </w:style>
  <w:style w:type="paragraph" w:styleId="NormalWeb">
    <w:name w:val="Normal (Web)"/>
    <w:basedOn w:val="Normal"/>
    <w:uiPriority w:val="99"/>
    <w:semiHidden/>
    <w:unhideWhenUsed/>
    <w:rsid w:val="00331AB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ndnoteReference">
    <w:name w:val="endnote reference"/>
    <w:basedOn w:val="DefaultParagraphFont"/>
    <w:uiPriority w:val="99"/>
    <w:semiHidden/>
    <w:unhideWhenUsed/>
    <w:rsid w:val="00331AB6"/>
    <w:rPr>
      <w:vertAlign w:val="superscript"/>
    </w:rPr>
  </w:style>
  <w:style w:type="character" w:styleId="UnresolvedMention">
    <w:name w:val="Unresolved Mention"/>
    <w:basedOn w:val="DefaultParagraphFont"/>
    <w:uiPriority w:val="99"/>
    <w:semiHidden/>
    <w:unhideWhenUsed/>
    <w:rsid w:val="00331AB6"/>
    <w:rPr>
      <w:color w:val="605E5C"/>
      <w:shd w:val="clear" w:color="auto" w:fill="E1DFDD"/>
    </w:rPr>
  </w:style>
  <w:style w:type="character" w:styleId="FollowedHyperlink">
    <w:name w:val="FollowedHyperlink"/>
    <w:basedOn w:val="DefaultParagraphFont"/>
    <w:uiPriority w:val="99"/>
    <w:semiHidden/>
    <w:unhideWhenUsed/>
    <w:rsid w:val="00331AB6"/>
    <w:rPr>
      <w:color w:val="954F72" w:themeColor="followedHyperlink"/>
      <w:u w:val="single"/>
    </w:rPr>
  </w:style>
  <w:style w:type="paragraph" w:styleId="Revision">
    <w:name w:val="Revision"/>
    <w:hidden/>
    <w:uiPriority w:val="99"/>
    <w:semiHidden/>
    <w:rsid w:val="00331AB6"/>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footer" Target="foot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16686</Words>
  <Characters>95114</Characters>
  <Application>Microsoft Office Word</Application>
  <DocSecurity>0</DocSecurity>
  <Lines>792</Lines>
  <Paragraphs>223</Paragraphs>
  <ScaleCrop>false</ScaleCrop>
  <Company/>
  <LinksUpToDate>false</LinksUpToDate>
  <CharactersWithSpaces>111577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Minchella</dc:creator>
  <cp:keywords/>
  <dc:description/>
  <cp:lastModifiedBy>Tina Minchella</cp:lastModifiedBy>
  <cp:revision>1</cp:revision>
  <dcterms:created xsi:type="dcterms:W3CDTF">2022-09-04T19:30:00Z</dcterms:created>
  <dcterms:modified xsi:type="dcterms:W3CDTF">2022-09-04T19:32:00Z</dcterms:modified>
</cp:coreProperties>
</file>