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3438" w14:textId="5AC526D1" w:rsidR="006E0DB0" w:rsidRDefault="006E0DB0" w:rsidP="00006217">
      <w:pPr>
        <w:pStyle w:val="Title"/>
      </w:pPr>
      <w:r>
        <w:t>Supplementary Material</w:t>
      </w:r>
    </w:p>
    <w:p w14:paraId="537E3347" w14:textId="1B5A78F8" w:rsidR="006E0DB0" w:rsidRDefault="006E0DB0" w:rsidP="00006217">
      <w:pPr>
        <w:pStyle w:val="Heading1"/>
      </w:pPr>
      <w:r>
        <w:t>Chinese Government Encouraging Innovation in Auto Industry</w:t>
      </w:r>
    </w:p>
    <w:p w14:paraId="2B821EB5" w14:textId="61D506D2" w:rsidR="006E0DB0" w:rsidRPr="009239F3" w:rsidRDefault="006E0DB0" w:rsidP="00380A9E">
      <w:pPr>
        <w:pStyle w:val="Para"/>
        <w:ind w:firstLine="0"/>
      </w:pPr>
      <w:r>
        <w:t>T</w:t>
      </w:r>
      <w:r w:rsidRPr="009239F3">
        <w:t xml:space="preserve">he Chinese government </w:t>
      </w:r>
      <w:r>
        <w:t xml:space="preserve">has been </w:t>
      </w:r>
      <w:r w:rsidRPr="009239F3">
        <w:t>play</w:t>
      </w:r>
      <w:r>
        <w:t>ing</w:t>
      </w:r>
      <w:r w:rsidRPr="009239F3">
        <w:t xml:space="preserve"> a </w:t>
      </w:r>
      <w:r>
        <w:t>significant</w:t>
      </w:r>
      <w:r w:rsidRPr="009239F3">
        <w:t xml:space="preserve"> role in </w:t>
      </w:r>
      <w:r>
        <w:t xml:space="preserve">the </w:t>
      </w:r>
      <w:r w:rsidRPr="009239F3">
        <w:t xml:space="preserve">internationalization and </w:t>
      </w:r>
      <w:r>
        <w:t>technology</w:t>
      </w:r>
      <w:r w:rsidRPr="009239F3">
        <w:t xml:space="preserve"> acquisition by Chinese firms. From the </w:t>
      </w:r>
      <w:r>
        <w:t>5</w:t>
      </w:r>
      <w:r w:rsidRPr="007A353C">
        <w:rPr>
          <w:vertAlign w:val="superscript"/>
        </w:rPr>
        <w:t>th</w:t>
      </w:r>
      <w:r>
        <w:t xml:space="preserve"> </w:t>
      </w:r>
      <w:r w:rsidRPr="009239F3">
        <w:t>five-year plan (1976</w:t>
      </w:r>
      <w:r w:rsidR="00380A9E">
        <w:t>–</w:t>
      </w:r>
      <w:r w:rsidRPr="009239F3">
        <w:t>1980)</w:t>
      </w:r>
      <w:r>
        <w:t>,</w:t>
      </w:r>
      <w:r w:rsidRPr="009239F3">
        <w:t xml:space="preserve"> the government start</w:t>
      </w:r>
      <w:r>
        <w:t>ed</w:t>
      </w:r>
      <w:r w:rsidRPr="009239F3">
        <w:t xml:space="preserve"> </w:t>
      </w:r>
      <w:r>
        <w:t>its</w:t>
      </w:r>
      <w:r w:rsidRPr="009239F3">
        <w:t xml:space="preserve"> open-door policy</w:t>
      </w:r>
      <w:r>
        <w:t xml:space="preserve"> and</w:t>
      </w:r>
      <w:r w:rsidRPr="009239F3">
        <w:t xml:space="preserve"> placed economic development and </w:t>
      </w:r>
      <w:r w:rsidR="001D25D1">
        <w:t xml:space="preserve">industrial </w:t>
      </w:r>
      <w:r w:rsidRPr="009239F3">
        <w:t xml:space="preserve">modernization at the forefront of its developmental goals. The </w:t>
      </w:r>
      <w:r>
        <w:t>6</w:t>
      </w:r>
      <w:r w:rsidRPr="007A353C">
        <w:rPr>
          <w:vertAlign w:val="superscript"/>
        </w:rPr>
        <w:t>th</w:t>
      </w:r>
      <w:r>
        <w:t xml:space="preserve"> </w:t>
      </w:r>
      <w:r w:rsidRPr="009239F3">
        <w:t>(1981</w:t>
      </w:r>
      <w:r w:rsidR="00380A9E">
        <w:t>–</w:t>
      </w:r>
      <w:r w:rsidRPr="009239F3">
        <w:t xml:space="preserve">1985) and </w:t>
      </w:r>
      <w:r>
        <w:t>7</w:t>
      </w:r>
      <w:r w:rsidRPr="007A353C">
        <w:rPr>
          <w:vertAlign w:val="superscript"/>
        </w:rPr>
        <w:t>th</w:t>
      </w:r>
      <w:r>
        <w:t xml:space="preserve"> </w:t>
      </w:r>
      <w:r w:rsidRPr="009239F3">
        <w:t>(1986</w:t>
      </w:r>
      <w:r w:rsidR="00380A9E">
        <w:t>–</w:t>
      </w:r>
      <w:r w:rsidRPr="009239F3">
        <w:t xml:space="preserve">1990) five-year plans reformed many policies and started the decentralization of decision making in </w:t>
      </w:r>
      <w:r>
        <w:t>many</w:t>
      </w:r>
      <w:r w:rsidRPr="009239F3">
        <w:t xml:space="preserve"> industries to provide entrepreneurial opportunities and allow POEs to flourish</w:t>
      </w:r>
      <w:r>
        <w:t xml:space="preserve"> domestically </w:t>
      </w:r>
      <w:r>
        <w:fldChar w:fldCharType="begin"/>
      </w:r>
      <w:r>
        <w:instrText xml:space="preserve"> ADDIN EN.CITE &lt;EndNote&gt;&lt;Cite&gt;&lt;Author&gt;Child&lt;/Author&gt;&lt;Year&gt;2005&lt;/Year&gt;&lt;RecNum&gt;112&lt;/RecNum&gt;&lt;DisplayText&gt;(Child &amp;amp; Rodrigues, 2005)&lt;/DisplayText&gt;&lt;record&gt;&lt;rec-number&gt;112&lt;/rec-number&gt;&lt;foreign-keys&gt;&lt;key app="EN" db-id="02rw29zr39rd5ce9s9t5txt3ts2vzw9erfrv" timestamp="1407341963"&gt;112&lt;/key&gt;&lt;/foreign-keys&gt;&lt;ref-type name="Journal Article"&gt;17&lt;/ref-type&gt;&lt;contributors&gt;&lt;authors&gt;&lt;author&gt;Child, John&lt;/author&gt;&lt;author&gt;Rodrigues, Suzana B.&lt;/author&gt;&lt;/authors&gt;&lt;/contributors&gt;&lt;auth-address&gt;j.child@bham.ac.uk&amp;#xD;1 -- University of Birmingham, UK&lt;/auth-address&gt;&lt;titles&gt;&lt;title&gt;The Internationalization of Chinese Firms: A Case for Theoretical Extension?&lt;/title&gt;&lt;secondary-title&gt;Management &amp;amp; Organization Review&lt;/secondary-title&gt;&lt;/titles&gt;&lt;periodical&gt;&lt;full-title&gt;Management &amp;amp; Organization Review&lt;/full-title&gt;&lt;/periodical&gt;&lt;pages&gt;381-410-410&lt;/pages&gt;&lt;volume&gt;1&lt;/volume&gt;&lt;number&gt;3&lt;/number&gt;&lt;section&gt;381&lt;/section&gt;&lt;keywords&gt;&lt;keyword&gt;competition&lt;/keyword&gt;&lt;keyword&gt;china&lt;/keyword&gt;&lt;keyword&gt;INTERNATIONAL business enterprises&lt;/keyword&gt;&lt;keyword&gt;INTERNATIONAL markets&lt;/keyword&gt;&lt;keyword&gt;investments&lt;/keyword&gt;&lt;/keywords&gt;&lt;dates&gt;&lt;year&gt;2005&lt;/year&gt;&lt;/dates&gt;&lt;isbn&gt;17408776&lt;/isbn&gt;&lt;accession-num&gt;18785692&lt;/accession-num&gt;&lt;urls&gt;&lt;related-urls&gt;&lt;url&gt;http://content.epnet.com/ContentServer.asp?T=P&amp;amp;P=AN&amp;amp;K=18785692&amp;amp;EbscoContent=dGJyMNXb4kSeprQ4v%2BvlOLCmr0yep7BSr6u4SbSWxWXS&amp;amp;ContentCustomer=dGJyMPGrtE%2Bwp7RRuePfgeyx%2BEu3q64A&amp;amp;D=bth&lt;/url&gt;&lt;url&gt;http://onlinelibrary.wiley.com/store/10.1111/j.1740-8784.2005.00020.x/asset/j.1740-8784.2005.00020.x.pdf?v=1&amp;amp;t=hyiwja6n&amp;amp;s=92bd7e4a4b9835d61218c6ab982c7009a4d0433a&lt;/url&gt;&lt;/related-urls&gt;&lt;/urls&gt;&lt;electronic-resource-num&gt;10.1111/j.1740-8784.2005.00020.x&lt;/electronic-resource-num&gt;&lt;/record&gt;&lt;/Cite&gt;&lt;/EndNote&gt;</w:instrText>
      </w:r>
      <w:r>
        <w:fldChar w:fldCharType="separate"/>
      </w:r>
      <w:r>
        <w:rPr>
          <w:noProof/>
        </w:rPr>
        <w:t>(Child &amp; Rodrigues, 2005)</w:t>
      </w:r>
      <w:r>
        <w:fldChar w:fldCharType="end"/>
      </w:r>
      <w:r w:rsidRPr="009239F3">
        <w:t xml:space="preserve">. The </w:t>
      </w:r>
      <w:r>
        <w:t>8</w:t>
      </w:r>
      <w:r w:rsidRPr="007A353C">
        <w:rPr>
          <w:vertAlign w:val="superscript"/>
        </w:rPr>
        <w:t>th</w:t>
      </w:r>
      <w:r>
        <w:t xml:space="preserve"> </w:t>
      </w:r>
      <w:r w:rsidRPr="009239F3">
        <w:t>(1991</w:t>
      </w:r>
      <w:r w:rsidR="00380A9E">
        <w:t>–</w:t>
      </w:r>
      <w:r w:rsidRPr="009239F3">
        <w:t xml:space="preserve">1995) and </w:t>
      </w:r>
      <w:r>
        <w:t>9</w:t>
      </w:r>
      <w:r w:rsidRPr="007A353C">
        <w:rPr>
          <w:vertAlign w:val="superscript"/>
        </w:rPr>
        <w:t>th</w:t>
      </w:r>
      <w:r>
        <w:t xml:space="preserve"> </w:t>
      </w:r>
      <w:r w:rsidRPr="009239F3">
        <w:t>(1996</w:t>
      </w:r>
      <w:r w:rsidR="00380A9E">
        <w:t>–</w:t>
      </w:r>
      <w:r w:rsidRPr="009239F3">
        <w:t xml:space="preserve">2000) five-year plans still focused on overall and regional economic development and, at the same time, turned the attention toward further opening up different industries and creating opportunities for inward FDI </w:t>
      </w:r>
      <w:r w:rsidRPr="009239F3">
        <w:fldChar w:fldCharType="begin"/>
      </w:r>
      <w:r w:rsidRPr="009239F3">
        <w:instrText xml:space="preserve"> ADDIN EN.CITE &lt;EndNote&gt;&lt;Cite&gt;&lt;Author&gt;Ebbers&lt;/Author&gt;&lt;Year&gt;2018&lt;/Year&gt;&lt;RecNum&gt;782&lt;/RecNum&gt;&lt;DisplayText&gt;(Ebbers, 2018)&lt;/DisplayText&gt;&lt;record&gt;&lt;rec-number&gt;782&lt;/rec-number&gt;&lt;foreign-keys&gt;&lt;key app="EN" db-id="02rw29zr39rd5ce9s9t5txt3ts2vzw9erfrv" timestamp="1571307151"&gt;782&lt;/key&gt;&lt;/foreign-keys&gt;&lt;ref-type name="Book"&gt;6&lt;/ref-type&gt;&lt;contributors&gt;&lt;authors&gt;&lt;author&gt;Ebbers, Haico&lt;/author&gt;&lt;/authors&gt;&lt;/contributors&gt;&lt;auth-address&gt;Professor Haico Ebbers is Professor of International Economics at Nyenrode Business University in The Netherlands. He studied International Economics and Macroeconomics, and joined Nyenrode in 1991. He completed his PhD at Nyenrode in 1996. Professor Ebbers is recognised as one of the leading thinkers in the field of EU-China economic relations. He is guest professor at various national and international universities, including some top universities in China. He was visiting professor at China-Europe International Business School in Shanghai, and is still active as visiting professor at Renmin University in Beijing and Sichuan University in Chengdu. Furthermore, he teaches immersion programmes in Singapore, Dubai and London. Besides teaching in degree programmes all over the world, he is a well-known presenter during company events and conferences.&lt;/auth-address&gt;&lt;titles&gt;&lt;title&gt;Unravelling Modern China&lt;/title&gt;&lt;/titles&gt;&lt;section&gt;584&lt;/section&gt;&lt;dates&gt;&lt;year&gt;2018&lt;/year&gt;&lt;/dates&gt;&lt;pub-location&gt;New Jersey, US&lt;/pub-location&gt;&lt;publisher&gt;World Scientific Publishing Company&lt;/publisher&gt;&lt;isbn&gt;ISBN-13: 978-9813200272&amp;#xD;ISBN-10: 9813200278&lt;/isbn&gt;&lt;urls&gt;&lt;/urls&gt;&lt;/record&gt;&lt;/Cite&gt;&lt;/EndNote&gt;</w:instrText>
      </w:r>
      <w:r w:rsidRPr="009239F3">
        <w:fldChar w:fldCharType="separate"/>
      </w:r>
      <w:r w:rsidRPr="009239F3">
        <w:t>(Ebbers, 2018)</w:t>
      </w:r>
      <w:r w:rsidRPr="009239F3">
        <w:fldChar w:fldCharType="end"/>
      </w:r>
      <w:r w:rsidRPr="009239F3">
        <w:t>.</w:t>
      </w:r>
    </w:p>
    <w:p w14:paraId="39E0DF85" w14:textId="3EB8A720" w:rsidR="006E0DB0" w:rsidRDefault="001D25D1" w:rsidP="006E0DB0">
      <w:pPr>
        <w:pStyle w:val="Para"/>
      </w:pPr>
      <w:r>
        <w:t xml:space="preserve">China made </w:t>
      </w:r>
      <w:r w:rsidRPr="009239F3">
        <w:t xml:space="preserve">innovation one of </w:t>
      </w:r>
      <w:r>
        <w:t>its long-term planning central points</w:t>
      </w:r>
      <w:r w:rsidRPr="009239F3">
        <w:t xml:space="preserve"> </w:t>
      </w:r>
      <w:r>
        <w:t>s</w:t>
      </w:r>
      <w:r w:rsidR="006E0DB0" w:rsidRPr="009239F3">
        <w:t xml:space="preserve">ince </w:t>
      </w:r>
      <w:r w:rsidR="006E0DB0">
        <w:t>the 2000s</w:t>
      </w:r>
      <w:r w:rsidR="006E0DB0" w:rsidRPr="009239F3">
        <w:t xml:space="preserve"> and formally outlined </w:t>
      </w:r>
      <w:r>
        <w:t xml:space="preserve">this plan </w:t>
      </w:r>
      <w:r w:rsidR="006E0DB0" w:rsidRPr="009239F3">
        <w:t>in the 10</w:t>
      </w:r>
      <w:r w:rsidR="006E0DB0" w:rsidRPr="009239F3">
        <w:rPr>
          <w:vertAlign w:val="superscript"/>
        </w:rPr>
        <w:t>th</w:t>
      </w:r>
      <w:r w:rsidR="006E0DB0" w:rsidRPr="009239F3">
        <w:t xml:space="preserve"> (2001-2005)</w:t>
      </w:r>
      <w:r w:rsidRPr="001D25D1">
        <w:t xml:space="preserve"> </w:t>
      </w:r>
      <w:r w:rsidRPr="009239F3">
        <w:t>five-year plan</w:t>
      </w:r>
      <w:r w:rsidR="006E0DB0" w:rsidRPr="009239F3">
        <w:t xml:space="preserve">. The Chinese government started to encourage Chinese firms to </w:t>
      </w:r>
      <w:r w:rsidR="006E0DB0">
        <w:rPr>
          <w:rFonts w:hint="eastAsia"/>
        </w:rPr>
        <w:t>走出去</w:t>
      </w:r>
      <w:r w:rsidR="006E0DB0">
        <w:rPr>
          <w:rFonts w:hint="eastAsia"/>
        </w:rPr>
        <w:t xml:space="preserve"> </w:t>
      </w:r>
      <w:r w:rsidR="006E0DB0">
        <w:t>(</w:t>
      </w:r>
      <w:proofErr w:type="spellStart"/>
      <w:r w:rsidR="006E0DB0" w:rsidRPr="00437B80">
        <w:rPr>
          <w:i/>
          <w:iCs/>
        </w:rPr>
        <w:t>zouchuqu</w:t>
      </w:r>
      <w:proofErr w:type="spellEnd"/>
      <w:r w:rsidR="006E0DB0">
        <w:t xml:space="preserve"> meaning </w:t>
      </w:r>
      <w:r w:rsidR="00380A9E">
        <w:t>‘</w:t>
      </w:r>
      <w:r w:rsidR="006E0DB0" w:rsidRPr="009239F3">
        <w:t>go out</w:t>
      </w:r>
      <w:r w:rsidR="00380A9E">
        <w:t>’</w:t>
      </w:r>
      <w:r w:rsidR="006E0DB0">
        <w:t>)</w:t>
      </w:r>
      <w:r w:rsidR="006E0DB0" w:rsidRPr="009239F3">
        <w:t xml:space="preserve"> for even more aggressive </w:t>
      </w:r>
      <w:r w:rsidR="006E0DB0">
        <w:t xml:space="preserve">pursuit of technological know-how </w:t>
      </w:r>
      <w:r w:rsidR="006E0DB0">
        <w:fldChar w:fldCharType="begin"/>
      </w:r>
      <w:r w:rsidR="006E0DB0">
        <w:instrText xml:space="preserve"> ADDIN EN.CITE &lt;EndNote&gt;&lt;Cite&gt;&lt;Author&gt;Child&lt;/Author&gt;&lt;Year&gt;2005&lt;/Year&gt;&lt;RecNum&gt;112&lt;/RecNum&gt;&lt;DisplayText&gt;(Child &amp;amp; Rodrigues, 2005)&lt;/DisplayText&gt;&lt;record&gt;&lt;rec-number&gt;112&lt;/rec-number&gt;&lt;foreign-keys&gt;&lt;key app="EN" db-id="02rw29zr39rd5ce9s9t5txt3ts2vzw9erfrv" timestamp="1407341963"&gt;112&lt;/key&gt;&lt;/foreign-keys&gt;&lt;ref-type name="Journal Article"&gt;17&lt;/ref-type&gt;&lt;contributors&gt;&lt;authors&gt;&lt;author&gt;Child, John&lt;/author&gt;&lt;author&gt;Rodrigues, Suzana B.&lt;/author&gt;&lt;/authors&gt;&lt;/contributors&gt;&lt;auth-address&gt;j.child@bham.ac.uk&amp;#xD;1 -- University of Birmingham, UK&lt;/auth-address&gt;&lt;titles&gt;&lt;title&gt;The Internationalization of Chinese Firms: A Case for Theoretical Extension?&lt;/title&gt;&lt;secondary-title&gt;Management &amp;amp; Organization Review&lt;/secondary-title&gt;&lt;/titles&gt;&lt;periodical&gt;&lt;full-title&gt;Management &amp;amp; Organization Review&lt;/full-title&gt;&lt;/periodical&gt;&lt;pages&gt;381-410-410&lt;/pages&gt;&lt;volume&gt;1&lt;/volume&gt;&lt;number&gt;3&lt;/number&gt;&lt;section&gt;381&lt;/section&gt;&lt;keywords&gt;&lt;keyword&gt;competition&lt;/keyword&gt;&lt;keyword&gt;china&lt;/keyword&gt;&lt;keyword&gt;INTERNATIONAL business enterprises&lt;/keyword&gt;&lt;keyword&gt;INTERNATIONAL markets&lt;/keyword&gt;&lt;keyword&gt;investments&lt;/keyword&gt;&lt;/keywords&gt;&lt;dates&gt;&lt;year&gt;2005&lt;/year&gt;&lt;/dates&gt;&lt;isbn&gt;17408776&lt;/isbn&gt;&lt;accession-num&gt;18785692&lt;/accession-num&gt;&lt;urls&gt;&lt;related-urls&gt;&lt;url&gt;http://content.epnet.com/ContentServer.asp?T=P&amp;amp;P=AN&amp;amp;K=18785692&amp;amp;EbscoContent=dGJyMNXb4kSeprQ4v%2BvlOLCmr0yep7BSr6u4SbSWxWXS&amp;amp;ContentCustomer=dGJyMPGrtE%2Bwp7RRuePfgeyx%2BEu3q64A&amp;amp;D=bth&lt;/url&gt;&lt;url&gt;http://onlinelibrary.wiley.com/store/10.1111/j.1740-8784.2005.00020.x/asset/j.1740-8784.2005.00020.x.pdf?v=1&amp;amp;t=hyiwja6n&amp;amp;s=92bd7e4a4b9835d61218c6ab982c7009a4d0433a&lt;/url&gt;&lt;/related-urls&gt;&lt;/urls&gt;&lt;electronic-resource-num&gt;10.1111/j.1740-8784.2005.00020.x&lt;/electronic-resource-num&gt;&lt;/record&gt;&lt;/Cite&gt;&lt;/EndNote&gt;</w:instrText>
      </w:r>
      <w:r w:rsidR="006E0DB0">
        <w:fldChar w:fldCharType="separate"/>
      </w:r>
      <w:r w:rsidR="006E0DB0">
        <w:rPr>
          <w:noProof/>
        </w:rPr>
        <w:t>(Child &amp; Rodrigues, 2005)</w:t>
      </w:r>
      <w:r w:rsidR="006E0DB0">
        <w:fldChar w:fldCharType="end"/>
      </w:r>
      <w:r w:rsidR="006E0DB0">
        <w:t xml:space="preserve"> </w:t>
      </w:r>
      <w:r w:rsidR="006E0DB0" w:rsidRPr="009239F3">
        <w:t xml:space="preserve">and provided them with comprehensive </w:t>
      </w:r>
      <w:r w:rsidR="006E0DB0">
        <w:t>backing</w:t>
      </w:r>
      <w:r w:rsidR="006E0DB0" w:rsidRPr="009239F3">
        <w:t xml:space="preserve"> including but not limited to insurance, l</w:t>
      </w:r>
      <w:r w:rsidR="006E0DB0">
        <w:t>egal</w:t>
      </w:r>
      <w:r w:rsidR="006E0DB0" w:rsidRPr="009239F3">
        <w:t xml:space="preserve"> support</w:t>
      </w:r>
      <w:r w:rsidR="006E0DB0">
        <w:t>,</w:t>
      </w:r>
      <w:r w:rsidR="006E0DB0" w:rsidRPr="009239F3">
        <w:t xml:space="preserve"> and low-cost loans </w:t>
      </w:r>
      <w:r w:rsidR="006E0DB0" w:rsidRPr="009239F3">
        <w:fldChar w:fldCharType="begin"/>
      </w:r>
      <w:r w:rsidR="006E0DB0" w:rsidRPr="009239F3">
        <w:instrText xml:space="preserve"> ADDIN EN.CITE &lt;EndNote&gt;&lt;Cite&gt;&lt;Author&gt;Overholt&lt;/Author&gt;&lt;Year&gt;2018&lt;/Year&gt;&lt;RecNum&gt;852&lt;/RecNum&gt;&lt;DisplayText&gt;(Overholt, 2018; Shambaugh, 2013)&lt;/DisplayText&gt;&lt;record&gt;&lt;rec-number&gt;852&lt;/rec-number&gt;&lt;foreign-keys&gt;&lt;key app="EN" db-id="02rw29zr39rd5ce9s9t5txt3ts2vzw9erfrv" timestamp="1593118901"&gt;852&lt;/key&gt;&lt;/foreign-keys&gt;&lt;ref-type name="Book"&gt;6&lt;/ref-type&gt;&lt;contributors&gt;&lt;authors&gt;&lt;author&gt;Overholt, William H&lt;/author&gt;&lt;/authors&gt;&lt;/contributors&gt;&lt;titles&gt;&lt;title&gt;China’s Crisis of Success&lt;/title&gt;&lt;/titles&gt;&lt;section&gt;302&lt;/section&gt;&lt;dates&gt;&lt;year&gt;2018&lt;/year&gt;&lt;/dates&gt;&lt;pub-location&gt;Cambridge, UK&lt;/pub-location&gt;&lt;publisher&gt;Cambridge University Press &lt;/publisher&gt;&lt;isbn&gt;ISBN-10: 1108431992&amp;#xD;ISBN-13: 978-1108431996&lt;/isbn&gt;&lt;urls&gt;&lt;/urls&gt;&lt;/record&gt;&lt;/Cite&gt;&lt;Cite&gt;&lt;Author&gt;Shambaugh&lt;/Author&gt;&lt;Year&gt;2013&lt;/Year&gt;&lt;RecNum&gt;1052&lt;/RecNum&gt;&lt;record&gt;&lt;rec-number&gt;1052&lt;/rec-number&gt;&lt;foreign-keys&gt;&lt;key app="EN" db-id="02rw29zr39rd5ce9s9t5txt3ts2vzw9erfrv" timestamp="1614116223"&gt;1052&lt;/key&gt;&lt;/foreign-keys&gt;&lt;ref-type name="Book"&gt;6&lt;/ref-type&gt;&lt;contributors&gt;&lt;authors&gt;&lt;author&gt;Shambaugh, David&lt;/author&gt;&lt;/authors&gt;&lt;/contributors&gt;&lt;titles&gt;&lt;title&gt;China Goes Global: The Partial Power&lt;/title&gt;&lt;/titles&gt;&lt;section&gt;432&lt;/section&gt;&lt;dates&gt;&lt;year&gt;2013&lt;/year&gt;&lt;/dates&gt;&lt;pub-location&gt;Oxford, UK&lt;/pub-location&gt;&lt;publisher&gt;Oxford University Press&lt;/publisher&gt;&lt;isbn&gt;9780199860142&lt;/isbn&gt;&lt;urls&gt;&lt;/urls&gt;&lt;/record&gt;&lt;/Cite&gt;&lt;/EndNote&gt;</w:instrText>
      </w:r>
      <w:r w:rsidR="006E0DB0" w:rsidRPr="009239F3">
        <w:fldChar w:fldCharType="separate"/>
      </w:r>
      <w:r w:rsidR="006E0DB0" w:rsidRPr="009239F3">
        <w:t>(Overholt, 2018; Shambaugh, 2013)</w:t>
      </w:r>
      <w:r w:rsidR="006E0DB0" w:rsidRPr="009239F3">
        <w:fldChar w:fldCharType="end"/>
      </w:r>
      <w:r w:rsidR="006E0DB0" w:rsidRPr="009239F3">
        <w:t xml:space="preserve">. In fact, in 1995, the phrase </w:t>
      </w:r>
      <w:r w:rsidR="006E0DB0">
        <w:rPr>
          <w:rFonts w:hint="eastAsia"/>
        </w:rPr>
        <w:t>自主创新</w:t>
      </w:r>
      <w:r w:rsidR="006E0DB0">
        <w:rPr>
          <w:rFonts w:hint="eastAsia"/>
        </w:rPr>
        <w:t xml:space="preserve"> (</w:t>
      </w:r>
      <w:proofErr w:type="spellStart"/>
      <w:r w:rsidR="006E0DB0">
        <w:rPr>
          <w:i/>
          <w:iCs/>
        </w:rPr>
        <w:t>zizhu</w:t>
      </w:r>
      <w:proofErr w:type="spellEnd"/>
      <w:r w:rsidR="006E0DB0">
        <w:rPr>
          <w:i/>
          <w:iCs/>
        </w:rPr>
        <w:t xml:space="preserve"> </w:t>
      </w:r>
      <w:proofErr w:type="spellStart"/>
      <w:r w:rsidR="006E0DB0">
        <w:rPr>
          <w:i/>
          <w:iCs/>
        </w:rPr>
        <w:t>chuangxin</w:t>
      </w:r>
      <w:proofErr w:type="spellEnd"/>
      <w:r w:rsidR="006E0DB0" w:rsidRPr="009E765B">
        <w:t>)</w:t>
      </w:r>
      <w:r w:rsidR="006E0DB0">
        <w:t xml:space="preserve"> </w:t>
      </w:r>
      <w:r w:rsidR="00380A9E">
        <w:t>–</w:t>
      </w:r>
      <w:r w:rsidR="006E0DB0">
        <w:t xml:space="preserve"> which roughly translates to </w:t>
      </w:r>
      <w:r w:rsidR="00380A9E">
        <w:t>‘</w:t>
      </w:r>
      <w:r w:rsidR="006E0DB0">
        <w:t>self-directed</w:t>
      </w:r>
      <w:r w:rsidR="00380A9E">
        <w:t>’</w:t>
      </w:r>
      <w:r w:rsidR="006E0DB0">
        <w:t>,</w:t>
      </w:r>
      <w:r w:rsidR="006E0DB0" w:rsidRPr="009239F3" w:rsidDel="000073CA">
        <w:t xml:space="preserve"> </w:t>
      </w:r>
      <w:r w:rsidR="00380A9E">
        <w:t>‘</w:t>
      </w:r>
      <w:r w:rsidR="006E0DB0" w:rsidRPr="009239F3">
        <w:t>independent</w:t>
      </w:r>
      <w:r w:rsidR="00380A9E">
        <w:t>’</w:t>
      </w:r>
      <w:r w:rsidR="006E0DB0">
        <w:t xml:space="preserve"> </w:t>
      </w:r>
      <w:r w:rsidR="006E0DB0" w:rsidRPr="009239F3">
        <w:t xml:space="preserve">or </w:t>
      </w:r>
      <w:r w:rsidR="00380A9E">
        <w:t>‘</w:t>
      </w:r>
      <w:r w:rsidR="006E0DB0" w:rsidRPr="009239F3">
        <w:t>indigenous</w:t>
      </w:r>
      <w:r w:rsidR="00380A9E">
        <w:t>’</w:t>
      </w:r>
      <w:r w:rsidR="006E0DB0" w:rsidRPr="009239F3">
        <w:t xml:space="preserve"> innovation </w:t>
      </w:r>
      <w:r w:rsidR="00380A9E">
        <w:t>–</w:t>
      </w:r>
      <w:r w:rsidR="006E0DB0">
        <w:t xml:space="preserve"> </w:t>
      </w:r>
      <w:r w:rsidR="006E0DB0" w:rsidRPr="009239F3">
        <w:t xml:space="preserve">was introduced into the Chinese government's lexicon </w:t>
      </w:r>
      <w:r w:rsidR="006E0DB0">
        <w:fldChar w:fldCharType="begin"/>
      </w:r>
      <w:r w:rsidR="005365D3">
        <w:instrText xml:space="preserve"> ADDIN EN.CITE &lt;EndNote&gt;&lt;Cite&gt;&lt;Author&gt;Liu&lt;/Author&gt;&lt;Year&gt;2011&lt;/Year&gt;&lt;RecNum&gt;1073&lt;/RecNum&gt;&lt;DisplayText&gt;(Liu, Simon, Sun, &amp;amp; Cao, 2011)&lt;/DisplayText&gt;&lt;record&gt;&lt;rec-number&gt;1073&lt;/rec-number&gt;&lt;foreign-keys&gt;&lt;key app="EN" db-id="02rw29zr39rd5ce9s9t5txt3ts2vzw9erfrv" timestamp="1614120928"&gt;1073&lt;/key&gt;&lt;/foreign-keys&gt;&lt;ref-type name="Journal Article"&gt;17&lt;/ref-type&gt;&lt;contributors&gt;&lt;authors&gt;&lt;author&gt;Liu, Feng-chao&lt;/author&gt;&lt;author&gt;Simon, Denis Fred&lt;/author&gt;&lt;author&gt;Sun, Yu-tao&lt;/author&gt;&lt;author&gt;Cao, Cong&lt;/author&gt;&lt;/authors&gt;&lt;/contributors&gt;&lt;titles&gt;&lt;title&gt;China&amp;apos;s innovation policies: Evolution, institutional structure, and trajectory&lt;/title&gt;&lt;secondary-title&gt;Research Policy&lt;/secondary-title&gt;&lt;/titles&gt;&lt;periodical&gt;&lt;full-title&gt;Research Policy&lt;/full-title&gt;&lt;/periodical&gt;&lt;pages&gt;917-931&lt;/pages&gt;&lt;volume&gt;40&lt;/volume&gt;&lt;number&gt;7&lt;/number&gt;&lt;keywords&gt;&lt;keyword&gt;Innovation policies&lt;/keyword&gt;&lt;keyword&gt;State&lt;/keyword&gt;&lt;keyword&gt;Evolution&lt;/keyword&gt;&lt;keyword&gt;Institution&lt;/keyword&gt;&lt;keyword&gt;China&lt;/keyword&gt;&lt;/keywords&gt;&lt;dates&gt;&lt;year&gt;2011&lt;/year&gt;&lt;pub-dates&gt;&lt;date&gt;2011/09/01/&lt;/date&gt;&lt;/pub-dates&gt;&lt;/dates&gt;&lt;isbn&gt;0048-7333&lt;/isbn&gt;&lt;urls&gt;&lt;related-urls&gt;&lt;url&gt;https://www.sciencedirect.com/science/article/pii/S0048733311000709&lt;/url&gt;&lt;/related-urls&gt;&lt;/urls&gt;&lt;electronic-resource-num&gt;https://doi.org/10.1016/j.respol.2011.05.005&lt;/electronic-resource-num&gt;&lt;/record&gt;&lt;/Cite&gt;&lt;/EndNote&gt;</w:instrText>
      </w:r>
      <w:r w:rsidR="006E0DB0">
        <w:fldChar w:fldCharType="separate"/>
      </w:r>
      <w:r w:rsidR="005365D3">
        <w:rPr>
          <w:noProof/>
        </w:rPr>
        <w:t>(Liu, Simon, Sun, &amp; Cao, 2011)</w:t>
      </w:r>
      <w:r w:rsidR="006E0DB0">
        <w:fldChar w:fldCharType="end"/>
      </w:r>
      <w:r w:rsidR="006E0DB0" w:rsidRPr="009239F3">
        <w:t xml:space="preserve">. Li Peng, then the prime minister, in his 1996 report on the </w:t>
      </w:r>
      <w:r w:rsidR="006E0DB0">
        <w:t>9</w:t>
      </w:r>
      <w:r w:rsidR="006E0DB0" w:rsidRPr="007A353C">
        <w:rPr>
          <w:vertAlign w:val="superscript"/>
        </w:rPr>
        <w:t>th</w:t>
      </w:r>
      <w:r w:rsidR="006E0DB0" w:rsidRPr="009239F3">
        <w:t xml:space="preserve"> five-year plan, referred to th</w:t>
      </w:r>
      <w:r w:rsidR="006E0DB0">
        <w:t>is</w:t>
      </w:r>
      <w:r w:rsidR="006E0DB0" w:rsidRPr="009239F3">
        <w:t xml:space="preserve"> phrase </w:t>
      </w:r>
      <w:r w:rsidR="006E0DB0">
        <w:t xml:space="preserve">(for the sake of parsimony, we call it </w:t>
      </w:r>
      <w:r w:rsidR="00380A9E">
        <w:t>‘</w:t>
      </w:r>
      <w:r w:rsidR="006E0DB0">
        <w:t xml:space="preserve">indigenous </w:t>
      </w:r>
      <w:r w:rsidR="006E0DB0" w:rsidRPr="009239F3">
        <w:t>innovation</w:t>
      </w:r>
      <w:r w:rsidR="00380A9E">
        <w:t>’</w:t>
      </w:r>
      <w:r w:rsidR="006E0DB0">
        <w:t>)</w:t>
      </w:r>
      <w:r w:rsidR="006E0DB0" w:rsidRPr="009239F3">
        <w:t xml:space="preserve"> </w:t>
      </w:r>
      <w:r w:rsidR="006E0DB0">
        <w:t>through</w:t>
      </w:r>
      <w:r w:rsidR="006E0DB0" w:rsidRPr="009239F3">
        <w:t xml:space="preserve"> knowledge </w:t>
      </w:r>
      <w:r w:rsidR="006E0DB0" w:rsidRPr="009239F3">
        <w:lastRenderedPageBreak/>
        <w:t>acquisition and assimilation from abroad for the economic growth</w:t>
      </w:r>
      <w:r w:rsidR="006E0DB0">
        <w:t>,</w:t>
      </w:r>
      <w:r w:rsidR="006E0DB0" w:rsidRPr="009239F3">
        <w:t xml:space="preserve"> suggesting a change of the gear from scale-driven to innovation-driven </w:t>
      </w:r>
      <w:r w:rsidR="006E0DB0">
        <w:fldChar w:fldCharType="begin"/>
      </w:r>
      <w:r w:rsidR="006E0DB0">
        <w:instrText xml:space="preserve"> ADDIN EN.CITE &lt;EndNote&gt;&lt;Cite&gt;&lt;Author&gt;China.org.cn&lt;/Author&gt;&lt;Year&gt;1996&lt;/Year&gt;&lt;RecNum&gt;1110&lt;/RecNum&gt;&lt;DisplayText&gt;(China.org.cn, 1996)&lt;/DisplayText&gt;&lt;record&gt;&lt;rec-number&gt;1110&lt;/rec-number&gt;&lt;foreign-keys&gt;&lt;key app="EN" db-id="02rw29zr39rd5ce9s9t5txt3ts2vzw9erfrv" timestamp="1616285396"&gt;1110&lt;/key&gt;&lt;/foreign-keys&gt;&lt;ref-type name="Web Page"&gt;12&lt;/ref-type&gt;&lt;contributors&gt;&lt;authors&gt;&lt;author&gt;China.org.cn&lt;/author&gt;&lt;/authors&gt;&lt;/contributors&gt;&lt;titles&gt;&lt;title&gt;Report on the Outline of the Ninth Five-Year Plan (1996-2000) for National Economic and Social Development and the Long-range Objectives to the Year 2010 (Excerpts)&lt;/title&gt;&lt;secondary-title&gt;Ninth Five-Year Plan in Retrospective&lt;/secondary-title&gt;&lt;/titles&gt;&lt;volume&gt;2015&lt;/volume&gt;&lt;number&gt;6 Feb&lt;/number&gt;&lt;dates&gt;&lt;year&gt;1996&lt;/year&gt;&lt;/dates&gt;&lt;pub-location&gt;Beijing, China&lt;/pub-location&gt;&lt;urls&gt;&lt;related-urls&gt;&lt;url&gt;http://www.china.org.cn/95e/95-english1/2.htm&lt;/url&gt;&lt;/related-urls&gt;&lt;/urls&gt;&lt;/record&gt;&lt;/Cite&gt;&lt;/EndNote&gt;</w:instrText>
      </w:r>
      <w:r w:rsidR="006E0DB0">
        <w:fldChar w:fldCharType="separate"/>
      </w:r>
      <w:r w:rsidR="006E0DB0">
        <w:rPr>
          <w:noProof/>
        </w:rPr>
        <w:t>(China.org.cn, 1996)</w:t>
      </w:r>
      <w:r w:rsidR="006E0DB0">
        <w:fldChar w:fldCharType="end"/>
      </w:r>
      <w:r w:rsidR="006E0DB0" w:rsidRPr="009239F3">
        <w:t xml:space="preserve">. In the </w:t>
      </w:r>
      <w:r w:rsidR="006E0DB0">
        <w:t>9</w:t>
      </w:r>
      <w:r w:rsidR="006E0DB0" w:rsidRPr="009E765B">
        <w:rPr>
          <w:vertAlign w:val="superscript"/>
        </w:rPr>
        <w:t>th</w:t>
      </w:r>
      <w:r w:rsidR="006E0DB0">
        <w:t xml:space="preserve"> </w:t>
      </w:r>
      <w:r w:rsidR="006E0DB0" w:rsidRPr="009239F3">
        <w:t xml:space="preserve">five-year plan, the government of China anticipated the country’s transition to focus more on indigenous innovation by 2010. </w:t>
      </w:r>
    </w:p>
    <w:p w14:paraId="02EBBC06" w14:textId="003CAF04" w:rsidR="006E0DB0" w:rsidRDefault="001D25D1" w:rsidP="006E0DB0">
      <w:pPr>
        <w:pStyle w:val="Para"/>
      </w:pPr>
      <w:r>
        <w:t>F</w:t>
      </w:r>
      <w:r w:rsidRPr="00343114">
        <w:t>rom the 10</w:t>
      </w:r>
      <w:r w:rsidRPr="00343114">
        <w:rPr>
          <w:vertAlign w:val="superscript"/>
        </w:rPr>
        <w:t>th</w:t>
      </w:r>
      <w:r>
        <w:t xml:space="preserve"> </w:t>
      </w:r>
      <w:r w:rsidRPr="00343114">
        <w:t xml:space="preserve">five-year </w:t>
      </w:r>
      <w:proofErr w:type="gramStart"/>
      <w:r w:rsidRPr="00343114">
        <w:t>plan</w:t>
      </w:r>
      <w:proofErr w:type="gramEnd"/>
      <w:r w:rsidRPr="00343114">
        <w:t xml:space="preserve"> </w:t>
      </w:r>
      <w:r>
        <w:t>t</w:t>
      </w:r>
      <w:r w:rsidR="006E0DB0" w:rsidRPr="00343114">
        <w:t xml:space="preserve">he focus </w:t>
      </w:r>
      <w:r w:rsidR="006E0DB0">
        <w:t xml:space="preserve">officially </w:t>
      </w:r>
      <w:r w:rsidR="006E0DB0" w:rsidRPr="00343114">
        <w:t xml:space="preserve">shifted to innovation, </w:t>
      </w:r>
      <w:r w:rsidR="006E0DB0">
        <w:t xml:space="preserve">and </w:t>
      </w:r>
      <w:r w:rsidR="006E0DB0" w:rsidRPr="009239F3">
        <w:t xml:space="preserve">indigenous innovation received greater attention. </w:t>
      </w:r>
      <w:r w:rsidR="006E0DB0">
        <w:t>Learning from previous years of experience, the government furthered policy improvements to facilitate indigenous innovation in more areas. I</w:t>
      </w:r>
      <w:r w:rsidR="006E0DB0" w:rsidRPr="009239F3">
        <w:t>n the 10</w:t>
      </w:r>
      <w:r w:rsidR="006E0DB0" w:rsidRPr="009239F3">
        <w:rPr>
          <w:vertAlign w:val="superscript"/>
        </w:rPr>
        <w:t>th</w:t>
      </w:r>
      <w:r w:rsidR="006E0DB0" w:rsidRPr="009239F3">
        <w:t xml:space="preserve"> five-year plan, indigenous innovation </w:t>
      </w:r>
      <w:r w:rsidR="006E0DB0">
        <w:t xml:space="preserve">was </w:t>
      </w:r>
      <w:r w:rsidR="006E0DB0" w:rsidRPr="009239F3">
        <w:t xml:space="preserve">mentioned </w:t>
      </w:r>
      <w:r w:rsidR="006E0DB0">
        <w:t>three</w:t>
      </w:r>
      <w:r w:rsidR="006E0DB0" w:rsidRPr="009239F3">
        <w:t xml:space="preserve"> times, and in the 11</w:t>
      </w:r>
      <w:r w:rsidR="006E0DB0" w:rsidRPr="009239F3">
        <w:rPr>
          <w:vertAlign w:val="superscript"/>
        </w:rPr>
        <w:t>th</w:t>
      </w:r>
      <w:r w:rsidR="006E0DB0" w:rsidRPr="009239F3">
        <w:t xml:space="preserve"> five-year plan (2006</w:t>
      </w:r>
      <w:r w:rsidR="00380A9E">
        <w:t>–</w:t>
      </w:r>
      <w:r w:rsidR="006E0DB0" w:rsidRPr="009239F3">
        <w:t>2010)</w:t>
      </w:r>
      <w:r w:rsidR="006E0DB0">
        <w:t>,</w:t>
      </w:r>
      <w:r w:rsidR="006E0DB0" w:rsidRPr="009239F3">
        <w:t xml:space="preserve"> </w:t>
      </w:r>
      <w:r w:rsidR="006E0DB0">
        <w:t>the number increased to</w:t>
      </w:r>
      <w:r w:rsidR="006E0DB0" w:rsidRPr="009239F3">
        <w:t xml:space="preserve"> 24 times. The focus on innovation</w:t>
      </w:r>
      <w:r w:rsidR="006E0DB0">
        <w:t xml:space="preserve">, particularly </w:t>
      </w:r>
      <w:r w:rsidR="006E0DB0" w:rsidRPr="009239F3">
        <w:t>indigenous innovation</w:t>
      </w:r>
      <w:r w:rsidR="006E0DB0">
        <w:t>,</w:t>
      </w:r>
      <w:r w:rsidR="006E0DB0" w:rsidRPr="009239F3">
        <w:t xml:space="preserve"> was accompanied </w:t>
      </w:r>
      <w:r w:rsidR="006E0DB0">
        <w:t>by</w:t>
      </w:r>
      <w:r w:rsidR="006E0DB0" w:rsidRPr="009239F3">
        <w:t xml:space="preserve"> substantial reforms and inputs into </w:t>
      </w:r>
      <w:r w:rsidR="006E0DB0">
        <w:t xml:space="preserve">the </w:t>
      </w:r>
      <w:r w:rsidR="006E0DB0" w:rsidRPr="009239F3">
        <w:t xml:space="preserve">national innovation system of China </w:t>
      </w:r>
      <w:r w:rsidR="006E0DB0" w:rsidRPr="009239F3">
        <w:fldChar w:fldCharType="begin">
          <w:fldData xml:space="preserve">PEVuZE5vdGU+PENpdGU+PEF1dGhvcj5DaGVuPC9BdXRob3I+PFllYXI+MjAxNjwvWWVhcj48UmVj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</w:fldData>
        </w:fldChar>
      </w:r>
      <w:r w:rsidR="006E0DB0">
        <w:instrText xml:space="preserve"> ADDIN EN.CITE </w:instrText>
      </w:r>
      <w:r w:rsidR="006E0DB0">
        <w:fldChar w:fldCharType="begin">
          <w:fldData xml:space="preserve">PEVuZE5vdGU+PENpdGU+PEF1dGhvcj5DaGVuPC9BdXRob3I+PFllYXI+MjAxNjwvWWVhcj48UmVj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</w:fldData>
        </w:fldChar>
      </w:r>
      <w:r w:rsidR="006E0DB0">
        <w:instrText xml:space="preserve"> ADDIN EN.CITE.DATA </w:instrText>
      </w:r>
      <w:r w:rsidR="006E0DB0">
        <w:fldChar w:fldCharType="end"/>
      </w:r>
      <w:r w:rsidR="006E0DB0" w:rsidRPr="009239F3">
        <w:fldChar w:fldCharType="separate"/>
      </w:r>
      <w:r w:rsidR="006E0DB0">
        <w:rPr>
          <w:noProof/>
        </w:rPr>
        <w:t>(Chen &amp; Naughton, 2016; Liu et al., 2011; Overholt, 2018)</w:t>
      </w:r>
      <w:r w:rsidR="006E0DB0" w:rsidRPr="009239F3">
        <w:fldChar w:fldCharType="end"/>
      </w:r>
      <w:r w:rsidR="006E0DB0" w:rsidRPr="009239F3">
        <w:t xml:space="preserve">. </w:t>
      </w:r>
      <w:r w:rsidR="006E0DB0">
        <w:t>Ever since the 11</w:t>
      </w:r>
      <w:r w:rsidR="006E0DB0" w:rsidRPr="00935A10">
        <w:rPr>
          <w:vertAlign w:val="superscript"/>
        </w:rPr>
        <w:t>th</w:t>
      </w:r>
      <w:r w:rsidR="006E0DB0">
        <w:t xml:space="preserve"> five-year plan, and with 12</w:t>
      </w:r>
      <w:r w:rsidR="006E0DB0" w:rsidRPr="00935A10">
        <w:rPr>
          <w:vertAlign w:val="superscript"/>
        </w:rPr>
        <w:t>th</w:t>
      </w:r>
      <w:r w:rsidR="006E0DB0">
        <w:t xml:space="preserve"> to 14</w:t>
      </w:r>
      <w:r w:rsidR="006E0DB0" w:rsidRPr="00935A10">
        <w:rPr>
          <w:vertAlign w:val="superscript"/>
        </w:rPr>
        <w:t>th</w:t>
      </w:r>
      <w:r w:rsidR="006E0DB0">
        <w:t xml:space="preserve"> five-year plans, China increased its emphasis on indigenous innovation in many industries and required its firms to be competitive globally. As of the 12</w:t>
      </w:r>
      <w:r w:rsidR="006E0DB0" w:rsidRPr="00CB2BBF">
        <w:rPr>
          <w:vertAlign w:val="superscript"/>
        </w:rPr>
        <w:t>th</w:t>
      </w:r>
      <w:r w:rsidR="006E0DB0">
        <w:t xml:space="preserve"> five-year plan, innovation became one of the main parts, chapters, and paragraphs of each five-year plan and was referred to hundreds of times. For instance, as of the 12</w:t>
      </w:r>
      <w:r w:rsidR="006E0DB0" w:rsidRPr="00CB2BBF">
        <w:rPr>
          <w:vertAlign w:val="superscript"/>
        </w:rPr>
        <w:t>th</w:t>
      </w:r>
      <w:r w:rsidR="006E0DB0">
        <w:t xml:space="preserve"> five-year plan, industrial and scientific innovation was recognized as the primary driver of strategic development. From the 13</w:t>
      </w:r>
      <w:r w:rsidR="006E0DB0" w:rsidRPr="006D612F">
        <w:rPr>
          <w:vertAlign w:val="superscript"/>
        </w:rPr>
        <w:t>th</w:t>
      </w:r>
      <w:r w:rsidR="006E0DB0">
        <w:t xml:space="preserve"> five-year plan, the issue of innovation upgrade, from the seventh article, was promoted to the second and most crucial article of the five-year plans, making all subsequent plans contingent on innovation. In the 14</w:t>
      </w:r>
      <w:r w:rsidR="006E0DB0" w:rsidRPr="002F69A9">
        <w:rPr>
          <w:vertAlign w:val="superscript"/>
        </w:rPr>
        <w:t>th</w:t>
      </w:r>
      <w:r w:rsidR="006E0DB0">
        <w:t xml:space="preserve"> five-year plan, the government required innovation, modernization, and digitalization of all aspects of the economy to build a </w:t>
      </w:r>
      <w:proofErr w:type="gramStart"/>
      <w:r w:rsidR="006E0DB0">
        <w:t>higher level</w:t>
      </w:r>
      <w:proofErr w:type="gramEnd"/>
      <w:r w:rsidR="006E0DB0">
        <w:t xml:space="preserve"> socialist market economy system and achieve its (i.e., party's) centennial goal of </w:t>
      </w:r>
      <w:r w:rsidR="00380A9E">
        <w:t>‘</w:t>
      </w:r>
      <w:r w:rsidR="006E0DB0">
        <w:t>building a moderately prosperous society in all respects</w:t>
      </w:r>
      <w:r w:rsidR="00380A9E">
        <w:t>’</w:t>
      </w:r>
      <w:r w:rsidR="006E0DB0">
        <w:t>. However, in this five</w:t>
      </w:r>
      <w:r w:rsidR="0095027E">
        <w:t>-</w:t>
      </w:r>
      <w:r w:rsidR="006E0DB0">
        <w:t xml:space="preserve">year plan, the </w:t>
      </w:r>
      <w:r w:rsidR="006E0DB0" w:rsidRPr="0038797A">
        <w:t xml:space="preserve">emphasis on </w:t>
      </w:r>
      <w:r w:rsidR="00380A9E">
        <w:t>‘</w:t>
      </w:r>
      <w:r w:rsidR="006E0DB0" w:rsidRPr="0038797A">
        <w:t>indigenous</w:t>
      </w:r>
      <w:r w:rsidR="00380A9E">
        <w:t>’</w:t>
      </w:r>
      <w:r w:rsidR="006E0DB0" w:rsidRPr="0038797A">
        <w:t xml:space="preserve"> innovation is reduced and can be seen in Part IV, Article 12, Section 1. </w:t>
      </w:r>
    </w:p>
    <w:p w14:paraId="2898E954" w14:textId="1CC5AABA" w:rsidR="006E0DB0" w:rsidRDefault="006E0DB0" w:rsidP="006E0DB0">
      <w:pPr>
        <w:pStyle w:val="Para"/>
      </w:pPr>
      <w:r>
        <w:lastRenderedPageBreak/>
        <w:t xml:space="preserve">The Chinese government designates a pillar industry category to the automotive industry. Chinese auto industry's development has been a typical example of </w:t>
      </w:r>
      <w:r w:rsidR="00372680">
        <w:t>the government's</w:t>
      </w:r>
      <w:r>
        <w:t xml:space="preserve"> strong and evolving influence. One of the first EJVs in China was born in this industry in 1983. The Auto Industry Policy issued in 1994 continued to encourage local firms to establish EJVs with foreign OEMs. The policy made it clear that this approach was instrumental to Chinese automakers’ technology upgrading. Later the state realized that EJVs </w:t>
      </w:r>
      <w:r w:rsidRPr="00C13892">
        <w:t>exposed Chinese automakers to world-class manufacturing technologies and</w:t>
      </w:r>
      <w:r>
        <w:t xml:space="preserve"> led to their specialization into less technology-intensive value chain activities, such as peripheral component manufacturing and assembly. In 2004, the Auto Industry Policy was updated according to the 10</w:t>
      </w:r>
      <w:r w:rsidRPr="00E35679">
        <w:rPr>
          <w:vertAlign w:val="superscript"/>
        </w:rPr>
        <w:t>th</w:t>
      </w:r>
      <w:r>
        <w:t xml:space="preserve"> five-year plan and called for intensive R&amp;D input, indigenous innovation, and indigenous brands from Chinese automakers. The 12</w:t>
      </w:r>
      <w:r w:rsidRPr="006D612F">
        <w:rPr>
          <w:vertAlign w:val="superscript"/>
        </w:rPr>
        <w:t>th</w:t>
      </w:r>
      <w:r>
        <w:t xml:space="preserve"> five-year plan emphasized the structural change in the auto industry and stated that </w:t>
      </w:r>
      <w:r w:rsidR="00380A9E">
        <w:t>‘</w:t>
      </w:r>
      <w:r w:rsidRPr="006D612F">
        <w:t>The automobile industry must strengthen the research and development capabilities of complete vehicles, realize the autonomy of key parts and component</w:t>
      </w:r>
      <w:r>
        <w:t>s…</w:t>
      </w:r>
      <w:r w:rsidR="00380A9E">
        <w:t>’</w:t>
      </w:r>
      <w:r>
        <w:t xml:space="preserve"> (Part III, Article 9, Section 1). This makes our selection of this industry timely.  </w:t>
      </w:r>
    </w:p>
    <w:p w14:paraId="0D3C095F" w14:textId="08730440" w:rsidR="006E0DB0" w:rsidRDefault="006E0DB0" w:rsidP="006E0DB0">
      <w:pPr>
        <w:pStyle w:val="Para"/>
      </w:pPr>
      <w:r>
        <w:t xml:space="preserve">In recent years, China's automotive industry has notably excelled. and the progress has made China one of the major markets in the world for passenger cars and an advantageous location for automotive technology development and its related technologies </w:t>
      </w:r>
      <w:r>
        <w:fldChar w:fldCharType="begin"/>
      </w:r>
      <w:r>
        <w:instrText xml:space="preserve"> ADDIN EN.CITE &lt;EndNote&gt;&lt;Cite&gt;&lt;Author&gt;Teece&lt;/Author&gt;&lt;Year&gt;2019&lt;/Year&gt;&lt;RecNum&gt;799&lt;/RecNum&gt;&lt;DisplayText&gt;(Teece, 2019)&lt;/DisplayText&gt;&lt;record&gt;&lt;rec-number&gt;799&lt;/rec-number&gt;&lt;foreign-keys&gt;&lt;key app="EN" db-id="02rw29zr39rd5ce9s9t5txt3ts2vzw9erfrv" timestamp="1571743343"&gt;799&lt;/key&gt;&lt;/foreign-keys&gt;&lt;ref-type name="Journal Article"&gt;17&lt;/ref-type&gt;&lt;contributors&gt;&lt;authors&gt;&lt;author&gt;Teece, David J.&lt;/author&gt;&lt;/authors&gt;&lt;/contributors&gt;&lt;titles&gt;&lt;title&gt;China and the Reshaping of the Auto Industry: A Dynamic Capabilities Perspective&lt;/title&gt;&lt;secondary-title&gt;Management and Organization Review&lt;/secondary-title&gt;&lt;/titles&gt;&lt;periodical&gt;&lt;full-title&gt;Management and Organization Review&lt;/full-title&gt;&lt;/periodical&gt;&lt;pages&gt;177-199&lt;/pages&gt;&lt;volume&gt;15&lt;/volume&gt;&lt;number&gt;1&lt;/number&gt;&lt;edition&gt;03/05&lt;/edition&gt;&lt;dates&gt;&lt;year&gt;2019&lt;/year&gt;&lt;/dates&gt;&lt;publisher&gt;Cambridge University Press&lt;/publisher&gt;&lt;isbn&gt;1740-8776&lt;/isbn&gt;&lt;urls&gt;&lt;related-urls&gt;&lt;url&gt;https://www.cambridge.org/core/article/china-and-the-reshaping-of-the-auto-industry-a-dynamic-capabilities-perspective/E5E3F180025D428CF10842AAC25F239C&lt;/url&gt;&lt;/related-urls&gt;&lt;/urls&gt;&lt;electronic-resource-num&gt;10.1017/mor.2019.4&lt;/electronic-resource-num&gt;&lt;remote-database-name&gt;Cambridge Core&lt;/remote-database-name&gt;&lt;remote-database-provider&gt;Cambridge University Press&lt;/remote-database-provider&gt;&lt;/record&gt;&lt;/Cite&gt;&lt;/EndNote&gt;</w:instrText>
      </w:r>
      <w:r>
        <w:fldChar w:fldCharType="separate"/>
      </w:r>
      <w:r>
        <w:rPr>
          <w:noProof/>
        </w:rPr>
        <w:t>(Teece, 2019)</w:t>
      </w:r>
      <w:r>
        <w:fldChar w:fldCharType="end"/>
      </w:r>
      <w:r>
        <w:t xml:space="preserve">. Figure </w:t>
      </w:r>
      <w:r>
        <w:rPr>
          <w:rFonts w:hint="eastAsia"/>
        </w:rPr>
        <w:t>1</w:t>
      </w:r>
      <w:r>
        <w:t xml:space="preserve"> of th</w:t>
      </w:r>
      <w:r w:rsidR="0095027E">
        <w:t>is</w:t>
      </w:r>
      <w:r>
        <w:t xml:space="preserve"> supplementary material shows the considerable rise in the number of registered patents in the automotive industry by China compared to the US, Korea, Japan, and the EU in the first two decades of the 21</w:t>
      </w:r>
      <w:r w:rsidRPr="00C545A3">
        <w:rPr>
          <w:vertAlign w:val="superscript"/>
        </w:rPr>
        <w:t>st</w:t>
      </w:r>
      <w:r>
        <w:t xml:space="preserve"> century. While the validity of patent registration from China has been questioned </w:t>
      </w:r>
      <w:r>
        <w:fldChar w:fldCharType="begin"/>
      </w:r>
      <w:r>
        <w:instrText xml:space="preserve"> ADDIN EN.CITE &lt;EndNote&gt;&lt;Cite&gt;&lt;Author&gt;Santacreu&lt;/Author&gt;&lt;Year&gt;2018&lt;/Year&gt;&lt;RecNum&gt;1019&lt;/RecNum&gt;&lt;DisplayText&gt;(Santacreu &amp;amp; Zhu, 2018)&lt;/DisplayText&gt;&lt;record&gt;&lt;rec-number&gt;1019&lt;/rec-number&gt;&lt;foreign-keys&gt;&lt;key app="EN" db-id="02rw29zr39rd5ce9s9t5txt3ts2vzw9erfrv" timestamp="1606259565"&gt;1019&lt;/key&gt;&lt;/foreign-keys&gt;&lt;ref-type name="Journal Article"&gt;17&lt;/ref-type&gt;&lt;contributors&gt;&lt;authors&gt;&lt;author&gt;Santacreu, Ana Maria&lt;/author&gt;&lt;author&gt;Zhu, Heting&lt;/author&gt;&lt;/authors&gt;&lt;tertiary-authors&gt;&lt;author&gt;Federal Reserve Bank of St. Louis&lt;/author&gt;&lt;/tertiary-authors&gt;&lt;/contributors&gt;&lt;titles&gt;&lt;title&gt;What Does China’s Rise in Patents Mean? A Look at Quality vs. Quantity&lt;/title&gt;&lt;secondary-title&gt;Economic Synopses&lt;/secondary-title&gt;&lt;/titles&gt;&lt;volume&gt;No. 14&lt;/volume&gt;&lt;number&gt;19 Nov&lt;/number&gt;&lt;dates&gt;&lt;year&gt;2018&lt;/year&gt;&lt;/dates&gt;&lt;pub-location&gt;St. Louis: MO&lt;/pub-location&gt;&lt;urls&gt;&lt;related-urls&gt;&lt;url&gt;https://doi.org/10.20955/es.2018.14&lt;/url&gt;&lt;/related-urls&gt;&lt;/urls&gt;&lt;/record&gt;&lt;/Cite&gt;&lt;/EndNote&gt;</w:instrText>
      </w:r>
      <w:r>
        <w:fldChar w:fldCharType="separate"/>
      </w:r>
      <w:r>
        <w:rPr>
          <w:noProof/>
        </w:rPr>
        <w:t>(Santacreu &amp; Zhu, 2018)</w:t>
      </w:r>
      <w:r>
        <w:fldChar w:fldCharType="end"/>
      </w:r>
      <w:r>
        <w:t xml:space="preserve">, the improvements are also observable in growing China's automotive market as measured by the total number of </w:t>
      </w:r>
      <w:r w:rsidRPr="00852C90">
        <w:t xml:space="preserve">different types of cars </w:t>
      </w:r>
      <w:r>
        <w:t xml:space="preserve">manufactured </w:t>
      </w:r>
      <w:r>
        <w:lastRenderedPageBreak/>
        <w:t xml:space="preserve">and/or sold </w:t>
      </w:r>
      <w:r w:rsidRPr="00852C90">
        <w:t>in China</w:t>
      </w:r>
      <w:r>
        <w:t xml:space="preserve"> </w:t>
      </w:r>
      <w:r>
        <w:fldChar w:fldCharType="begin"/>
      </w:r>
      <w:r>
        <w:instrText xml:space="preserve"> ADDIN EN.CITE &lt;EndNote&gt;&lt;Cite&gt;&lt;Author&gt;Chin&lt;/Author&gt;&lt;Year&gt;2009&lt;/Year&gt;&lt;RecNum&gt;1058&lt;/RecNum&gt;&lt;DisplayText&gt;(Chin, 2009)&lt;/DisplayText&gt;&lt;record&gt;&lt;rec-number&gt;1058&lt;/rec-number&gt;&lt;foreign-keys&gt;&lt;key app="EN" db-id="02rw29zr39rd5ce9s9t5txt3ts2vzw9erfrv" timestamp="1614117613"&gt;1058&lt;/key&gt;&lt;/foreign-keys&gt;&lt;ref-type name="Book"&gt;6&lt;/ref-type&gt;&lt;contributors&gt;&lt;authors&gt;&lt;author&gt;Chin, Gregory T&lt;/author&gt;&lt;/authors&gt;&lt;/contributors&gt;&lt;titles&gt;&lt;title&gt;China’s Automotive Modernization: The Party-State and Multinational Corporations&lt;/title&gt;&lt;secondary-title&gt;International Political Economy Series&lt;/secondary-title&gt;&lt;/titles&gt;&lt;section&gt;xi-301&lt;/section&gt;&lt;dates&gt;&lt;year&gt;2009&lt;/year&gt;&lt;/dates&gt;&lt;pub-location&gt;Basingstoke, Hampshire, and New York &lt;/pub-location&gt;&lt;publisher&gt;Palgrave MacMillan&lt;/publisher&gt;&lt;isbn&gt; 978-0-230-22030-7&lt;/isbn&gt;&lt;urls&gt;&lt;/urls&gt;&lt;electronic-resource-num&gt;10.1017/S0305741010000743&lt;/electronic-resource-num&gt;&lt;/record&gt;&lt;/Cite&gt;&lt;/EndNote&gt;</w:instrText>
      </w:r>
      <w:r>
        <w:fldChar w:fldCharType="separate"/>
      </w:r>
      <w:r>
        <w:rPr>
          <w:noProof/>
        </w:rPr>
        <w:t>(Chin, 2009)</w:t>
      </w:r>
      <w:r>
        <w:fldChar w:fldCharType="end"/>
      </w:r>
      <w:r>
        <w:t xml:space="preserve">, making China the world's largest market for automobiles in terms of demand and supply since 2009 </w:t>
      </w:r>
      <w:r>
        <w:fldChar w:fldCharType="begin"/>
      </w:r>
      <w:r w:rsidR="006A0B2E">
        <w:instrText xml:space="preserve"> ADDIN EN.CITE &lt;EndNote&gt;&lt;Cite&gt;&lt;Author&gt;OICA&lt;/Author&gt;&lt;Year&gt;2019&lt;/Year&gt;&lt;RecNum&gt;817&lt;/RecNum&gt;&lt;DisplayText&gt;(OICA, 2019)&lt;/DisplayText&gt;&lt;record&gt;&lt;rec-number&gt;817&lt;/rec-number&gt;&lt;foreign-keys&gt;&lt;key app="EN" db-id="02rw29zr39rd5ce9s9t5txt3ts2vzw9erfrv" timestamp="1572341079"&gt;817&lt;/key&gt;&lt;/foreign-keys&gt;&lt;ref-type name="Online Multimedia"&gt;48&lt;/ref-type&gt;&lt;contributors&gt;&lt;authors&gt;&lt;author&gt;OICA, &lt;/author&gt;&lt;/authors&gt;&lt;secondary-authors&gt;&lt;author&gt;Organisation Internationale des Constructeurs d&amp;apos;Automobiles,&lt;/author&gt;&lt;/secondary-authors&gt;&lt;/contributors&gt;&lt;titles&gt;&lt;title&gt;(Automobile) Production Statistics&lt;/title&gt;&lt;/titles&gt;&lt;dates&gt;&lt;year&gt;2019&lt;/year&gt;&lt;pub-dates&gt;&lt;date&gt;14 Oct, 2019&lt;/date&gt;&lt;/pub-dates&gt;&lt;/dates&gt;&lt;urls&gt;&lt;related-urls&gt;&lt;url&gt;www.oica.net&lt;/url&gt;&lt;/related-urls&gt;&lt;/urls&gt;&lt;/record&gt;&lt;/Cite&gt;&lt;/EndNote&gt;</w:instrText>
      </w:r>
      <w:r>
        <w:fldChar w:fldCharType="separate"/>
      </w:r>
      <w:r>
        <w:rPr>
          <w:noProof/>
        </w:rPr>
        <w:t>(OICA, 2019)</w:t>
      </w:r>
      <w:r>
        <w:fldChar w:fldCharType="end"/>
      </w:r>
      <w:r w:rsidRPr="00852C90">
        <w:t>.</w:t>
      </w:r>
    </w:p>
    <w:p w14:paraId="5340416D" w14:textId="77777777" w:rsidR="006E0DB0" w:rsidRDefault="006E0DB0" w:rsidP="006E0DB0">
      <w:pPr>
        <w:spacing w:line="480" w:lineRule="auto"/>
        <w:jc w:val="center"/>
      </w:pPr>
      <w:r w:rsidRPr="00845BA5">
        <w:t>-------------- F</w:t>
      </w:r>
      <w:r>
        <w:t>igure</w:t>
      </w:r>
      <w:r w:rsidRPr="00845BA5">
        <w:t xml:space="preserve"> </w:t>
      </w:r>
      <w:r w:rsidRPr="00845BA5">
        <w:rPr>
          <w:rFonts w:hint="eastAsia"/>
        </w:rPr>
        <w:t>1</w:t>
      </w:r>
      <w:r w:rsidRPr="00845BA5">
        <w:t xml:space="preserve"> -----------------</w:t>
      </w:r>
    </w:p>
    <w:p w14:paraId="631ACA1D" w14:textId="3A6C4801" w:rsidR="006E0DB0" w:rsidRPr="00852C90" w:rsidRDefault="006E0DB0" w:rsidP="006E0DB0">
      <w:pPr>
        <w:pStyle w:val="Para"/>
      </w:pPr>
      <w:r>
        <w:t xml:space="preserve">Historically, the top five largest Chinese automakers are all SOEs. In order of sales, they are Shanghai Auto Industry Co. (SAIC), First Auto Works (FAW), Dongfeng Motor Co (Dongfeng), </w:t>
      </w:r>
      <w:proofErr w:type="spellStart"/>
      <w:r>
        <w:t>Chang’an</w:t>
      </w:r>
      <w:proofErr w:type="spellEnd"/>
      <w:r>
        <w:t xml:space="preserve"> Automobile Group (</w:t>
      </w:r>
      <w:proofErr w:type="spellStart"/>
      <w:r>
        <w:t>Chang’an</w:t>
      </w:r>
      <w:proofErr w:type="spellEnd"/>
      <w:r>
        <w:t xml:space="preserve">), and BAIC. From the 1980s, with the increasing private wealth, China witnessed the emergence of privately owned firms. </w:t>
      </w:r>
      <w:r w:rsidRPr="00852C90">
        <w:t xml:space="preserve">Table </w:t>
      </w:r>
      <w:r>
        <w:t>1 of this supplementary material</w:t>
      </w:r>
      <w:r w:rsidRPr="00852C90">
        <w:t xml:space="preserve"> shows the </w:t>
      </w:r>
      <w:r>
        <w:t xml:space="preserve">growth of POEs in the industry as demonstrated by the improvements in the </w:t>
      </w:r>
      <w:r w:rsidRPr="00852C90">
        <w:t xml:space="preserve">ranking of </w:t>
      </w:r>
      <w:r>
        <w:t xml:space="preserve">POEs amongst </w:t>
      </w:r>
      <w:r w:rsidRPr="00852C90">
        <w:t xml:space="preserve">the top </w:t>
      </w:r>
      <w:r>
        <w:t>16</w:t>
      </w:r>
      <w:r w:rsidRPr="00852C90">
        <w:t xml:space="preserve"> largest Chinese </w:t>
      </w:r>
      <w:r>
        <w:t>automakers</w:t>
      </w:r>
      <w:r w:rsidRPr="00852C90">
        <w:t xml:space="preserve"> (i.e., passenger car, </w:t>
      </w:r>
      <w:r>
        <w:t>SUV, crossover, minivan</w:t>
      </w:r>
      <w:r w:rsidRPr="00852C90">
        <w:t xml:space="preserve">, minibus, and bus) </w:t>
      </w:r>
      <w:r>
        <w:t>for the 14 years between 2006 to 2019</w:t>
      </w:r>
      <w:r w:rsidRPr="00852C90">
        <w:t xml:space="preserve">. </w:t>
      </w:r>
      <w:r>
        <w:t xml:space="preserve">The increasing role of POEs in China's passenger automotive industry implores the investigation concerning their approaches to acquiring advanced technology and the role of the Chinese government in doing so. </w:t>
      </w:r>
    </w:p>
    <w:p w14:paraId="15C89A5F" w14:textId="5837EE3D" w:rsidR="006E0DB0" w:rsidRDefault="006E0DB0" w:rsidP="006E0DB0">
      <w:pPr>
        <w:spacing w:line="480" w:lineRule="auto"/>
        <w:jc w:val="center"/>
      </w:pPr>
      <w:r w:rsidRPr="00852C90">
        <w:t xml:space="preserve">---------- Table </w:t>
      </w:r>
      <w:r>
        <w:t>1</w:t>
      </w:r>
      <w:r w:rsidRPr="00852C90">
        <w:t xml:space="preserve"> -----------</w:t>
      </w:r>
    </w:p>
    <w:p w14:paraId="52A4594B" w14:textId="77777777" w:rsidR="006A0B2E" w:rsidRDefault="006A0B2E" w:rsidP="00006217">
      <w:pPr>
        <w:pStyle w:val="Heading1"/>
      </w:pPr>
      <w:r>
        <w:t>Recent Updates on Further Innovations in BAIC and Geely</w:t>
      </w:r>
    </w:p>
    <w:p w14:paraId="23DA037E" w14:textId="1E833EAD" w:rsidR="00D2593B" w:rsidRDefault="00D2593B" w:rsidP="00380A9E">
      <w:pPr>
        <w:pStyle w:val="Para"/>
        <w:ind w:firstLine="0"/>
      </w:pPr>
      <w:r>
        <w:t xml:space="preserve">BAIC Motor and Geely Auto were the </w:t>
      </w:r>
      <w:r w:rsidR="00372680">
        <w:t>primary acquisition</w:t>
      </w:r>
      <w:r>
        <w:t xml:space="preserve"> beneficiaries of BAIC Holding and Geely Group. Each of them witnessed </w:t>
      </w:r>
      <w:r w:rsidR="00372680">
        <w:t xml:space="preserve">a </w:t>
      </w:r>
      <w:r>
        <w:t xml:space="preserve">significant boost in their sales shortly after their company's respective acquisition of Saab and Volvo. Figure 2 shows the trend of each company's </w:t>
      </w:r>
      <w:r w:rsidR="00372680">
        <w:t xml:space="preserve">passenger car </w:t>
      </w:r>
      <w:r>
        <w:t xml:space="preserve">sales and market share in China. Figure 3 also shows Volvo's sales data in China, </w:t>
      </w:r>
      <w:r w:rsidR="00873F45">
        <w:t xml:space="preserve">European Union, the U.S. between 1999 and 2020. This shows that Geely was also able to improve Volvo's performance in all three big markets.  </w:t>
      </w:r>
    </w:p>
    <w:p w14:paraId="2200F09E" w14:textId="3D08740B" w:rsidR="00873F45" w:rsidRDefault="00873F45" w:rsidP="00873F45">
      <w:pPr>
        <w:spacing w:line="480" w:lineRule="auto"/>
        <w:jc w:val="center"/>
      </w:pPr>
      <w:r w:rsidRPr="00852C90">
        <w:lastRenderedPageBreak/>
        <w:t xml:space="preserve">---------- </w:t>
      </w:r>
      <w:r>
        <w:t>Figure 2 &amp; 3</w:t>
      </w:r>
      <w:r w:rsidRPr="00852C90">
        <w:t xml:space="preserve"> -----------</w:t>
      </w:r>
    </w:p>
    <w:p w14:paraId="59A6934C" w14:textId="79669FD4" w:rsidR="004D787E" w:rsidRDefault="004D787E" w:rsidP="006A0B2E">
      <w:pPr>
        <w:pStyle w:val="Para"/>
      </w:pPr>
      <w:r>
        <w:t>According to BAIC (personal interview), up to 2018, BAIC had introduced 16 different models of car</w:t>
      </w:r>
      <w:r w:rsidR="00863BD5">
        <w:t>s</w:t>
      </w:r>
      <w:r>
        <w:t xml:space="preserve"> using technology acquired from Saab. The list of products that had </w:t>
      </w:r>
      <w:r w:rsidR="00863BD5">
        <w:t>noticeable</w:t>
      </w:r>
      <w:r>
        <w:t xml:space="preserve"> aspect</w:t>
      </w:r>
      <w:r w:rsidR="00863BD5">
        <w:t>s</w:t>
      </w:r>
      <w:r>
        <w:t xml:space="preserve"> of Saab technology are provided in Table 2 of this Supplementary Material. BAIC noted that their other products also have benefited from this technology, but </w:t>
      </w:r>
      <w:r w:rsidR="00863BD5">
        <w:t xml:space="preserve">we could not independently verify this </w:t>
      </w:r>
      <w:r>
        <w:t>due to our lack of expertise</w:t>
      </w:r>
      <w:r w:rsidR="00F21CFA">
        <w:t>. On the other hand, Geely also co-developed many products based on the platform developed by CVET, its subsidiary, some together with Volvo. These products are also listed in Table 2.</w:t>
      </w:r>
    </w:p>
    <w:p w14:paraId="0AA08939" w14:textId="2A2DC525" w:rsidR="00F21CFA" w:rsidRDefault="00F21CFA" w:rsidP="00F21CFA">
      <w:pPr>
        <w:jc w:val="center"/>
      </w:pPr>
      <w:r w:rsidRPr="00602E17">
        <w:t xml:space="preserve">------------- </w:t>
      </w:r>
      <w:r>
        <w:t>Table 2</w:t>
      </w:r>
      <w:r w:rsidRPr="00602E17">
        <w:t xml:space="preserve"> --------------</w:t>
      </w:r>
    </w:p>
    <w:p w14:paraId="060285B7" w14:textId="5D57A32B" w:rsidR="006A0B2E" w:rsidRDefault="00F21CFA" w:rsidP="006A0B2E">
      <w:pPr>
        <w:pStyle w:val="Para"/>
      </w:pPr>
      <w:r>
        <w:t>Apart from these products, f</w:t>
      </w:r>
      <w:r w:rsidR="006A0B2E">
        <w:t xml:space="preserve">rom the time of the initial submission of this paper to its acceptance for publication in </w:t>
      </w:r>
      <w:r w:rsidR="00E13734">
        <w:t xml:space="preserve">the end of </w:t>
      </w:r>
      <w:r w:rsidR="006A0B2E">
        <w:t>202</w:t>
      </w:r>
      <w:r w:rsidR="00E13734">
        <w:t>1</w:t>
      </w:r>
      <w:r w:rsidR="006A0B2E">
        <w:t xml:space="preserve"> many things happened that need </w:t>
      </w:r>
      <w:r w:rsidR="00E13734">
        <w:t>to be noted</w:t>
      </w:r>
      <w:r w:rsidR="006A0B2E">
        <w:t xml:space="preserve">. As shown in Figure 2, BAIC experienced a drop in sales in 2017. During 2017, while China's auto market grew by 3.04%, Senova's market was reduced by 50% </w:t>
      </w:r>
      <w:r w:rsidR="006A0B2E">
        <w:fldChar w:fldCharType="begin"/>
      </w:r>
      <w:r w:rsidR="006A0B2E">
        <w:instrText xml:space="preserve"> ADDIN EN.CITE &lt;EndNote&gt;&lt;Cite&gt;&lt;Author&gt;Sohu&lt;/Author&gt;&lt;Year&gt;2018&lt;/Year&gt;&lt;RecNum&gt;1088&lt;/RecNum&gt;&lt;DisplayText&gt;(Sohu, 2018)&lt;/DisplayText&gt;&lt;record&gt;&lt;rec-number&gt;1088&lt;/rec-number&gt;&lt;foreign-keys&gt;&lt;key app="EN" db-id="02rw29zr39rd5ce9s9t5txt3ts2vzw9erfrv" timestamp="1614730156"&gt;1088&lt;/key&gt;&lt;/foreign-keys&gt;&lt;ref-type name="Web Page"&gt;12&lt;/ref-type&gt;&lt;contributors&gt;&lt;authors&gt;&lt;author&gt;Sohu&lt;/author&gt;&lt;/authors&gt;&lt;/contributors&gt;&lt;titles&gt;&lt;title&gt;Analysis of the domestic auto market in 2017: One step away from 30 million vehicles&lt;/title&gt;&lt;/titles&gt;&lt;volume&gt;2020&lt;/volume&gt;&lt;number&gt;14 Dec&lt;/number&gt;&lt;dates&gt;&lt;year&gt;2018&lt;/year&gt;&lt;/dates&gt;&lt;urls&gt;&lt;related-urls&gt;&lt;url&gt;https://www.sohu.com/a/217231374_100084983&lt;/url&gt;&lt;/related-urls&gt;&lt;/urls&gt;&lt;/record&gt;&lt;/Cite&gt;&lt;/EndNote&gt;</w:instrText>
      </w:r>
      <w:r w:rsidR="006A0B2E">
        <w:fldChar w:fldCharType="separate"/>
      </w:r>
      <w:r w:rsidR="006A0B2E">
        <w:rPr>
          <w:noProof/>
        </w:rPr>
        <w:t>(Sohu, 2018)</w:t>
      </w:r>
      <w:r w:rsidR="006A0B2E">
        <w:fldChar w:fldCharType="end"/>
      </w:r>
      <w:r w:rsidR="006A0B2E">
        <w:t>. Whereas up to 2015 and well into 2016, experts and the market favored Senova, they and consumers seemed to believe the new models were</w:t>
      </w:r>
      <w:r w:rsidR="006A0B2E" w:rsidRPr="00B3320F">
        <w:t xml:space="preserve"> poorly designed and equipped with out-of-date technology that did</w:t>
      </w:r>
      <w:r w:rsidR="006A0B2E">
        <w:t xml:space="preserve"> not</w:t>
      </w:r>
      <w:r w:rsidR="006A0B2E" w:rsidRPr="00B3320F">
        <w:t xml:space="preserve"> match with </w:t>
      </w:r>
      <w:r w:rsidR="006A0B2E">
        <w:t>the</w:t>
      </w:r>
      <w:r w:rsidR="006A0B2E" w:rsidRPr="00B3320F">
        <w:t xml:space="preserve"> high-end image </w:t>
      </w:r>
      <w:r w:rsidR="006A0B2E">
        <w:t>that BAIC was advertising for the Senova</w:t>
      </w:r>
      <w:r w:rsidR="006A0B2E" w:rsidRPr="00B3320F">
        <w:t xml:space="preserve"> brand </w:t>
      </w:r>
      <w:r w:rsidR="006A0B2E">
        <w:fldChar w:fldCharType="begin"/>
      </w:r>
      <w:r w:rsidR="006A0B2E">
        <w:instrText xml:space="preserve"> ADDIN EN.CITE &lt;EndNote&gt;&lt;Cite&gt;&lt;Author&gt;Chejingshe&lt;/Author&gt;&lt;Year&gt;2019&lt;/Year&gt;&lt;RecNum&gt;1089&lt;/RecNum&gt;&lt;DisplayText&gt;(Chejingshe, 2019; Qiu, 2017)&lt;/DisplayText&gt;&lt;record&gt;&lt;rec-number&gt;1089&lt;/rec-number&gt;&lt;foreign-keys&gt;&lt;key app="EN" db-id="02rw29zr39rd5ce9s9t5txt3ts2vzw9erfrv" timestamp="1614731047"&gt;1089&lt;/key&gt;&lt;/foreign-keys&gt;&lt;ref-type name="Web Page"&gt;12&lt;/ref-type&gt;&lt;contributors&gt;&lt;authors&gt;&lt;author&gt;Chejingshe&lt;/author&gt;&lt;/authors&gt;&lt;/contributors&gt;&lt;titles&gt;&lt;title&gt;How misrable is BAIC&amp;apos;s Senova? It is too late to take a parachute!&lt;</w:instrText>
      </w:r>
      <w:r w:rsidR="006A0B2E">
        <w:rPr>
          <w:rFonts w:hint="eastAsia"/>
        </w:rPr>
        <w:instrText>/title&gt;&lt;/titles&gt;&lt;pages&gt;&lt;style face="normal" font="default" charset="134" size="100%"&gt;</w:instrText>
      </w:r>
      <w:r w:rsidR="006A0B2E">
        <w:rPr>
          <w:rFonts w:hint="eastAsia"/>
        </w:rPr>
        <w:instrText>受到</w:instrText>
      </w:r>
      <w:r w:rsidR="006A0B2E">
        <w:rPr>
          <w:rFonts w:hint="eastAsia"/>
        </w:rPr>
        <w:instrText>2018</w:instrText>
      </w:r>
      <w:r w:rsidR="006A0B2E">
        <w:rPr>
          <w:rFonts w:hint="eastAsia"/>
        </w:rPr>
        <w:instrText>年车市寒冬的波及，</w:instrText>
      </w:r>
      <w:r w:rsidR="006A0B2E">
        <w:rPr>
          <w:rFonts w:hint="eastAsia"/>
        </w:rPr>
        <w:instrText>2019</w:instrText>
      </w:r>
      <w:r w:rsidR="006A0B2E">
        <w:rPr>
          <w:rFonts w:hint="eastAsia"/>
        </w:rPr>
        <w:instrText>年</w:instrText>
      </w:r>
      <w:r w:rsidR="006A0B2E">
        <w:rPr>
          <w:rFonts w:hint="eastAsia"/>
        </w:rPr>
        <w:instrText>2</w:instrText>
      </w:r>
      <w:r w:rsidR="006A0B2E">
        <w:rPr>
          <w:rFonts w:hint="eastAsia"/>
        </w:rPr>
        <w:instrText>月份销量可谓是乍暖还寒，根据乘联会数据显示，</w:instrText>
      </w:r>
      <w:r w:rsidR="006A0B2E">
        <w:rPr>
          <w:rFonts w:hint="eastAsia"/>
        </w:rPr>
        <w:instrText>2</w:instrText>
      </w:r>
      <w:r w:rsidR="006A0B2E">
        <w:rPr>
          <w:rFonts w:hint="eastAsia"/>
        </w:rPr>
        <w:instrText>月份国内狭义乘用车销量达</w:instrText>
      </w:r>
      <w:r w:rsidR="006A0B2E">
        <w:rPr>
          <w:rFonts w:hint="eastAsia"/>
        </w:rPr>
        <w:instrText>116.9</w:instrText>
      </w:r>
      <w:r w:rsidR="006A0B2E">
        <w:rPr>
          <w:rFonts w:hint="eastAsia"/>
        </w:rPr>
        <w:instrText>万辆，同比下降</w:instrText>
      </w:r>
      <w:r w:rsidR="006A0B2E">
        <w:rPr>
          <w:rFonts w:hint="eastAsia"/>
        </w:rPr>
        <w:instrText>19.0%</w:instrText>
      </w:r>
      <w:r w:rsidR="006A0B2E">
        <w:rPr>
          <w:rFonts w:hint="eastAsia"/>
        </w:rPr>
        <w:instrText>，环比下降</w:instrText>
      </w:r>
      <w:r w:rsidR="006A0B2E">
        <w:rPr>
          <w:rFonts w:hint="eastAsia"/>
        </w:rPr>
        <w:instrText>45.9%</w:instrText>
      </w:r>
      <w:r w:rsidR="006A0B2E">
        <w:rPr>
          <w:rFonts w:hint="eastAsia"/>
        </w:rPr>
        <w:instrText>，</w:instrText>
      </w:r>
      <w:r w:rsidR="006A0B2E">
        <w:rPr>
          <w:rFonts w:hint="eastAsia"/>
        </w:rPr>
        <w:instrText>1-2</w:instrText>
      </w:r>
      <w:r w:rsidR="006A0B2E">
        <w:rPr>
          <w:rFonts w:hint="eastAsia"/>
        </w:rPr>
        <w:instrText>月累计销量达</w:instrText>
      </w:r>
      <w:r w:rsidR="006A0B2E">
        <w:rPr>
          <w:rFonts w:hint="eastAsia"/>
        </w:rPr>
        <w:instrText>333.3</w:instrText>
      </w:r>
      <w:r w:rsidR="006A0B2E">
        <w:rPr>
          <w:rFonts w:hint="eastAsia"/>
        </w:rPr>
        <w:instrText>万辆，同比下降</w:instrText>
      </w:r>
      <w:r w:rsidR="006A0B2E">
        <w:rPr>
          <w:rFonts w:hint="eastAsia"/>
        </w:rPr>
        <w:instrText>9.8%</w:instrText>
      </w:r>
      <w:r w:rsidR="006A0B2E">
        <w:rPr>
          <w:rFonts w:hint="eastAsia"/>
        </w:rPr>
        <w:instrText>。在汽车销量持续不景气的大环境下，汽车市场开始了新一轮的淘汰赛。</w:instrText>
      </w:r>
      <w:r w:rsidR="006A0B2E">
        <w:rPr>
          <w:rFonts w:hint="eastAsia"/>
        </w:rPr>
        <w:instrText>&lt;/style&gt;&lt;/pages&gt;&lt;volume&gt;2021&lt;</w:instrText>
      </w:r>
      <w:r w:rsidR="006A0B2E">
        <w:instrText>/volume&gt;&lt;number&gt;3 Jan&lt;/number&gt;&lt;dates&gt;&lt;year&gt;2019&lt;/year&gt;&lt;/dates&gt;&lt;pub-location&gt;Hefei Aomai Technologies Ltd&lt;/pub-location&gt;&lt;publisher&gt;Baidu&lt;/publisher&gt;&lt;urls&gt;&lt;related-urls&gt;&lt;url&gt;https://mbd.baidu.com/newspage/data/landingsuper?context=%7B%22nid%22%3A%22news_9911335238344945568%22%7D&lt;/url&gt;&lt;/related-urls&gt;&lt;/urls&gt;&lt;/record&gt;&lt;/Cite&gt;&lt;Cite&gt;&lt;Author&gt;Qiu&lt;/Author&gt;&lt;Year&gt;2017&lt;/Year&gt;&lt;RecNum&gt;1090&lt;/RecNum&gt;&lt;record&gt;&lt;rec-number&gt;1090&lt;/rec-number&gt;&lt;foreign-keys&gt;&lt;key app="EN" db-id="02rw29zr39rd5ce9s9t5txt3ts2vzw9erfrv" timestamp="1614731347"&gt;1090&lt;/key&gt;&lt;/foreign-keys&gt;&lt;ref-type name="Web Page"&gt;12&lt;/ref-type&gt;&lt;contributors&gt;&lt;authors&gt;&lt;author&gt;Qiu, Xiaocheng&lt;/author&gt;&lt;/authors&gt;&lt;/contributors&gt;&lt;titles&gt;&lt;title&gt;Why is it inevitable that the sales volume of BAIC&amp;apos;s Senova was going to get cut off?&lt;/title&gt;&lt;/titles&gt;&lt;volume&gt;2021&lt;/volume&gt;&lt;number&gt;3 Jan&lt;/number&gt;&lt;dates&gt;&lt;year&gt;2017&lt;/year&gt;&lt;/dates&gt;&lt;pub-location&gt;Baijiahao&lt;/pub-location&gt;&lt;publisher&gt;Baidu&lt;/publisher&gt;&lt;urls&gt;&lt;related-urls&gt;&lt;url&gt;https://baijiahao.baidu.com/s?id=1574703782072335&lt;/url&gt;&lt;/related-urls&gt;&lt;/urls&gt;&lt;/record&gt;&lt;/Cite&gt;&lt;/EndNote&gt;</w:instrText>
      </w:r>
      <w:r w:rsidR="006A0B2E">
        <w:fldChar w:fldCharType="separate"/>
      </w:r>
      <w:r w:rsidR="006A0B2E">
        <w:rPr>
          <w:noProof/>
        </w:rPr>
        <w:t>(Chejingshe, 2019; Qiu, 2017)</w:t>
      </w:r>
      <w:r w:rsidR="006A0B2E">
        <w:fldChar w:fldCharType="end"/>
      </w:r>
      <w:r w:rsidR="006A0B2E" w:rsidRPr="00B3320F">
        <w:t>.</w:t>
      </w:r>
      <w:r w:rsidR="006A0B2E">
        <w:t xml:space="preserve"> </w:t>
      </w:r>
      <w:r w:rsidR="006A0B2E">
        <w:rPr>
          <w:rFonts w:hint="eastAsia"/>
        </w:rPr>
        <w:t>Some</w:t>
      </w:r>
      <w:r w:rsidR="006A0B2E">
        <w:t xml:space="preserve"> a</w:t>
      </w:r>
      <w:r w:rsidR="006A0B2E" w:rsidRPr="00276118">
        <w:t>uto</w:t>
      </w:r>
      <w:r w:rsidR="006A0B2E">
        <w:t>motive</w:t>
      </w:r>
      <w:r w:rsidR="006A0B2E" w:rsidRPr="00276118">
        <w:t xml:space="preserve"> experts </w:t>
      </w:r>
      <w:r w:rsidR="00863BD5">
        <w:t>believed</w:t>
      </w:r>
      <w:r w:rsidR="006A0B2E">
        <w:t xml:space="preserve"> that</w:t>
      </w:r>
      <w:r w:rsidR="006A0B2E" w:rsidRPr="00276118">
        <w:t xml:space="preserve"> BAIC’s growth after partnering with Hyundai </w:t>
      </w:r>
      <w:r w:rsidR="006A0B2E">
        <w:t xml:space="preserve">(in 2002) </w:t>
      </w:r>
      <w:r w:rsidR="006A0B2E" w:rsidRPr="00276118">
        <w:t xml:space="preserve">and Daimler </w:t>
      </w:r>
      <w:r w:rsidR="006A0B2E">
        <w:t xml:space="preserve">(in 2005) </w:t>
      </w:r>
      <w:r w:rsidR="006A0B2E" w:rsidRPr="00276118">
        <w:t xml:space="preserve">– BAIC's only two international EJV partners – was based on the production and sales of these two brands. BAIC's two EJV with internationally known brands, Daimler (Mercedes) and Hyundai, could increase its sales numbers and create an image of </w:t>
      </w:r>
      <w:r w:rsidR="006A0B2E">
        <w:t>a mid-to</w:t>
      </w:r>
      <w:r w:rsidR="006A0B2E" w:rsidRPr="00276118">
        <w:t xml:space="preserve"> </w:t>
      </w:r>
      <w:r w:rsidR="006A0B2E">
        <w:t xml:space="preserve">the </w:t>
      </w:r>
      <w:r w:rsidR="006A0B2E" w:rsidRPr="00276118">
        <w:t>high-range carmaker.</w:t>
      </w:r>
      <w:r w:rsidR="006A0B2E">
        <w:t xml:space="preserve"> BAIC borrowed some interior concepts from Mercedes to improve Senova's brand image because its EJVs with Mercedes and Hyundai </w:t>
      </w:r>
      <w:r w:rsidR="006A0B2E">
        <w:lastRenderedPageBreak/>
        <w:t xml:space="preserve">maintained their high-end image. However, they were still unable to differentiate themselves in terms of technology, looks, or price </w:t>
      </w:r>
      <w:r w:rsidR="006A0B2E">
        <w:fldChar w:fldCharType="begin"/>
      </w:r>
      <w:r w:rsidR="006A0B2E">
        <w:instrText xml:space="preserve"> ADDIN EN.CITE &lt;EndNote&gt;&lt;Cite&gt;&lt;Author&gt;Chejingshe&lt;/Author&gt;&lt;Year&gt;2019&lt;/Year&gt;&lt;RecNum&gt;1089&lt;/RecNum&gt;&lt;DisplayText&gt;(Chejingshe, 2019)&lt;/DisplayText&gt;&lt;record&gt;&lt;rec-number&gt;1089&lt;/rec-number&gt;&lt;foreign-keys&gt;&lt;key app="EN" db-id="02rw29zr39rd5ce9s9t5txt3ts2vzw9erfrv" timestamp="1614731047"&gt;1089&lt;/key&gt;&lt;/foreign-keys&gt;&lt;ref-type name="Web Page"&gt;12&lt;/ref-type&gt;&lt;contributors&gt;&lt;authors&gt;&lt;author&gt;Chejingshe&lt;/author&gt;&lt;/authors&gt;&lt;/contributors&gt;&lt;titles&gt;&lt;title&gt;How misrable is BAIC&amp;apos;s Senova? It is too late to take a parachute!&lt;/title&gt;&lt;/ti</w:instrText>
      </w:r>
      <w:r w:rsidR="006A0B2E">
        <w:rPr>
          <w:rFonts w:hint="eastAsia"/>
        </w:rPr>
        <w:instrText>tles&gt;&lt;pages&gt;&lt;style face="normal" font="default" charset="134" size="100%"&gt;</w:instrText>
      </w:r>
      <w:r w:rsidR="006A0B2E">
        <w:rPr>
          <w:rFonts w:hint="eastAsia"/>
        </w:rPr>
        <w:instrText>受到</w:instrText>
      </w:r>
      <w:r w:rsidR="006A0B2E">
        <w:rPr>
          <w:rFonts w:hint="eastAsia"/>
        </w:rPr>
        <w:instrText>2018</w:instrText>
      </w:r>
      <w:r w:rsidR="006A0B2E">
        <w:rPr>
          <w:rFonts w:hint="eastAsia"/>
        </w:rPr>
        <w:instrText>年车市寒冬的波及，</w:instrText>
      </w:r>
      <w:r w:rsidR="006A0B2E">
        <w:rPr>
          <w:rFonts w:hint="eastAsia"/>
        </w:rPr>
        <w:instrText>2019</w:instrText>
      </w:r>
      <w:r w:rsidR="006A0B2E">
        <w:rPr>
          <w:rFonts w:hint="eastAsia"/>
        </w:rPr>
        <w:instrText>年</w:instrText>
      </w:r>
      <w:r w:rsidR="006A0B2E">
        <w:rPr>
          <w:rFonts w:hint="eastAsia"/>
        </w:rPr>
        <w:instrText>2</w:instrText>
      </w:r>
      <w:r w:rsidR="006A0B2E">
        <w:rPr>
          <w:rFonts w:hint="eastAsia"/>
        </w:rPr>
        <w:instrText>月份销量可谓是乍暖还寒，根据乘联会数据显示，</w:instrText>
      </w:r>
      <w:r w:rsidR="006A0B2E">
        <w:rPr>
          <w:rFonts w:hint="eastAsia"/>
        </w:rPr>
        <w:instrText>2</w:instrText>
      </w:r>
      <w:r w:rsidR="006A0B2E">
        <w:rPr>
          <w:rFonts w:hint="eastAsia"/>
        </w:rPr>
        <w:instrText>月份国内狭义乘用车销量达</w:instrText>
      </w:r>
      <w:r w:rsidR="006A0B2E">
        <w:rPr>
          <w:rFonts w:hint="eastAsia"/>
        </w:rPr>
        <w:instrText>116.9</w:instrText>
      </w:r>
      <w:r w:rsidR="006A0B2E">
        <w:rPr>
          <w:rFonts w:hint="eastAsia"/>
        </w:rPr>
        <w:instrText>万辆，同比下降</w:instrText>
      </w:r>
      <w:r w:rsidR="006A0B2E">
        <w:rPr>
          <w:rFonts w:hint="eastAsia"/>
        </w:rPr>
        <w:instrText>19.0%</w:instrText>
      </w:r>
      <w:r w:rsidR="006A0B2E">
        <w:rPr>
          <w:rFonts w:hint="eastAsia"/>
        </w:rPr>
        <w:instrText>，环比下降</w:instrText>
      </w:r>
      <w:r w:rsidR="006A0B2E">
        <w:rPr>
          <w:rFonts w:hint="eastAsia"/>
        </w:rPr>
        <w:instrText>45.9%</w:instrText>
      </w:r>
      <w:r w:rsidR="006A0B2E">
        <w:rPr>
          <w:rFonts w:hint="eastAsia"/>
        </w:rPr>
        <w:instrText>，</w:instrText>
      </w:r>
      <w:r w:rsidR="006A0B2E">
        <w:rPr>
          <w:rFonts w:hint="eastAsia"/>
        </w:rPr>
        <w:instrText>1-2</w:instrText>
      </w:r>
      <w:r w:rsidR="006A0B2E">
        <w:rPr>
          <w:rFonts w:hint="eastAsia"/>
        </w:rPr>
        <w:instrText>月累计销量达</w:instrText>
      </w:r>
      <w:r w:rsidR="006A0B2E">
        <w:rPr>
          <w:rFonts w:hint="eastAsia"/>
        </w:rPr>
        <w:instrText>333.3</w:instrText>
      </w:r>
      <w:r w:rsidR="006A0B2E">
        <w:rPr>
          <w:rFonts w:hint="eastAsia"/>
        </w:rPr>
        <w:instrText>万辆，同比下降</w:instrText>
      </w:r>
      <w:r w:rsidR="006A0B2E">
        <w:rPr>
          <w:rFonts w:hint="eastAsia"/>
        </w:rPr>
        <w:instrText>9.8%</w:instrText>
      </w:r>
      <w:r w:rsidR="006A0B2E">
        <w:rPr>
          <w:rFonts w:hint="eastAsia"/>
        </w:rPr>
        <w:instrText>。在汽车销量持续不景气的大环境下，汽车市场开始了新一轮的淘汰赛。</w:instrText>
      </w:r>
      <w:r w:rsidR="006A0B2E">
        <w:rPr>
          <w:rFonts w:hint="eastAsia"/>
        </w:rPr>
        <w:instrText>&lt;/style&gt;&lt;/pages&gt;&lt;volume&gt;2021&lt;/volume&gt;&lt;nu</w:instrText>
      </w:r>
      <w:r w:rsidR="006A0B2E">
        <w:instrText>mber&gt;3 Jan&lt;/number&gt;&lt;dates&gt;&lt;year&gt;2019&lt;/year&gt;&lt;/dates&gt;&lt;pub-location&gt;Hefei Aomai Technologies Ltd&lt;/pub-location&gt;&lt;publisher&gt;Baidu&lt;/publisher&gt;&lt;urls&gt;&lt;related-urls&gt;&lt;url&gt;https://mbd.baidu.com/newspage/data/landingsuper?context=%7B%22nid%22%3A%22news_9911335238344945568%22%7D&lt;/url&gt;&lt;/related-urls&gt;&lt;/urls&gt;&lt;/record&gt;&lt;/Cite&gt;&lt;/EndNote&gt;</w:instrText>
      </w:r>
      <w:r w:rsidR="006A0B2E">
        <w:fldChar w:fldCharType="separate"/>
      </w:r>
      <w:r w:rsidR="006A0B2E">
        <w:rPr>
          <w:noProof/>
        </w:rPr>
        <w:t>(Chejingshe, 2019)</w:t>
      </w:r>
      <w:r w:rsidR="006A0B2E">
        <w:fldChar w:fldCharType="end"/>
      </w:r>
      <w:r w:rsidR="006A0B2E">
        <w:t xml:space="preserve">. </w:t>
      </w:r>
    </w:p>
    <w:p w14:paraId="29D06D70" w14:textId="72212DAA" w:rsidR="006A0B2E" w:rsidRDefault="006A0B2E" w:rsidP="006A0B2E">
      <w:pPr>
        <w:pStyle w:val="Para"/>
      </w:pPr>
      <w:r>
        <w:t xml:space="preserve">In 2018, the entire China automobile market shrunk by 3% </w:t>
      </w:r>
      <w:r>
        <w:fldChar w:fldCharType="begin">
          <w:fldData xml:space="preserve">PEVuZE5vdGU+PENpdGU+PEF1dGhvcj5DYXIgTmV3czwvQXV0aG9yPjxZZWFyPjIwMjA8L1llYXI+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</w:fldData>
        </w:fldChar>
      </w:r>
      <w:r>
        <w:instrText xml:space="preserve"> ADDIN EN.CITE </w:instrText>
      </w:r>
      <w:r>
        <w:fldChar w:fldCharType="begin">
          <w:fldData xml:space="preserve">PEVuZE5vdGU+PENpdGU+PEF1dGhvcj5DYXIgTmV3czwvQXV0aG9yPjxZZWFyPjIwMjA8L1llYXI+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</w:fldData>
        </w:fldChar>
      </w:r>
      <w:r>
        <w:instrText xml:space="preserve"> ADDIN EN.CITE.DATA </w:instrText>
      </w:r>
      <w:r>
        <w:fldChar w:fldCharType="end"/>
      </w:r>
      <w:r>
        <w:fldChar w:fldCharType="separate"/>
      </w:r>
      <w:r>
        <w:rPr>
          <w:noProof/>
        </w:rPr>
        <w:t>(Car News, 2020; Pan, 2019)</w:t>
      </w:r>
      <w:r>
        <w:fldChar w:fldCharType="end"/>
      </w:r>
      <w:r>
        <w:t xml:space="preserve">, and BAIC found Senova in a worse position than in the year before, while the sales of Beijing-Benz and Beijing Hyundai improved during the same period. By July 2018, Xu announced the suspension of the production of Senova and old Saab technology in its Beijing factory, citing ending the era of internal combustion engine vehicles as the reason </w:t>
      </w:r>
      <w:r>
        <w:fldChar w:fldCharType="begin"/>
      </w:r>
      <w:r>
        <w:instrText xml:space="preserve"> ADDIN EN.CITE &lt;EndNote&gt;&lt;Cite&gt;&lt;Author&gt;China Auto Time&lt;/Author&gt;&lt;Year&gt;2018&lt;/Year&gt;&lt;RecNum&gt;1101&lt;/RecNum&gt;&lt;DisplayText&gt;(China Auto Time, 2018)&lt;/DisplayText&gt;&lt;record&gt;&lt;rec-number&gt;1101&lt;/rec-number&gt;&lt;foreign-keys&gt;&lt;key app="EN" db-id="02rw29zr39rd5ce9s9t5txt3ts2vzw9erfrv" timestamp="1614905286"&gt;1101&lt;/key&gt;&lt;/foreign-keys&gt;&lt;ref-type name="Web Page"&gt;12&lt;/ref-type&gt;&lt;contributors&gt;&lt;authors&gt;&lt;author&gt;China Auto Time,&lt;/author&gt;&lt;/authors&gt;&lt;/contributors&gt;&lt;titles&gt;&lt;title&gt;Xu Heyi: BAIC will stop the production of its indigenous internal c</w:instrText>
      </w:r>
      <w:r>
        <w:rPr>
          <w:rFonts w:hint="eastAsia"/>
        </w:rPr>
        <w:instrText>ombustion engine cars in Beijing by the end of July&lt;/title&gt;&lt;/titles&gt;&lt;pages&gt;&lt;style face="normal" font="default" charset="134" size="100%"&gt;</w:instrText>
      </w:r>
      <w:r>
        <w:rPr>
          <w:rFonts w:hint="eastAsia"/>
        </w:rPr>
        <w:instrText>徐和谊：北汽</w:instrText>
      </w:r>
      <w:r>
        <w:rPr>
          <w:rFonts w:hint="eastAsia"/>
        </w:rPr>
        <w:instrText>7</w:instrText>
      </w:r>
      <w:r>
        <w:rPr>
          <w:rFonts w:hint="eastAsia"/>
        </w:rPr>
        <w:instrText>月底在京停产自主燃油车</w:instrText>
      </w:r>
      <w:r>
        <w:rPr>
          <w:rFonts w:hint="eastAsia"/>
        </w:rPr>
        <w:instrText>&amp;#xD;</w:instrText>
      </w:r>
      <w:r>
        <w:rPr>
          <w:rFonts w:hint="eastAsia"/>
        </w:rPr>
        <w:instrText>作者：</w:instrText>
      </w:r>
      <w:r>
        <w:rPr>
          <w:rFonts w:hint="eastAsia"/>
        </w:rPr>
        <w:instrText>&amp;#xD;</w:instrText>
      </w:r>
      <w:r>
        <w:rPr>
          <w:rFonts w:hint="eastAsia"/>
        </w:rPr>
        <w:instrText>来源：</w:instrText>
      </w:r>
      <w:r>
        <w:rPr>
          <w:rFonts w:hint="eastAsia"/>
        </w:rPr>
        <w:instrText>&amp;#xD;</w:instrText>
      </w:r>
      <w:r>
        <w:rPr>
          <w:rFonts w:hint="eastAsia"/>
        </w:rPr>
        <w:instrText>车云网</w:instrText>
      </w:r>
      <w:r>
        <w:rPr>
          <w:rFonts w:hint="eastAsia"/>
        </w:rPr>
        <w:instrText>&amp;#xD;2018/07/23 23:44&lt;/style&gt;&lt;/pages&gt;&lt;volume&gt;2020&lt;/volume&gt;&lt;number&gt;2 Feb&lt;/num</w:instrText>
      </w:r>
      <w:r>
        <w:instrText>ber&gt;&lt;dates&gt;&lt;year&gt;2018&lt;/year&gt;&lt;/dates&gt;&lt;pub-location&gt;Beijing&lt;/pub-location&gt;&lt;publisher&gt;China Auto Time&lt;/publisher&gt;&lt;urls&gt;&lt;related-urls&gt;&lt;url&gt;http://www.cnautotime.cn/news/210305-354.html&lt;/url&gt;&lt;/related-urls&gt;&lt;/urls&gt;&lt;/record&gt;&lt;/Cite&gt;&lt;/EndNote&gt;</w:instrText>
      </w:r>
      <w:r>
        <w:fldChar w:fldCharType="separate"/>
      </w:r>
      <w:r>
        <w:rPr>
          <w:noProof/>
        </w:rPr>
        <w:t>(China Auto Time, 2018)</w:t>
      </w:r>
      <w:r>
        <w:fldChar w:fldCharType="end"/>
      </w:r>
      <w:r>
        <w:t>, which is also aligned with the Beijing Municipal government's plan to stop the sales and operation of such cars within the city limits. Discontinuation of Senova was not because of deficiency or the absence of innovation because, as outlined above, Senova proved to be an innovative product. Apart from expert reviews, the market failure of a product could be due to many fac</w:t>
      </w:r>
      <w:r w:rsidRPr="00CC0F4E">
        <w:t>tors</w:t>
      </w:r>
      <w:r>
        <w:t xml:space="preserve"> </w:t>
      </w:r>
      <w:r>
        <w:fldChar w:fldCharType="begin"/>
      </w:r>
      <w:r>
        <w:instrText xml:space="preserve"> ADDIN EN.CITE &lt;EndNote&gt;&lt;Cite&gt;&lt;Author&gt;Cooper&lt;/Author&gt;&lt;Year&gt;1987&lt;/Year&gt;&lt;RecNum&gt;1184&lt;/RecNum&gt;&lt;DisplayText&gt;(Cooper &amp;amp; Kleinschmidt, 1987)&lt;/DisplayText&gt;&lt;record&gt;&lt;rec-number&gt;1184&lt;/rec-number&gt;&lt;foreign-keys&gt;&lt;key app="EN" db-id="02rw29zr39rd5ce9s9t5txt3ts2vzw9erfrv" timestamp="1634508367"&gt;1184&lt;/key&gt;&lt;/foreign-keys&gt;&lt;ref-type name="Journal Article"&gt;17&lt;/ref-type&gt;&lt;contributors&gt;&lt;authors&gt;&lt;author&gt;Cooper, Robert G&lt;/author&gt;&lt;author&gt;Kleinschmidt, Elko J&lt;/author&gt;&lt;/authors&gt;&lt;/contributors&gt;&lt;auth-address&gt;Address correspondence to Professor R. G. Cooper, Faculty of Business, McMaster University, 1280 Main St. West, Hamilton, Ontario, CANADA LSS 4M4 &lt;/auth-address&gt;&lt;titles&gt;&lt;title&gt;Success factors in product innovation&lt;/title&gt;&lt;secondary-title&gt;Industrial marketing management&lt;/secondary-title&gt;&lt;/titles&gt;&lt;periodical&gt;&lt;full-title&gt;Industrial Marketing Management&lt;/full-title&gt;&lt;/periodical&gt;&lt;pages&gt;215-223&lt;/pages&gt;&lt;volume&gt;16&lt;/volume&gt;&lt;number&gt;3&lt;/number&gt;&lt;dates&gt;&lt;year&gt;1987&lt;/year&gt;&lt;/dates&gt;&lt;isbn&gt;0019-8501&lt;/isbn&gt;&lt;urls&gt;&lt;related-urls&gt;&lt;url&gt;https://www.researchgate.net/profile/Robert-Cooper-40/publication/256181614_Success_Factors_in_Product_Innovation/links/5d361d754585153e5919649f/Success-Factors-in-Product-Innovation.pdf&lt;/url&gt;&lt;/related-urls&gt;&lt;/urls&gt;&lt;/record&gt;&lt;/Cite&gt;&lt;/EndNote&gt;</w:instrText>
      </w:r>
      <w:r>
        <w:fldChar w:fldCharType="separate"/>
      </w:r>
      <w:r>
        <w:rPr>
          <w:noProof/>
        </w:rPr>
        <w:t>(Cooper &amp; Kleinschmidt, 1987)</w:t>
      </w:r>
      <w:r>
        <w:fldChar w:fldCharType="end"/>
      </w:r>
      <w:r>
        <w:t xml:space="preserve">. In BAIC's case, it could be because of </w:t>
      </w:r>
      <w:r w:rsidR="005078A6">
        <w:t xml:space="preserve">various products' </w:t>
      </w:r>
      <w:r>
        <w:t xml:space="preserve">mismatched technology and positioning. Unlike Geely, BAIC did not give up the lineup of its low-end brands but tried to fit Senova within its EJV brands, which experts did not accept. While this decision was announced two years </w:t>
      </w:r>
      <w:r w:rsidR="005078A6">
        <w:t>before</w:t>
      </w:r>
      <w:r>
        <w:t xml:space="preserve"> </w:t>
      </w:r>
      <w:r w:rsidRPr="003502A4">
        <w:t>introducing the 14</w:t>
      </w:r>
      <w:r w:rsidRPr="003502A4">
        <w:rPr>
          <w:vertAlign w:val="superscript"/>
        </w:rPr>
        <w:t>th</w:t>
      </w:r>
      <w:r>
        <w:t xml:space="preserve"> </w:t>
      </w:r>
      <w:r w:rsidRPr="003502A4">
        <w:t xml:space="preserve">five-year plan, as a high-ranking member </w:t>
      </w:r>
      <w:r>
        <w:t>of</w:t>
      </w:r>
      <w:r w:rsidRPr="003502A4">
        <w:t xml:space="preserve"> the party, Xu might have also been</w:t>
      </w:r>
      <w:r>
        <w:t xml:space="preserve"> aware of the governments' decision to reduce their emphasis on the </w:t>
      </w:r>
      <w:r w:rsidR="00380A9E">
        <w:t>‘</w:t>
      </w:r>
      <w:r>
        <w:t>indigenous</w:t>
      </w:r>
      <w:r w:rsidR="00380A9E">
        <w:t>’</w:t>
      </w:r>
      <w:r>
        <w:t xml:space="preserve"> aspect of innovation. </w:t>
      </w:r>
    </w:p>
    <w:p w14:paraId="3C031EC1" w14:textId="07C5C937" w:rsidR="006A0B2E" w:rsidRDefault="006A0B2E" w:rsidP="006A0B2E">
      <w:pPr>
        <w:pStyle w:val="Para"/>
      </w:pPr>
      <w:r>
        <w:t xml:space="preserve">On the other hand, consistent with our prediction of synergistic planning at Geely, they have created further synergy. Geely expanded its array of mid-range to high-end brands with the introduction of new Volvo and Geely models, as well as the latest brands, </w:t>
      </w:r>
      <w:proofErr w:type="spellStart"/>
      <w:r>
        <w:t>Lynk</w:t>
      </w:r>
      <w:proofErr w:type="spellEnd"/>
      <w:r>
        <w:t xml:space="preserve"> &amp; Co., Polestar, and Geometry (see Table 2 for details). As we analyzed through the case of acquisition of Volvo technology, all new brands and models are </w:t>
      </w:r>
      <w:r w:rsidRPr="00990EE6">
        <w:t>co-developed with Volvo and based on</w:t>
      </w:r>
      <w:r w:rsidRPr="00880A51">
        <w:t xml:space="preserve"> </w:t>
      </w:r>
      <w:r>
        <w:t xml:space="preserve">the </w:t>
      </w:r>
      <w:r w:rsidRPr="00990EE6">
        <w:t xml:space="preserve">platform </w:t>
      </w:r>
      <w:r>
        <w:lastRenderedPageBreak/>
        <w:t xml:space="preserve">developed by </w:t>
      </w:r>
      <w:r w:rsidRPr="00990EE6">
        <w:t xml:space="preserve">CEVT, </w:t>
      </w:r>
      <w:r>
        <w:t>operated jointly by</w:t>
      </w:r>
      <w:r w:rsidRPr="00990EE6">
        <w:t xml:space="preserve"> Volvo and Geely</w:t>
      </w:r>
      <w:r>
        <w:t xml:space="preserve"> Auto</w:t>
      </w:r>
      <w:r w:rsidRPr="00990EE6">
        <w:t xml:space="preserve">. Geely </w:t>
      </w:r>
      <w:r>
        <w:t>has introduced t</w:t>
      </w:r>
      <w:r w:rsidRPr="00990EE6">
        <w:t xml:space="preserve">hese new brands as </w:t>
      </w:r>
      <w:r w:rsidR="001D25D1">
        <w:t>"</w:t>
      </w:r>
      <w:r w:rsidRPr="00990EE6">
        <w:t>co-developed</w:t>
      </w:r>
      <w:r w:rsidR="001D25D1">
        <w:t>"</w:t>
      </w:r>
      <w:r w:rsidRPr="00990EE6">
        <w:t xml:space="preserve"> and not indigenous or independent brands.</w:t>
      </w:r>
      <w:r>
        <w:t xml:space="preserve">  </w:t>
      </w:r>
    </w:p>
    <w:p w14:paraId="5EBFAD60" w14:textId="6EDADF3D" w:rsidR="006A0B2E" w:rsidRDefault="006A0B2E" w:rsidP="006A0B2E">
      <w:pPr>
        <w:pStyle w:val="Para"/>
      </w:pPr>
      <w:r>
        <w:t xml:space="preserve">In his New Year's speech on 31 December 2020, </w:t>
      </w:r>
      <w:proofErr w:type="spellStart"/>
      <w:r>
        <w:t>Shufu</w:t>
      </w:r>
      <w:proofErr w:type="spellEnd"/>
      <w:r>
        <w:t xml:space="preserve"> Li announced </w:t>
      </w:r>
      <w:proofErr w:type="spellStart"/>
      <w:r>
        <w:t>Geely</w:t>
      </w:r>
      <w:proofErr w:type="spellEnd"/>
      <w:r>
        <w:t xml:space="preserve"> Auto's planned IPO in 2021, but this plan was scrapped due to the minimum requirement for innovation investment to be listed on Shanghai's Star Market </w:t>
      </w:r>
      <w:r>
        <w:fldChar w:fldCharType="begin"/>
      </w:r>
      <w:r>
        <w:instrText xml:space="preserve"> ADDIN EN.CITE &lt;EndNote&gt;&lt;Cite&gt;&lt;Author&gt;Yiu&lt;/Author&gt;&lt;Year&gt;2021&lt;/Year&gt;&lt;RecNum&gt;1209&lt;/RecNum&gt;&lt;DisplayText&gt;(Yiu, 2021)&lt;/DisplayText&gt;&lt;record&gt;&lt;rec-number&gt;1209&lt;/rec-number&gt;&lt;foreign-keys&gt;&lt;key app="EN" db-id="02rw29zr39rd5ce9s9t5txt3ts2vzw9erfrv" timestamp="1640216574"&gt;1209&lt;/key&gt;&lt;/foreign-keys&gt;&lt;ref-type name="Web Page"&gt;12&lt;/ref-type&gt;&lt;contributors&gt;&lt;authors&gt;&lt;author&gt;Yiu, Enoch&lt;/author&gt;&lt;/authors&gt;&lt;/contributors&gt;&lt;titles&gt;&lt;title&gt;Chinese carmaker Geely scraps US$3 billion secondary listing on Shanghai’s Nasdaq-like Star Market&lt;/title&gt;&lt;/titles&gt;&lt;volume&gt;2021&lt;/volume&gt;&lt;number&gt;11 Nov&lt;/number&gt;&lt;dates&gt;&lt;year&gt;2021&lt;/year&gt;&lt;pub-dates&gt;&lt;date&gt;26 Jun, 2021&lt;/date&gt;&lt;/pub-dates&gt;&lt;/dates&gt;&lt;pub-location&gt;Hong Kong&lt;/pub-location&gt;&lt;publisher&gt;South China Morning Post&lt;/publisher&gt;&lt;urls&gt;&lt;related-urls&gt;&lt;url&gt;https://www.scmp.com/business/article/3138823/chinese-carmaker-geely-scraps-us3-billion-secondary-listing-shanghais&lt;/url&gt;&lt;/related-urls&gt;&lt;/urls&gt;&lt;/record&gt;&lt;/Cite&gt;&lt;/EndNote&gt;</w:instrText>
      </w:r>
      <w:r>
        <w:fldChar w:fldCharType="separate"/>
      </w:r>
      <w:r>
        <w:rPr>
          <w:noProof/>
        </w:rPr>
        <w:t>(Yiu, 2021)</w:t>
      </w:r>
      <w:r>
        <w:fldChar w:fldCharType="end"/>
      </w:r>
      <w:r>
        <w:t xml:space="preserve">. This further highlights the importance of innovation policy change for POEs. By February 2021, the company announced the extent of closer collaboration between Geely Auto, Volvo, Polestar, and </w:t>
      </w:r>
      <w:proofErr w:type="spellStart"/>
      <w:r>
        <w:t>Lynk</w:t>
      </w:r>
      <w:proofErr w:type="spellEnd"/>
      <w:r>
        <w:t xml:space="preserve"> &amp; Co. and the integration of some of their resources (e.g., marketing and distribution channels, joint R&amp;D and product development, and information sharing) while emphasized on the independence and unique structure of each subsidiary </w:t>
      </w:r>
      <w:r>
        <w:fldChar w:fldCharType="begin"/>
      </w:r>
      <w:r>
        <w:instrText xml:space="preserve"> ADDIN EN.CITE &lt;EndNote&gt;&lt;Cite&gt;&lt;Author&gt;Volvo Cars&lt;/Author&gt;&lt;Year&gt;2021&lt;/Year&gt;&lt;RecNum&gt;1182&lt;/RecNum&gt;&lt;DisplayText&gt;(Volvo Cars, 2021)&lt;/DisplayText&gt;&lt;record&gt;&lt;rec-number&gt;1182&lt;/rec-number&gt;&lt;foreign-keys&gt;&lt;key app="EN" db-id="02rw29zr39rd5ce9s9t5txt3ts2vzw9erfrv" timestamp="1634508367"&gt;1182&lt;/key&gt;&lt;/foreign-keys&gt;&lt;ref-type name="Web Page"&gt;12&lt;/ref-type&gt;&lt;contributors&gt;&lt;authors&gt;&lt;author&gt;Volvo Cars,&lt;/author&gt;&lt;/authors&gt;&lt;/contributors&gt;&lt;titles&gt;&lt;title&gt;Volvo Cars and Geely Auto to Deepen Collaboration&lt;/title&gt;&lt;/titles&gt;&lt;volume&gt;2021&lt;/volume&gt;&lt;number&gt;15 March&lt;/number&gt;&lt;dates&gt;&lt;year&gt;2021&lt;/year&gt;&lt;/dates&gt;&lt;pub-location&gt;Sweden&lt;/pub-location&gt;&lt;publisher&gt;Volvo Cars&lt;/publisher&gt;&lt;urls&gt;&lt;related-urls&gt;&lt;url&gt;https://www.media.volvocars.com/global/en-gb/media/pressreleases/277344/volvo-cars-and-geely-auto-to-deepen-collaboration,&lt;/url&gt;&lt;/related-urls&gt;&lt;/urls&gt;&lt;/record&gt;&lt;/Cite&gt;&lt;/EndNote&gt;</w:instrText>
      </w:r>
      <w:r>
        <w:fldChar w:fldCharType="separate"/>
      </w:r>
      <w:r>
        <w:rPr>
          <w:noProof/>
        </w:rPr>
        <w:t>(Volvo Cars, 2021)</w:t>
      </w:r>
      <w:r>
        <w:fldChar w:fldCharType="end"/>
      </w:r>
      <w:r>
        <w:t>.</w:t>
      </w:r>
      <w:r w:rsidRPr="0022052E">
        <w:t xml:space="preserve"> </w:t>
      </w:r>
      <w:r>
        <w:t xml:space="preserve">However, in October 2021, Geely's subsidiary, Volvo Car AB, was listed on Stockholm's Nasdaq, solidifying Volvo's independence. We already recognized cooperation in innovation as Geely's path to success. Li, in his 2021 New Year and again in February 2021 speeches, emphasized that each company will maintain its independent identity and continue to work together and cooperate on the development of hybrid and electric vehicles </w:t>
      </w:r>
      <w:r>
        <w:fldChar w:fldCharType="begin">
          <w:fldData xml:space="preserve">PEVuZE5vdGU+PENpdGU+PEF1dGhvcj5Tb2h1PC9BdXRob3I+PFllYXI+MjAyMTwvWWVhcj48UmVj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</w:fldData>
        </w:fldChar>
      </w:r>
      <w:r>
        <w:instrText xml:space="preserve"> ADDIN EN.CITE </w:instrText>
      </w:r>
      <w:r>
        <w:fldChar w:fldCharType="begin">
          <w:fldData xml:space="preserve">PEVuZE5vdGU+PENpdGU+PEF1dGhvcj5Tb2h1PC9BdXRob3I+PFllYXI+MjAyMTwvWWVhcj48UmVj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</w:fldData>
        </w:fldChar>
      </w:r>
      <w:r>
        <w:instrText xml:space="preserve"> ADDIN EN.CITE.DATA </w:instrText>
      </w:r>
      <w:r>
        <w:fldChar w:fldCharType="end"/>
      </w:r>
      <w:r>
        <w:fldChar w:fldCharType="separate"/>
      </w:r>
      <w:r>
        <w:rPr>
          <w:noProof/>
        </w:rPr>
        <w:t>(Sohu, 2021; Volvo Cars, 2021)</w:t>
      </w:r>
      <w:r>
        <w:fldChar w:fldCharType="end"/>
      </w:r>
      <w:r>
        <w:t xml:space="preserve">, which are considered to be the future of the automotive industry </w:t>
      </w:r>
      <w:r>
        <w:fldChar w:fldCharType="begin"/>
      </w:r>
      <w:r>
        <w:instrText xml:space="preserve"> ADDIN EN.CITE &lt;EndNote&gt;&lt;Cite&gt;&lt;Author&gt;Ramey&lt;/Author&gt;&lt;Year&gt;2020&lt;/Year&gt;&lt;RecNum&gt;997&lt;/RecNum&gt;&lt;DisplayText&gt;(Ramey, 2020; Teece, 2019)&lt;/DisplayText&gt;&lt;record&gt;&lt;rec-number&gt;997&lt;/rec-number&gt;&lt;foreign-keys&gt;&lt;key app="EN" db-id="02rw29zr39rd5ce9s9t5txt3ts2vzw9erfrv" timestamp="1596838240"&gt;997&lt;/key&gt;&lt;/foreign-keys&gt;&lt;ref-type name="Web Page"&gt;12&lt;/ref-type&gt;&lt;contributors&gt;&lt;authors&gt;&lt;author&gt;Ramey, Jay&lt;/author&gt;&lt;/authors&gt;&lt;/contributors&gt;&lt;titles&gt;&lt;title&gt;Volvo and Geely Are Thinking about Merging: Here&amp;apos;s What&amp;apos;s behind It&lt;/title&gt;&lt;/titles&gt;&lt;volume&gt;2020&lt;/volume&gt;&lt;number&gt;12 Feb&lt;/number&gt;&lt;dates&gt;&lt;year&gt;2020&lt;/year&gt;&lt;/dates&gt;&lt;publisher&gt;Autoweek&lt;/publisher&gt;&lt;urls&gt;&lt;related-urls&gt;&lt;url&gt;https://www.autoweek.com/news/industry-news/a30853991/volvo-and-geely-are-thinking-about-merging-heres-whats-behind-it/&lt;/url&gt;&lt;/related-urls&gt;&lt;/urls&gt;&lt;/record&gt;&lt;/Cite&gt;&lt;Cite&gt;&lt;Author&gt;Teece&lt;/Author&gt;&lt;Year&gt;2019&lt;/Year&gt;&lt;RecNum&gt;799&lt;/RecNum&gt;&lt;record&gt;&lt;rec-number&gt;799&lt;/rec-number&gt;&lt;foreign-keys&gt;&lt;key app="EN" db-id="02rw29zr39rd5ce9s9t5txt3ts2vzw9erfrv" timestamp="1571743343"&gt;799&lt;/key&gt;&lt;/foreign-keys&gt;&lt;ref-type name="Journal Article"&gt;17&lt;/ref-type&gt;&lt;contributors&gt;&lt;authors&gt;&lt;author&gt;Teece, David J.&lt;/author&gt;&lt;/authors&gt;&lt;/contributors&gt;&lt;titles&gt;&lt;title&gt;China and the Reshaping of the Auto Industry: A Dynamic Capabilities Perspective&lt;/title&gt;&lt;secondary-title&gt;Management and Organization Review&lt;/secondary-title&gt;&lt;/titles&gt;&lt;periodical&gt;&lt;full-title&gt;Management and Organization Review&lt;/full-title&gt;&lt;/periodical&gt;&lt;pages&gt;177-199&lt;/pages&gt;&lt;volume&gt;15&lt;/volume&gt;&lt;number&gt;1&lt;/number&gt;&lt;edition&gt;03/05&lt;/edition&gt;&lt;dates&gt;&lt;year&gt;2019&lt;/year&gt;&lt;/dates&gt;&lt;publisher&gt;Cambridge University Press&lt;/publisher&gt;&lt;isbn&gt;1740-8776&lt;/isbn&gt;&lt;urls&gt;&lt;related-urls&gt;&lt;url&gt;https://www.cambridge.org/core/article/china-and-the-reshaping-of-the-auto-industry-a-dynamic-capabilities-perspective/E5E3F180025D428CF10842AAC25F239C&lt;/url&gt;&lt;/related-urls&gt;&lt;/urls&gt;&lt;electronic-resource-num&gt;10.1017/mor.2019.4&lt;/electronic-resource-num&gt;&lt;remote-database-name&gt;Cambridge Core&lt;/remote-database-name&gt;&lt;remote-database-provider&gt;Cambridge University Press&lt;/remote-database-provider&gt;&lt;/record&gt;&lt;/Cite&gt;&lt;/EndNote&gt;</w:instrText>
      </w:r>
      <w:r>
        <w:fldChar w:fldCharType="separate"/>
      </w:r>
      <w:r>
        <w:rPr>
          <w:noProof/>
        </w:rPr>
        <w:t>(Ramey, 2020; Teece, 2019)</w:t>
      </w:r>
      <w:r>
        <w:fldChar w:fldCharType="end"/>
      </w:r>
      <w:r>
        <w:t xml:space="preserve">. Geely Auto and Volvo were already working together closely with Geely's other subsidiaries, particularly through CEVT. CEVT has been acting as a knowledge broker between various arms of the Geely Group </w:t>
      </w:r>
      <w:r>
        <w:fldChar w:fldCharType="begin"/>
      </w:r>
      <w:r>
        <w:instrText xml:space="preserve"> ADDIN EN.CITE &lt;EndNote&gt;&lt;Cite&gt;&lt;Author&gt;Jun&lt;/Author&gt;&lt;Year&gt;2020&lt;/Year&gt;&lt;RecNum&gt;1100&lt;/RecNum&gt;&lt;DisplayText&gt;(Jin &amp;amp; McKelvey, 2020)&lt;/DisplayText&gt;&lt;record&gt;&lt;rec-number&gt;1100&lt;/rec-number&gt;&lt;foreign-keys&gt;&lt;key app="EN" db-id="02rw29zr39rd5ce9s9t5txt3ts2vzw9erfrv" timestamp="1614899482"&gt;1100&lt;/key&gt;&lt;/foreign-keys&gt;&lt;ref-type name="Book Section"&gt;5&lt;/ref-type&gt;&lt;contributors&gt;&lt;authors&gt;&lt;author&gt;Jin, Jun&lt;/author&gt;&lt;author&gt;McKelvey, Maureen&lt;/author&gt;&lt;/authors&gt;&lt;secondary-authors&gt;&lt;author&gt;McKelvey, Maureen&lt;/author&gt;&lt;author&gt;Jun, Jin&lt;/author&gt;&lt;/secondary-authors&gt;&lt;/contributors&gt;&lt;titles&gt;&lt;title&gt;CEVT of Geely: a broker and global facilitator between Geely and Volvo Cars Innovative Capabilities and the Globalization of Chinese Firms&lt;/title&gt;&lt;secondary-title&gt;Innovative Capabilities and the Globalization of Chinese Firms&lt;/secondary-title&gt;&lt;/titles&gt;&lt;pages&gt;184-197&lt;/pages&gt;&lt;section&gt;12&lt;/section&gt;&lt;dates&gt;&lt;year&gt;2020&lt;/year&gt;&lt;/dates&gt;&lt;pub-location&gt;Cheltenham, UK&lt;/pub-location&gt;&lt;publisher&gt;Edward Elgar Publishing&lt;/publisher&gt;&lt;isbn&gt;9781786434470&lt;/isbn&gt;&lt;urls&gt;&lt;related-urls&gt;&lt;url&gt;https://www.elgaronline.com/view/edcoll/9781786434470/9781786434470.00017.xml&lt;/url&gt;&lt;/related-urls&gt;&lt;/urls&gt;&lt;electronic-resource-num&gt;https://doi.org/10.4337/9781786434487.00017&lt;/electronic-resource-num&gt;&lt;language&gt;English&lt;/language&gt;&lt;/record&gt;&lt;/Cite&gt;&lt;/EndNote&gt;</w:instrText>
      </w:r>
      <w:r>
        <w:fldChar w:fldCharType="separate"/>
      </w:r>
      <w:r>
        <w:rPr>
          <w:noProof/>
        </w:rPr>
        <w:t>(Jin &amp; McKelvey, 2020)</w:t>
      </w:r>
      <w:r>
        <w:fldChar w:fldCharType="end"/>
      </w:r>
      <w:r w:rsidR="005078A6">
        <w:t>,</w:t>
      </w:r>
      <w:r>
        <w:t xml:space="preserve"> and the introduction of Polestar, Geometry, </w:t>
      </w:r>
      <w:proofErr w:type="spellStart"/>
      <w:r>
        <w:t>Lynk</w:t>
      </w:r>
      <w:proofErr w:type="spellEnd"/>
      <w:r>
        <w:t xml:space="preserve"> &amp; Co., and other Geely brands has been the result of these collaborations. Closer cooperation between brands </w:t>
      </w:r>
      <w:r w:rsidRPr="003502A4">
        <w:t>based on the same platforms can reduce redundancies in R&amp;D, testing, and planning for future developments and</w:t>
      </w:r>
      <w:r>
        <w:t xml:space="preserve"> cost saving from economies of scale. These point to more synergistic gains that Geely can achieve from its acquisition. </w:t>
      </w:r>
    </w:p>
    <w:p w14:paraId="74BB7D96" w14:textId="77777777" w:rsidR="006A0B2E" w:rsidRDefault="006A0B2E" w:rsidP="006A0B2E">
      <w:pPr>
        <w:pStyle w:val="Para"/>
      </w:pPr>
    </w:p>
    <w:p w14:paraId="46A2C3E1" w14:textId="07603AB8" w:rsidR="005365D3" w:rsidRDefault="005365D3" w:rsidP="00006217">
      <w:pPr>
        <w:pStyle w:val="Heading1"/>
      </w:pPr>
      <w:r>
        <w:t>REFERENCE</w:t>
      </w:r>
    </w:p>
    <w:p w14:paraId="21C8B211" w14:textId="3E0C0239" w:rsidR="0033204B" w:rsidRPr="0033204B" w:rsidRDefault="005365D3" w:rsidP="0033204B">
      <w:pPr>
        <w:pStyle w:val="EndNoteBibliography"/>
        <w:ind w:left="720" w:hanging="720"/>
      </w:pPr>
      <w:r>
        <w:fldChar w:fldCharType="begin"/>
      </w:r>
      <w:r>
        <w:instrText xml:space="preserve"> ADDIN EN.REFLIST </w:instrText>
      </w:r>
      <w:r>
        <w:fldChar w:fldCharType="separate"/>
      </w:r>
      <w:r w:rsidR="0033204B" w:rsidRPr="0033204B">
        <w:t xml:space="preserve">Car News. 2020. </w:t>
      </w:r>
      <w:r w:rsidR="0033204B" w:rsidRPr="0033204B">
        <w:rPr>
          <w:b/>
          <w:i/>
        </w:rPr>
        <w:t>In 2019, the annual sales volume of China's automobile market is released, with a year-on-year decline of 7.4%</w:t>
      </w:r>
      <w:r w:rsidR="0033204B" w:rsidRPr="0033204B">
        <w:t xml:space="preserve">. Baidu, [Cited 10 Jan, 2021.] Available from </w:t>
      </w:r>
      <w:hyperlink r:id="rId6" w:history="1">
        <w:r w:rsidR="0033204B" w:rsidRPr="0033204B">
          <w:rPr>
            <w:rStyle w:val="Hyperlink"/>
          </w:rPr>
          <w:t>https://baijiahao.baidu.com/s?id=1655270161983353405</w:t>
        </w:r>
      </w:hyperlink>
      <w:r w:rsidR="0033204B" w:rsidRPr="0033204B">
        <w:t>.</w:t>
      </w:r>
    </w:p>
    <w:p w14:paraId="7DAC2A26" w14:textId="6A3C1A51" w:rsidR="0033204B" w:rsidRPr="0033204B" w:rsidRDefault="0033204B" w:rsidP="0033204B">
      <w:pPr>
        <w:pStyle w:val="EndNoteBibliography"/>
        <w:ind w:left="720" w:hanging="720"/>
      </w:pPr>
      <w:r w:rsidRPr="0033204B">
        <w:t xml:space="preserve">Chejingshe. 2019. </w:t>
      </w:r>
      <w:r w:rsidRPr="0033204B">
        <w:rPr>
          <w:b/>
          <w:i/>
        </w:rPr>
        <w:t>How misrable is BAIC's Senova? It is too late to take a parachute!</w:t>
      </w:r>
      <w:r w:rsidRPr="0033204B">
        <w:t xml:space="preserve"> Baidu, [Cited 3 Jan, 2021.] Available from </w:t>
      </w:r>
      <w:hyperlink r:id="rId7" w:history="1">
        <w:r w:rsidRPr="0033204B">
          <w:rPr>
            <w:rStyle w:val="Hyperlink"/>
          </w:rPr>
          <w:t>https://mbd.baidu.com/newspage/data/landingsuper?context=%7B%22nid%22%3A%22news_9911335238344945568%22%7D</w:t>
        </w:r>
      </w:hyperlink>
      <w:r w:rsidRPr="0033204B">
        <w:t>.</w:t>
      </w:r>
    </w:p>
    <w:p w14:paraId="072595F8" w14:textId="77777777" w:rsidR="0033204B" w:rsidRPr="0033204B" w:rsidRDefault="0033204B" w:rsidP="0033204B">
      <w:pPr>
        <w:pStyle w:val="EndNoteBibliography"/>
        <w:ind w:left="720" w:hanging="720"/>
      </w:pPr>
      <w:r w:rsidRPr="0033204B">
        <w:t xml:space="preserve">Chen, L., &amp; Naughton, B. 2016. An institutionalized policy-making mechanism: China’s return to techno-industrial policy. </w:t>
      </w:r>
      <w:r w:rsidRPr="0033204B">
        <w:rPr>
          <w:b/>
          <w:i/>
        </w:rPr>
        <w:t>Research Policy</w:t>
      </w:r>
      <w:r w:rsidRPr="0033204B">
        <w:t>, 45(10): 2138-2152.</w:t>
      </w:r>
    </w:p>
    <w:p w14:paraId="29396AC0" w14:textId="77777777" w:rsidR="0033204B" w:rsidRPr="0033204B" w:rsidRDefault="0033204B" w:rsidP="0033204B">
      <w:pPr>
        <w:pStyle w:val="EndNoteBibliography"/>
        <w:ind w:left="720" w:hanging="720"/>
      </w:pPr>
      <w:r w:rsidRPr="0033204B">
        <w:t xml:space="preserve">Child, J., &amp; Rodrigues, S. B. 2005. The Internationalization of Chinese Firms: A Case for Theoretical Extension? </w:t>
      </w:r>
      <w:r w:rsidRPr="0033204B">
        <w:rPr>
          <w:b/>
          <w:i/>
        </w:rPr>
        <w:t>Management &amp; Organization Review</w:t>
      </w:r>
      <w:r w:rsidRPr="0033204B">
        <w:t>, 1(3): 381-410-410.</w:t>
      </w:r>
    </w:p>
    <w:p w14:paraId="7E12D0F2" w14:textId="77777777" w:rsidR="0033204B" w:rsidRPr="0033204B" w:rsidRDefault="0033204B" w:rsidP="0033204B">
      <w:pPr>
        <w:pStyle w:val="EndNoteBibliography"/>
        <w:ind w:left="720" w:hanging="720"/>
      </w:pPr>
      <w:r w:rsidRPr="0033204B">
        <w:t xml:space="preserve">Chin, G. T. 2009. </w:t>
      </w:r>
      <w:r w:rsidRPr="0033204B">
        <w:rPr>
          <w:b/>
          <w:i/>
        </w:rPr>
        <w:t>China’s Automotive Modernization: The Party-State and Multinational Corporations</w:t>
      </w:r>
      <w:r w:rsidRPr="0033204B">
        <w:t>. Basingstoke, Hampshire, and New York Palgrave MacMillan.</w:t>
      </w:r>
    </w:p>
    <w:p w14:paraId="0A00FAA9" w14:textId="7A8355AD" w:rsidR="0033204B" w:rsidRPr="0033204B" w:rsidRDefault="0033204B" w:rsidP="0033204B">
      <w:pPr>
        <w:pStyle w:val="EndNoteBibliography"/>
        <w:ind w:left="720" w:hanging="720"/>
      </w:pPr>
      <w:r w:rsidRPr="0033204B">
        <w:t xml:space="preserve">China Auto Time. 2018. </w:t>
      </w:r>
      <w:r w:rsidRPr="0033204B">
        <w:rPr>
          <w:b/>
          <w:i/>
        </w:rPr>
        <w:t>Xu Heyi: BAIC will stop the production of its indigenous internal combustion engine cars in Beijing by the end of July</w:t>
      </w:r>
      <w:r w:rsidRPr="0033204B">
        <w:t xml:space="preserve">. China Auto Time, [Cited 2 Feb, 2020.] Available from </w:t>
      </w:r>
      <w:hyperlink r:id="rId8" w:history="1">
        <w:r w:rsidRPr="0033204B">
          <w:rPr>
            <w:rStyle w:val="Hyperlink"/>
          </w:rPr>
          <w:t>http://www.cnautotime.cn/news/210305-354.html</w:t>
        </w:r>
      </w:hyperlink>
      <w:r w:rsidRPr="0033204B">
        <w:t>.</w:t>
      </w:r>
    </w:p>
    <w:p w14:paraId="733AC860" w14:textId="77777777" w:rsidR="0033204B" w:rsidRPr="0033204B" w:rsidRDefault="0033204B" w:rsidP="0033204B">
      <w:pPr>
        <w:pStyle w:val="EndNoteBibliography"/>
        <w:ind w:left="720" w:hanging="720"/>
      </w:pPr>
      <w:r w:rsidRPr="0033204B">
        <w:t>China Automobile Industry Yearbook. 2007-2019. China Automobile Industry Yearbook, Vol. 2007-2019: China Automotive Technology &amp; Research Center Co. Ltd in Tianjin.</w:t>
      </w:r>
    </w:p>
    <w:p w14:paraId="7254AD4A" w14:textId="50D445ED" w:rsidR="0033204B" w:rsidRPr="0033204B" w:rsidRDefault="0033204B" w:rsidP="0033204B">
      <w:pPr>
        <w:pStyle w:val="EndNoteBibliography"/>
        <w:ind w:left="720" w:hanging="720"/>
      </w:pPr>
      <w:r w:rsidRPr="0033204B">
        <w:t xml:space="preserve">China.org.cn. 1996. </w:t>
      </w:r>
      <w:r w:rsidRPr="0033204B">
        <w:rPr>
          <w:b/>
          <w:i/>
        </w:rPr>
        <w:t>Report on the Outline of the Ninth Five-Year Plan (1996-2000) for National Economic and Social Development and the Long-range Objectives to the Year 2010 (Excerpts)</w:t>
      </w:r>
      <w:r w:rsidRPr="0033204B">
        <w:t xml:space="preserve">. [Cited 6 Feb, 2015.] Available from </w:t>
      </w:r>
      <w:hyperlink r:id="rId9" w:history="1">
        <w:r w:rsidRPr="0033204B">
          <w:rPr>
            <w:rStyle w:val="Hyperlink"/>
          </w:rPr>
          <w:t>http://www.china.org.cn/95e/95-english1/2.htm</w:t>
        </w:r>
      </w:hyperlink>
      <w:r w:rsidRPr="0033204B">
        <w:t>.</w:t>
      </w:r>
    </w:p>
    <w:p w14:paraId="5D3C3E1B" w14:textId="77777777" w:rsidR="0033204B" w:rsidRPr="0033204B" w:rsidRDefault="0033204B" w:rsidP="0033204B">
      <w:pPr>
        <w:pStyle w:val="EndNoteBibliography"/>
        <w:ind w:left="720" w:hanging="720"/>
      </w:pPr>
      <w:r w:rsidRPr="0033204B">
        <w:t xml:space="preserve">Cooper, R. G., &amp; Kleinschmidt, E. J. 1987. Success factors in product innovation. </w:t>
      </w:r>
      <w:r w:rsidRPr="0033204B">
        <w:rPr>
          <w:b/>
          <w:i/>
        </w:rPr>
        <w:t>Industrial marketing management</w:t>
      </w:r>
      <w:r w:rsidRPr="0033204B">
        <w:t>, 16(3): 215-223.</w:t>
      </w:r>
    </w:p>
    <w:p w14:paraId="5FCAD6EE" w14:textId="77777777" w:rsidR="0033204B" w:rsidRPr="0033204B" w:rsidRDefault="0033204B" w:rsidP="0033204B">
      <w:pPr>
        <w:pStyle w:val="EndNoteBibliography"/>
        <w:ind w:left="720" w:hanging="720"/>
      </w:pPr>
      <w:r w:rsidRPr="0033204B">
        <w:t xml:space="preserve">Ebbers, H. 2018. </w:t>
      </w:r>
      <w:r w:rsidRPr="0033204B">
        <w:rPr>
          <w:b/>
          <w:i/>
        </w:rPr>
        <w:t>Unravelling Modern China</w:t>
      </w:r>
      <w:r w:rsidRPr="0033204B">
        <w:t>. New Jersey, US: World Scientific Publishing Company.</w:t>
      </w:r>
    </w:p>
    <w:p w14:paraId="66BD1853" w14:textId="77777777" w:rsidR="0033204B" w:rsidRPr="0033204B" w:rsidRDefault="0033204B" w:rsidP="0033204B">
      <w:pPr>
        <w:pStyle w:val="EndNoteBibliography"/>
        <w:ind w:left="720" w:hanging="720"/>
      </w:pPr>
      <w:r w:rsidRPr="0033204B">
        <w:t xml:space="preserve">Jin, J., &amp; McKelvey, M. 2020. CEVT of Geely: a broker and global facilitator between Geely and Volvo Cars Innovative Capabilities and the Globalization of Chinese Firms. In M. McKelvey, &amp; J. Jun (Eds.), </w:t>
      </w:r>
      <w:r w:rsidRPr="0033204B">
        <w:rPr>
          <w:b/>
          <w:i/>
        </w:rPr>
        <w:t>Innovative Capabilities and the Globalization of Chinese Firms</w:t>
      </w:r>
      <w:r w:rsidRPr="0033204B">
        <w:t>: 184-197. Cheltenham, UK: Edward Elgar Publishing.</w:t>
      </w:r>
    </w:p>
    <w:p w14:paraId="6EAF2A57" w14:textId="77777777" w:rsidR="0033204B" w:rsidRPr="0033204B" w:rsidRDefault="0033204B" w:rsidP="0033204B">
      <w:pPr>
        <w:pStyle w:val="EndNoteBibliography"/>
        <w:ind w:left="720" w:hanging="720"/>
      </w:pPr>
      <w:r w:rsidRPr="0033204B">
        <w:t xml:space="preserve">Liu, F.-c., Simon, D. F., Sun, Y.-t., &amp; Cao, C. 2011. China's innovation policies: Evolution, institutional structure, and trajectory. </w:t>
      </w:r>
      <w:r w:rsidRPr="0033204B">
        <w:rPr>
          <w:b/>
          <w:i/>
        </w:rPr>
        <w:t>Research Policy</w:t>
      </w:r>
      <w:r w:rsidRPr="0033204B">
        <w:t>, 40(7): 917-931.</w:t>
      </w:r>
    </w:p>
    <w:p w14:paraId="5EF747BD" w14:textId="77777777" w:rsidR="0033204B" w:rsidRPr="0033204B" w:rsidRDefault="0033204B" w:rsidP="0033204B">
      <w:pPr>
        <w:pStyle w:val="EndNoteBibliography"/>
        <w:ind w:left="720" w:hanging="720"/>
      </w:pPr>
      <w:r w:rsidRPr="0033204B">
        <w:t>OICA. 2019. (Automobile) Production Statistics. In Organisation Internationale des Constructeurs d'Automobiles (Ed.).</w:t>
      </w:r>
    </w:p>
    <w:p w14:paraId="2E9356A6" w14:textId="77777777" w:rsidR="0033204B" w:rsidRPr="0033204B" w:rsidRDefault="0033204B" w:rsidP="0033204B">
      <w:pPr>
        <w:pStyle w:val="EndNoteBibliography"/>
        <w:ind w:left="720" w:hanging="720"/>
      </w:pPr>
      <w:r w:rsidRPr="0033204B">
        <w:t xml:space="preserve">Overholt, W. H. 2018. </w:t>
      </w:r>
      <w:r w:rsidRPr="0033204B">
        <w:rPr>
          <w:b/>
          <w:i/>
        </w:rPr>
        <w:t>China’s Crisis of Success</w:t>
      </w:r>
      <w:r w:rsidRPr="0033204B">
        <w:t xml:space="preserve">. Cambridge, UK: Cambridge University Press </w:t>
      </w:r>
    </w:p>
    <w:p w14:paraId="5AE7501D" w14:textId="6E637833" w:rsidR="0033204B" w:rsidRPr="0033204B" w:rsidRDefault="0033204B" w:rsidP="0033204B">
      <w:pPr>
        <w:pStyle w:val="EndNoteBibliography"/>
        <w:ind w:left="720" w:hanging="720"/>
      </w:pPr>
      <w:r w:rsidRPr="0033204B">
        <w:t xml:space="preserve">Pan, Y. 2019. </w:t>
      </w:r>
      <w:r w:rsidRPr="0033204B">
        <w:rPr>
          <w:b/>
          <w:i/>
        </w:rPr>
        <w:t>Integration of BAIC Senova and BAIC new energy</w:t>
      </w:r>
      <w:r w:rsidRPr="0033204B">
        <w:t xml:space="preserve">. Guanchazhe (Observer), [Cited 10 Jan, 2021.] Available from </w:t>
      </w:r>
      <w:hyperlink r:id="rId10" w:history="1">
        <w:r w:rsidRPr="0033204B">
          <w:rPr>
            <w:rStyle w:val="Hyperlink"/>
          </w:rPr>
          <w:t>https://www.guancha.cn/qiche/2019_10_18_521915.shtml</w:t>
        </w:r>
      </w:hyperlink>
      <w:r w:rsidRPr="0033204B">
        <w:t>.</w:t>
      </w:r>
    </w:p>
    <w:p w14:paraId="589C9F37" w14:textId="1467A065" w:rsidR="0033204B" w:rsidRPr="0033204B" w:rsidRDefault="0033204B" w:rsidP="0033204B">
      <w:pPr>
        <w:pStyle w:val="EndNoteBibliography"/>
        <w:ind w:left="720" w:hanging="720"/>
      </w:pPr>
      <w:r w:rsidRPr="0033204B">
        <w:t xml:space="preserve">Qiu, X. 2017. </w:t>
      </w:r>
      <w:r w:rsidRPr="0033204B">
        <w:rPr>
          <w:b/>
          <w:i/>
        </w:rPr>
        <w:t>Why is it inevitable that the sales volume of BAIC's Senova was going to get cut off?</w:t>
      </w:r>
      <w:r w:rsidRPr="0033204B">
        <w:t xml:space="preserve"> Baidu, [Cited 3 Jan, 2021.] Available from </w:t>
      </w:r>
      <w:hyperlink r:id="rId11" w:history="1">
        <w:r w:rsidRPr="0033204B">
          <w:rPr>
            <w:rStyle w:val="Hyperlink"/>
          </w:rPr>
          <w:t>https://baijiahao.baidu.com/s?id=1574703782072335</w:t>
        </w:r>
      </w:hyperlink>
      <w:r w:rsidRPr="0033204B">
        <w:t>.</w:t>
      </w:r>
    </w:p>
    <w:p w14:paraId="5B5B798D" w14:textId="67D9056C" w:rsidR="0033204B" w:rsidRPr="0033204B" w:rsidRDefault="0033204B" w:rsidP="0033204B">
      <w:pPr>
        <w:pStyle w:val="EndNoteBibliography"/>
        <w:ind w:left="720" w:hanging="720"/>
      </w:pPr>
      <w:r w:rsidRPr="0033204B">
        <w:t xml:space="preserve">Ramey, J. 2020. </w:t>
      </w:r>
      <w:r w:rsidRPr="0033204B">
        <w:rPr>
          <w:b/>
          <w:i/>
        </w:rPr>
        <w:t>Volvo and Geely Are Thinking about Merging: Here's What's behind It</w:t>
      </w:r>
      <w:r w:rsidRPr="0033204B">
        <w:t xml:space="preserve">. Autoweek, [Cited 12 Feb, 2020.] Available from </w:t>
      </w:r>
      <w:hyperlink r:id="rId12" w:history="1">
        <w:r w:rsidRPr="0033204B">
          <w:rPr>
            <w:rStyle w:val="Hyperlink"/>
          </w:rPr>
          <w:t>https://www.autoweek.com/news/industry-news/a30853991/volvo-and-geely-are-thinking-about-merging-heres-whats-behind-it/</w:t>
        </w:r>
      </w:hyperlink>
      <w:r w:rsidRPr="0033204B">
        <w:t>.</w:t>
      </w:r>
    </w:p>
    <w:p w14:paraId="0CD8DB97" w14:textId="77777777" w:rsidR="0033204B" w:rsidRPr="0033204B" w:rsidRDefault="0033204B" w:rsidP="0033204B">
      <w:pPr>
        <w:pStyle w:val="EndNoteBibliography"/>
        <w:ind w:left="720" w:hanging="720"/>
      </w:pPr>
      <w:r w:rsidRPr="0033204B">
        <w:t xml:space="preserve">Santacreu, A. M., &amp; Zhu, H. 2018. What Does China’s Rise in Patents Mean? A Look at Quality vs. Quantity. </w:t>
      </w:r>
      <w:r w:rsidRPr="0033204B">
        <w:rPr>
          <w:b/>
          <w:i/>
        </w:rPr>
        <w:t>Economic Synopses</w:t>
      </w:r>
      <w:r w:rsidRPr="0033204B">
        <w:t>, No. 14(19 Nov).</w:t>
      </w:r>
    </w:p>
    <w:p w14:paraId="3D6E21B5" w14:textId="77777777" w:rsidR="0033204B" w:rsidRPr="0033204B" w:rsidRDefault="0033204B" w:rsidP="0033204B">
      <w:pPr>
        <w:pStyle w:val="EndNoteBibliography"/>
        <w:ind w:left="720" w:hanging="720"/>
      </w:pPr>
      <w:r w:rsidRPr="0033204B">
        <w:t xml:space="preserve">Shambaugh, D. 2013. </w:t>
      </w:r>
      <w:r w:rsidRPr="0033204B">
        <w:rPr>
          <w:b/>
          <w:i/>
        </w:rPr>
        <w:t>China Goes Global: The Partial Power</w:t>
      </w:r>
      <w:r w:rsidRPr="0033204B">
        <w:t>. Oxford, UK: Oxford University Press.</w:t>
      </w:r>
    </w:p>
    <w:p w14:paraId="5574F3A5" w14:textId="77EB2E96" w:rsidR="0033204B" w:rsidRPr="0033204B" w:rsidRDefault="0033204B" w:rsidP="0033204B">
      <w:pPr>
        <w:pStyle w:val="EndNoteBibliography"/>
        <w:ind w:left="720" w:hanging="720"/>
      </w:pPr>
      <w:r w:rsidRPr="0033204B">
        <w:t xml:space="preserve">Sohu. 2018. </w:t>
      </w:r>
      <w:r w:rsidRPr="0033204B">
        <w:rPr>
          <w:b/>
          <w:i/>
        </w:rPr>
        <w:t>Analysis of the domestic auto market in 2017: One step away from 30 million vehicles</w:t>
      </w:r>
      <w:r w:rsidRPr="0033204B">
        <w:t xml:space="preserve">. [Cited 14 Dec, 2020.] Available from </w:t>
      </w:r>
      <w:hyperlink r:id="rId13" w:history="1">
        <w:r w:rsidRPr="0033204B">
          <w:rPr>
            <w:rStyle w:val="Hyperlink"/>
          </w:rPr>
          <w:t>https://www.sohu.com/a/217231374_100084983</w:t>
        </w:r>
      </w:hyperlink>
      <w:r w:rsidRPr="0033204B">
        <w:t>.</w:t>
      </w:r>
    </w:p>
    <w:p w14:paraId="47D4883A" w14:textId="4A0AC202" w:rsidR="0033204B" w:rsidRPr="0033204B" w:rsidRDefault="0033204B" w:rsidP="0033204B">
      <w:pPr>
        <w:pStyle w:val="EndNoteBibliography"/>
        <w:ind w:left="720" w:hanging="720"/>
      </w:pPr>
      <w:r w:rsidRPr="0033204B">
        <w:t xml:space="preserve">Sohu. 2021. </w:t>
      </w:r>
      <w:r w:rsidRPr="0033204B">
        <w:rPr>
          <w:b/>
          <w:i/>
        </w:rPr>
        <w:t>Geely and Volvo to restart negotiating merger</w:t>
      </w:r>
      <w:r w:rsidRPr="0033204B">
        <w:t xml:space="preserve">. Sohu, [Cited 14 Jan, 2021.] Available from </w:t>
      </w:r>
      <w:hyperlink r:id="rId14" w:history="1">
        <w:r w:rsidRPr="0033204B">
          <w:rPr>
            <w:rStyle w:val="Hyperlink"/>
          </w:rPr>
          <w:t>https://www.sohu.com/a/441836270_290112</w:t>
        </w:r>
      </w:hyperlink>
      <w:r w:rsidRPr="0033204B">
        <w:t>.</w:t>
      </w:r>
    </w:p>
    <w:p w14:paraId="50D57654" w14:textId="77777777" w:rsidR="0033204B" w:rsidRPr="0033204B" w:rsidRDefault="0033204B" w:rsidP="0033204B">
      <w:pPr>
        <w:pStyle w:val="EndNoteBibliography"/>
        <w:ind w:left="720" w:hanging="720"/>
      </w:pPr>
      <w:r w:rsidRPr="0033204B">
        <w:t xml:space="preserve">Teece, D. J. 2019. China and the Reshaping of the Auto Industry: A Dynamic Capabilities Perspective. </w:t>
      </w:r>
      <w:r w:rsidRPr="0033204B">
        <w:rPr>
          <w:b/>
          <w:i/>
        </w:rPr>
        <w:t>Management and Organization Review</w:t>
      </w:r>
      <w:r w:rsidRPr="0033204B">
        <w:t>, 15(1): 177-199.</w:t>
      </w:r>
    </w:p>
    <w:p w14:paraId="7874F92A" w14:textId="382D13FD" w:rsidR="0033204B" w:rsidRPr="0033204B" w:rsidRDefault="0033204B" w:rsidP="0033204B">
      <w:pPr>
        <w:pStyle w:val="EndNoteBibliography"/>
        <w:ind w:left="720" w:hanging="720"/>
      </w:pPr>
      <w:r w:rsidRPr="0033204B">
        <w:lastRenderedPageBreak/>
        <w:t xml:space="preserve">Volvo Cars. 2021. </w:t>
      </w:r>
      <w:r w:rsidRPr="0033204B">
        <w:rPr>
          <w:b/>
          <w:i/>
        </w:rPr>
        <w:t>Volvo Cars and Geely Auto to Deepen Collaboration</w:t>
      </w:r>
      <w:r w:rsidRPr="0033204B">
        <w:t xml:space="preserve">. Volvo Cars, [Cited 15 March, 2021.] Available from </w:t>
      </w:r>
      <w:hyperlink r:id="rId15" w:history="1">
        <w:r w:rsidRPr="0033204B">
          <w:rPr>
            <w:rStyle w:val="Hyperlink"/>
          </w:rPr>
          <w:t>https://www.media.volvocars.com/global/en-gb/media/pressreleases/277344/volvo-cars-and-geely-auto-to-deepen-collaboration</w:t>
        </w:r>
      </w:hyperlink>
      <w:r w:rsidRPr="0033204B">
        <w:t>,.</w:t>
      </w:r>
    </w:p>
    <w:p w14:paraId="7D32016F" w14:textId="57DBFB1F" w:rsidR="0033204B" w:rsidRPr="0033204B" w:rsidRDefault="0033204B" w:rsidP="0033204B">
      <w:pPr>
        <w:pStyle w:val="EndNoteBibliography"/>
        <w:ind w:left="720" w:hanging="720"/>
      </w:pPr>
      <w:r w:rsidRPr="0033204B">
        <w:t xml:space="preserve">Yiu, E. 2021. </w:t>
      </w:r>
      <w:r w:rsidRPr="0033204B">
        <w:rPr>
          <w:b/>
          <w:i/>
        </w:rPr>
        <w:t>Chinese carmaker Geely scraps US$3 billion secondary listing on Shanghai’s Nasdaq-like Star Market</w:t>
      </w:r>
      <w:r w:rsidRPr="0033204B">
        <w:t xml:space="preserve">. South China Morning Post, [Cited 11 Nov, 2021.] Available from </w:t>
      </w:r>
      <w:hyperlink r:id="rId16" w:history="1">
        <w:r w:rsidRPr="0033204B">
          <w:rPr>
            <w:rStyle w:val="Hyperlink"/>
          </w:rPr>
          <w:t>https://www.scmp.com/business/article/3138823/chinese-carmaker-geely-scraps-us3-billion-secondary-listing-shanghais</w:t>
        </w:r>
      </w:hyperlink>
      <w:r w:rsidRPr="0033204B">
        <w:t>.</w:t>
      </w:r>
    </w:p>
    <w:p w14:paraId="11B9607D" w14:textId="0553DC2B" w:rsidR="005365D3" w:rsidRDefault="005365D3" w:rsidP="0033204B">
      <w:pPr>
        <w:spacing w:line="480" w:lineRule="auto"/>
        <w:jc w:val="center"/>
      </w:pPr>
      <w:r>
        <w:fldChar w:fldCharType="end"/>
      </w:r>
    </w:p>
    <w:p w14:paraId="67131BC3" w14:textId="77777777" w:rsidR="006E0DB0" w:rsidRDefault="006E0DB0" w:rsidP="006E0DB0">
      <w:pPr>
        <w:pStyle w:val="Para"/>
        <w:sectPr w:rsidR="006E0DB0">
          <w:pgSz w:w="12240" w:h="15840"/>
          <w:pgMar w:top="1440" w:right="1440" w:bottom="1440" w:left="1440" w:header="720" w:footer="720" w:gutter="0"/>
          <w:cols w:space="720"/>
          <w:docGrid w:linePitch="360"/>
        </w:sectPr>
      </w:pPr>
    </w:p>
    <w:p w14:paraId="58F7FA24" w14:textId="77777777" w:rsidR="006E0DB0" w:rsidRDefault="006E0DB0" w:rsidP="006E0DB0">
      <w:pPr>
        <w:pStyle w:val="TableTitle"/>
      </w:pPr>
      <w:r>
        <w:rPr>
          <w:rFonts w:hint="eastAsia"/>
        </w:rPr>
        <w:lastRenderedPageBreak/>
        <w:t>FIGURE</w:t>
      </w:r>
      <w:r>
        <w:t xml:space="preserve"> 1: </w:t>
      </w:r>
      <w:r>
        <w:rPr>
          <w:rFonts w:hint="eastAsia"/>
        </w:rPr>
        <w:t xml:space="preserve">Number of patent applications in auto industry for </w:t>
      </w:r>
      <w:r>
        <w:t xml:space="preserve">top filing </w:t>
      </w:r>
      <w:r>
        <w:rPr>
          <w:rFonts w:hint="eastAsia"/>
        </w:rPr>
        <w:t>econo</w:t>
      </w:r>
      <w:r>
        <w:t>mies</w:t>
      </w:r>
    </w:p>
    <w:p w14:paraId="3C4425F9" w14:textId="77777777" w:rsidR="006E0DB0" w:rsidRPr="00111355" w:rsidRDefault="006E0DB0" w:rsidP="006E0DB0">
      <w:pPr>
        <w:pStyle w:val="TableTitle"/>
      </w:pPr>
      <w:r>
        <w:rPr>
          <w:noProof/>
        </w:rPr>
        <w:drawing>
          <wp:inline distT="0" distB="0" distL="0" distR="0" wp14:anchorId="1821123E" wp14:editId="47C5A346">
            <wp:extent cx="7158037" cy="2924175"/>
            <wp:effectExtent l="0" t="0" r="5080" b="9525"/>
            <wp:docPr id="1" name="图表 1">
              <a:extLst xmlns:a="http://schemas.openxmlformats.org/drawingml/2006/main">
                <a:ext uri="{FF2B5EF4-FFF2-40B4-BE49-F238E27FC236}">
                  <a16:creationId xmlns:a16="http://schemas.microsoft.com/office/drawing/2014/main" id="{48F42406-7BCD-4F5B-B484-45713DDC4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7194B4" w14:textId="77777777" w:rsidR="006E0DB0" w:rsidRDefault="006E0DB0" w:rsidP="006E0DB0"/>
    <w:p w14:paraId="29628FAA" w14:textId="6563DC43" w:rsidR="006E0DB0" w:rsidRPr="000814F1" w:rsidRDefault="006E0DB0" w:rsidP="006E0DB0">
      <w:pPr>
        <w:pStyle w:val="Paracaption"/>
      </w:pPr>
      <w:r w:rsidRPr="000814F1">
        <w:rPr>
          <w:rFonts w:hint="eastAsia"/>
        </w:rPr>
        <w:t xml:space="preserve">Notes: Searched with keywords </w:t>
      </w:r>
      <w:r w:rsidR="001D25D1">
        <w:t>"</w:t>
      </w:r>
      <w:r w:rsidRPr="000814F1">
        <w:t xml:space="preserve">automobile OR Car OR vehicle </w:t>
      </w:r>
      <w:r>
        <w:t>ANDNOT</w:t>
      </w:r>
      <w:r w:rsidRPr="000814F1">
        <w:t xml:space="preserve"> airplane </w:t>
      </w:r>
      <w:r>
        <w:t>ANDNOT</w:t>
      </w:r>
      <w:r w:rsidRPr="000814F1">
        <w:t xml:space="preserve"> aerial vehicle </w:t>
      </w:r>
      <w:r>
        <w:t>ANDNOT</w:t>
      </w:r>
      <w:r w:rsidRPr="000814F1">
        <w:t xml:space="preserve"> electric </w:t>
      </w:r>
      <w:r>
        <w:t>ANDNOT</w:t>
      </w:r>
      <w:r w:rsidRPr="000814F1">
        <w:t xml:space="preserve"> space </w:t>
      </w:r>
      <w:r>
        <w:t>ANDNOT</w:t>
      </w:r>
      <w:r w:rsidRPr="000814F1">
        <w:t xml:space="preserve"> aircraft</w:t>
      </w:r>
      <w:r>
        <w:t xml:space="preserve"> ANDNOT</w:t>
      </w:r>
      <w:r w:rsidRPr="000814F1">
        <w:t xml:space="preserve"> aeronautical </w:t>
      </w:r>
      <w:r>
        <w:t>ANDNOT</w:t>
      </w:r>
      <w:r w:rsidRPr="000814F1">
        <w:t xml:space="preserve"> air </w:t>
      </w:r>
      <w:r>
        <w:t>ANDNOT</w:t>
      </w:r>
      <w:r w:rsidRPr="000814F1">
        <w:t xml:space="preserve"> aviation </w:t>
      </w:r>
      <w:r>
        <w:t>AND</w:t>
      </w:r>
      <w:r w:rsidRPr="000814F1">
        <w:t>NOT airplane</w:t>
      </w:r>
      <w:r w:rsidR="001D25D1">
        <w:t>"</w:t>
      </w:r>
      <w:r w:rsidRPr="000814F1">
        <w:rPr>
          <w:rFonts w:hint="eastAsia"/>
        </w:rPr>
        <w:t xml:space="preserve"> The major applicants are big auto makers. </w:t>
      </w:r>
      <w:r>
        <w:t>Patents in the same family are counted only once.</w:t>
      </w:r>
    </w:p>
    <w:p w14:paraId="09584CC0" w14:textId="6FAB1F20" w:rsidR="00873F45" w:rsidRDefault="006E0DB0" w:rsidP="00873F45">
      <w:r>
        <w:t>Source: WIPO (2021)</w:t>
      </w:r>
      <w:r>
        <w:br w:type="page"/>
      </w:r>
      <w:r w:rsidR="00873F45">
        <w:lastRenderedPageBreak/>
        <w:t>Figure 2: Historical sales of passenger, SUV, and minivan from BAIC Motor and Geely Auto between 2006 and 201</w:t>
      </w:r>
      <w:r w:rsidR="00873F45">
        <w:rPr>
          <w:rFonts w:hint="cs"/>
          <w:rtl/>
        </w:rPr>
        <w:t>9</w:t>
      </w:r>
      <w:r w:rsidR="00873F45">
        <w:t xml:space="preserve"> (million </w:t>
      </w:r>
      <w:proofErr w:type="gramStart"/>
      <w:r w:rsidR="00873F45">
        <w:t>units)*</w:t>
      </w:r>
      <w:proofErr w:type="gramEnd"/>
      <w:r w:rsidR="00873F45">
        <w:t>.</w:t>
      </w:r>
    </w:p>
    <w:p w14:paraId="1B851D65" w14:textId="77777777" w:rsidR="00873F45" w:rsidRDefault="00873F45" w:rsidP="00873F45">
      <w:pPr>
        <w:widowControl/>
        <w:jc w:val="left"/>
      </w:pPr>
      <w:r>
        <w:rPr>
          <w:noProof/>
        </w:rPr>
        <w:drawing>
          <wp:anchor distT="0" distB="0" distL="114300" distR="114300" simplePos="0" relativeHeight="251659264" behindDoc="0" locked="0" layoutInCell="1" allowOverlap="1" wp14:anchorId="24CB5ED7" wp14:editId="29021A59">
            <wp:simplePos x="0" y="0"/>
            <wp:positionH relativeFrom="margin">
              <wp:align>left</wp:align>
            </wp:positionH>
            <wp:positionV relativeFrom="paragraph">
              <wp:posOffset>32629</wp:posOffset>
            </wp:positionV>
            <wp:extent cx="8388350" cy="3557954"/>
            <wp:effectExtent l="0" t="0" r="12700" b="4445"/>
            <wp:wrapNone/>
            <wp:docPr id="2" name="图表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5CC575A5" w14:textId="77777777" w:rsidR="00873F45" w:rsidRDefault="00873F45" w:rsidP="00873F45">
      <w:pPr>
        <w:widowControl/>
        <w:jc w:val="left"/>
      </w:pPr>
    </w:p>
    <w:p w14:paraId="1E3F1F7F" w14:textId="77777777" w:rsidR="00873F45" w:rsidRDefault="00873F45" w:rsidP="00873F45">
      <w:pPr>
        <w:widowControl/>
        <w:jc w:val="left"/>
      </w:pPr>
    </w:p>
    <w:p w14:paraId="76A81BD5" w14:textId="77777777" w:rsidR="00873F45" w:rsidRDefault="00873F45" w:rsidP="00873F45">
      <w:pPr>
        <w:widowControl/>
        <w:jc w:val="left"/>
      </w:pPr>
    </w:p>
    <w:p w14:paraId="2A40AC46" w14:textId="77777777" w:rsidR="00873F45" w:rsidRDefault="00873F45" w:rsidP="00873F45">
      <w:pPr>
        <w:widowControl/>
        <w:jc w:val="left"/>
      </w:pPr>
    </w:p>
    <w:p w14:paraId="0E1DB081" w14:textId="77777777" w:rsidR="00873F45" w:rsidRDefault="00873F45" w:rsidP="00873F45">
      <w:pPr>
        <w:widowControl/>
        <w:jc w:val="left"/>
      </w:pPr>
    </w:p>
    <w:p w14:paraId="24090BBF" w14:textId="77777777" w:rsidR="00873F45" w:rsidRDefault="00873F45" w:rsidP="00873F45">
      <w:pPr>
        <w:widowControl/>
        <w:jc w:val="left"/>
      </w:pPr>
    </w:p>
    <w:p w14:paraId="0A1471C9" w14:textId="77777777" w:rsidR="00873F45" w:rsidRDefault="00873F45" w:rsidP="00873F45">
      <w:pPr>
        <w:widowControl/>
        <w:jc w:val="left"/>
      </w:pPr>
    </w:p>
    <w:p w14:paraId="4D5DE5DD" w14:textId="77777777" w:rsidR="00873F45" w:rsidRDefault="00873F45" w:rsidP="00873F45">
      <w:pPr>
        <w:widowControl/>
        <w:jc w:val="left"/>
      </w:pPr>
    </w:p>
    <w:p w14:paraId="264831D1" w14:textId="77777777" w:rsidR="00873F45" w:rsidRDefault="00873F45" w:rsidP="00873F45">
      <w:pPr>
        <w:widowControl/>
        <w:jc w:val="left"/>
      </w:pPr>
    </w:p>
    <w:p w14:paraId="3AABF34C" w14:textId="77777777" w:rsidR="00873F45" w:rsidRDefault="00873F45" w:rsidP="00873F45">
      <w:pPr>
        <w:widowControl/>
        <w:jc w:val="left"/>
      </w:pPr>
    </w:p>
    <w:p w14:paraId="71A17250" w14:textId="77777777" w:rsidR="00873F45" w:rsidRDefault="00873F45" w:rsidP="00873F45">
      <w:pPr>
        <w:widowControl/>
        <w:jc w:val="left"/>
      </w:pPr>
    </w:p>
    <w:p w14:paraId="59AB60BF" w14:textId="77777777" w:rsidR="00873F45" w:rsidRDefault="00873F45" w:rsidP="00873F45">
      <w:pPr>
        <w:widowControl/>
        <w:jc w:val="left"/>
      </w:pPr>
    </w:p>
    <w:p w14:paraId="1EAB58A1" w14:textId="77777777" w:rsidR="00873F45" w:rsidRDefault="00873F45" w:rsidP="00873F45">
      <w:pPr>
        <w:widowControl/>
        <w:jc w:val="left"/>
      </w:pPr>
    </w:p>
    <w:p w14:paraId="2E73D8C7" w14:textId="77777777" w:rsidR="00873F45" w:rsidRDefault="00873F45" w:rsidP="00873F45">
      <w:pPr>
        <w:widowControl/>
        <w:jc w:val="left"/>
      </w:pPr>
    </w:p>
    <w:p w14:paraId="2D501E4A" w14:textId="77777777" w:rsidR="00873F45" w:rsidRDefault="00873F45" w:rsidP="00873F45">
      <w:pPr>
        <w:widowControl/>
        <w:jc w:val="left"/>
      </w:pPr>
    </w:p>
    <w:p w14:paraId="75A6C81C" w14:textId="77777777" w:rsidR="00873F45" w:rsidRDefault="00873F45" w:rsidP="00873F45">
      <w:pPr>
        <w:widowControl/>
        <w:jc w:val="left"/>
      </w:pPr>
    </w:p>
    <w:p w14:paraId="1A57C21A" w14:textId="77777777" w:rsidR="00873F45" w:rsidRDefault="00873F45" w:rsidP="00873F45">
      <w:pPr>
        <w:widowControl/>
        <w:jc w:val="left"/>
      </w:pPr>
    </w:p>
    <w:p w14:paraId="33BE1086" w14:textId="77777777" w:rsidR="00873F45" w:rsidRDefault="00873F45" w:rsidP="00873F45">
      <w:pPr>
        <w:widowControl/>
        <w:jc w:val="left"/>
      </w:pPr>
    </w:p>
    <w:p w14:paraId="1D8CBD8C" w14:textId="77777777" w:rsidR="00873F45" w:rsidRDefault="00873F45" w:rsidP="00873F45">
      <w:pPr>
        <w:pStyle w:val="ParaTable"/>
      </w:pPr>
      <w:r>
        <w:t xml:space="preserve">NOTE: The data includes their brands of passenger cars developed from indigenous platforms and does not include EJV or brands based on foreign platforms. </w:t>
      </w:r>
    </w:p>
    <w:p w14:paraId="1CE36E80" w14:textId="77777777" w:rsidR="00873F45" w:rsidRDefault="00873F45" w:rsidP="00873F45">
      <w:r>
        <w:t xml:space="preserve">Source: </w:t>
      </w:r>
      <w:r>
        <w:fldChar w:fldCharType="begin"/>
      </w:r>
      <w:r>
        <w:instrText xml:space="preserve"> ADDIN EN.CITE &lt;EndNote&gt;&lt;Cite&gt;&lt;Author&gt;China Automobile Industry Yearbook&lt;/Author&gt;&lt;Year&gt;2007-2019&lt;/Year&gt;&lt;RecNum&gt;831&lt;/RecNum&gt;&lt;DisplayText&gt;(China Automobile Industry Yearbook, 2007-2019)&lt;/DisplayText&gt;&lt;record&gt;&lt;rec-number&gt;831&lt;/rec-number&gt;&lt;foreign-keys&gt;&lt;key app="EN" db-id="02rw29zr39rd5ce9s9t5txt3ts2vzw9erfrv" timestamp="1573734421"&gt;831&lt;/key&gt;&lt;/foreign-keys&gt;&lt;ref-type name="Report"&gt;27&lt;/ref-type&gt;&lt;contributors&gt;&lt;authors&gt;&lt;author&gt;China Automobile Industry Yearbook, &lt;/author&gt;&lt;/authors&gt;&lt;/contributors&gt;&lt;titles&gt;&lt;title&gt;China Automobile Industry Yearbook&lt;/title&gt;&lt;/titles&gt;&lt;volume&gt;2007-2019&lt;/volume&gt;&lt;dates&gt;&lt;year&gt;2007-2019&lt;/year&gt;&lt;/dates&gt;&lt;publisher&gt;China Automotive Technology &amp;amp; Research Center Co. Ltd in Tianjin&lt;/publisher&gt;&lt;urls&gt;&lt;/urls&gt;&lt;/record&gt;&lt;/Cite&gt;&lt;/EndNote&gt;</w:instrText>
      </w:r>
      <w:r>
        <w:fldChar w:fldCharType="separate"/>
      </w:r>
      <w:r>
        <w:rPr>
          <w:noProof/>
        </w:rPr>
        <w:t>(China Automobile Industry Yearbook, 2007-2019)</w:t>
      </w:r>
      <w:r>
        <w:fldChar w:fldCharType="end"/>
      </w:r>
      <w:r>
        <w:t xml:space="preserve"> </w:t>
      </w:r>
    </w:p>
    <w:p w14:paraId="3B5067AC" w14:textId="38591265" w:rsidR="00873F45" w:rsidRDefault="00873F45" w:rsidP="00873F45">
      <w:r>
        <w:t xml:space="preserve">* This data only reflects sales and market share of </w:t>
      </w:r>
      <w:r w:rsidR="003760D5">
        <w:t>said subsidiaries of BAIC Holding and Geely Group</w:t>
      </w:r>
      <w:r w:rsidR="00097C25">
        <w:t>, and do not include sales of other subsidiaries' or EJVs' passenger cars</w:t>
      </w:r>
      <w:r w:rsidR="003760D5">
        <w:t xml:space="preserve">. </w:t>
      </w:r>
      <w:r>
        <w:br w:type="page"/>
      </w:r>
    </w:p>
    <w:p w14:paraId="16A5F3B9" w14:textId="687B0BC2" w:rsidR="00873F45" w:rsidRDefault="00873F45" w:rsidP="00873F45">
      <w:pPr>
        <w:pStyle w:val="TableTitle"/>
      </w:pPr>
      <w:r>
        <w:lastRenderedPageBreak/>
        <w:t>Figure 3: Number of units of Volvo sold in the E.U., U.S., and China market from 1999 to 2020.</w:t>
      </w:r>
    </w:p>
    <w:p w14:paraId="7783C98F" w14:textId="77777777" w:rsidR="00873F45" w:rsidRDefault="00873F45" w:rsidP="00873F45">
      <w:pPr>
        <w:pStyle w:val="TableTitle"/>
      </w:pPr>
      <w:r>
        <w:rPr>
          <w:noProof/>
        </w:rPr>
        <w:drawing>
          <wp:anchor distT="0" distB="0" distL="114300" distR="114300" simplePos="0" relativeHeight="251660288" behindDoc="0" locked="0" layoutInCell="1" allowOverlap="1" wp14:anchorId="50B9A3AB" wp14:editId="7CC8C111">
            <wp:simplePos x="0" y="0"/>
            <wp:positionH relativeFrom="column">
              <wp:posOffset>-38100</wp:posOffset>
            </wp:positionH>
            <wp:positionV relativeFrom="paragraph">
              <wp:posOffset>26034</wp:posOffset>
            </wp:positionV>
            <wp:extent cx="8429625" cy="3933825"/>
            <wp:effectExtent l="0" t="0" r="9525" b="9525"/>
            <wp:wrapNone/>
            <wp:docPr id="4" name="图表 4">
              <a:extLst xmlns:a="http://schemas.openxmlformats.org/drawingml/2006/main">
                <a:ext uri="{FF2B5EF4-FFF2-40B4-BE49-F238E27FC236}">
                  <a16:creationId xmlns:a16="http://schemas.microsoft.com/office/drawing/2014/main" id="{C955E2B3-E09E-4122-9870-179D3F2D85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15D86C7C" w14:textId="77777777" w:rsidR="00873F45" w:rsidRDefault="00873F45" w:rsidP="00873F45">
      <w:pPr>
        <w:pStyle w:val="TableTitle"/>
      </w:pPr>
    </w:p>
    <w:p w14:paraId="2AC69C80" w14:textId="77777777" w:rsidR="00873F45" w:rsidRDefault="00873F45" w:rsidP="00873F45">
      <w:pPr>
        <w:widowControl/>
        <w:jc w:val="left"/>
      </w:pPr>
    </w:p>
    <w:p w14:paraId="206EB0F8" w14:textId="77777777" w:rsidR="00873F45" w:rsidRDefault="00873F45" w:rsidP="00873F45">
      <w:pPr>
        <w:widowControl/>
        <w:jc w:val="left"/>
      </w:pPr>
    </w:p>
    <w:p w14:paraId="5187E519" w14:textId="77777777" w:rsidR="00873F45" w:rsidRDefault="00873F45" w:rsidP="00873F45">
      <w:pPr>
        <w:widowControl/>
        <w:jc w:val="left"/>
      </w:pPr>
    </w:p>
    <w:p w14:paraId="656CC31A" w14:textId="77777777" w:rsidR="00873F45" w:rsidRDefault="00873F45" w:rsidP="00873F45">
      <w:pPr>
        <w:widowControl/>
        <w:jc w:val="left"/>
      </w:pPr>
    </w:p>
    <w:p w14:paraId="1885A02D" w14:textId="77777777" w:rsidR="00873F45" w:rsidRDefault="00873F45" w:rsidP="00873F45">
      <w:pPr>
        <w:widowControl/>
        <w:jc w:val="left"/>
      </w:pPr>
    </w:p>
    <w:p w14:paraId="595EAF1E" w14:textId="77777777" w:rsidR="00873F45" w:rsidRDefault="00873F45" w:rsidP="00873F45">
      <w:pPr>
        <w:widowControl/>
        <w:jc w:val="left"/>
      </w:pPr>
    </w:p>
    <w:p w14:paraId="20710AC3" w14:textId="77777777" w:rsidR="00873F45" w:rsidRDefault="00873F45" w:rsidP="00873F45">
      <w:pPr>
        <w:widowControl/>
        <w:jc w:val="left"/>
      </w:pPr>
    </w:p>
    <w:p w14:paraId="2BB68DCB" w14:textId="77777777" w:rsidR="00873F45" w:rsidRDefault="00873F45" w:rsidP="00873F45">
      <w:pPr>
        <w:widowControl/>
        <w:jc w:val="left"/>
      </w:pPr>
    </w:p>
    <w:p w14:paraId="156A6C01" w14:textId="77777777" w:rsidR="00873F45" w:rsidRDefault="00873F45" w:rsidP="00873F45">
      <w:pPr>
        <w:widowControl/>
        <w:jc w:val="left"/>
      </w:pPr>
    </w:p>
    <w:p w14:paraId="2EBE323D" w14:textId="77777777" w:rsidR="00873F45" w:rsidRDefault="00873F45" w:rsidP="00873F45">
      <w:pPr>
        <w:widowControl/>
        <w:jc w:val="left"/>
      </w:pPr>
    </w:p>
    <w:p w14:paraId="519A19C3" w14:textId="77777777" w:rsidR="00873F45" w:rsidRDefault="00873F45" w:rsidP="00873F45">
      <w:pPr>
        <w:widowControl/>
        <w:jc w:val="left"/>
      </w:pPr>
    </w:p>
    <w:p w14:paraId="1FDB323F" w14:textId="77777777" w:rsidR="00873F45" w:rsidRDefault="00873F45" w:rsidP="00873F45">
      <w:pPr>
        <w:widowControl/>
        <w:jc w:val="left"/>
      </w:pPr>
    </w:p>
    <w:p w14:paraId="37235DA6" w14:textId="77777777" w:rsidR="00873F45" w:rsidRDefault="00873F45" w:rsidP="00873F45">
      <w:pPr>
        <w:widowControl/>
        <w:jc w:val="left"/>
      </w:pPr>
    </w:p>
    <w:p w14:paraId="62CC7D13" w14:textId="77777777" w:rsidR="00873F45" w:rsidRDefault="00873F45" w:rsidP="00873F45">
      <w:pPr>
        <w:widowControl/>
        <w:jc w:val="left"/>
      </w:pPr>
    </w:p>
    <w:p w14:paraId="59E71E96" w14:textId="77777777" w:rsidR="00873F45" w:rsidRDefault="00873F45" w:rsidP="00873F45">
      <w:pPr>
        <w:widowControl/>
        <w:jc w:val="left"/>
      </w:pPr>
    </w:p>
    <w:p w14:paraId="128D54C9" w14:textId="77777777" w:rsidR="00873F45" w:rsidRPr="000814F1" w:rsidRDefault="00873F45" w:rsidP="00873F45">
      <w:pPr>
        <w:pStyle w:val="Paracaption"/>
      </w:pPr>
      <w:r w:rsidRPr="000814F1">
        <w:t>* The E</w:t>
      </w:r>
      <w:r>
        <w:t>.</w:t>
      </w:r>
      <w:r w:rsidRPr="000814F1">
        <w:t>U</w:t>
      </w:r>
      <w:r>
        <w:t>.</w:t>
      </w:r>
      <w:r w:rsidRPr="000814F1">
        <w:t xml:space="preserve"> market share for 2018 was not available.</w:t>
      </w:r>
    </w:p>
    <w:p w14:paraId="52FA52E6" w14:textId="77777777" w:rsidR="00873F45" w:rsidRDefault="00873F45" w:rsidP="00873F45">
      <w:r>
        <w:t xml:space="preserve">Source: Data was obtained from </w:t>
      </w:r>
      <w:hyperlink r:id="rId20" w:history="1">
        <w:r w:rsidRPr="00BB598C">
          <w:rPr>
            <w:rStyle w:val="Hyperlink"/>
          </w:rPr>
          <w:t>http://carsalesbase.com</w:t>
        </w:r>
      </w:hyperlink>
      <w:r>
        <w:t xml:space="preserve">, with modifications (accessed 29 July, 2021). This data only reflects locally manufactured cars and does not include imported numbers. </w:t>
      </w:r>
    </w:p>
    <w:p w14:paraId="4BD6EE33" w14:textId="684B1E04" w:rsidR="00873F45" w:rsidRDefault="00873F45">
      <w:pPr>
        <w:widowControl/>
        <w:spacing w:after="200" w:line="276" w:lineRule="auto"/>
        <w:jc w:val="left"/>
        <w:rPr>
          <w:rFonts w:ascii="Times New Roman" w:hAnsi="Times New Roman" w:cstheme="majorBidi"/>
          <w:color w:val="1C1D1E"/>
          <w:sz w:val="24"/>
          <w:szCs w:val="24"/>
          <w:shd w:val="clear" w:color="auto" w:fill="FFFFFF"/>
        </w:rPr>
      </w:pPr>
      <w:r>
        <w:br w:type="page"/>
      </w:r>
    </w:p>
    <w:p w14:paraId="4D4706C2" w14:textId="77777777" w:rsidR="006E0DB0" w:rsidRPr="009239F3" w:rsidRDefault="006E0DB0" w:rsidP="006E0DB0">
      <w:pPr>
        <w:pStyle w:val="Para"/>
      </w:pPr>
    </w:p>
    <w:p w14:paraId="39B0F465" w14:textId="77777777" w:rsidR="006E0DB0" w:rsidRPr="00C53EC0" w:rsidRDefault="006E0DB0" w:rsidP="006E0DB0">
      <w:pPr>
        <w:pStyle w:val="TableTitle"/>
      </w:pPr>
      <w:r w:rsidRPr="00845BA5">
        <w:t xml:space="preserve">Table </w:t>
      </w:r>
      <w:r>
        <w:t>1</w:t>
      </w:r>
      <w:r w:rsidRPr="00845BA5">
        <w:t xml:space="preserve">: </w:t>
      </w:r>
      <w:r>
        <w:t xml:space="preserve">Ranking of China's automakers' volume of production </w:t>
      </w:r>
      <w:r w:rsidRPr="00845BA5">
        <w:t>between 2006 and 201</w:t>
      </w:r>
      <w:r>
        <w:t>9 and their ownership</w:t>
      </w:r>
      <w:r w:rsidRPr="00845BA5">
        <w:t>.</w:t>
      </w:r>
    </w:p>
    <w:tbl>
      <w:tblPr>
        <w:tblStyle w:val="TableGrid"/>
        <w:tblW w:w="0" w:type="auto"/>
        <w:jc w:val="center"/>
        <w:tblLayout w:type="fixed"/>
        <w:tblCellMar>
          <w:left w:w="28" w:type="dxa"/>
          <w:right w:w="28" w:type="dxa"/>
        </w:tblCellMar>
        <w:tblLook w:val="04A0" w:firstRow="1" w:lastRow="0" w:firstColumn="1" w:lastColumn="0" w:noHBand="0" w:noVBand="1"/>
      </w:tblPr>
      <w:tblGrid>
        <w:gridCol w:w="1858"/>
        <w:gridCol w:w="704"/>
        <w:gridCol w:w="704"/>
        <w:gridCol w:w="704"/>
        <w:gridCol w:w="704"/>
        <w:gridCol w:w="705"/>
        <w:gridCol w:w="705"/>
        <w:gridCol w:w="705"/>
        <w:gridCol w:w="704"/>
        <w:gridCol w:w="705"/>
        <w:gridCol w:w="705"/>
        <w:gridCol w:w="705"/>
        <w:gridCol w:w="704"/>
        <w:gridCol w:w="705"/>
        <w:gridCol w:w="705"/>
        <w:gridCol w:w="705"/>
      </w:tblGrid>
      <w:tr w:rsidR="006E0DB0" w:rsidRPr="0005682C" w14:paraId="55935E90" w14:textId="77777777" w:rsidTr="00070765">
        <w:trPr>
          <w:trHeight w:val="300"/>
          <w:jc w:val="center"/>
        </w:trPr>
        <w:tc>
          <w:tcPr>
            <w:tcW w:w="1858" w:type="dxa"/>
            <w:noWrap/>
            <w:hideMark/>
          </w:tcPr>
          <w:p w14:paraId="549C8FBF" w14:textId="77777777" w:rsidR="006E0DB0" w:rsidRPr="00DF14C0" w:rsidRDefault="006E0DB0" w:rsidP="00070765">
            <w:r w:rsidRPr="00DF14C0">
              <w:t>Company/brand</w:t>
            </w:r>
          </w:p>
        </w:tc>
        <w:tc>
          <w:tcPr>
            <w:tcW w:w="704" w:type="dxa"/>
          </w:tcPr>
          <w:p w14:paraId="1543700D" w14:textId="77777777" w:rsidR="006E0DB0" w:rsidRPr="00DF14C0" w:rsidRDefault="006E0DB0" w:rsidP="00070765">
            <w:pPr>
              <w:jc w:val="center"/>
            </w:pPr>
            <w:r>
              <w:t>SOE*</w:t>
            </w:r>
          </w:p>
        </w:tc>
        <w:tc>
          <w:tcPr>
            <w:tcW w:w="704" w:type="dxa"/>
          </w:tcPr>
          <w:p w14:paraId="572E5825" w14:textId="77777777" w:rsidR="006E0DB0" w:rsidRPr="00DF14C0" w:rsidRDefault="006E0DB0" w:rsidP="00070765">
            <w:pPr>
              <w:jc w:val="center"/>
            </w:pPr>
            <w:r>
              <w:rPr>
                <w:rFonts w:hint="eastAsia"/>
              </w:rPr>
              <w:t>2</w:t>
            </w:r>
            <w:r>
              <w:t>019</w:t>
            </w:r>
          </w:p>
        </w:tc>
        <w:tc>
          <w:tcPr>
            <w:tcW w:w="704" w:type="dxa"/>
          </w:tcPr>
          <w:p w14:paraId="27F870D7" w14:textId="77777777" w:rsidR="006E0DB0" w:rsidRPr="00DF14C0" w:rsidRDefault="006E0DB0" w:rsidP="00070765">
            <w:pPr>
              <w:jc w:val="center"/>
            </w:pPr>
            <w:r>
              <w:rPr>
                <w:rFonts w:hint="eastAsia"/>
              </w:rPr>
              <w:t>2</w:t>
            </w:r>
            <w:r>
              <w:t>018</w:t>
            </w:r>
          </w:p>
        </w:tc>
        <w:tc>
          <w:tcPr>
            <w:tcW w:w="704" w:type="dxa"/>
            <w:noWrap/>
            <w:vAlign w:val="center"/>
            <w:hideMark/>
          </w:tcPr>
          <w:p w14:paraId="010DA314" w14:textId="77777777" w:rsidR="006E0DB0" w:rsidRPr="00DF14C0" w:rsidRDefault="006E0DB0" w:rsidP="00070765">
            <w:pPr>
              <w:jc w:val="center"/>
            </w:pPr>
            <w:r w:rsidRPr="00DF14C0">
              <w:t>2017</w:t>
            </w:r>
          </w:p>
        </w:tc>
        <w:tc>
          <w:tcPr>
            <w:tcW w:w="705" w:type="dxa"/>
            <w:noWrap/>
            <w:vAlign w:val="center"/>
            <w:hideMark/>
          </w:tcPr>
          <w:p w14:paraId="0335E7DF" w14:textId="77777777" w:rsidR="006E0DB0" w:rsidRPr="00DF14C0" w:rsidRDefault="006E0DB0" w:rsidP="00070765">
            <w:pPr>
              <w:jc w:val="center"/>
            </w:pPr>
            <w:r w:rsidRPr="00DF14C0">
              <w:t>2016</w:t>
            </w:r>
          </w:p>
        </w:tc>
        <w:tc>
          <w:tcPr>
            <w:tcW w:w="705" w:type="dxa"/>
            <w:noWrap/>
            <w:vAlign w:val="center"/>
            <w:hideMark/>
          </w:tcPr>
          <w:p w14:paraId="460D12EE" w14:textId="77777777" w:rsidR="006E0DB0" w:rsidRPr="00DF14C0" w:rsidRDefault="006E0DB0" w:rsidP="00070765">
            <w:pPr>
              <w:jc w:val="center"/>
            </w:pPr>
            <w:r w:rsidRPr="00DF14C0">
              <w:t>2015</w:t>
            </w:r>
          </w:p>
        </w:tc>
        <w:tc>
          <w:tcPr>
            <w:tcW w:w="705" w:type="dxa"/>
            <w:noWrap/>
            <w:vAlign w:val="center"/>
            <w:hideMark/>
          </w:tcPr>
          <w:p w14:paraId="7E9C0D48" w14:textId="77777777" w:rsidR="006E0DB0" w:rsidRPr="00DF14C0" w:rsidRDefault="006E0DB0" w:rsidP="00070765">
            <w:pPr>
              <w:jc w:val="center"/>
            </w:pPr>
            <w:r w:rsidRPr="00DF14C0">
              <w:t>2014</w:t>
            </w:r>
          </w:p>
        </w:tc>
        <w:tc>
          <w:tcPr>
            <w:tcW w:w="704" w:type="dxa"/>
            <w:noWrap/>
            <w:vAlign w:val="center"/>
            <w:hideMark/>
          </w:tcPr>
          <w:p w14:paraId="43B68C6D" w14:textId="77777777" w:rsidR="006E0DB0" w:rsidRPr="00DF14C0" w:rsidRDefault="006E0DB0" w:rsidP="00070765">
            <w:pPr>
              <w:jc w:val="center"/>
            </w:pPr>
            <w:r w:rsidRPr="00DF14C0">
              <w:t>2013</w:t>
            </w:r>
          </w:p>
        </w:tc>
        <w:tc>
          <w:tcPr>
            <w:tcW w:w="705" w:type="dxa"/>
            <w:noWrap/>
            <w:vAlign w:val="center"/>
            <w:hideMark/>
          </w:tcPr>
          <w:p w14:paraId="4D360272" w14:textId="77777777" w:rsidR="006E0DB0" w:rsidRPr="00DF14C0" w:rsidRDefault="006E0DB0" w:rsidP="00070765">
            <w:pPr>
              <w:jc w:val="center"/>
            </w:pPr>
            <w:r w:rsidRPr="00DF14C0">
              <w:t>2012</w:t>
            </w:r>
          </w:p>
        </w:tc>
        <w:tc>
          <w:tcPr>
            <w:tcW w:w="705" w:type="dxa"/>
            <w:noWrap/>
            <w:vAlign w:val="center"/>
            <w:hideMark/>
          </w:tcPr>
          <w:p w14:paraId="2C08A8E1" w14:textId="77777777" w:rsidR="006E0DB0" w:rsidRPr="00DF14C0" w:rsidRDefault="006E0DB0" w:rsidP="00070765">
            <w:pPr>
              <w:jc w:val="center"/>
            </w:pPr>
            <w:r w:rsidRPr="00DF14C0">
              <w:t>2011</w:t>
            </w:r>
          </w:p>
        </w:tc>
        <w:tc>
          <w:tcPr>
            <w:tcW w:w="705" w:type="dxa"/>
            <w:noWrap/>
            <w:vAlign w:val="center"/>
            <w:hideMark/>
          </w:tcPr>
          <w:p w14:paraId="634394EE" w14:textId="77777777" w:rsidR="006E0DB0" w:rsidRPr="00DF14C0" w:rsidRDefault="006E0DB0" w:rsidP="00070765">
            <w:pPr>
              <w:jc w:val="center"/>
            </w:pPr>
            <w:r w:rsidRPr="00DF14C0">
              <w:t>2010</w:t>
            </w:r>
          </w:p>
        </w:tc>
        <w:tc>
          <w:tcPr>
            <w:tcW w:w="704" w:type="dxa"/>
            <w:noWrap/>
            <w:vAlign w:val="center"/>
            <w:hideMark/>
          </w:tcPr>
          <w:p w14:paraId="32B55C75" w14:textId="77777777" w:rsidR="006E0DB0" w:rsidRPr="00DF14C0" w:rsidRDefault="006E0DB0" w:rsidP="00070765">
            <w:pPr>
              <w:jc w:val="center"/>
            </w:pPr>
            <w:r w:rsidRPr="00DF14C0">
              <w:t>2009</w:t>
            </w:r>
          </w:p>
        </w:tc>
        <w:tc>
          <w:tcPr>
            <w:tcW w:w="705" w:type="dxa"/>
            <w:noWrap/>
            <w:vAlign w:val="center"/>
            <w:hideMark/>
          </w:tcPr>
          <w:p w14:paraId="72A8C0DA" w14:textId="77777777" w:rsidR="006E0DB0" w:rsidRPr="00DF14C0" w:rsidRDefault="006E0DB0" w:rsidP="00070765">
            <w:pPr>
              <w:jc w:val="center"/>
            </w:pPr>
            <w:r w:rsidRPr="00DF14C0">
              <w:t>2008</w:t>
            </w:r>
          </w:p>
        </w:tc>
        <w:tc>
          <w:tcPr>
            <w:tcW w:w="705" w:type="dxa"/>
            <w:noWrap/>
            <w:vAlign w:val="center"/>
            <w:hideMark/>
          </w:tcPr>
          <w:p w14:paraId="4EFB6EEB" w14:textId="77777777" w:rsidR="006E0DB0" w:rsidRPr="00DF14C0" w:rsidRDefault="006E0DB0" w:rsidP="00070765">
            <w:pPr>
              <w:jc w:val="center"/>
            </w:pPr>
            <w:r w:rsidRPr="00DF14C0">
              <w:t>2007</w:t>
            </w:r>
          </w:p>
        </w:tc>
        <w:tc>
          <w:tcPr>
            <w:tcW w:w="705" w:type="dxa"/>
            <w:noWrap/>
            <w:vAlign w:val="center"/>
            <w:hideMark/>
          </w:tcPr>
          <w:p w14:paraId="1EDB13CD" w14:textId="77777777" w:rsidR="006E0DB0" w:rsidRPr="00DF14C0" w:rsidRDefault="006E0DB0" w:rsidP="00070765">
            <w:pPr>
              <w:jc w:val="center"/>
            </w:pPr>
            <w:r w:rsidRPr="00DF14C0">
              <w:t>2006</w:t>
            </w:r>
          </w:p>
        </w:tc>
      </w:tr>
      <w:tr w:rsidR="006E0DB0" w:rsidRPr="0005682C" w14:paraId="4AE90493" w14:textId="77777777" w:rsidTr="00070765">
        <w:trPr>
          <w:trHeight w:val="300"/>
          <w:jc w:val="center"/>
        </w:trPr>
        <w:tc>
          <w:tcPr>
            <w:tcW w:w="1858" w:type="dxa"/>
            <w:noWrap/>
            <w:vAlign w:val="center"/>
            <w:hideMark/>
          </w:tcPr>
          <w:p w14:paraId="119F91E8" w14:textId="77777777" w:rsidR="006E0DB0" w:rsidRPr="00DF14C0" w:rsidRDefault="006E0DB0" w:rsidP="00070765">
            <w:r>
              <w:rPr>
                <w:rFonts w:ascii="Calibri" w:hAnsi="Calibri" w:cs="Calibri"/>
                <w:color w:val="000000"/>
                <w:szCs w:val="21"/>
              </w:rPr>
              <w:t>SAIC</w:t>
            </w:r>
          </w:p>
        </w:tc>
        <w:tc>
          <w:tcPr>
            <w:tcW w:w="704" w:type="dxa"/>
            <w:vAlign w:val="center"/>
          </w:tcPr>
          <w:p w14:paraId="31AD31B9"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5C5941C6" w14:textId="77777777" w:rsidR="006E0DB0" w:rsidRPr="00DF14C0" w:rsidRDefault="006E0DB0" w:rsidP="00070765">
            <w:pPr>
              <w:jc w:val="center"/>
            </w:pPr>
            <w:r>
              <w:rPr>
                <w:rFonts w:ascii="Calibri" w:hAnsi="Calibri" w:cs="Calibri"/>
                <w:color w:val="000000"/>
                <w:szCs w:val="21"/>
              </w:rPr>
              <w:t>1</w:t>
            </w:r>
          </w:p>
        </w:tc>
        <w:tc>
          <w:tcPr>
            <w:tcW w:w="704" w:type="dxa"/>
            <w:vAlign w:val="center"/>
          </w:tcPr>
          <w:p w14:paraId="673D3247" w14:textId="77777777" w:rsidR="006E0DB0" w:rsidRPr="00DF14C0" w:rsidRDefault="006E0DB0" w:rsidP="00070765">
            <w:pPr>
              <w:jc w:val="center"/>
            </w:pPr>
            <w:r>
              <w:rPr>
                <w:rFonts w:ascii="Calibri" w:hAnsi="Calibri" w:cs="Calibri"/>
                <w:color w:val="000000"/>
                <w:szCs w:val="21"/>
              </w:rPr>
              <w:t>1</w:t>
            </w:r>
          </w:p>
        </w:tc>
        <w:tc>
          <w:tcPr>
            <w:tcW w:w="704" w:type="dxa"/>
            <w:noWrap/>
            <w:vAlign w:val="center"/>
            <w:hideMark/>
          </w:tcPr>
          <w:p w14:paraId="31BEB678" w14:textId="77777777" w:rsidR="006E0DB0" w:rsidRPr="00DF14C0" w:rsidRDefault="006E0DB0" w:rsidP="00070765">
            <w:pPr>
              <w:jc w:val="center"/>
            </w:pPr>
            <w:r>
              <w:rPr>
                <w:rFonts w:ascii="Calibri" w:hAnsi="Calibri" w:cs="Calibri"/>
                <w:color w:val="000000"/>
                <w:szCs w:val="21"/>
              </w:rPr>
              <w:t>1</w:t>
            </w:r>
          </w:p>
        </w:tc>
        <w:tc>
          <w:tcPr>
            <w:tcW w:w="705" w:type="dxa"/>
            <w:noWrap/>
            <w:vAlign w:val="center"/>
            <w:hideMark/>
          </w:tcPr>
          <w:p w14:paraId="7C6AE9EA" w14:textId="77777777" w:rsidR="006E0DB0" w:rsidRPr="00DF14C0" w:rsidRDefault="006E0DB0" w:rsidP="00070765">
            <w:pPr>
              <w:jc w:val="center"/>
            </w:pPr>
            <w:r>
              <w:rPr>
                <w:rFonts w:ascii="Calibri" w:hAnsi="Calibri" w:cs="Calibri"/>
                <w:color w:val="000000"/>
                <w:szCs w:val="21"/>
              </w:rPr>
              <w:t>1</w:t>
            </w:r>
          </w:p>
        </w:tc>
        <w:tc>
          <w:tcPr>
            <w:tcW w:w="705" w:type="dxa"/>
            <w:noWrap/>
            <w:vAlign w:val="center"/>
            <w:hideMark/>
          </w:tcPr>
          <w:p w14:paraId="2C9CAB6C" w14:textId="77777777" w:rsidR="006E0DB0" w:rsidRPr="00DF14C0" w:rsidRDefault="006E0DB0" w:rsidP="00070765">
            <w:pPr>
              <w:jc w:val="center"/>
            </w:pPr>
            <w:r>
              <w:rPr>
                <w:rFonts w:ascii="Calibri" w:hAnsi="Calibri" w:cs="Calibri"/>
                <w:color w:val="000000"/>
                <w:szCs w:val="21"/>
              </w:rPr>
              <w:t>1</w:t>
            </w:r>
          </w:p>
        </w:tc>
        <w:tc>
          <w:tcPr>
            <w:tcW w:w="705" w:type="dxa"/>
            <w:noWrap/>
            <w:vAlign w:val="center"/>
            <w:hideMark/>
          </w:tcPr>
          <w:p w14:paraId="116919FD" w14:textId="77777777" w:rsidR="006E0DB0" w:rsidRPr="00DF14C0" w:rsidRDefault="006E0DB0" w:rsidP="00070765">
            <w:pPr>
              <w:jc w:val="center"/>
            </w:pPr>
            <w:r>
              <w:rPr>
                <w:rFonts w:ascii="Calibri" w:hAnsi="Calibri" w:cs="Calibri"/>
                <w:color w:val="000000"/>
                <w:szCs w:val="21"/>
              </w:rPr>
              <w:t>1</w:t>
            </w:r>
          </w:p>
        </w:tc>
        <w:tc>
          <w:tcPr>
            <w:tcW w:w="704" w:type="dxa"/>
            <w:noWrap/>
            <w:vAlign w:val="center"/>
            <w:hideMark/>
          </w:tcPr>
          <w:p w14:paraId="0816CAE4" w14:textId="77777777" w:rsidR="006E0DB0" w:rsidRPr="00DF14C0" w:rsidRDefault="006E0DB0" w:rsidP="00070765">
            <w:pPr>
              <w:jc w:val="center"/>
            </w:pPr>
            <w:r>
              <w:rPr>
                <w:rFonts w:ascii="Calibri" w:hAnsi="Calibri" w:cs="Calibri"/>
                <w:color w:val="000000"/>
                <w:szCs w:val="21"/>
              </w:rPr>
              <w:t>1</w:t>
            </w:r>
          </w:p>
        </w:tc>
        <w:tc>
          <w:tcPr>
            <w:tcW w:w="705" w:type="dxa"/>
            <w:noWrap/>
            <w:vAlign w:val="center"/>
            <w:hideMark/>
          </w:tcPr>
          <w:p w14:paraId="6D724758" w14:textId="77777777" w:rsidR="006E0DB0" w:rsidRPr="00DF14C0" w:rsidRDefault="006E0DB0" w:rsidP="00070765">
            <w:pPr>
              <w:jc w:val="center"/>
            </w:pPr>
            <w:r>
              <w:rPr>
                <w:rFonts w:ascii="Calibri" w:hAnsi="Calibri" w:cs="Calibri"/>
                <w:color w:val="000000"/>
                <w:szCs w:val="21"/>
              </w:rPr>
              <w:t>1</w:t>
            </w:r>
          </w:p>
        </w:tc>
        <w:tc>
          <w:tcPr>
            <w:tcW w:w="705" w:type="dxa"/>
            <w:noWrap/>
            <w:vAlign w:val="center"/>
            <w:hideMark/>
          </w:tcPr>
          <w:p w14:paraId="5427F5DA" w14:textId="77777777" w:rsidR="006E0DB0" w:rsidRPr="00DF14C0" w:rsidRDefault="006E0DB0" w:rsidP="00070765">
            <w:pPr>
              <w:jc w:val="center"/>
            </w:pPr>
            <w:r>
              <w:rPr>
                <w:rFonts w:ascii="Calibri" w:hAnsi="Calibri" w:cs="Calibri"/>
                <w:color w:val="000000"/>
                <w:szCs w:val="21"/>
              </w:rPr>
              <w:t>1</w:t>
            </w:r>
          </w:p>
        </w:tc>
        <w:tc>
          <w:tcPr>
            <w:tcW w:w="705" w:type="dxa"/>
            <w:noWrap/>
            <w:vAlign w:val="center"/>
            <w:hideMark/>
          </w:tcPr>
          <w:p w14:paraId="1C0F81D7" w14:textId="77777777" w:rsidR="006E0DB0" w:rsidRPr="00DF14C0" w:rsidRDefault="006E0DB0" w:rsidP="00070765">
            <w:pPr>
              <w:jc w:val="center"/>
            </w:pPr>
            <w:r>
              <w:rPr>
                <w:rFonts w:ascii="Calibri" w:hAnsi="Calibri" w:cs="Calibri"/>
                <w:color w:val="000000"/>
                <w:szCs w:val="21"/>
              </w:rPr>
              <w:t>1</w:t>
            </w:r>
          </w:p>
        </w:tc>
        <w:tc>
          <w:tcPr>
            <w:tcW w:w="704" w:type="dxa"/>
            <w:noWrap/>
            <w:vAlign w:val="center"/>
            <w:hideMark/>
          </w:tcPr>
          <w:p w14:paraId="19F4E030" w14:textId="77777777" w:rsidR="006E0DB0" w:rsidRPr="00DF14C0" w:rsidRDefault="006E0DB0" w:rsidP="00070765">
            <w:pPr>
              <w:jc w:val="center"/>
            </w:pPr>
            <w:r>
              <w:rPr>
                <w:rFonts w:ascii="Calibri" w:hAnsi="Calibri" w:cs="Calibri"/>
                <w:color w:val="000000"/>
                <w:szCs w:val="21"/>
              </w:rPr>
              <w:t>1</w:t>
            </w:r>
          </w:p>
        </w:tc>
        <w:tc>
          <w:tcPr>
            <w:tcW w:w="705" w:type="dxa"/>
            <w:noWrap/>
            <w:vAlign w:val="center"/>
            <w:hideMark/>
          </w:tcPr>
          <w:p w14:paraId="62494510" w14:textId="77777777" w:rsidR="006E0DB0" w:rsidRPr="00DF14C0" w:rsidRDefault="006E0DB0" w:rsidP="00070765">
            <w:pPr>
              <w:jc w:val="center"/>
            </w:pPr>
            <w:r>
              <w:rPr>
                <w:rFonts w:ascii="Calibri" w:hAnsi="Calibri" w:cs="Calibri"/>
                <w:color w:val="000000"/>
                <w:szCs w:val="21"/>
              </w:rPr>
              <w:t>1</w:t>
            </w:r>
          </w:p>
        </w:tc>
        <w:tc>
          <w:tcPr>
            <w:tcW w:w="705" w:type="dxa"/>
            <w:noWrap/>
            <w:vAlign w:val="center"/>
            <w:hideMark/>
          </w:tcPr>
          <w:p w14:paraId="2FEB566C" w14:textId="77777777" w:rsidR="006E0DB0" w:rsidRPr="00DF14C0" w:rsidRDefault="006E0DB0" w:rsidP="00070765">
            <w:pPr>
              <w:jc w:val="center"/>
            </w:pPr>
            <w:r>
              <w:rPr>
                <w:rFonts w:ascii="Calibri" w:hAnsi="Calibri" w:cs="Calibri"/>
                <w:color w:val="000000"/>
                <w:szCs w:val="21"/>
              </w:rPr>
              <w:t>1</w:t>
            </w:r>
          </w:p>
        </w:tc>
        <w:tc>
          <w:tcPr>
            <w:tcW w:w="705" w:type="dxa"/>
            <w:noWrap/>
            <w:vAlign w:val="center"/>
            <w:hideMark/>
          </w:tcPr>
          <w:p w14:paraId="725F3E61" w14:textId="77777777" w:rsidR="006E0DB0" w:rsidRPr="00DF14C0" w:rsidRDefault="006E0DB0" w:rsidP="00070765">
            <w:pPr>
              <w:jc w:val="center"/>
            </w:pPr>
            <w:r>
              <w:rPr>
                <w:rFonts w:ascii="Calibri" w:hAnsi="Calibri" w:cs="Calibri"/>
                <w:color w:val="000000"/>
                <w:szCs w:val="21"/>
              </w:rPr>
              <w:t>1</w:t>
            </w:r>
          </w:p>
        </w:tc>
      </w:tr>
      <w:tr w:rsidR="006E0DB0" w:rsidRPr="0005682C" w14:paraId="13650458" w14:textId="77777777" w:rsidTr="00070765">
        <w:trPr>
          <w:trHeight w:val="300"/>
          <w:jc w:val="center"/>
        </w:trPr>
        <w:tc>
          <w:tcPr>
            <w:tcW w:w="1858" w:type="dxa"/>
            <w:noWrap/>
            <w:vAlign w:val="center"/>
            <w:hideMark/>
          </w:tcPr>
          <w:p w14:paraId="6861669F" w14:textId="77777777" w:rsidR="006E0DB0" w:rsidRPr="00DF14C0" w:rsidRDefault="006E0DB0" w:rsidP="00070765">
            <w:r>
              <w:rPr>
                <w:rFonts w:ascii="Calibri" w:hAnsi="Calibri" w:cs="Calibri"/>
                <w:color w:val="000000"/>
                <w:szCs w:val="21"/>
              </w:rPr>
              <w:t>Dongfeng</w:t>
            </w:r>
          </w:p>
        </w:tc>
        <w:tc>
          <w:tcPr>
            <w:tcW w:w="704" w:type="dxa"/>
            <w:vAlign w:val="center"/>
          </w:tcPr>
          <w:p w14:paraId="7BAADF30"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6541372F" w14:textId="77777777" w:rsidR="006E0DB0" w:rsidRPr="00DF14C0" w:rsidRDefault="006E0DB0" w:rsidP="00070765">
            <w:pPr>
              <w:jc w:val="center"/>
            </w:pPr>
            <w:r>
              <w:rPr>
                <w:rFonts w:ascii="Calibri" w:hAnsi="Calibri" w:cs="Calibri"/>
                <w:color w:val="000000"/>
                <w:szCs w:val="21"/>
              </w:rPr>
              <w:t>2</w:t>
            </w:r>
          </w:p>
        </w:tc>
        <w:tc>
          <w:tcPr>
            <w:tcW w:w="704" w:type="dxa"/>
            <w:vAlign w:val="center"/>
          </w:tcPr>
          <w:p w14:paraId="11EF04EE" w14:textId="77777777" w:rsidR="006E0DB0" w:rsidRPr="00DF14C0" w:rsidRDefault="006E0DB0" w:rsidP="00070765">
            <w:pPr>
              <w:jc w:val="center"/>
            </w:pPr>
            <w:r>
              <w:rPr>
                <w:rFonts w:ascii="Calibri" w:hAnsi="Calibri" w:cs="Calibri"/>
                <w:color w:val="000000"/>
                <w:szCs w:val="21"/>
              </w:rPr>
              <w:t>2</w:t>
            </w:r>
          </w:p>
        </w:tc>
        <w:tc>
          <w:tcPr>
            <w:tcW w:w="704" w:type="dxa"/>
            <w:noWrap/>
            <w:vAlign w:val="center"/>
            <w:hideMark/>
          </w:tcPr>
          <w:p w14:paraId="199CE5CC" w14:textId="77777777" w:rsidR="006E0DB0" w:rsidRPr="00DF14C0" w:rsidRDefault="006E0DB0" w:rsidP="00070765">
            <w:pPr>
              <w:jc w:val="center"/>
            </w:pPr>
            <w:r>
              <w:rPr>
                <w:rFonts w:ascii="Calibri" w:hAnsi="Calibri" w:cs="Calibri"/>
                <w:color w:val="000000"/>
                <w:szCs w:val="21"/>
              </w:rPr>
              <w:t>2</w:t>
            </w:r>
          </w:p>
        </w:tc>
        <w:tc>
          <w:tcPr>
            <w:tcW w:w="705" w:type="dxa"/>
            <w:noWrap/>
            <w:vAlign w:val="center"/>
            <w:hideMark/>
          </w:tcPr>
          <w:p w14:paraId="33287397" w14:textId="77777777" w:rsidR="006E0DB0" w:rsidRPr="00DF14C0" w:rsidRDefault="006E0DB0" w:rsidP="00070765">
            <w:pPr>
              <w:jc w:val="center"/>
            </w:pPr>
            <w:r>
              <w:rPr>
                <w:rFonts w:ascii="Calibri" w:hAnsi="Calibri" w:cs="Calibri"/>
                <w:color w:val="000000"/>
                <w:szCs w:val="21"/>
              </w:rPr>
              <w:t>2</w:t>
            </w:r>
          </w:p>
        </w:tc>
        <w:tc>
          <w:tcPr>
            <w:tcW w:w="705" w:type="dxa"/>
            <w:noWrap/>
            <w:vAlign w:val="center"/>
            <w:hideMark/>
          </w:tcPr>
          <w:p w14:paraId="31E72F57" w14:textId="77777777" w:rsidR="006E0DB0" w:rsidRPr="00DF14C0" w:rsidRDefault="006E0DB0" w:rsidP="00070765">
            <w:pPr>
              <w:jc w:val="center"/>
            </w:pPr>
            <w:r>
              <w:rPr>
                <w:rFonts w:ascii="Calibri" w:hAnsi="Calibri" w:cs="Calibri"/>
                <w:color w:val="000000"/>
                <w:szCs w:val="21"/>
              </w:rPr>
              <w:t>2</w:t>
            </w:r>
          </w:p>
        </w:tc>
        <w:tc>
          <w:tcPr>
            <w:tcW w:w="705" w:type="dxa"/>
            <w:noWrap/>
            <w:vAlign w:val="center"/>
            <w:hideMark/>
          </w:tcPr>
          <w:p w14:paraId="0D0FDB06" w14:textId="77777777" w:rsidR="006E0DB0" w:rsidRPr="00DF14C0" w:rsidRDefault="006E0DB0" w:rsidP="00070765">
            <w:pPr>
              <w:jc w:val="center"/>
            </w:pPr>
            <w:r>
              <w:rPr>
                <w:rFonts w:ascii="Calibri" w:hAnsi="Calibri" w:cs="Calibri"/>
                <w:color w:val="000000"/>
                <w:szCs w:val="21"/>
              </w:rPr>
              <w:t>2</w:t>
            </w:r>
          </w:p>
        </w:tc>
        <w:tc>
          <w:tcPr>
            <w:tcW w:w="704" w:type="dxa"/>
            <w:noWrap/>
            <w:vAlign w:val="center"/>
            <w:hideMark/>
          </w:tcPr>
          <w:p w14:paraId="3452346C" w14:textId="77777777" w:rsidR="006E0DB0" w:rsidRPr="00DF14C0" w:rsidRDefault="006E0DB0" w:rsidP="00070765">
            <w:pPr>
              <w:jc w:val="center"/>
            </w:pPr>
            <w:r>
              <w:rPr>
                <w:rFonts w:ascii="Calibri" w:hAnsi="Calibri" w:cs="Calibri"/>
                <w:color w:val="000000"/>
                <w:szCs w:val="21"/>
              </w:rPr>
              <w:t>2</w:t>
            </w:r>
          </w:p>
        </w:tc>
        <w:tc>
          <w:tcPr>
            <w:tcW w:w="705" w:type="dxa"/>
            <w:noWrap/>
            <w:vAlign w:val="center"/>
            <w:hideMark/>
          </w:tcPr>
          <w:p w14:paraId="50B1D266" w14:textId="77777777" w:rsidR="006E0DB0" w:rsidRPr="00DF14C0" w:rsidRDefault="006E0DB0" w:rsidP="00070765">
            <w:pPr>
              <w:jc w:val="center"/>
            </w:pPr>
            <w:r>
              <w:rPr>
                <w:rFonts w:ascii="Calibri" w:hAnsi="Calibri" w:cs="Calibri"/>
                <w:color w:val="000000"/>
                <w:szCs w:val="21"/>
              </w:rPr>
              <w:t>2</w:t>
            </w:r>
          </w:p>
        </w:tc>
        <w:tc>
          <w:tcPr>
            <w:tcW w:w="705" w:type="dxa"/>
            <w:noWrap/>
            <w:vAlign w:val="center"/>
            <w:hideMark/>
          </w:tcPr>
          <w:p w14:paraId="50E1719D" w14:textId="77777777" w:rsidR="006E0DB0" w:rsidRPr="00DF14C0" w:rsidRDefault="006E0DB0" w:rsidP="00070765">
            <w:pPr>
              <w:jc w:val="center"/>
            </w:pPr>
            <w:r>
              <w:rPr>
                <w:rFonts w:ascii="Calibri" w:hAnsi="Calibri" w:cs="Calibri"/>
                <w:color w:val="000000"/>
                <w:szCs w:val="21"/>
              </w:rPr>
              <w:t>2</w:t>
            </w:r>
          </w:p>
        </w:tc>
        <w:tc>
          <w:tcPr>
            <w:tcW w:w="705" w:type="dxa"/>
            <w:noWrap/>
            <w:vAlign w:val="center"/>
            <w:hideMark/>
          </w:tcPr>
          <w:p w14:paraId="73D076B6" w14:textId="77777777" w:rsidR="006E0DB0" w:rsidRPr="00DF14C0" w:rsidRDefault="006E0DB0" w:rsidP="00070765">
            <w:pPr>
              <w:jc w:val="center"/>
            </w:pPr>
            <w:r>
              <w:rPr>
                <w:rFonts w:ascii="Calibri" w:hAnsi="Calibri" w:cs="Calibri"/>
                <w:color w:val="000000"/>
                <w:szCs w:val="21"/>
              </w:rPr>
              <w:t>2</w:t>
            </w:r>
          </w:p>
        </w:tc>
        <w:tc>
          <w:tcPr>
            <w:tcW w:w="704" w:type="dxa"/>
            <w:noWrap/>
            <w:vAlign w:val="center"/>
            <w:hideMark/>
          </w:tcPr>
          <w:p w14:paraId="1F672CCA" w14:textId="77777777" w:rsidR="006E0DB0" w:rsidRPr="00DF14C0" w:rsidRDefault="006E0DB0" w:rsidP="00070765">
            <w:pPr>
              <w:jc w:val="center"/>
            </w:pPr>
            <w:r>
              <w:rPr>
                <w:rFonts w:ascii="Calibri" w:hAnsi="Calibri" w:cs="Calibri"/>
                <w:color w:val="000000"/>
                <w:szCs w:val="21"/>
              </w:rPr>
              <w:t>3</w:t>
            </w:r>
          </w:p>
        </w:tc>
        <w:tc>
          <w:tcPr>
            <w:tcW w:w="705" w:type="dxa"/>
            <w:noWrap/>
            <w:vAlign w:val="center"/>
            <w:hideMark/>
          </w:tcPr>
          <w:p w14:paraId="542E00D9" w14:textId="77777777" w:rsidR="006E0DB0" w:rsidRPr="00DF14C0" w:rsidRDefault="006E0DB0" w:rsidP="00070765">
            <w:pPr>
              <w:jc w:val="center"/>
            </w:pPr>
            <w:r>
              <w:rPr>
                <w:rFonts w:ascii="Calibri" w:hAnsi="Calibri" w:cs="Calibri"/>
                <w:color w:val="000000"/>
                <w:szCs w:val="21"/>
              </w:rPr>
              <w:t>3</w:t>
            </w:r>
          </w:p>
        </w:tc>
        <w:tc>
          <w:tcPr>
            <w:tcW w:w="705" w:type="dxa"/>
            <w:noWrap/>
            <w:vAlign w:val="center"/>
            <w:hideMark/>
          </w:tcPr>
          <w:p w14:paraId="03E358E8" w14:textId="77777777" w:rsidR="006E0DB0" w:rsidRPr="00DF14C0" w:rsidRDefault="006E0DB0" w:rsidP="00070765">
            <w:pPr>
              <w:jc w:val="center"/>
            </w:pPr>
            <w:r>
              <w:rPr>
                <w:rFonts w:ascii="Calibri" w:hAnsi="Calibri" w:cs="Calibri"/>
                <w:color w:val="000000"/>
                <w:szCs w:val="21"/>
              </w:rPr>
              <w:t>3</w:t>
            </w:r>
          </w:p>
        </w:tc>
        <w:tc>
          <w:tcPr>
            <w:tcW w:w="705" w:type="dxa"/>
            <w:noWrap/>
            <w:vAlign w:val="center"/>
            <w:hideMark/>
          </w:tcPr>
          <w:p w14:paraId="43D6681D" w14:textId="77777777" w:rsidR="006E0DB0" w:rsidRPr="00DF14C0" w:rsidRDefault="006E0DB0" w:rsidP="00070765">
            <w:pPr>
              <w:jc w:val="center"/>
            </w:pPr>
            <w:r>
              <w:rPr>
                <w:rFonts w:ascii="Calibri" w:hAnsi="Calibri" w:cs="Calibri"/>
                <w:color w:val="000000"/>
                <w:szCs w:val="21"/>
              </w:rPr>
              <w:t>3</w:t>
            </w:r>
          </w:p>
        </w:tc>
      </w:tr>
      <w:tr w:rsidR="006E0DB0" w:rsidRPr="0005682C" w14:paraId="76262A03" w14:textId="77777777" w:rsidTr="00070765">
        <w:trPr>
          <w:trHeight w:val="300"/>
          <w:jc w:val="center"/>
        </w:trPr>
        <w:tc>
          <w:tcPr>
            <w:tcW w:w="1858" w:type="dxa"/>
            <w:noWrap/>
            <w:vAlign w:val="center"/>
            <w:hideMark/>
          </w:tcPr>
          <w:p w14:paraId="25645559" w14:textId="77777777" w:rsidR="006E0DB0" w:rsidRPr="00DF14C0" w:rsidRDefault="006E0DB0" w:rsidP="00070765">
            <w:r>
              <w:rPr>
                <w:rFonts w:ascii="Calibri" w:hAnsi="Calibri" w:cs="Calibri"/>
                <w:color w:val="000000"/>
                <w:szCs w:val="21"/>
              </w:rPr>
              <w:t>FAW</w:t>
            </w:r>
          </w:p>
        </w:tc>
        <w:tc>
          <w:tcPr>
            <w:tcW w:w="704" w:type="dxa"/>
            <w:vAlign w:val="center"/>
          </w:tcPr>
          <w:p w14:paraId="152B05B6"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2E86CA72" w14:textId="77777777" w:rsidR="006E0DB0" w:rsidRPr="00DF14C0" w:rsidRDefault="006E0DB0" w:rsidP="00070765">
            <w:pPr>
              <w:jc w:val="center"/>
            </w:pPr>
            <w:r>
              <w:rPr>
                <w:rFonts w:ascii="Calibri" w:hAnsi="Calibri" w:cs="Calibri"/>
                <w:color w:val="000000"/>
                <w:szCs w:val="21"/>
              </w:rPr>
              <w:t>3</w:t>
            </w:r>
          </w:p>
        </w:tc>
        <w:tc>
          <w:tcPr>
            <w:tcW w:w="704" w:type="dxa"/>
            <w:vAlign w:val="center"/>
          </w:tcPr>
          <w:p w14:paraId="04113B27" w14:textId="77777777" w:rsidR="006E0DB0" w:rsidRPr="00DF14C0" w:rsidRDefault="006E0DB0" w:rsidP="00070765">
            <w:pPr>
              <w:jc w:val="center"/>
            </w:pPr>
            <w:r>
              <w:rPr>
                <w:rFonts w:ascii="Calibri" w:hAnsi="Calibri" w:cs="Calibri"/>
                <w:color w:val="000000"/>
                <w:szCs w:val="21"/>
              </w:rPr>
              <w:t>3</w:t>
            </w:r>
          </w:p>
        </w:tc>
        <w:tc>
          <w:tcPr>
            <w:tcW w:w="704" w:type="dxa"/>
            <w:noWrap/>
            <w:vAlign w:val="center"/>
            <w:hideMark/>
          </w:tcPr>
          <w:p w14:paraId="24170270" w14:textId="77777777" w:rsidR="006E0DB0" w:rsidRPr="00DF14C0" w:rsidRDefault="006E0DB0" w:rsidP="00070765">
            <w:pPr>
              <w:jc w:val="center"/>
            </w:pPr>
            <w:r>
              <w:rPr>
                <w:rFonts w:ascii="Calibri" w:hAnsi="Calibri" w:cs="Calibri"/>
                <w:color w:val="000000"/>
                <w:szCs w:val="21"/>
              </w:rPr>
              <w:t>3</w:t>
            </w:r>
          </w:p>
        </w:tc>
        <w:tc>
          <w:tcPr>
            <w:tcW w:w="705" w:type="dxa"/>
            <w:noWrap/>
            <w:vAlign w:val="center"/>
            <w:hideMark/>
          </w:tcPr>
          <w:p w14:paraId="21C5502A" w14:textId="77777777" w:rsidR="006E0DB0" w:rsidRPr="00DF14C0" w:rsidRDefault="006E0DB0" w:rsidP="00070765">
            <w:pPr>
              <w:jc w:val="center"/>
            </w:pPr>
            <w:r>
              <w:rPr>
                <w:rFonts w:ascii="Calibri" w:hAnsi="Calibri" w:cs="Calibri"/>
                <w:color w:val="000000"/>
                <w:szCs w:val="21"/>
              </w:rPr>
              <w:t>3</w:t>
            </w:r>
          </w:p>
        </w:tc>
        <w:tc>
          <w:tcPr>
            <w:tcW w:w="705" w:type="dxa"/>
            <w:noWrap/>
            <w:vAlign w:val="center"/>
            <w:hideMark/>
          </w:tcPr>
          <w:p w14:paraId="29A12E0E" w14:textId="77777777" w:rsidR="006E0DB0" w:rsidRPr="00DF14C0" w:rsidRDefault="006E0DB0" w:rsidP="00070765">
            <w:pPr>
              <w:jc w:val="center"/>
            </w:pPr>
            <w:r>
              <w:rPr>
                <w:rFonts w:ascii="Calibri" w:hAnsi="Calibri" w:cs="Calibri"/>
                <w:color w:val="000000"/>
                <w:szCs w:val="21"/>
              </w:rPr>
              <w:t>3</w:t>
            </w:r>
          </w:p>
        </w:tc>
        <w:tc>
          <w:tcPr>
            <w:tcW w:w="705" w:type="dxa"/>
            <w:noWrap/>
            <w:vAlign w:val="center"/>
            <w:hideMark/>
          </w:tcPr>
          <w:p w14:paraId="27709DEA" w14:textId="77777777" w:rsidR="006E0DB0" w:rsidRPr="00DF14C0" w:rsidRDefault="006E0DB0" w:rsidP="00070765">
            <w:pPr>
              <w:jc w:val="center"/>
            </w:pPr>
            <w:r>
              <w:rPr>
                <w:rFonts w:ascii="Calibri" w:hAnsi="Calibri" w:cs="Calibri"/>
                <w:color w:val="000000"/>
                <w:szCs w:val="21"/>
              </w:rPr>
              <w:t>3</w:t>
            </w:r>
          </w:p>
        </w:tc>
        <w:tc>
          <w:tcPr>
            <w:tcW w:w="704" w:type="dxa"/>
            <w:noWrap/>
            <w:vAlign w:val="center"/>
            <w:hideMark/>
          </w:tcPr>
          <w:p w14:paraId="2666D0C8" w14:textId="77777777" w:rsidR="006E0DB0" w:rsidRPr="00DF14C0" w:rsidRDefault="006E0DB0" w:rsidP="00070765">
            <w:pPr>
              <w:jc w:val="center"/>
            </w:pPr>
            <w:r>
              <w:rPr>
                <w:rFonts w:ascii="Calibri" w:hAnsi="Calibri" w:cs="Calibri"/>
                <w:color w:val="000000"/>
                <w:szCs w:val="21"/>
              </w:rPr>
              <w:t>3</w:t>
            </w:r>
          </w:p>
        </w:tc>
        <w:tc>
          <w:tcPr>
            <w:tcW w:w="705" w:type="dxa"/>
            <w:noWrap/>
            <w:vAlign w:val="center"/>
            <w:hideMark/>
          </w:tcPr>
          <w:p w14:paraId="51645A07" w14:textId="77777777" w:rsidR="006E0DB0" w:rsidRPr="00DF14C0" w:rsidRDefault="006E0DB0" w:rsidP="00070765">
            <w:pPr>
              <w:jc w:val="center"/>
            </w:pPr>
            <w:r>
              <w:rPr>
                <w:rFonts w:ascii="Calibri" w:hAnsi="Calibri" w:cs="Calibri"/>
                <w:color w:val="000000"/>
                <w:szCs w:val="21"/>
              </w:rPr>
              <w:t>3</w:t>
            </w:r>
          </w:p>
        </w:tc>
        <w:tc>
          <w:tcPr>
            <w:tcW w:w="705" w:type="dxa"/>
            <w:noWrap/>
            <w:vAlign w:val="center"/>
            <w:hideMark/>
          </w:tcPr>
          <w:p w14:paraId="11DEA26D" w14:textId="77777777" w:rsidR="006E0DB0" w:rsidRPr="00DF14C0" w:rsidRDefault="006E0DB0" w:rsidP="00070765">
            <w:pPr>
              <w:jc w:val="center"/>
            </w:pPr>
            <w:r>
              <w:rPr>
                <w:rFonts w:ascii="Calibri" w:hAnsi="Calibri" w:cs="Calibri"/>
                <w:color w:val="000000"/>
                <w:szCs w:val="21"/>
              </w:rPr>
              <w:t>3</w:t>
            </w:r>
          </w:p>
        </w:tc>
        <w:tc>
          <w:tcPr>
            <w:tcW w:w="705" w:type="dxa"/>
            <w:noWrap/>
            <w:vAlign w:val="center"/>
            <w:hideMark/>
          </w:tcPr>
          <w:p w14:paraId="2509E7F2" w14:textId="77777777" w:rsidR="006E0DB0" w:rsidRPr="00DF14C0" w:rsidRDefault="006E0DB0" w:rsidP="00070765">
            <w:pPr>
              <w:jc w:val="center"/>
            </w:pPr>
            <w:r>
              <w:rPr>
                <w:rFonts w:ascii="Calibri" w:hAnsi="Calibri" w:cs="Calibri"/>
                <w:color w:val="000000"/>
                <w:szCs w:val="21"/>
              </w:rPr>
              <w:t>3</w:t>
            </w:r>
          </w:p>
        </w:tc>
        <w:tc>
          <w:tcPr>
            <w:tcW w:w="704" w:type="dxa"/>
            <w:noWrap/>
            <w:vAlign w:val="center"/>
            <w:hideMark/>
          </w:tcPr>
          <w:p w14:paraId="0813F92C" w14:textId="77777777" w:rsidR="006E0DB0" w:rsidRPr="00DF14C0" w:rsidRDefault="006E0DB0" w:rsidP="00070765">
            <w:pPr>
              <w:jc w:val="center"/>
            </w:pPr>
            <w:r>
              <w:rPr>
                <w:rFonts w:ascii="Calibri" w:hAnsi="Calibri" w:cs="Calibri"/>
                <w:color w:val="000000"/>
                <w:szCs w:val="21"/>
              </w:rPr>
              <w:t>2</w:t>
            </w:r>
          </w:p>
        </w:tc>
        <w:tc>
          <w:tcPr>
            <w:tcW w:w="705" w:type="dxa"/>
            <w:noWrap/>
            <w:vAlign w:val="center"/>
            <w:hideMark/>
          </w:tcPr>
          <w:p w14:paraId="014AC0B0" w14:textId="77777777" w:rsidR="006E0DB0" w:rsidRPr="00DF14C0" w:rsidRDefault="006E0DB0" w:rsidP="00070765">
            <w:pPr>
              <w:jc w:val="center"/>
            </w:pPr>
            <w:r>
              <w:rPr>
                <w:rFonts w:ascii="Calibri" w:hAnsi="Calibri" w:cs="Calibri"/>
                <w:color w:val="000000"/>
                <w:szCs w:val="21"/>
              </w:rPr>
              <w:t>2</w:t>
            </w:r>
          </w:p>
        </w:tc>
        <w:tc>
          <w:tcPr>
            <w:tcW w:w="705" w:type="dxa"/>
            <w:noWrap/>
            <w:vAlign w:val="center"/>
            <w:hideMark/>
          </w:tcPr>
          <w:p w14:paraId="2BCEE027" w14:textId="77777777" w:rsidR="006E0DB0" w:rsidRPr="00DF14C0" w:rsidRDefault="006E0DB0" w:rsidP="00070765">
            <w:pPr>
              <w:jc w:val="center"/>
            </w:pPr>
            <w:r>
              <w:rPr>
                <w:rFonts w:ascii="Calibri" w:hAnsi="Calibri" w:cs="Calibri"/>
                <w:color w:val="000000"/>
                <w:szCs w:val="21"/>
              </w:rPr>
              <w:t>2</w:t>
            </w:r>
          </w:p>
        </w:tc>
        <w:tc>
          <w:tcPr>
            <w:tcW w:w="705" w:type="dxa"/>
            <w:noWrap/>
            <w:vAlign w:val="center"/>
            <w:hideMark/>
          </w:tcPr>
          <w:p w14:paraId="3A7A0532" w14:textId="77777777" w:rsidR="006E0DB0" w:rsidRPr="00DF14C0" w:rsidRDefault="006E0DB0" w:rsidP="00070765">
            <w:pPr>
              <w:jc w:val="center"/>
            </w:pPr>
            <w:r>
              <w:rPr>
                <w:rFonts w:ascii="Calibri" w:hAnsi="Calibri" w:cs="Calibri"/>
                <w:color w:val="000000"/>
                <w:szCs w:val="21"/>
              </w:rPr>
              <w:t>2</w:t>
            </w:r>
          </w:p>
        </w:tc>
      </w:tr>
      <w:tr w:rsidR="006E0DB0" w:rsidRPr="0005682C" w14:paraId="5645BDF4" w14:textId="77777777" w:rsidTr="00070765">
        <w:trPr>
          <w:trHeight w:val="300"/>
          <w:jc w:val="center"/>
        </w:trPr>
        <w:tc>
          <w:tcPr>
            <w:tcW w:w="1858" w:type="dxa"/>
            <w:noWrap/>
            <w:vAlign w:val="center"/>
            <w:hideMark/>
          </w:tcPr>
          <w:p w14:paraId="3126AB54" w14:textId="77777777" w:rsidR="006E0DB0" w:rsidRPr="00DF14C0" w:rsidRDefault="006E0DB0" w:rsidP="00070765">
            <w:r>
              <w:rPr>
                <w:rFonts w:ascii="Calibri" w:hAnsi="Calibri" w:cs="Calibri"/>
                <w:color w:val="000000"/>
                <w:szCs w:val="21"/>
              </w:rPr>
              <w:t>BAIC</w:t>
            </w:r>
          </w:p>
        </w:tc>
        <w:tc>
          <w:tcPr>
            <w:tcW w:w="704" w:type="dxa"/>
            <w:vAlign w:val="center"/>
          </w:tcPr>
          <w:p w14:paraId="33878145"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7077000B" w14:textId="77777777" w:rsidR="006E0DB0" w:rsidRPr="00DF14C0" w:rsidRDefault="006E0DB0" w:rsidP="00070765">
            <w:pPr>
              <w:jc w:val="center"/>
            </w:pPr>
            <w:r>
              <w:rPr>
                <w:rFonts w:ascii="Calibri" w:hAnsi="Calibri" w:cs="Calibri"/>
                <w:color w:val="000000"/>
                <w:szCs w:val="21"/>
              </w:rPr>
              <w:t>4</w:t>
            </w:r>
          </w:p>
        </w:tc>
        <w:tc>
          <w:tcPr>
            <w:tcW w:w="704" w:type="dxa"/>
            <w:vAlign w:val="center"/>
          </w:tcPr>
          <w:p w14:paraId="204986E1" w14:textId="77777777" w:rsidR="006E0DB0" w:rsidRPr="00DF14C0" w:rsidRDefault="006E0DB0" w:rsidP="00070765">
            <w:pPr>
              <w:jc w:val="center"/>
            </w:pPr>
            <w:r>
              <w:rPr>
                <w:rFonts w:ascii="Calibri" w:hAnsi="Calibri" w:cs="Calibri"/>
                <w:color w:val="000000"/>
                <w:szCs w:val="21"/>
              </w:rPr>
              <w:t>4</w:t>
            </w:r>
          </w:p>
        </w:tc>
        <w:tc>
          <w:tcPr>
            <w:tcW w:w="704" w:type="dxa"/>
            <w:noWrap/>
            <w:vAlign w:val="center"/>
            <w:hideMark/>
          </w:tcPr>
          <w:p w14:paraId="3FC83A55" w14:textId="77777777" w:rsidR="006E0DB0" w:rsidRPr="00DF14C0" w:rsidRDefault="006E0DB0" w:rsidP="00070765">
            <w:pPr>
              <w:jc w:val="center"/>
            </w:pPr>
            <w:r>
              <w:rPr>
                <w:rFonts w:ascii="Calibri" w:hAnsi="Calibri" w:cs="Calibri"/>
                <w:color w:val="000000"/>
                <w:szCs w:val="21"/>
              </w:rPr>
              <w:t>5</w:t>
            </w:r>
          </w:p>
        </w:tc>
        <w:tc>
          <w:tcPr>
            <w:tcW w:w="705" w:type="dxa"/>
            <w:noWrap/>
            <w:vAlign w:val="center"/>
            <w:hideMark/>
          </w:tcPr>
          <w:p w14:paraId="7F72AB7D" w14:textId="77777777" w:rsidR="006E0DB0" w:rsidRPr="00DF14C0" w:rsidRDefault="006E0DB0" w:rsidP="00070765">
            <w:pPr>
              <w:jc w:val="center"/>
            </w:pPr>
            <w:r>
              <w:rPr>
                <w:rFonts w:ascii="Calibri" w:hAnsi="Calibri" w:cs="Calibri"/>
                <w:color w:val="000000"/>
                <w:szCs w:val="21"/>
              </w:rPr>
              <w:t>5</w:t>
            </w:r>
          </w:p>
        </w:tc>
        <w:tc>
          <w:tcPr>
            <w:tcW w:w="705" w:type="dxa"/>
            <w:noWrap/>
            <w:vAlign w:val="center"/>
            <w:hideMark/>
          </w:tcPr>
          <w:p w14:paraId="6D29C7BA" w14:textId="77777777" w:rsidR="006E0DB0" w:rsidRPr="00DF14C0" w:rsidRDefault="006E0DB0" w:rsidP="00070765">
            <w:pPr>
              <w:jc w:val="center"/>
            </w:pPr>
            <w:r>
              <w:rPr>
                <w:rFonts w:ascii="Calibri" w:hAnsi="Calibri" w:cs="Calibri"/>
                <w:color w:val="000000"/>
                <w:szCs w:val="21"/>
              </w:rPr>
              <w:t>5</w:t>
            </w:r>
          </w:p>
        </w:tc>
        <w:tc>
          <w:tcPr>
            <w:tcW w:w="705" w:type="dxa"/>
            <w:noWrap/>
            <w:vAlign w:val="center"/>
            <w:hideMark/>
          </w:tcPr>
          <w:p w14:paraId="76E02B5E" w14:textId="77777777" w:rsidR="006E0DB0" w:rsidRPr="00DF14C0" w:rsidRDefault="006E0DB0" w:rsidP="00070765">
            <w:pPr>
              <w:jc w:val="center"/>
            </w:pPr>
            <w:r>
              <w:rPr>
                <w:rFonts w:ascii="Calibri" w:hAnsi="Calibri" w:cs="Calibri"/>
                <w:color w:val="000000"/>
                <w:szCs w:val="21"/>
              </w:rPr>
              <w:t>5</w:t>
            </w:r>
          </w:p>
        </w:tc>
        <w:tc>
          <w:tcPr>
            <w:tcW w:w="704" w:type="dxa"/>
            <w:noWrap/>
            <w:vAlign w:val="center"/>
            <w:hideMark/>
          </w:tcPr>
          <w:p w14:paraId="10ECBEA5" w14:textId="77777777" w:rsidR="006E0DB0" w:rsidRPr="00DF14C0" w:rsidRDefault="006E0DB0" w:rsidP="00070765">
            <w:pPr>
              <w:jc w:val="center"/>
            </w:pPr>
            <w:r>
              <w:rPr>
                <w:rFonts w:ascii="Calibri" w:hAnsi="Calibri" w:cs="Calibri"/>
                <w:color w:val="000000"/>
                <w:szCs w:val="21"/>
              </w:rPr>
              <w:t>5</w:t>
            </w:r>
          </w:p>
        </w:tc>
        <w:tc>
          <w:tcPr>
            <w:tcW w:w="705" w:type="dxa"/>
            <w:noWrap/>
            <w:vAlign w:val="center"/>
            <w:hideMark/>
          </w:tcPr>
          <w:p w14:paraId="655A7F67" w14:textId="77777777" w:rsidR="006E0DB0" w:rsidRPr="00DF14C0" w:rsidRDefault="006E0DB0" w:rsidP="00070765">
            <w:pPr>
              <w:jc w:val="center"/>
            </w:pPr>
            <w:r>
              <w:rPr>
                <w:rFonts w:ascii="Calibri" w:hAnsi="Calibri" w:cs="Calibri"/>
                <w:color w:val="000000"/>
                <w:szCs w:val="21"/>
              </w:rPr>
              <w:t>5</w:t>
            </w:r>
          </w:p>
        </w:tc>
        <w:tc>
          <w:tcPr>
            <w:tcW w:w="705" w:type="dxa"/>
            <w:noWrap/>
            <w:vAlign w:val="center"/>
            <w:hideMark/>
          </w:tcPr>
          <w:p w14:paraId="5BD68CD9" w14:textId="77777777" w:rsidR="006E0DB0" w:rsidRPr="00DF14C0" w:rsidRDefault="006E0DB0" w:rsidP="00070765">
            <w:pPr>
              <w:jc w:val="center"/>
            </w:pPr>
            <w:r>
              <w:rPr>
                <w:rFonts w:ascii="Calibri" w:hAnsi="Calibri" w:cs="Calibri"/>
                <w:color w:val="000000"/>
                <w:szCs w:val="21"/>
              </w:rPr>
              <w:t>5</w:t>
            </w:r>
          </w:p>
        </w:tc>
        <w:tc>
          <w:tcPr>
            <w:tcW w:w="705" w:type="dxa"/>
            <w:noWrap/>
            <w:vAlign w:val="center"/>
            <w:hideMark/>
          </w:tcPr>
          <w:p w14:paraId="50E65964" w14:textId="77777777" w:rsidR="006E0DB0" w:rsidRPr="00DF14C0" w:rsidRDefault="006E0DB0" w:rsidP="00070765">
            <w:pPr>
              <w:jc w:val="center"/>
            </w:pPr>
            <w:r>
              <w:rPr>
                <w:rFonts w:ascii="Calibri" w:hAnsi="Calibri" w:cs="Calibri"/>
                <w:color w:val="000000"/>
                <w:szCs w:val="21"/>
              </w:rPr>
              <w:t>5</w:t>
            </w:r>
          </w:p>
        </w:tc>
        <w:tc>
          <w:tcPr>
            <w:tcW w:w="704" w:type="dxa"/>
            <w:noWrap/>
            <w:vAlign w:val="center"/>
            <w:hideMark/>
          </w:tcPr>
          <w:p w14:paraId="30003522" w14:textId="77777777" w:rsidR="006E0DB0" w:rsidRPr="00DF14C0" w:rsidRDefault="006E0DB0" w:rsidP="00070765">
            <w:pPr>
              <w:jc w:val="center"/>
            </w:pPr>
            <w:r>
              <w:rPr>
                <w:rFonts w:ascii="Calibri" w:hAnsi="Calibri" w:cs="Calibri"/>
                <w:color w:val="000000"/>
                <w:szCs w:val="21"/>
              </w:rPr>
              <w:t>5</w:t>
            </w:r>
          </w:p>
        </w:tc>
        <w:tc>
          <w:tcPr>
            <w:tcW w:w="705" w:type="dxa"/>
            <w:noWrap/>
            <w:vAlign w:val="center"/>
            <w:hideMark/>
          </w:tcPr>
          <w:p w14:paraId="13033118" w14:textId="77777777" w:rsidR="006E0DB0" w:rsidRPr="00DF14C0" w:rsidRDefault="006E0DB0" w:rsidP="00070765">
            <w:pPr>
              <w:jc w:val="center"/>
            </w:pPr>
            <w:r>
              <w:rPr>
                <w:rFonts w:ascii="Calibri" w:hAnsi="Calibri" w:cs="Calibri"/>
                <w:color w:val="000000"/>
                <w:szCs w:val="21"/>
              </w:rPr>
              <w:t>5</w:t>
            </w:r>
          </w:p>
        </w:tc>
        <w:tc>
          <w:tcPr>
            <w:tcW w:w="705" w:type="dxa"/>
            <w:noWrap/>
            <w:vAlign w:val="center"/>
            <w:hideMark/>
          </w:tcPr>
          <w:p w14:paraId="7C7F3417" w14:textId="77777777" w:rsidR="006E0DB0" w:rsidRPr="00DF14C0" w:rsidRDefault="006E0DB0" w:rsidP="00070765">
            <w:pPr>
              <w:jc w:val="center"/>
            </w:pPr>
            <w:r>
              <w:rPr>
                <w:rFonts w:ascii="Calibri" w:hAnsi="Calibri" w:cs="Calibri"/>
                <w:color w:val="000000"/>
                <w:szCs w:val="21"/>
              </w:rPr>
              <w:t>5</w:t>
            </w:r>
          </w:p>
        </w:tc>
        <w:tc>
          <w:tcPr>
            <w:tcW w:w="705" w:type="dxa"/>
            <w:noWrap/>
            <w:vAlign w:val="center"/>
            <w:hideMark/>
          </w:tcPr>
          <w:p w14:paraId="36FE5669" w14:textId="77777777" w:rsidR="006E0DB0" w:rsidRPr="00DF14C0" w:rsidRDefault="006E0DB0" w:rsidP="00070765">
            <w:pPr>
              <w:jc w:val="center"/>
            </w:pPr>
            <w:r>
              <w:rPr>
                <w:rFonts w:ascii="Calibri" w:hAnsi="Calibri" w:cs="Calibri"/>
                <w:color w:val="000000"/>
                <w:szCs w:val="21"/>
              </w:rPr>
              <w:t>4</w:t>
            </w:r>
          </w:p>
        </w:tc>
      </w:tr>
      <w:tr w:rsidR="006E0DB0" w:rsidRPr="0005682C" w14:paraId="2C6AC4BA" w14:textId="77777777" w:rsidTr="00070765">
        <w:trPr>
          <w:trHeight w:val="300"/>
          <w:jc w:val="center"/>
        </w:trPr>
        <w:tc>
          <w:tcPr>
            <w:tcW w:w="1858" w:type="dxa"/>
            <w:noWrap/>
            <w:vAlign w:val="center"/>
            <w:hideMark/>
          </w:tcPr>
          <w:p w14:paraId="4C95223D" w14:textId="77777777" w:rsidR="006E0DB0" w:rsidRPr="00DF14C0" w:rsidRDefault="006E0DB0" w:rsidP="00070765">
            <w:r>
              <w:rPr>
                <w:rFonts w:ascii="Calibri" w:hAnsi="Calibri" w:cs="Calibri"/>
                <w:color w:val="000000"/>
                <w:szCs w:val="21"/>
              </w:rPr>
              <w:t>GAC</w:t>
            </w:r>
          </w:p>
        </w:tc>
        <w:tc>
          <w:tcPr>
            <w:tcW w:w="704" w:type="dxa"/>
            <w:vAlign w:val="center"/>
          </w:tcPr>
          <w:p w14:paraId="104F6DE2"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523723E8" w14:textId="77777777" w:rsidR="006E0DB0" w:rsidRPr="00DF14C0" w:rsidRDefault="006E0DB0" w:rsidP="00070765">
            <w:pPr>
              <w:jc w:val="center"/>
            </w:pPr>
            <w:r>
              <w:rPr>
                <w:rFonts w:ascii="Calibri" w:hAnsi="Calibri" w:cs="Calibri"/>
                <w:color w:val="000000"/>
                <w:szCs w:val="21"/>
              </w:rPr>
              <w:t>5</w:t>
            </w:r>
          </w:p>
        </w:tc>
        <w:tc>
          <w:tcPr>
            <w:tcW w:w="704" w:type="dxa"/>
            <w:vAlign w:val="center"/>
          </w:tcPr>
          <w:p w14:paraId="28696CF3" w14:textId="77777777" w:rsidR="006E0DB0" w:rsidRPr="00DF14C0" w:rsidRDefault="006E0DB0" w:rsidP="00070765">
            <w:pPr>
              <w:jc w:val="center"/>
            </w:pPr>
            <w:r>
              <w:rPr>
                <w:rFonts w:ascii="Calibri" w:hAnsi="Calibri" w:cs="Calibri"/>
                <w:color w:val="000000"/>
                <w:szCs w:val="21"/>
              </w:rPr>
              <w:t>5</w:t>
            </w:r>
          </w:p>
        </w:tc>
        <w:tc>
          <w:tcPr>
            <w:tcW w:w="704" w:type="dxa"/>
            <w:noWrap/>
            <w:vAlign w:val="center"/>
            <w:hideMark/>
          </w:tcPr>
          <w:p w14:paraId="6F856ECE" w14:textId="77777777" w:rsidR="006E0DB0" w:rsidRPr="00DF14C0" w:rsidRDefault="006E0DB0" w:rsidP="00070765">
            <w:pPr>
              <w:jc w:val="center"/>
            </w:pPr>
            <w:r>
              <w:rPr>
                <w:rFonts w:ascii="Calibri" w:hAnsi="Calibri" w:cs="Calibri"/>
                <w:color w:val="000000"/>
                <w:szCs w:val="21"/>
              </w:rPr>
              <w:t>6</w:t>
            </w:r>
          </w:p>
        </w:tc>
        <w:tc>
          <w:tcPr>
            <w:tcW w:w="705" w:type="dxa"/>
            <w:noWrap/>
            <w:vAlign w:val="center"/>
            <w:hideMark/>
          </w:tcPr>
          <w:p w14:paraId="6CF8CE71" w14:textId="77777777" w:rsidR="006E0DB0" w:rsidRPr="00DF14C0" w:rsidRDefault="006E0DB0" w:rsidP="00070765">
            <w:pPr>
              <w:jc w:val="center"/>
            </w:pPr>
            <w:r>
              <w:rPr>
                <w:rFonts w:ascii="Calibri" w:hAnsi="Calibri" w:cs="Calibri"/>
                <w:color w:val="000000"/>
                <w:szCs w:val="21"/>
              </w:rPr>
              <w:t>6</w:t>
            </w:r>
          </w:p>
        </w:tc>
        <w:tc>
          <w:tcPr>
            <w:tcW w:w="705" w:type="dxa"/>
            <w:noWrap/>
            <w:vAlign w:val="center"/>
            <w:hideMark/>
          </w:tcPr>
          <w:p w14:paraId="2014BDC3" w14:textId="77777777" w:rsidR="006E0DB0" w:rsidRPr="00DF14C0" w:rsidRDefault="006E0DB0" w:rsidP="00070765">
            <w:pPr>
              <w:jc w:val="center"/>
            </w:pPr>
            <w:r>
              <w:rPr>
                <w:rFonts w:ascii="Calibri" w:hAnsi="Calibri" w:cs="Calibri"/>
                <w:color w:val="000000"/>
                <w:szCs w:val="21"/>
              </w:rPr>
              <w:t>6</w:t>
            </w:r>
          </w:p>
        </w:tc>
        <w:tc>
          <w:tcPr>
            <w:tcW w:w="705" w:type="dxa"/>
            <w:noWrap/>
            <w:vAlign w:val="center"/>
            <w:hideMark/>
          </w:tcPr>
          <w:p w14:paraId="56C0AD4B" w14:textId="77777777" w:rsidR="006E0DB0" w:rsidRPr="00DF14C0" w:rsidRDefault="006E0DB0" w:rsidP="00070765">
            <w:pPr>
              <w:jc w:val="center"/>
            </w:pPr>
            <w:r>
              <w:rPr>
                <w:rFonts w:ascii="Calibri" w:hAnsi="Calibri" w:cs="Calibri"/>
                <w:color w:val="000000"/>
                <w:szCs w:val="21"/>
              </w:rPr>
              <w:t>6</w:t>
            </w:r>
          </w:p>
        </w:tc>
        <w:tc>
          <w:tcPr>
            <w:tcW w:w="704" w:type="dxa"/>
            <w:noWrap/>
            <w:vAlign w:val="center"/>
            <w:hideMark/>
          </w:tcPr>
          <w:p w14:paraId="38C4ECB7" w14:textId="77777777" w:rsidR="006E0DB0" w:rsidRPr="00DF14C0" w:rsidRDefault="006E0DB0" w:rsidP="00070765">
            <w:pPr>
              <w:jc w:val="center"/>
            </w:pPr>
            <w:r>
              <w:rPr>
                <w:rFonts w:ascii="Calibri" w:hAnsi="Calibri" w:cs="Calibri"/>
                <w:color w:val="000000"/>
                <w:szCs w:val="21"/>
              </w:rPr>
              <w:t>6</w:t>
            </w:r>
          </w:p>
        </w:tc>
        <w:tc>
          <w:tcPr>
            <w:tcW w:w="705" w:type="dxa"/>
            <w:noWrap/>
            <w:vAlign w:val="center"/>
            <w:hideMark/>
          </w:tcPr>
          <w:p w14:paraId="75B9F37B" w14:textId="77777777" w:rsidR="006E0DB0" w:rsidRPr="00DF14C0" w:rsidRDefault="006E0DB0" w:rsidP="00070765">
            <w:pPr>
              <w:jc w:val="center"/>
            </w:pPr>
            <w:r>
              <w:rPr>
                <w:rFonts w:ascii="Calibri" w:hAnsi="Calibri" w:cs="Calibri"/>
                <w:color w:val="000000"/>
                <w:szCs w:val="21"/>
              </w:rPr>
              <w:t>6</w:t>
            </w:r>
          </w:p>
        </w:tc>
        <w:tc>
          <w:tcPr>
            <w:tcW w:w="705" w:type="dxa"/>
            <w:noWrap/>
            <w:vAlign w:val="center"/>
            <w:hideMark/>
          </w:tcPr>
          <w:p w14:paraId="79BEAF10" w14:textId="77777777" w:rsidR="006E0DB0" w:rsidRPr="00DF14C0" w:rsidRDefault="006E0DB0" w:rsidP="00070765">
            <w:pPr>
              <w:jc w:val="center"/>
            </w:pPr>
            <w:r>
              <w:rPr>
                <w:rFonts w:ascii="Calibri" w:hAnsi="Calibri" w:cs="Calibri"/>
                <w:color w:val="000000"/>
                <w:szCs w:val="21"/>
              </w:rPr>
              <w:t>6</w:t>
            </w:r>
          </w:p>
        </w:tc>
        <w:tc>
          <w:tcPr>
            <w:tcW w:w="705" w:type="dxa"/>
            <w:noWrap/>
            <w:vAlign w:val="center"/>
            <w:hideMark/>
          </w:tcPr>
          <w:p w14:paraId="234F02E8" w14:textId="77777777" w:rsidR="006E0DB0" w:rsidRPr="00DF14C0" w:rsidRDefault="006E0DB0" w:rsidP="00070765">
            <w:pPr>
              <w:jc w:val="center"/>
            </w:pPr>
            <w:r>
              <w:rPr>
                <w:rFonts w:ascii="Calibri" w:hAnsi="Calibri" w:cs="Calibri"/>
                <w:color w:val="000000"/>
                <w:szCs w:val="21"/>
              </w:rPr>
              <w:t>6</w:t>
            </w:r>
          </w:p>
        </w:tc>
        <w:tc>
          <w:tcPr>
            <w:tcW w:w="704" w:type="dxa"/>
            <w:noWrap/>
            <w:vAlign w:val="center"/>
            <w:hideMark/>
          </w:tcPr>
          <w:p w14:paraId="292F4F21" w14:textId="77777777" w:rsidR="006E0DB0" w:rsidRPr="00DF14C0" w:rsidRDefault="006E0DB0" w:rsidP="00070765">
            <w:pPr>
              <w:jc w:val="center"/>
            </w:pPr>
            <w:r>
              <w:rPr>
                <w:rFonts w:ascii="Calibri" w:hAnsi="Calibri" w:cs="Calibri"/>
                <w:color w:val="000000"/>
                <w:szCs w:val="21"/>
              </w:rPr>
              <w:t>6</w:t>
            </w:r>
          </w:p>
        </w:tc>
        <w:tc>
          <w:tcPr>
            <w:tcW w:w="705" w:type="dxa"/>
            <w:noWrap/>
            <w:vAlign w:val="center"/>
            <w:hideMark/>
          </w:tcPr>
          <w:p w14:paraId="16FB7E75" w14:textId="77777777" w:rsidR="006E0DB0" w:rsidRPr="00DF14C0" w:rsidRDefault="006E0DB0" w:rsidP="00070765">
            <w:pPr>
              <w:jc w:val="center"/>
            </w:pPr>
            <w:r>
              <w:rPr>
                <w:rFonts w:ascii="Calibri" w:hAnsi="Calibri" w:cs="Calibri"/>
                <w:color w:val="000000"/>
                <w:szCs w:val="21"/>
              </w:rPr>
              <w:t>6</w:t>
            </w:r>
          </w:p>
        </w:tc>
        <w:tc>
          <w:tcPr>
            <w:tcW w:w="705" w:type="dxa"/>
            <w:noWrap/>
            <w:vAlign w:val="center"/>
            <w:hideMark/>
          </w:tcPr>
          <w:p w14:paraId="492EFD55" w14:textId="77777777" w:rsidR="006E0DB0" w:rsidRPr="00DF14C0" w:rsidRDefault="006E0DB0" w:rsidP="00070765">
            <w:pPr>
              <w:jc w:val="center"/>
            </w:pPr>
            <w:r>
              <w:rPr>
                <w:rFonts w:ascii="Calibri" w:hAnsi="Calibri" w:cs="Calibri"/>
                <w:color w:val="000000"/>
                <w:szCs w:val="21"/>
              </w:rPr>
              <w:t>6</w:t>
            </w:r>
          </w:p>
        </w:tc>
        <w:tc>
          <w:tcPr>
            <w:tcW w:w="705" w:type="dxa"/>
            <w:noWrap/>
            <w:vAlign w:val="center"/>
            <w:hideMark/>
          </w:tcPr>
          <w:p w14:paraId="2AB993E0" w14:textId="77777777" w:rsidR="006E0DB0" w:rsidRPr="00DF14C0" w:rsidRDefault="006E0DB0" w:rsidP="00070765">
            <w:pPr>
              <w:jc w:val="center"/>
            </w:pPr>
            <w:r>
              <w:rPr>
                <w:rFonts w:ascii="Calibri" w:hAnsi="Calibri" w:cs="Calibri"/>
                <w:color w:val="000000"/>
                <w:szCs w:val="21"/>
              </w:rPr>
              <w:t>5</w:t>
            </w:r>
          </w:p>
        </w:tc>
      </w:tr>
      <w:tr w:rsidR="006E0DB0" w:rsidRPr="0005682C" w14:paraId="429F5BF5" w14:textId="77777777" w:rsidTr="00070765">
        <w:trPr>
          <w:trHeight w:val="300"/>
          <w:jc w:val="center"/>
        </w:trPr>
        <w:tc>
          <w:tcPr>
            <w:tcW w:w="1858" w:type="dxa"/>
            <w:noWrap/>
            <w:vAlign w:val="center"/>
            <w:hideMark/>
          </w:tcPr>
          <w:p w14:paraId="1709F0EF" w14:textId="77777777" w:rsidR="006E0DB0" w:rsidRPr="00DF14C0" w:rsidRDefault="006E0DB0" w:rsidP="00070765">
            <w:proofErr w:type="spellStart"/>
            <w:r>
              <w:rPr>
                <w:rFonts w:ascii="Calibri" w:hAnsi="Calibri" w:cs="Calibri"/>
                <w:color w:val="000000"/>
                <w:szCs w:val="21"/>
              </w:rPr>
              <w:t>Chang'an</w:t>
            </w:r>
            <w:proofErr w:type="spellEnd"/>
          </w:p>
        </w:tc>
        <w:tc>
          <w:tcPr>
            <w:tcW w:w="704" w:type="dxa"/>
            <w:vAlign w:val="center"/>
          </w:tcPr>
          <w:p w14:paraId="736CC0BC"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2E2AEA2E" w14:textId="77777777" w:rsidR="006E0DB0" w:rsidRPr="00DF14C0" w:rsidRDefault="006E0DB0" w:rsidP="00070765">
            <w:pPr>
              <w:jc w:val="center"/>
            </w:pPr>
            <w:r>
              <w:rPr>
                <w:rFonts w:ascii="Calibri" w:hAnsi="Calibri" w:cs="Calibri"/>
                <w:color w:val="000000"/>
                <w:szCs w:val="21"/>
              </w:rPr>
              <w:t>6</w:t>
            </w:r>
          </w:p>
        </w:tc>
        <w:tc>
          <w:tcPr>
            <w:tcW w:w="704" w:type="dxa"/>
            <w:vAlign w:val="center"/>
          </w:tcPr>
          <w:p w14:paraId="3F66A02E" w14:textId="77777777" w:rsidR="006E0DB0" w:rsidRPr="00DF14C0" w:rsidRDefault="006E0DB0" w:rsidP="00070765">
            <w:pPr>
              <w:jc w:val="center"/>
            </w:pPr>
            <w:r>
              <w:rPr>
                <w:rFonts w:ascii="Calibri" w:hAnsi="Calibri" w:cs="Calibri"/>
                <w:color w:val="000000"/>
                <w:szCs w:val="21"/>
              </w:rPr>
              <w:t>6</w:t>
            </w:r>
          </w:p>
        </w:tc>
        <w:tc>
          <w:tcPr>
            <w:tcW w:w="704" w:type="dxa"/>
            <w:noWrap/>
            <w:vAlign w:val="center"/>
            <w:hideMark/>
          </w:tcPr>
          <w:p w14:paraId="5F1BEAC3" w14:textId="77777777" w:rsidR="006E0DB0" w:rsidRPr="00DF14C0" w:rsidRDefault="006E0DB0" w:rsidP="00070765">
            <w:pPr>
              <w:jc w:val="center"/>
            </w:pPr>
            <w:r>
              <w:rPr>
                <w:rFonts w:ascii="Calibri" w:hAnsi="Calibri" w:cs="Calibri"/>
                <w:color w:val="000000"/>
                <w:szCs w:val="21"/>
              </w:rPr>
              <w:t>4</w:t>
            </w:r>
          </w:p>
        </w:tc>
        <w:tc>
          <w:tcPr>
            <w:tcW w:w="705" w:type="dxa"/>
            <w:noWrap/>
            <w:vAlign w:val="center"/>
            <w:hideMark/>
          </w:tcPr>
          <w:p w14:paraId="4D0A23D0" w14:textId="77777777" w:rsidR="006E0DB0" w:rsidRPr="00DF14C0" w:rsidRDefault="006E0DB0" w:rsidP="00070765">
            <w:pPr>
              <w:jc w:val="center"/>
            </w:pPr>
            <w:r>
              <w:rPr>
                <w:rFonts w:ascii="Calibri" w:hAnsi="Calibri" w:cs="Calibri"/>
                <w:color w:val="000000"/>
                <w:szCs w:val="21"/>
              </w:rPr>
              <w:t>4</w:t>
            </w:r>
          </w:p>
        </w:tc>
        <w:tc>
          <w:tcPr>
            <w:tcW w:w="705" w:type="dxa"/>
            <w:noWrap/>
            <w:vAlign w:val="center"/>
            <w:hideMark/>
          </w:tcPr>
          <w:p w14:paraId="190CCEC3" w14:textId="77777777" w:rsidR="006E0DB0" w:rsidRPr="00DF14C0" w:rsidRDefault="006E0DB0" w:rsidP="00070765">
            <w:pPr>
              <w:jc w:val="center"/>
            </w:pPr>
            <w:r>
              <w:rPr>
                <w:rFonts w:ascii="Calibri" w:hAnsi="Calibri" w:cs="Calibri"/>
                <w:color w:val="000000"/>
                <w:szCs w:val="21"/>
              </w:rPr>
              <w:t>4</w:t>
            </w:r>
          </w:p>
        </w:tc>
        <w:tc>
          <w:tcPr>
            <w:tcW w:w="705" w:type="dxa"/>
            <w:noWrap/>
            <w:vAlign w:val="center"/>
            <w:hideMark/>
          </w:tcPr>
          <w:p w14:paraId="1B64CD68" w14:textId="77777777" w:rsidR="006E0DB0" w:rsidRPr="00DF14C0" w:rsidRDefault="006E0DB0" w:rsidP="00070765">
            <w:pPr>
              <w:jc w:val="center"/>
            </w:pPr>
            <w:r>
              <w:rPr>
                <w:rFonts w:ascii="Calibri" w:hAnsi="Calibri" w:cs="Calibri"/>
                <w:color w:val="000000"/>
                <w:szCs w:val="21"/>
              </w:rPr>
              <w:t>4</w:t>
            </w:r>
          </w:p>
        </w:tc>
        <w:tc>
          <w:tcPr>
            <w:tcW w:w="704" w:type="dxa"/>
            <w:noWrap/>
            <w:vAlign w:val="center"/>
            <w:hideMark/>
          </w:tcPr>
          <w:p w14:paraId="0528DBF6" w14:textId="77777777" w:rsidR="006E0DB0" w:rsidRPr="00DF14C0" w:rsidRDefault="006E0DB0" w:rsidP="00070765">
            <w:pPr>
              <w:jc w:val="center"/>
            </w:pPr>
            <w:r>
              <w:rPr>
                <w:rFonts w:ascii="Calibri" w:hAnsi="Calibri" w:cs="Calibri"/>
                <w:color w:val="000000"/>
                <w:szCs w:val="21"/>
              </w:rPr>
              <w:t>4</w:t>
            </w:r>
          </w:p>
        </w:tc>
        <w:tc>
          <w:tcPr>
            <w:tcW w:w="705" w:type="dxa"/>
            <w:noWrap/>
            <w:vAlign w:val="center"/>
            <w:hideMark/>
          </w:tcPr>
          <w:p w14:paraId="0B8B234B" w14:textId="77777777" w:rsidR="006E0DB0" w:rsidRPr="00DF14C0" w:rsidRDefault="006E0DB0" w:rsidP="00070765">
            <w:pPr>
              <w:jc w:val="center"/>
            </w:pPr>
            <w:r>
              <w:rPr>
                <w:rFonts w:ascii="Calibri" w:hAnsi="Calibri" w:cs="Calibri"/>
                <w:color w:val="000000"/>
                <w:szCs w:val="21"/>
              </w:rPr>
              <w:t>4</w:t>
            </w:r>
          </w:p>
        </w:tc>
        <w:tc>
          <w:tcPr>
            <w:tcW w:w="705" w:type="dxa"/>
            <w:noWrap/>
            <w:vAlign w:val="center"/>
            <w:hideMark/>
          </w:tcPr>
          <w:p w14:paraId="73D5AD30" w14:textId="77777777" w:rsidR="006E0DB0" w:rsidRPr="00DF14C0" w:rsidRDefault="006E0DB0" w:rsidP="00070765">
            <w:pPr>
              <w:jc w:val="center"/>
            </w:pPr>
            <w:r>
              <w:rPr>
                <w:rFonts w:ascii="Calibri" w:hAnsi="Calibri" w:cs="Calibri"/>
                <w:color w:val="000000"/>
                <w:szCs w:val="21"/>
              </w:rPr>
              <w:t>4</w:t>
            </w:r>
          </w:p>
        </w:tc>
        <w:tc>
          <w:tcPr>
            <w:tcW w:w="705" w:type="dxa"/>
            <w:noWrap/>
            <w:vAlign w:val="center"/>
            <w:hideMark/>
          </w:tcPr>
          <w:p w14:paraId="67620C70" w14:textId="77777777" w:rsidR="006E0DB0" w:rsidRPr="00DF14C0" w:rsidRDefault="006E0DB0" w:rsidP="00070765">
            <w:pPr>
              <w:jc w:val="center"/>
            </w:pPr>
            <w:r>
              <w:rPr>
                <w:rFonts w:ascii="Calibri" w:hAnsi="Calibri" w:cs="Calibri"/>
                <w:color w:val="000000"/>
                <w:szCs w:val="21"/>
              </w:rPr>
              <w:t>4</w:t>
            </w:r>
          </w:p>
        </w:tc>
        <w:tc>
          <w:tcPr>
            <w:tcW w:w="704" w:type="dxa"/>
            <w:noWrap/>
            <w:vAlign w:val="center"/>
            <w:hideMark/>
          </w:tcPr>
          <w:p w14:paraId="37840439" w14:textId="77777777" w:rsidR="006E0DB0" w:rsidRPr="00DF14C0" w:rsidRDefault="006E0DB0" w:rsidP="00070765">
            <w:pPr>
              <w:jc w:val="center"/>
            </w:pPr>
            <w:r>
              <w:rPr>
                <w:rFonts w:ascii="Calibri" w:hAnsi="Calibri" w:cs="Calibri"/>
                <w:color w:val="000000"/>
                <w:szCs w:val="21"/>
              </w:rPr>
              <w:t>4</w:t>
            </w:r>
          </w:p>
        </w:tc>
        <w:tc>
          <w:tcPr>
            <w:tcW w:w="705" w:type="dxa"/>
            <w:noWrap/>
            <w:vAlign w:val="center"/>
            <w:hideMark/>
          </w:tcPr>
          <w:p w14:paraId="5EA2C8E2" w14:textId="77777777" w:rsidR="006E0DB0" w:rsidRPr="00DF14C0" w:rsidRDefault="006E0DB0" w:rsidP="00070765">
            <w:pPr>
              <w:jc w:val="center"/>
            </w:pPr>
            <w:r>
              <w:rPr>
                <w:rFonts w:ascii="Calibri" w:hAnsi="Calibri" w:cs="Calibri"/>
                <w:color w:val="000000"/>
                <w:szCs w:val="21"/>
              </w:rPr>
              <w:t>4</w:t>
            </w:r>
          </w:p>
        </w:tc>
        <w:tc>
          <w:tcPr>
            <w:tcW w:w="705" w:type="dxa"/>
            <w:noWrap/>
            <w:vAlign w:val="center"/>
            <w:hideMark/>
          </w:tcPr>
          <w:p w14:paraId="26017F90" w14:textId="77777777" w:rsidR="006E0DB0" w:rsidRPr="00DF14C0" w:rsidRDefault="006E0DB0" w:rsidP="00070765">
            <w:pPr>
              <w:jc w:val="center"/>
            </w:pPr>
            <w:r>
              <w:rPr>
                <w:rFonts w:ascii="Calibri" w:hAnsi="Calibri" w:cs="Calibri"/>
                <w:color w:val="000000"/>
                <w:szCs w:val="21"/>
              </w:rPr>
              <w:t>4</w:t>
            </w:r>
          </w:p>
        </w:tc>
        <w:tc>
          <w:tcPr>
            <w:tcW w:w="705" w:type="dxa"/>
            <w:noWrap/>
            <w:vAlign w:val="center"/>
            <w:hideMark/>
          </w:tcPr>
          <w:p w14:paraId="22877BA6" w14:textId="77777777" w:rsidR="006E0DB0" w:rsidRPr="00DF14C0" w:rsidRDefault="006E0DB0" w:rsidP="00070765">
            <w:pPr>
              <w:jc w:val="center"/>
            </w:pPr>
            <w:r>
              <w:rPr>
                <w:rFonts w:ascii="Calibri" w:hAnsi="Calibri" w:cs="Calibri"/>
                <w:color w:val="000000"/>
                <w:szCs w:val="21"/>
              </w:rPr>
              <w:t>6</w:t>
            </w:r>
          </w:p>
        </w:tc>
      </w:tr>
      <w:tr w:rsidR="006E0DB0" w:rsidRPr="0005682C" w14:paraId="2ABE4E0F" w14:textId="77777777" w:rsidTr="00070765">
        <w:trPr>
          <w:trHeight w:val="300"/>
          <w:jc w:val="center"/>
        </w:trPr>
        <w:tc>
          <w:tcPr>
            <w:tcW w:w="1858" w:type="dxa"/>
            <w:noWrap/>
            <w:vAlign w:val="center"/>
            <w:hideMark/>
          </w:tcPr>
          <w:p w14:paraId="769798DF" w14:textId="77777777" w:rsidR="006E0DB0" w:rsidRPr="00DF14C0" w:rsidRDefault="006E0DB0" w:rsidP="00070765">
            <w:r>
              <w:rPr>
                <w:rFonts w:ascii="Calibri" w:hAnsi="Calibri" w:cs="Calibri"/>
                <w:color w:val="000000"/>
                <w:szCs w:val="21"/>
              </w:rPr>
              <w:t>Geely</w:t>
            </w:r>
          </w:p>
        </w:tc>
        <w:tc>
          <w:tcPr>
            <w:tcW w:w="704" w:type="dxa"/>
            <w:vAlign w:val="center"/>
          </w:tcPr>
          <w:p w14:paraId="30D09F2B" w14:textId="77777777" w:rsidR="006E0DB0" w:rsidRPr="00DF14C0" w:rsidRDefault="006E0DB0" w:rsidP="00070765">
            <w:pPr>
              <w:jc w:val="center"/>
            </w:pPr>
            <w:r>
              <w:rPr>
                <w:rFonts w:ascii="Calibri" w:hAnsi="Calibri" w:cs="Calibri"/>
                <w:color w:val="000000"/>
                <w:szCs w:val="21"/>
              </w:rPr>
              <w:t>N</w:t>
            </w:r>
          </w:p>
        </w:tc>
        <w:tc>
          <w:tcPr>
            <w:tcW w:w="704" w:type="dxa"/>
            <w:vAlign w:val="center"/>
          </w:tcPr>
          <w:p w14:paraId="4E770DB6" w14:textId="77777777" w:rsidR="006E0DB0" w:rsidRPr="00DF14C0" w:rsidRDefault="006E0DB0" w:rsidP="00070765">
            <w:pPr>
              <w:jc w:val="center"/>
            </w:pPr>
            <w:r>
              <w:rPr>
                <w:rFonts w:ascii="Calibri" w:hAnsi="Calibri" w:cs="Calibri"/>
                <w:color w:val="000000"/>
                <w:szCs w:val="21"/>
              </w:rPr>
              <w:t>7</w:t>
            </w:r>
          </w:p>
        </w:tc>
        <w:tc>
          <w:tcPr>
            <w:tcW w:w="704" w:type="dxa"/>
            <w:vAlign w:val="center"/>
          </w:tcPr>
          <w:p w14:paraId="4855D7D5" w14:textId="77777777" w:rsidR="006E0DB0" w:rsidRPr="00DF14C0" w:rsidRDefault="006E0DB0" w:rsidP="00070765">
            <w:pPr>
              <w:jc w:val="center"/>
            </w:pPr>
            <w:r>
              <w:rPr>
                <w:rFonts w:ascii="Calibri" w:hAnsi="Calibri" w:cs="Calibri"/>
                <w:color w:val="000000"/>
                <w:szCs w:val="21"/>
              </w:rPr>
              <w:t>7</w:t>
            </w:r>
          </w:p>
        </w:tc>
        <w:tc>
          <w:tcPr>
            <w:tcW w:w="704" w:type="dxa"/>
            <w:noWrap/>
            <w:vAlign w:val="center"/>
            <w:hideMark/>
          </w:tcPr>
          <w:p w14:paraId="2045E29E" w14:textId="77777777" w:rsidR="006E0DB0" w:rsidRPr="00DF14C0" w:rsidRDefault="006E0DB0" w:rsidP="00070765">
            <w:pPr>
              <w:jc w:val="center"/>
            </w:pPr>
            <w:r>
              <w:rPr>
                <w:rFonts w:ascii="Calibri" w:hAnsi="Calibri" w:cs="Calibri"/>
                <w:color w:val="000000"/>
                <w:szCs w:val="21"/>
              </w:rPr>
              <w:t>7</w:t>
            </w:r>
          </w:p>
        </w:tc>
        <w:tc>
          <w:tcPr>
            <w:tcW w:w="705" w:type="dxa"/>
            <w:noWrap/>
            <w:vAlign w:val="center"/>
            <w:hideMark/>
          </w:tcPr>
          <w:p w14:paraId="341391E1" w14:textId="77777777" w:rsidR="006E0DB0" w:rsidRPr="00DF14C0" w:rsidRDefault="006E0DB0" w:rsidP="00070765">
            <w:pPr>
              <w:jc w:val="center"/>
            </w:pPr>
            <w:r>
              <w:rPr>
                <w:rFonts w:ascii="Calibri" w:hAnsi="Calibri" w:cs="Calibri"/>
                <w:color w:val="000000"/>
                <w:szCs w:val="21"/>
              </w:rPr>
              <w:t>8</w:t>
            </w:r>
          </w:p>
        </w:tc>
        <w:tc>
          <w:tcPr>
            <w:tcW w:w="705" w:type="dxa"/>
            <w:noWrap/>
            <w:vAlign w:val="center"/>
            <w:hideMark/>
          </w:tcPr>
          <w:p w14:paraId="6DD02D57"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6668632E" w14:textId="77777777" w:rsidR="006E0DB0" w:rsidRPr="00DF14C0" w:rsidRDefault="006E0DB0" w:rsidP="00070765">
            <w:pPr>
              <w:jc w:val="center"/>
            </w:pPr>
            <w:r>
              <w:rPr>
                <w:rFonts w:ascii="Calibri" w:hAnsi="Calibri" w:cs="Calibri"/>
                <w:color w:val="000000"/>
                <w:szCs w:val="21"/>
              </w:rPr>
              <w:t>12</w:t>
            </w:r>
          </w:p>
        </w:tc>
        <w:tc>
          <w:tcPr>
            <w:tcW w:w="704" w:type="dxa"/>
            <w:noWrap/>
            <w:vAlign w:val="center"/>
            <w:hideMark/>
          </w:tcPr>
          <w:p w14:paraId="4DB1D039" w14:textId="77777777" w:rsidR="006E0DB0" w:rsidRPr="00DF14C0" w:rsidRDefault="006E0DB0" w:rsidP="00070765">
            <w:pPr>
              <w:jc w:val="center"/>
            </w:pPr>
            <w:r>
              <w:rPr>
                <w:rFonts w:ascii="Calibri" w:hAnsi="Calibri" w:cs="Calibri"/>
                <w:color w:val="000000"/>
                <w:szCs w:val="21"/>
              </w:rPr>
              <w:t>9</w:t>
            </w:r>
          </w:p>
        </w:tc>
        <w:tc>
          <w:tcPr>
            <w:tcW w:w="705" w:type="dxa"/>
            <w:noWrap/>
            <w:vAlign w:val="center"/>
            <w:hideMark/>
          </w:tcPr>
          <w:p w14:paraId="398E05DB"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188372A9" w14:textId="77777777" w:rsidR="006E0DB0" w:rsidRPr="00DF14C0" w:rsidRDefault="006E0DB0" w:rsidP="00070765">
            <w:pPr>
              <w:jc w:val="center"/>
            </w:pPr>
            <w:r>
              <w:rPr>
                <w:rFonts w:ascii="Calibri" w:hAnsi="Calibri" w:cs="Calibri"/>
                <w:color w:val="000000"/>
                <w:szCs w:val="21"/>
              </w:rPr>
              <w:t>12</w:t>
            </w:r>
          </w:p>
        </w:tc>
        <w:tc>
          <w:tcPr>
            <w:tcW w:w="705" w:type="dxa"/>
            <w:noWrap/>
            <w:vAlign w:val="center"/>
            <w:hideMark/>
          </w:tcPr>
          <w:p w14:paraId="05D2778B" w14:textId="77777777" w:rsidR="006E0DB0" w:rsidRPr="00DF14C0" w:rsidRDefault="006E0DB0" w:rsidP="00070765">
            <w:pPr>
              <w:jc w:val="center"/>
            </w:pPr>
            <w:r>
              <w:rPr>
                <w:rFonts w:ascii="Calibri" w:hAnsi="Calibri" w:cs="Calibri"/>
                <w:color w:val="000000"/>
                <w:szCs w:val="21"/>
              </w:rPr>
              <w:t>11</w:t>
            </w:r>
          </w:p>
        </w:tc>
        <w:tc>
          <w:tcPr>
            <w:tcW w:w="704" w:type="dxa"/>
            <w:noWrap/>
            <w:vAlign w:val="center"/>
            <w:hideMark/>
          </w:tcPr>
          <w:p w14:paraId="7640C12C"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2D3F9F3C"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7CCC8A26"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4DDCCD56" w14:textId="77777777" w:rsidR="006E0DB0" w:rsidRPr="00DF14C0" w:rsidRDefault="006E0DB0" w:rsidP="00070765">
            <w:pPr>
              <w:jc w:val="center"/>
            </w:pPr>
            <w:r>
              <w:rPr>
                <w:rFonts w:ascii="Calibri" w:hAnsi="Calibri" w:cs="Calibri"/>
                <w:color w:val="000000"/>
                <w:szCs w:val="21"/>
              </w:rPr>
              <w:t>8</w:t>
            </w:r>
          </w:p>
        </w:tc>
      </w:tr>
      <w:tr w:rsidR="006E0DB0" w:rsidRPr="0005682C" w14:paraId="1E5C5D9C" w14:textId="77777777" w:rsidTr="00070765">
        <w:trPr>
          <w:trHeight w:val="300"/>
          <w:jc w:val="center"/>
        </w:trPr>
        <w:tc>
          <w:tcPr>
            <w:tcW w:w="1858" w:type="dxa"/>
            <w:noWrap/>
            <w:vAlign w:val="center"/>
            <w:hideMark/>
          </w:tcPr>
          <w:p w14:paraId="61C56BEA" w14:textId="77777777" w:rsidR="006E0DB0" w:rsidRPr="00DF14C0" w:rsidRDefault="006E0DB0" w:rsidP="00070765">
            <w:r>
              <w:rPr>
                <w:rFonts w:ascii="Calibri" w:hAnsi="Calibri" w:cs="Calibri"/>
                <w:color w:val="000000"/>
                <w:szCs w:val="21"/>
              </w:rPr>
              <w:t>Great Wall</w:t>
            </w:r>
          </w:p>
        </w:tc>
        <w:tc>
          <w:tcPr>
            <w:tcW w:w="704" w:type="dxa"/>
            <w:vAlign w:val="center"/>
          </w:tcPr>
          <w:p w14:paraId="6DC9E15F" w14:textId="77777777" w:rsidR="006E0DB0" w:rsidRPr="00DF14C0" w:rsidRDefault="006E0DB0" w:rsidP="00070765">
            <w:pPr>
              <w:jc w:val="center"/>
            </w:pPr>
            <w:r>
              <w:rPr>
                <w:rFonts w:ascii="Calibri" w:hAnsi="Calibri" w:cs="Calibri"/>
                <w:color w:val="000000"/>
                <w:szCs w:val="21"/>
              </w:rPr>
              <w:t>N</w:t>
            </w:r>
          </w:p>
        </w:tc>
        <w:tc>
          <w:tcPr>
            <w:tcW w:w="704" w:type="dxa"/>
            <w:vAlign w:val="center"/>
          </w:tcPr>
          <w:p w14:paraId="74D7F2E5" w14:textId="77777777" w:rsidR="006E0DB0" w:rsidRPr="00DF14C0" w:rsidRDefault="006E0DB0" w:rsidP="00070765">
            <w:pPr>
              <w:jc w:val="center"/>
            </w:pPr>
            <w:r>
              <w:rPr>
                <w:rFonts w:ascii="Calibri" w:hAnsi="Calibri" w:cs="Calibri"/>
                <w:color w:val="000000"/>
                <w:szCs w:val="21"/>
              </w:rPr>
              <w:t>8</w:t>
            </w:r>
          </w:p>
        </w:tc>
        <w:tc>
          <w:tcPr>
            <w:tcW w:w="704" w:type="dxa"/>
            <w:vAlign w:val="center"/>
          </w:tcPr>
          <w:p w14:paraId="1B8E1EEC" w14:textId="77777777" w:rsidR="006E0DB0" w:rsidRPr="00DF14C0" w:rsidRDefault="006E0DB0" w:rsidP="00070765">
            <w:pPr>
              <w:jc w:val="center"/>
            </w:pPr>
            <w:r>
              <w:rPr>
                <w:rFonts w:ascii="Calibri" w:hAnsi="Calibri" w:cs="Calibri"/>
                <w:color w:val="000000"/>
                <w:szCs w:val="21"/>
              </w:rPr>
              <w:t>8</w:t>
            </w:r>
          </w:p>
        </w:tc>
        <w:tc>
          <w:tcPr>
            <w:tcW w:w="704" w:type="dxa"/>
            <w:noWrap/>
            <w:vAlign w:val="center"/>
            <w:hideMark/>
          </w:tcPr>
          <w:p w14:paraId="36451495" w14:textId="77777777" w:rsidR="006E0DB0" w:rsidRPr="00DF14C0" w:rsidRDefault="006E0DB0" w:rsidP="00070765">
            <w:pPr>
              <w:jc w:val="center"/>
            </w:pPr>
            <w:r>
              <w:rPr>
                <w:rFonts w:ascii="Calibri" w:hAnsi="Calibri" w:cs="Calibri"/>
                <w:color w:val="000000"/>
                <w:szCs w:val="21"/>
              </w:rPr>
              <w:t>8</w:t>
            </w:r>
          </w:p>
        </w:tc>
        <w:tc>
          <w:tcPr>
            <w:tcW w:w="705" w:type="dxa"/>
            <w:noWrap/>
            <w:vAlign w:val="center"/>
            <w:hideMark/>
          </w:tcPr>
          <w:p w14:paraId="13337199" w14:textId="77777777" w:rsidR="006E0DB0" w:rsidRPr="00DF14C0" w:rsidRDefault="006E0DB0" w:rsidP="00070765">
            <w:pPr>
              <w:jc w:val="center"/>
            </w:pPr>
            <w:r>
              <w:rPr>
                <w:rFonts w:ascii="Calibri" w:hAnsi="Calibri" w:cs="Calibri"/>
                <w:color w:val="000000"/>
                <w:szCs w:val="21"/>
              </w:rPr>
              <w:t>7</w:t>
            </w:r>
          </w:p>
        </w:tc>
        <w:tc>
          <w:tcPr>
            <w:tcW w:w="705" w:type="dxa"/>
            <w:noWrap/>
            <w:vAlign w:val="center"/>
            <w:hideMark/>
          </w:tcPr>
          <w:p w14:paraId="3799A96A" w14:textId="77777777" w:rsidR="006E0DB0" w:rsidRPr="00DF14C0" w:rsidRDefault="006E0DB0" w:rsidP="00070765">
            <w:pPr>
              <w:jc w:val="center"/>
            </w:pPr>
            <w:r>
              <w:rPr>
                <w:rFonts w:ascii="Calibri" w:hAnsi="Calibri" w:cs="Calibri"/>
                <w:color w:val="000000"/>
                <w:szCs w:val="21"/>
              </w:rPr>
              <w:t>7</w:t>
            </w:r>
          </w:p>
        </w:tc>
        <w:tc>
          <w:tcPr>
            <w:tcW w:w="705" w:type="dxa"/>
            <w:noWrap/>
            <w:vAlign w:val="center"/>
            <w:hideMark/>
          </w:tcPr>
          <w:p w14:paraId="1D050F24" w14:textId="77777777" w:rsidR="006E0DB0" w:rsidRPr="00DF14C0" w:rsidRDefault="006E0DB0" w:rsidP="00070765">
            <w:pPr>
              <w:jc w:val="center"/>
            </w:pPr>
            <w:r>
              <w:rPr>
                <w:rFonts w:ascii="Calibri" w:hAnsi="Calibri" w:cs="Calibri"/>
                <w:color w:val="000000"/>
                <w:szCs w:val="21"/>
              </w:rPr>
              <w:t>8</w:t>
            </w:r>
          </w:p>
        </w:tc>
        <w:tc>
          <w:tcPr>
            <w:tcW w:w="704" w:type="dxa"/>
            <w:noWrap/>
            <w:vAlign w:val="center"/>
            <w:hideMark/>
          </w:tcPr>
          <w:p w14:paraId="6622A46E" w14:textId="77777777" w:rsidR="006E0DB0" w:rsidRPr="00DF14C0" w:rsidRDefault="006E0DB0" w:rsidP="00070765">
            <w:pPr>
              <w:jc w:val="center"/>
            </w:pPr>
            <w:r>
              <w:rPr>
                <w:rFonts w:ascii="Calibri" w:hAnsi="Calibri" w:cs="Calibri"/>
                <w:color w:val="000000"/>
                <w:szCs w:val="21"/>
              </w:rPr>
              <w:t>8</w:t>
            </w:r>
          </w:p>
        </w:tc>
        <w:tc>
          <w:tcPr>
            <w:tcW w:w="705" w:type="dxa"/>
            <w:noWrap/>
            <w:vAlign w:val="center"/>
            <w:hideMark/>
          </w:tcPr>
          <w:p w14:paraId="5A0AED52" w14:textId="77777777" w:rsidR="006E0DB0" w:rsidRPr="00DF14C0" w:rsidRDefault="006E0DB0" w:rsidP="00070765">
            <w:pPr>
              <w:jc w:val="center"/>
            </w:pPr>
            <w:r>
              <w:rPr>
                <w:rFonts w:ascii="Calibri" w:hAnsi="Calibri" w:cs="Calibri"/>
                <w:color w:val="000000"/>
                <w:szCs w:val="21"/>
              </w:rPr>
              <w:t>8</w:t>
            </w:r>
          </w:p>
        </w:tc>
        <w:tc>
          <w:tcPr>
            <w:tcW w:w="705" w:type="dxa"/>
            <w:noWrap/>
            <w:vAlign w:val="center"/>
            <w:hideMark/>
          </w:tcPr>
          <w:p w14:paraId="703F4910"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46E2E8B1" w14:textId="77777777" w:rsidR="006E0DB0" w:rsidRPr="00DF14C0" w:rsidRDefault="006E0DB0" w:rsidP="00070765">
            <w:pPr>
              <w:jc w:val="center"/>
            </w:pPr>
            <w:r>
              <w:rPr>
                <w:rFonts w:ascii="Calibri" w:hAnsi="Calibri" w:cs="Calibri"/>
                <w:color w:val="000000"/>
                <w:szCs w:val="21"/>
              </w:rPr>
              <w:t>12</w:t>
            </w:r>
          </w:p>
        </w:tc>
        <w:tc>
          <w:tcPr>
            <w:tcW w:w="704" w:type="dxa"/>
            <w:noWrap/>
            <w:vAlign w:val="center"/>
            <w:hideMark/>
          </w:tcPr>
          <w:p w14:paraId="0A05AE23" w14:textId="77777777" w:rsidR="006E0DB0" w:rsidRPr="00DF14C0" w:rsidRDefault="006E0DB0" w:rsidP="00070765">
            <w:pPr>
              <w:jc w:val="center"/>
            </w:pPr>
            <w:r>
              <w:rPr>
                <w:rFonts w:ascii="Calibri" w:hAnsi="Calibri" w:cs="Calibri"/>
                <w:color w:val="000000"/>
                <w:szCs w:val="21"/>
              </w:rPr>
              <w:t>12</w:t>
            </w:r>
          </w:p>
        </w:tc>
        <w:tc>
          <w:tcPr>
            <w:tcW w:w="705" w:type="dxa"/>
            <w:noWrap/>
            <w:vAlign w:val="center"/>
            <w:hideMark/>
          </w:tcPr>
          <w:p w14:paraId="16F63468" w14:textId="77777777" w:rsidR="006E0DB0" w:rsidRPr="00DF14C0" w:rsidRDefault="006E0DB0" w:rsidP="00070765">
            <w:pPr>
              <w:jc w:val="center"/>
            </w:pPr>
            <w:r>
              <w:rPr>
                <w:rFonts w:ascii="Calibri" w:hAnsi="Calibri" w:cs="Calibri"/>
                <w:color w:val="000000"/>
                <w:szCs w:val="21"/>
              </w:rPr>
              <w:t>13</w:t>
            </w:r>
          </w:p>
        </w:tc>
        <w:tc>
          <w:tcPr>
            <w:tcW w:w="705" w:type="dxa"/>
            <w:noWrap/>
            <w:vAlign w:val="center"/>
            <w:hideMark/>
          </w:tcPr>
          <w:p w14:paraId="7E453C64" w14:textId="77777777" w:rsidR="006E0DB0" w:rsidRPr="00DF14C0" w:rsidRDefault="006E0DB0" w:rsidP="00070765">
            <w:pPr>
              <w:jc w:val="center"/>
            </w:pPr>
            <w:r>
              <w:rPr>
                <w:rFonts w:ascii="Calibri" w:hAnsi="Calibri" w:cs="Calibri"/>
                <w:color w:val="000000"/>
                <w:szCs w:val="21"/>
              </w:rPr>
              <w:t>12</w:t>
            </w:r>
          </w:p>
        </w:tc>
        <w:tc>
          <w:tcPr>
            <w:tcW w:w="705" w:type="dxa"/>
            <w:noWrap/>
            <w:vAlign w:val="center"/>
            <w:hideMark/>
          </w:tcPr>
          <w:p w14:paraId="412AB486" w14:textId="77777777" w:rsidR="006E0DB0" w:rsidRPr="00DF14C0" w:rsidRDefault="006E0DB0" w:rsidP="00070765">
            <w:pPr>
              <w:jc w:val="center"/>
            </w:pPr>
            <w:r>
              <w:rPr>
                <w:rFonts w:ascii="Calibri" w:hAnsi="Calibri" w:cs="Calibri"/>
                <w:color w:val="000000"/>
                <w:szCs w:val="21"/>
              </w:rPr>
              <w:t xml:space="preserve">　</w:t>
            </w:r>
          </w:p>
        </w:tc>
      </w:tr>
      <w:tr w:rsidR="006E0DB0" w:rsidRPr="0005682C" w14:paraId="4FFB4AEA" w14:textId="77777777" w:rsidTr="00070765">
        <w:trPr>
          <w:trHeight w:val="300"/>
          <w:jc w:val="center"/>
        </w:trPr>
        <w:tc>
          <w:tcPr>
            <w:tcW w:w="1858" w:type="dxa"/>
            <w:noWrap/>
            <w:vAlign w:val="center"/>
            <w:hideMark/>
          </w:tcPr>
          <w:p w14:paraId="587FF6D9" w14:textId="77777777" w:rsidR="006E0DB0" w:rsidRPr="00DF14C0" w:rsidRDefault="006E0DB0" w:rsidP="00070765">
            <w:r>
              <w:rPr>
                <w:rFonts w:ascii="Calibri" w:hAnsi="Calibri" w:cs="Calibri"/>
                <w:color w:val="000000"/>
                <w:szCs w:val="21"/>
              </w:rPr>
              <w:t>Brilliance Jinbei</w:t>
            </w:r>
          </w:p>
        </w:tc>
        <w:tc>
          <w:tcPr>
            <w:tcW w:w="704" w:type="dxa"/>
            <w:vAlign w:val="center"/>
          </w:tcPr>
          <w:p w14:paraId="402DC01E"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36301E35" w14:textId="77777777" w:rsidR="006E0DB0" w:rsidRPr="00DF14C0" w:rsidRDefault="006E0DB0" w:rsidP="00070765">
            <w:pPr>
              <w:jc w:val="center"/>
            </w:pPr>
            <w:r>
              <w:rPr>
                <w:rFonts w:ascii="Calibri" w:hAnsi="Calibri" w:cs="Calibri"/>
                <w:color w:val="000000"/>
                <w:szCs w:val="21"/>
              </w:rPr>
              <w:t>9</w:t>
            </w:r>
          </w:p>
        </w:tc>
        <w:tc>
          <w:tcPr>
            <w:tcW w:w="704" w:type="dxa"/>
            <w:vAlign w:val="center"/>
          </w:tcPr>
          <w:p w14:paraId="6F03B2E3" w14:textId="77777777" w:rsidR="006E0DB0" w:rsidRPr="00DF14C0" w:rsidRDefault="006E0DB0" w:rsidP="00070765">
            <w:pPr>
              <w:jc w:val="center"/>
            </w:pPr>
            <w:r>
              <w:rPr>
                <w:rFonts w:ascii="Calibri" w:hAnsi="Calibri" w:cs="Calibri"/>
                <w:color w:val="000000"/>
                <w:szCs w:val="21"/>
              </w:rPr>
              <w:t>9</w:t>
            </w:r>
          </w:p>
        </w:tc>
        <w:tc>
          <w:tcPr>
            <w:tcW w:w="704" w:type="dxa"/>
            <w:noWrap/>
            <w:vAlign w:val="center"/>
            <w:hideMark/>
          </w:tcPr>
          <w:p w14:paraId="7BF2B449" w14:textId="77777777" w:rsidR="006E0DB0" w:rsidRPr="00DF14C0" w:rsidRDefault="006E0DB0" w:rsidP="00070765">
            <w:pPr>
              <w:jc w:val="center"/>
            </w:pPr>
            <w:r>
              <w:rPr>
                <w:rFonts w:ascii="Calibri" w:hAnsi="Calibri" w:cs="Calibri"/>
                <w:color w:val="000000"/>
                <w:szCs w:val="21"/>
              </w:rPr>
              <w:t>9</w:t>
            </w:r>
          </w:p>
        </w:tc>
        <w:tc>
          <w:tcPr>
            <w:tcW w:w="705" w:type="dxa"/>
            <w:noWrap/>
            <w:vAlign w:val="center"/>
            <w:hideMark/>
          </w:tcPr>
          <w:p w14:paraId="28FB3E3F" w14:textId="77777777" w:rsidR="006E0DB0" w:rsidRPr="00DF14C0" w:rsidRDefault="006E0DB0" w:rsidP="00070765">
            <w:pPr>
              <w:jc w:val="center"/>
            </w:pPr>
            <w:r>
              <w:rPr>
                <w:rFonts w:ascii="Calibri" w:hAnsi="Calibri" w:cs="Calibri"/>
                <w:color w:val="000000"/>
                <w:szCs w:val="21"/>
              </w:rPr>
              <w:t>9</w:t>
            </w:r>
          </w:p>
        </w:tc>
        <w:tc>
          <w:tcPr>
            <w:tcW w:w="705" w:type="dxa"/>
            <w:noWrap/>
            <w:vAlign w:val="center"/>
            <w:hideMark/>
          </w:tcPr>
          <w:p w14:paraId="498FB5C0" w14:textId="77777777" w:rsidR="006E0DB0" w:rsidRPr="00DF14C0" w:rsidRDefault="006E0DB0" w:rsidP="00070765">
            <w:pPr>
              <w:jc w:val="center"/>
            </w:pPr>
            <w:r>
              <w:rPr>
                <w:rFonts w:ascii="Calibri" w:hAnsi="Calibri" w:cs="Calibri"/>
                <w:color w:val="000000"/>
                <w:szCs w:val="21"/>
              </w:rPr>
              <w:t>8</w:t>
            </w:r>
          </w:p>
        </w:tc>
        <w:tc>
          <w:tcPr>
            <w:tcW w:w="705" w:type="dxa"/>
            <w:noWrap/>
            <w:vAlign w:val="center"/>
            <w:hideMark/>
          </w:tcPr>
          <w:p w14:paraId="293C6FCD" w14:textId="77777777" w:rsidR="006E0DB0" w:rsidRPr="00DF14C0" w:rsidRDefault="006E0DB0" w:rsidP="00070765">
            <w:pPr>
              <w:jc w:val="center"/>
            </w:pPr>
            <w:r>
              <w:rPr>
                <w:rFonts w:ascii="Calibri" w:hAnsi="Calibri" w:cs="Calibri"/>
                <w:color w:val="000000"/>
                <w:szCs w:val="21"/>
              </w:rPr>
              <w:t>7</w:t>
            </w:r>
          </w:p>
        </w:tc>
        <w:tc>
          <w:tcPr>
            <w:tcW w:w="704" w:type="dxa"/>
            <w:noWrap/>
            <w:vAlign w:val="center"/>
            <w:hideMark/>
          </w:tcPr>
          <w:p w14:paraId="0E99D847" w14:textId="77777777" w:rsidR="006E0DB0" w:rsidRPr="00DF14C0" w:rsidRDefault="006E0DB0" w:rsidP="00070765">
            <w:pPr>
              <w:jc w:val="center"/>
            </w:pPr>
            <w:r>
              <w:rPr>
                <w:rFonts w:ascii="Calibri" w:hAnsi="Calibri" w:cs="Calibri"/>
                <w:color w:val="000000"/>
                <w:szCs w:val="21"/>
              </w:rPr>
              <w:t>7</w:t>
            </w:r>
          </w:p>
        </w:tc>
        <w:tc>
          <w:tcPr>
            <w:tcW w:w="705" w:type="dxa"/>
            <w:noWrap/>
            <w:vAlign w:val="center"/>
            <w:hideMark/>
          </w:tcPr>
          <w:p w14:paraId="3F0AD63D" w14:textId="77777777" w:rsidR="006E0DB0" w:rsidRPr="00DF14C0" w:rsidRDefault="006E0DB0" w:rsidP="00070765">
            <w:pPr>
              <w:jc w:val="center"/>
            </w:pPr>
            <w:r>
              <w:rPr>
                <w:rFonts w:ascii="Calibri" w:hAnsi="Calibri" w:cs="Calibri"/>
                <w:color w:val="000000"/>
                <w:szCs w:val="21"/>
              </w:rPr>
              <w:t>7</w:t>
            </w:r>
          </w:p>
        </w:tc>
        <w:tc>
          <w:tcPr>
            <w:tcW w:w="705" w:type="dxa"/>
            <w:noWrap/>
            <w:vAlign w:val="center"/>
            <w:hideMark/>
          </w:tcPr>
          <w:p w14:paraId="1DC9AFB7" w14:textId="77777777" w:rsidR="006E0DB0" w:rsidRPr="00DF14C0" w:rsidRDefault="006E0DB0" w:rsidP="00070765">
            <w:pPr>
              <w:jc w:val="center"/>
            </w:pPr>
            <w:r>
              <w:rPr>
                <w:rFonts w:ascii="Calibri" w:hAnsi="Calibri" w:cs="Calibri"/>
                <w:color w:val="000000"/>
                <w:szCs w:val="21"/>
              </w:rPr>
              <w:t>8</w:t>
            </w:r>
          </w:p>
        </w:tc>
        <w:tc>
          <w:tcPr>
            <w:tcW w:w="705" w:type="dxa"/>
            <w:noWrap/>
            <w:vAlign w:val="center"/>
            <w:hideMark/>
          </w:tcPr>
          <w:p w14:paraId="5D66B2E1" w14:textId="77777777" w:rsidR="006E0DB0" w:rsidRPr="00DF14C0" w:rsidRDefault="006E0DB0" w:rsidP="00070765">
            <w:pPr>
              <w:jc w:val="center"/>
            </w:pPr>
            <w:r>
              <w:rPr>
                <w:rFonts w:ascii="Calibri" w:hAnsi="Calibri" w:cs="Calibri"/>
                <w:color w:val="000000"/>
                <w:szCs w:val="21"/>
              </w:rPr>
              <w:t>7</w:t>
            </w:r>
          </w:p>
        </w:tc>
        <w:tc>
          <w:tcPr>
            <w:tcW w:w="704" w:type="dxa"/>
            <w:noWrap/>
            <w:vAlign w:val="center"/>
            <w:hideMark/>
          </w:tcPr>
          <w:p w14:paraId="47E952CE"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5D1A8658" w14:textId="77777777" w:rsidR="006E0DB0" w:rsidRPr="00DF14C0" w:rsidRDefault="006E0DB0" w:rsidP="00070765">
            <w:pPr>
              <w:jc w:val="center"/>
            </w:pPr>
            <w:r>
              <w:rPr>
                <w:rFonts w:ascii="Calibri" w:hAnsi="Calibri" w:cs="Calibri"/>
                <w:color w:val="000000"/>
                <w:szCs w:val="21"/>
              </w:rPr>
              <w:t>8</w:t>
            </w:r>
          </w:p>
        </w:tc>
        <w:tc>
          <w:tcPr>
            <w:tcW w:w="705" w:type="dxa"/>
            <w:noWrap/>
            <w:vAlign w:val="center"/>
            <w:hideMark/>
          </w:tcPr>
          <w:p w14:paraId="5DA0D22E" w14:textId="77777777" w:rsidR="006E0DB0" w:rsidRPr="00DF14C0" w:rsidRDefault="006E0DB0" w:rsidP="00070765">
            <w:pPr>
              <w:jc w:val="center"/>
            </w:pPr>
            <w:r>
              <w:rPr>
                <w:rFonts w:ascii="Calibri" w:hAnsi="Calibri" w:cs="Calibri"/>
                <w:color w:val="000000"/>
                <w:szCs w:val="21"/>
              </w:rPr>
              <w:t>8</w:t>
            </w:r>
          </w:p>
        </w:tc>
        <w:tc>
          <w:tcPr>
            <w:tcW w:w="705" w:type="dxa"/>
            <w:noWrap/>
            <w:vAlign w:val="center"/>
            <w:hideMark/>
          </w:tcPr>
          <w:p w14:paraId="7DAC2458" w14:textId="77777777" w:rsidR="006E0DB0" w:rsidRPr="00DF14C0" w:rsidRDefault="006E0DB0" w:rsidP="00070765">
            <w:pPr>
              <w:jc w:val="center"/>
            </w:pPr>
            <w:r>
              <w:rPr>
                <w:rFonts w:ascii="Calibri" w:hAnsi="Calibri" w:cs="Calibri"/>
                <w:color w:val="000000"/>
                <w:szCs w:val="21"/>
              </w:rPr>
              <w:t>9</w:t>
            </w:r>
          </w:p>
        </w:tc>
      </w:tr>
      <w:tr w:rsidR="006E0DB0" w:rsidRPr="0005682C" w14:paraId="13F797AF" w14:textId="77777777" w:rsidTr="00070765">
        <w:trPr>
          <w:trHeight w:val="300"/>
          <w:jc w:val="center"/>
        </w:trPr>
        <w:tc>
          <w:tcPr>
            <w:tcW w:w="1858" w:type="dxa"/>
            <w:noWrap/>
            <w:vAlign w:val="center"/>
            <w:hideMark/>
          </w:tcPr>
          <w:p w14:paraId="7675D217" w14:textId="77777777" w:rsidR="006E0DB0" w:rsidRPr="00DF14C0" w:rsidRDefault="006E0DB0" w:rsidP="00070765">
            <w:r>
              <w:rPr>
                <w:rFonts w:ascii="Calibri" w:hAnsi="Calibri" w:cs="Calibri"/>
                <w:color w:val="000000"/>
                <w:szCs w:val="21"/>
              </w:rPr>
              <w:t>Chery</w:t>
            </w:r>
          </w:p>
        </w:tc>
        <w:tc>
          <w:tcPr>
            <w:tcW w:w="704" w:type="dxa"/>
            <w:vAlign w:val="center"/>
          </w:tcPr>
          <w:p w14:paraId="2109A974"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0AB68C9A" w14:textId="77777777" w:rsidR="006E0DB0" w:rsidRPr="00DF14C0" w:rsidRDefault="006E0DB0" w:rsidP="00070765">
            <w:pPr>
              <w:jc w:val="center"/>
            </w:pPr>
            <w:r>
              <w:rPr>
                <w:rFonts w:ascii="Calibri" w:hAnsi="Calibri" w:cs="Calibri"/>
                <w:color w:val="000000"/>
                <w:szCs w:val="21"/>
              </w:rPr>
              <w:t>10</w:t>
            </w:r>
          </w:p>
        </w:tc>
        <w:tc>
          <w:tcPr>
            <w:tcW w:w="704" w:type="dxa"/>
            <w:vAlign w:val="center"/>
          </w:tcPr>
          <w:p w14:paraId="183CB209" w14:textId="77777777" w:rsidR="006E0DB0" w:rsidRPr="00DF14C0" w:rsidRDefault="006E0DB0" w:rsidP="00070765">
            <w:pPr>
              <w:jc w:val="center"/>
            </w:pPr>
            <w:r>
              <w:rPr>
                <w:rFonts w:ascii="Calibri" w:hAnsi="Calibri" w:cs="Calibri"/>
                <w:color w:val="000000"/>
                <w:szCs w:val="21"/>
              </w:rPr>
              <w:t>10</w:t>
            </w:r>
          </w:p>
        </w:tc>
        <w:tc>
          <w:tcPr>
            <w:tcW w:w="704" w:type="dxa"/>
            <w:noWrap/>
            <w:vAlign w:val="center"/>
            <w:hideMark/>
          </w:tcPr>
          <w:p w14:paraId="6B86BEAF"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2B4E415A"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742DE43F" w14:textId="77777777" w:rsidR="006E0DB0" w:rsidRPr="00DF14C0" w:rsidRDefault="006E0DB0" w:rsidP="00070765">
            <w:pPr>
              <w:jc w:val="center"/>
            </w:pPr>
            <w:r>
              <w:rPr>
                <w:rFonts w:ascii="Calibri" w:hAnsi="Calibri" w:cs="Calibri"/>
                <w:color w:val="000000"/>
                <w:szCs w:val="21"/>
              </w:rPr>
              <w:t>11</w:t>
            </w:r>
          </w:p>
        </w:tc>
        <w:tc>
          <w:tcPr>
            <w:tcW w:w="705" w:type="dxa"/>
            <w:noWrap/>
            <w:vAlign w:val="center"/>
            <w:hideMark/>
          </w:tcPr>
          <w:p w14:paraId="1F9A3AD3" w14:textId="77777777" w:rsidR="006E0DB0" w:rsidRPr="00DF14C0" w:rsidRDefault="006E0DB0" w:rsidP="00070765">
            <w:pPr>
              <w:jc w:val="center"/>
            </w:pPr>
            <w:r>
              <w:rPr>
                <w:rFonts w:ascii="Calibri" w:hAnsi="Calibri" w:cs="Calibri"/>
                <w:color w:val="000000"/>
                <w:szCs w:val="21"/>
              </w:rPr>
              <w:t>9</w:t>
            </w:r>
          </w:p>
        </w:tc>
        <w:tc>
          <w:tcPr>
            <w:tcW w:w="704" w:type="dxa"/>
            <w:noWrap/>
            <w:vAlign w:val="center"/>
            <w:hideMark/>
          </w:tcPr>
          <w:p w14:paraId="7ACF86E4" w14:textId="77777777" w:rsidR="006E0DB0" w:rsidRPr="00DF14C0" w:rsidRDefault="006E0DB0" w:rsidP="00070765">
            <w:pPr>
              <w:jc w:val="center"/>
            </w:pPr>
            <w:r>
              <w:rPr>
                <w:rFonts w:ascii="Calibri" w:hAnsi="Calibri" w:cs="Calibri"/>
                <w:color w:val="000000"/>
                <w:szCs w:val="21"/>
              </w:rPr>
              <w:t>12</w:t>
            </w:r>
          </w:p>
        </w:tc>
        <w:tc>
          <w:tcPr>
            <w:tcW w:w="705" w:type="dxa"/>
            <w:noWrap/>
            <w:vAlign w:val="center"/>
            <w:hideMark/>
          </w:tcPr>
          <w:p w14:paraId="0676DBA8" w14:textId="77777777" w:rsidR="006E0DB0" w:rsidRPr="00DF14C0" w:rsidRDefault="006E0DB0" w:rsidP="00070765">
            <w:pPr>
              <w:jc w:val="center"/>
            </w:pPr>
            <w:r>
              <w:rPr>
                <w:rFonts w:ascii="Calibri" w:hAnsi="Calibri" w:cs="Calibri"/>
                <w:color w:val="000000"/>
                <w:szCs w:val="21"/>
              </w:rPr>
              <w:t>9</w:t>
            </w:r>
          </w:p>
        </w:tc>
        <w:tc>
          <w:tcPr>
            <w:tcW w:w="705" w:type="dxa"/>
            <w:noWrap/>
            <w:vAlign w:val="center"/>
            <w:hideMark/>
          </w:tcPr>
          <w:p w14:paraId="18D57534" w14:textId="77777777" w:rsidR="006E0DB0" w:rsidRPr="00DF14C0" w:rsidRDefault="006E0DB0" w:rsidP="00070765">
            <w:pPr>
              <w:jc w:val="center"/>
            </w:pPr>
            <w:r>
              <w:rPr>
                <w:rFonts w:ascii="Calibri" w:hAnsi="Calibri" w:cs="Calibri"/>
                <w:color w:val="000000"/>
                <w:szCs w:val="21"/>
              </w:rPr>
              <w:t>7</w:t>
            </w:r>
          </w:p>
        </w:tc>
        <w:tc>
          <w:tcPr>
            <w:tcW w:w="705" w:type="dxa"/>
            <w:noWrap/>
            <w:vAlign w:val="center"/>
            <w:hideMark/>
          </w:tcPr>
          <w:p w14:paraId="4FFE1612" w14:textId="77777777" w:rsidR="006E0DB0" w:rsidRPr="00DF14C0" w:rsidRDefault="006E0DB0" w:rsidP="00070765">
            <w:pPr>
              <w:jc w:val="center"/>
            </w:pPr>
            <w:r>
              <w:rPr>
                <w:rFonts w:ascii="Calibri" w:hAnsi="Calibri" w:cs="Calibri"/>
                <w:color w:val="000000"/>
                <w:szCs w:val="21"/>
              </w:rPr>
              <w:t>7</w:t>
            </w:r>
          </w:p>
        </w:tc>
        <w:tc>
          <w:tcPr>
            <w:tcW w:w="704" w:type="dxa"/>
            <w:noWrap/>
            <w:vAlign w:val="center"/>
            <w:hideMark/>
          </w:tcPr>
          <w:p w14:paraId="61A183A2" w14:textId="77777777" w:rsidR="006E0DB0" w:rsidRPr="00DF14C0" w:rsidRDefault="006E0DB0" w:rsidP="00070765">
            <w:pPr>
              <w:jc w:val="center"/>
            </w:pPr>
            <w:r>
              <w:rPr>
                <w:rFonts w:ascii="Calibri" w:hAnsi="Calibri" w:cs="Calibri"/>
                <w:color w:val="000000"/>
                <w:szCs w:val="21"/>
              </w:rPr>
              <w:t>7</w:t>
            </w:r>
          </w:p>
        </w:tc>
        <w:tc>
          <w:tcPr>
            <w:tcW w:w="705" w:type="dxa"/>
            <w:noWrap/>
            <w:vAlign w:val="center"/>
            <w:hideMark/>
          </w:tcPr>
          <w:p w14:paraId="0C43C88E" w14:textId="77777777" w:rsidR="006E0DB0" w:rsidRPr="00DF14C0" w:rsidRDefault="006E0DB0" w:rsidP="00070765">
            <w:pPr>
              <w:jc w:val="center"/>
            </w:pPr>
            <w:r>
              <w:rPr>
                <w:rFonts w:ascii="Calibri" w:hAnsi="Calibri" w:cs="Calibri"/>
                <w:color w:val="000000"/>
                <w:szCs w:val="21"/>
              </w:rPr>
              <w:t>7</w:t>
            </w:r>
          </w:p>
        </w:tc>
        <w:tc>
          <w:tcPr>
            <w:tcW w:w="705" w:type="dxa"/>
            <w:noWrap/>
            <w:vAlign w:val="center"/>
            <w:hideMark/>
          </w:tcPr>
          <w:p w14:paraId="1F7195E0" w14:textId="77777777" w:rsidR="006E0DB0" w:rsidRPr="00DF14C0" w:rsidRDefault="006E0DB0" w:rsidP="00070765">
            <w:pPr>
              <w:jc w:val="center"/>
            </w:pPr>
            <w:r>
              <w:rPr>
                <w:rFonts w:ascii="Calibri" w:hAnsi="Calibri" w:cs="Calibri"/>
                <w:color w:val="000000"/>
                <w:szCs w:val="21"/>
              </w:rPr>
              <w:t>7</w:t>
            </w:r>
          </w:p>
        </w:tc>
        <w:tc>
          <w:tcPr>
            <w:tcW w:w="705" w:type="dxa"/>
            <w:noWrap/>
            <w:vAlign w:val="center"/>
            <w:hideMark/>
          </w:tcPr>
          <w:p w14:paraId="638F853E" w14:textId="77777777" w:rsidR="006E0DB0" w:rsidRPr="00DF14C0" w:rsidRDefault="006E0DB0" w:rsidP="00070765">
            <w:pPr>
              <w:jc w:val="center"/>
            </w:pPr>
            <w:r>
              <w:rPr>
                <w:rFonts w:ascii="Calibri" w:hAnsi="Calibri" w:cs="Calibri"/>
                <w:color w:val="000000"/>
                <w:szCs w:val="21"/>
              </w:rPr>
              <w:t>7</w:t>
            </w:r>
          </w:p>
        </w:tc>
      </w:tr>
      <w:tr w:rsidR="006E0DB0" w:rsidRPr="0005682C" w14:paraId="23ADB5BB" w14:textId="77777777" w:rsidTr="00070765">
        <w:trPr>
          <w:trHeight w:val="300"/>
          <w:jc w:val="center"/>
        </w:trPr>
        <w:tc>
          <w:tcPr>
            <w:tcW w:w="1858" w:type="dxa"/>
            <w:noWrap/>
            <w:vAlign w:val="center"/>
            <w:hideMark/>
          </w:tcPr>
          <w:p w14:paraId="1C82C73A" w14:textId="77777777" w:rsidR="006E0DB0" w:rsidRPr="00DF14C0" w:rsidRDefault="006E0DB0" w:rsidP="00070765">
            <w:r>
              <w:rPr>
                <w:rFonts w:ascii="Calibri" w:hAnsi="Calibri" w:cs="Calibri"/>
                <w:color w:val="000000"/>
                <w:szCs w:val="21"/>
              </w:rPr>
              <w:t>BYD</w:t>
            </w:r>
          </w:p>
        </w:tc>
        <w:tc>
          <w:tcPr>
            <w:tcW w:w="704" w:type="dxa"/>
            <w:vAlign w:val="center"/>
          </w:tcPr>
          <w:p w14:paraId="6021CDD1" w14:textId="77777777" w:rsidR="006E0DB0" w:rsidRPr="00DF14C0" w:rsidRDefault="006E0DB0" w:rsidP="00070765">
            <w:pPr>
              <w:jc w:val="center"/>
            </w:pPr>
            <w:r>
              <w:rPr>
                <w:rFonts w:ascii="Calibri" w:hAnsi="Calibri" w:cs="Calibri"/>
                <w:color w:val="000000"/>
                <w:szCs w:val="21"/>
              </w:rPr>
              <w:t>N</w:t>
            </w:r>
          </w:p>
        </w:tc>
        <w:tc>
          <w:tcPr>
            <w:tcW w:w="704" w:type="dxa"/>
            <w:vAlign w:val="center"/>
          </w:tcPr>
          <w:p w14:paraId="0BE1AB49" w14:textId="77777777" w:rsidR="006E0DB0" w:rsidRPr="00DF14C0" w:rsidRDefault="006E0DB0" w:rsidP="00070765">
            <w:pPr>
              <w:jc w:val="center"/>
            </w:pPr>
            <w:r>
              <w:rPr>
                <w:rFonts w:ascii="Calibri" w:hAnsi="Calibri" w:cs="Calibri"/>
                <w:color w:val="000000"/>
                <w:szCs w:val="21"/>
              </w:rPr>
              <w:t>11</w:t>
            </w:r>
          </w:p>
        </w:tc>
        <w:tc>
          <w:tcPr>
            <w:tcW w:w="704" w:type="dxa"/>
            <w:vAlign w:val="center"/>
          </w:tcPr>
          <w:p w14:paraId="6B74D99F" w14:textId="77777777" w:rsidR="006E0DB0" w:rsidRPr="00DF14C0" w:rsidRDefault="006E0DB0" w:rsidP="00070765">
            <w:pPr>
              <w:jc w:val="center"/>
            </w:pPr>
            <w:r>
              <w:rPr>
                <w:rFonts w:ascii="Calibri" w:hAnsi="Calibri" w:cs="Calibri"/>
                <w:color w:val="000000"/>
                <w:szCs w:val="21"/>
              </w:rPr>
              <w:t>11</w:t>
            </w:r>
          </w:p>
        </w:tc>
        <w:tc>
          <w:tcPr>
            <w:tcW w:w="704" w:type="dxa"/>
            <w:noWrap/>
            <w:vAlign w:val="center"/>
            <w:hideMark/>
          </w:tcPr>
          <w:p w14:paraId="7CCD9B40" w14:textId="77777777" w:rsidR="006E0DB0" w:rsidRPr="00DF14C0" w:rsidRDefault="006E0DB0" w:rsidP="00070765">
            <w:pPr>
              <w:jc w:val="center"/>
            </w:pPr>
            <w:r>
              <w:rPr>
                <w:rFonts w:ascii="Calibri" w:hAnsi="Calibri" w:cs="Calibri"/>
                <w:color w:val="000000"/>
                <w:szCs w:val="21"/>
              </w:rPr>
              <w:t>12</w:t>
            </w:r>
          </w:p>
        </w:tc>
        <w:tc>
          <w:tcPr>
            <w:tcW w:w="705" w:type="dxa"/>
            <w:noWrap/>
            <w:vAlign w:val="center"/>
            <w:hideMark/>
          </w:tcPr>
          <w:p w14:paraId="76C9D511" w14:textId="77777777" w:rsidR="006E0DB0" w:rsidRPr="00DF14C0" w:rsidRDefault="006E0DB0" w:rsidP="00070765">
            <w:pPr>
              <w:jc w:val="center"/>
            </w:pPr>
            <w:r>
              <w:rPr>
                <w:rFonts w:ascii="Calibri" w:hAnsi="Calibri" w:cs="Calibri"/>
                <w:color w:val="000000"/>
                <w:szCs w:val="21"/>
              </w:rPr>
              <w:t>12</w:t>
            </w:r>
          </w:p>
        </w:tc>
        <w:tc>
          <w:tcPr>
            <w:tcW w:w="705" w:type="dxa"/>
            <w:noWrap/>
            <w:vAlign w:val="center"/>
            <w:hideMark/>
          </w:tcPr>
          <w:p w14:paraId="37FFDFE4" w14:textId="77777777" w:rsidR="006E0DB0" w:rsidRPr="00DF14C0" w:rsidRDefault="006E0DB0" w:rsidP="00070765">
            <w:pPr>
              <w:jc w:val="center"/>
            </w:pPr>
            <w:r>
              <w:rPr>
                <w:rFonts w:ascii="Calibri" w:hAnsi="Calibri" w:cs="Calibri"/>
                <w:color w:val="000000"/>
                <w:szCs w:val="21"/>
              </w:rPr>
              <w:t>12</w:t>
            </w:r>
          </w:p>
        </w:tc>
        <w:tc>
          <w:tcPr>
            <w:tcW w:w="705" w:type="dxa"/>
            <w:noWrap/>
            <w:vAlign w:val="center"/>
            <w:hideMark/>
          </w:tcPr>
          <w:p w14:paraId="6E3D0B43" w14:textId="77777777" w:rsidR="006E0DB0" w:rsidRPr="00DF14C0" w:rsidRDefault="006E0DB0" w:rsidP="00070765">
            <w:pPr>
              <w:jc w:val="center"/>
            </w:pPr>
            <w:r>
              <w:rPr>
                <w:rFonts w:ascii="Calibri" w:hAnsi="Calibri" w:cs="Calibri"/>
                <w:color w:val="000000"/>
                <w:szCs w:val="21"/>
              </w:rPr>
              <w:t>11</w:t>
            </w:r>
          </w:p>
        </w:tc>
        <w:tc>
          <w:tcPr>
            <w:tcW w:w="704" w:type="dxa"/>
            <w:noWrap/>
            <w:vAlign w:val="center"/>
            <w:hideMark/>
          </w:tcPr>
          <w:p w14:paraId="36E5F696" w14:textId="77777777" w:rsidR="006E0DB0" w:rsidRPr="00DF14C0" w:rsidRDefault="006E0DB0" w:rsidP="00070765">
            <w:pPr>
              <w:jc w:val="center"/>
            </w:pPr>
            <w:r>
              <w:rPr>
                <w:rFonts w:ascii="Calibri" w:hAnsi="Calibri" w:cs="Calibri"/>
                <w:color w:val="000000"/>
                <w:szCs w:val="21"/>
              </w:rPr>
              <w:t>10</w:t>
            </w:r>
          </w:p>
        </w:tc>
        <w:tc>
          <w:tcPr>
            <w:tcW w:w="705" w:type="dxa"/>
            <w:noWrap/>
            <w:vAlign w:val="center"/>
            <w:hideMark/>
          </w:tcPr>
          <w:p w14:paraId="2F31AC0A" w14:textId="77777777" w:rsidR="006E0DB0" w:rsidRPr="00DF14C0" w:rsidRDefault="006E0DB0" w:rsidP="00070765">
            <w:pPr>
              <w:jc w:val="center"/>
            </w:pPr>
            <w:r>
              <w:rPr>
                <w:rFonts w:ascii="Calibri" w:hAnsi="Calibri" w:cs="Calibri"/>
                <w:color w:val="000000"/>
                <w:szCs w:val="21"/>
              </w:rPr>
              <w:t>12</w:t>
            </w:r>
          </w:p>
        </w:tc>
        <w:tc>
          <w:tcPr>
            <w:tcW w:w="705" w:type="dxa"/>
            <w:noWrap/>
            <w:vAlign w:val="center"/>
            <w:hideMark/>
          </w:tcPr>
          <w:p w14:paraId="1FA1C36B" w14:textId="77777777" w:rsidR="006E0DB0" w:rsidRPr="00DF14C0" w:rsidRDefault="006E0DB0" w:rsidP="00070765">
            <w:pPr>
              <w:jc w:val="center"/>
            </w:pPr>
            <w:r>
              <w:rPr>
                <w:rFonts w:ascii="Calibri" w:hAnsi="Calibri" w:cs="Calibri"/>
                <w:color w:val="000000"/>
                <w:szCs w:val="21"/>
              </w:rPr>
              <w:t>11</w:t>
            </w:r>
          </w:p>
        </w:tc>
        <w:tc>
          <w:tcPr>
            <w:tcW w:w="705" w:type="dxa"/>
            <w:noWrap/>
            <w:vAlign w:val="center"/>
            <w:hideMark/>
          </w:tcPr>
          <w:p w14:paraId="1BD293CD" w14:textId="77777777" w:rsidR="006E0DB0" w:rsidRPr="00DF14C0" w:rsidRDefault="006E0DB0" w:rsidP="00070765">
            <w:pPr>
              <w:jc w:val="center"/>
            </w:pPr>
            <w:r>
              <w:rPr>
                <w:rFonts w:ascii="Calibri" w:hAnsi="Calibri" w:cs="Calibri"/>
                <w:color w:val="000000"/>
                <w:szCs w:val="21"/>
              </w:rPr>
              <w:t>8</w:t>
            </w:r>
          </w:p>
        </w:tc>
        <w:tc>
          <w:tcPr>
            <w:tcW w:w="704" w:type="dxa"/>
            <w:noWrap/>
            <w:vAlign w:val="center"/>
            <w:hideMark/>
          </w:tcPr>
          <w:p w14:paraId="787CCE3A" w14:textId="77777777" w:rsidR="006E0DB0" w:rsidRPr="00DF14C0" w:rsidRDefault="006E0DB0" w:rsidP="00070765">
            <w:pPr>
              <w:jc w:val="center"/>
            </w:pPr>
            <w:r>
              <w:rPr>
                <w:rFonts w:ascii="Calibri" w:hAnsi="Calibri" w:cs="Calibri"/>
                <w:color w:val="000000"/>
                <w:szCs w:val="21"/>
              </w:rPr>
              <w:t>8</w:t>
            </w:r>
          </w:p>
        </w:tc>
        <w:tc>
          <w:tcPr>
            <w:tcW w:w="705" w:type="dxa"/>
            <w:noWrap/>
            <w:vAlign w:val="center"/>
            <w:hideMark/>
          </w:tcPr>
          <w:p w14:paraId="67006E18" w14:textId="77777777" w:rsidR="006E0DB0" w:rsidRPr="00DF14C0" w:rsidRDefault="006E0DB0" w:rsidP="00070765">
            <w:pPr>
              <w:jc w:val="center"/>
            </w:pPr>
            <w:r>
              <w:rPr>
                <w:rFonts w:ascii="Calibri" w:hAnsi="Calibri" w:cs="Calibri"/>
                <w:color w:val="000000"/>
                <w:szCs w:val="21"/>
              </w:rPr>
              <w:t>12</w:t>
            </w:r>
          </w:p>
        </w:tc>
        <w:tc>
          <w:tcPr>
            <w:tcW w:w="705" w:type="dxa"/>
            <w:noWrap/>
            <w:vAlign w:val="center"/>
            <w:hideMark/>
          </w:tcPr>
          <w:p w14:paraId="168C85A2" w14:textId="77777777" w:rsidR="006E0DB0" w:rsidRPr="00DF14C0" w:rsidRDefault="006E0DB0" w:rsidP="00070765">
            <w:pPr>
              <w:jc w:val="center"/>
            </w:pPr>
            <w:r>
              <w:rPr>
                <w:rFonts w:ascii="Calibri" w:hAnsi="Calibri" w:cs="Calibri"/>
                <w:color w:val="000000"/>
                <w:szCs w:val="21"/>
              </w:rPr>
              <w:t>15</w:t>
            </w:r>
          </w:p>
        </w:tc>
        <w:tc>
          <w:tcPr>
            <w:tcW w:w="705" w:type="dxa"/>
            <w:noWrap/>
            <w:vAlign w:val="center"/>
            <w:hideMark/>
          </w:tcPr>
          <w:p w14:paraId="27EF5572" w14:textId="77777777" w:rsidR="006E0DB0" w:rsidRPr="00DF14C0" w:rsidRDefault="006E0DB0" w:rsidP="00070765">
            <w:pPr>
              <w:jc w:val="center"/>
            </w:pPr>
            <w:r>
              <w:rPr>
                <w:rFonts w:ascii="Calibri" w:hAnsi="Calibri" w:cs="Calibri"/>
                <w:color w:val="000000"/>
                <w:szCs w:val="21"/>
              </w:rPr>
              <w:t>13</w:t>
            </w:r>
          </w:p>
        </w:tc>
      </w:tr>
      <w:tr w:rsidR="006E0DB0" w:rsidRPr="0005682C" w14:paraId="66207BBF" w14:textId="77777777" w:rsidTr="00070765">
        <w:trPr>
          <w:trHeight w:val="300"/>
          <w:jc w:val="center"/>
        </w:trPr>
        <w:tc>
          <w:tcPr>
            <w:tcW w:w="1858" w:type="dxa"/>
            <w:noWrap/>
            <w:vAlign w:val="center"/>
            <w:hideMark/>
          </w:tcPr>
          <w:p w14:paraId="5A218D11" w14:textId="77777777" w:rsidR="006E0DB0" w:rsidRPr="00DF14C0" w:rsidRDefault="006E0DB0" w:rsidP="00070765">
            <w:r>
              <w:rPr>
                <w:rFonts w:ascii="Calibri" w:hAnsi="Calibri" w:cs="Calibri"/>
                <w:color w:val="000000"/>
                <w:szCs w:val="21"/>
              </w:rPr>
              <w:t>JAC</w:t>
            </w:r>
          </w:p>
        </w:tc>
        <w:tc>
          <w:tcPr>
            <w:tcW w:w="704" w:type="dxa"/>
            <w:vAlign w:val="center"/>
          </w:tcPr>
          <w:p w14:paraId="542D9F9D"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75512D16" w14:textId="77777777" w:rsidR="006E0DB0" w:rsidRPr="00DF14C0" w:rsidRDefault="006E0DB0" w:rsidP="00070765">
            <w:pPr>
              <w:jc w:val="center"/>
            </w:pPr>
            <w:r>
              <w:rPr>
                <w:rFonts w:ascii="Calibri" w:hAnsi="Calibri" w:cs="Calibri"/>
                <w:color w:val="000000"/>
                <w:szCs w:val="21"/>
              </w:rPr>
              <w:t>12</w:t>
            </w:r>
          </w:p>
        </w:tc>
        <w:tc>
          <w:tcPr>
            <w:tcW w:w="704" w:type="dxa"/>
            <w:vAlign w:val="center"/>
          </w:tcPr>
          <w:p w14:paraId="463BAA24" w14:textId="77777777" w:rsidR="006E0DB0" w:rsidRPr="00DF14C0" w:rsidRDefault="006E0DB0" w:rsidP="00070765">
            <w:pPr>
              <w:jc w:val="center"/>
            </w:pPr>
            <w:r>
              <w:rPr>
                <w:rFonts w:ascii="Calibri" w:hAnsi="Calibri" w:cs="Calibri"/>
                <w:color w:val="000000"/>
                <w:szCs w:val="21"/>
              </w:rPr>
              <w:t>12</w:t>
            </w:r>
          </w:p>
        </w:tc>
        <w:tc>
          <w:tcPr>
            <w:tcW w:w="704" w:type="dxa"/>
            <w:noWrap/>
            <w:vAlign w:val="center"/>
            <w:hideMark/>
          </w:tcPr>
          <w:p w14:paraId="79FAF85F" w14:textId="77777777" w:rsidR="006E0DB0" w:rsidRPr="00DF14C0" w:rsidRDefault="006E0DB0" w:rsidP="00070765">
            <w:pPr>
              <w:jc w:val="center"/>
            </w:pPr>
            <w:r>
              <w:rPr>
                <w:rFonts w:ascii="Calibri" w:hAnsi="Calibri" w:cs="Calibri"/>
                <w:color w:val="000000"/>
                <w:szCs w:val="21"/>
              </w:rPr>
              <w:t>11</w:t>
            </w:r>
          </w:p>
        </w:tc>
        <w:tc>
          <w:tcPr>
            <w:tcW w:w="705" w:type="dxa"/>
            <w:noWrap/>
            <w:vAlign w:val="center"/>
            <w:hideMark/>
          </w:tcPr>
          <w:p w14:paraId="2C1757CA" w14:textId="77777777" w:rsidR="006E0DB0" w:rsidRPr="00DF14C0" w:rsidRDefault="006E0DB0" w:rsidP="00070765">
            <w:pPr>
              <w:jc w:val="center"/>
            </w:pPr>
            <w:r>
              <w:rPr>
                <w:rFonts w:ascii="Calibri" w:hAnsi="Calibri" w:cs="Calibri"/>
                <w:color w:val="000000"/>
                <w:szCs w:val="21"/>
              </w:rPr>
              <w:t>11</w:t>
            </w:r>
          </w:p>
        </w:tc>
        <w:tc>
          <w:tcPr>
            <w:tcW w:w="705" w:type="dxa"/>
            <w:noWrap/>
            <w:vAlign w:val="center"/>
            <w:hideMark/>
          </w:tcPr>
          <w:p w14:paraId="168F9CDA" w14:textId="77777777" w:rsidR="006E0DB0" w:rsidRPr="00DF14C0" w:rsidRDefault="006E0DB0" w:rsidP="00070765">
            <w:pPr>
              <w:jc w:val="center"/>
            </w:pPr>
            <w:r>
              <w:rPr>
                <w:rFonts w:ascii="Calibri" w:hAnsi="Calibri" w:cs="Calibri"/>
                <w:color w:val="000000"/>
                <w:szCs w:val="21"/>
              </w:rPr>
              <w:t>9</w:t>
            </w:r>
          </w:p>
        </w:tc>
        <w:tc>
          <w:tcPr>
            <w:tcW w:w="705" w:type="dxa"/>
            <w:noWrap/>
            <w:vAlign w:val="center"/>
            <w:hideMark/>
          </w:tcPr>
          <w:p w14:paraId="1E812114" w14:textId="77777777" w:rsidR="006E0DB0" w:rsidRPr="00DF14C0" w:rsidRDefault="006E0DB0" w:rsidP="00070765">
            <w:pPr>
              <w:jc w:val="center"/>
            </w:pPr>
            <w:r>
              <w:rPr>
                <w:rFonts w:ascii="Calibri" w:hAnsi="Calibri" w:cs="Calibri"/>
                <w:color w:val="000000"/>
                <w:szCs w:val="21"/>
              </w:rPr>
              <w:t>10</w:t>
            </w:r>
          </w:p>
        </w:tc>
        <w:tc>
          <w:tcPr>
            <w:tcW w:w="704" w:type="dxa"/>
            <w:noWrap/>
            <w:vAlign w:val="center"/>
            <w:hideMark/>
          </w:tcPr>
          <w:p w14:paraId="5ADEB37D" w14:textId="77777777" w:rsidR="006E0DB0" w:rsidRPr="00DF14C0" w:rsidRDefault="006E0DB0" w:rsidP="00070765">
            <w:pPr>
              <w:jc w:val="center"/>
            </w:pPr>
            <w:r>
              <w:rPr>
                <w:rFonts w:ascii="Calibri" w:hAnsi="Calibri" w:cs="Calibri"/>
                <w:color w:val="000000"/>
                <w:szCs w:val="21"/>
              </w:rPr>
              <w:t>11</w:t>
            </w:r>
          </w:p>
        </w:tc>
        <w:tc>
          <w:tcPr>
            <w:tcW w:w="705" w:type="dxa"/>
            <w:noWrap/>
            <w:vAlign w:val="center"/>
            <w:hideMark/>
          </w:tcPr>
          <w:p w14:paraId="2C98973B" w14:textId="77777777" w:rsidR="006E0DB0" w:rsidRPr="00DF14C0" w:rsidRDefault="006E0DB0" w:rsidP="00070765">
            <w:pPr>
              <w:jc w:val="center"/>
            </w:pPr>
            <w:r>
              <w:rPr>
                <w:rFonts w:ascii="Calibri" w:hAnsi="Calibri" w:cs="Calibri"/>
                <w:color w:val="000000"/>
                <w:szCs w:val="21"/>
              </w:rPr>
              <w:t>11</w:t>
            </w:r>
          </w:p>
        </w:tc>
        <w:tc>
          <w:tcPr>
            <w:tcW w:w="705" w:type="dxa"/>
            <w:noWrap/>
            <w:vAlign w:val="center"/>
            <w:hideMark/>
          </w:tcPr>
          <w:p w14:paraId="74EE7D95" w14:textId="77777777" w:rsidR="006E0DB0" w:rsidRPr="00DF14C0" w:rsidRDefault="006E0DB0" w:rsidP="00070765">
            <w:pPr>
              <w:jc w:val="center"/>
            </w:pPr>
            <w:r>
              <w:rPr>
                <w:rFonts w:ascii="Calibri" w:hAnsi="Calibri" w:cs="Calibri"/>
                <w:color w:val="000000"/>
                <w:szCs w:val="21"/>
              </w:rPr>
              <w:t>9</w:t>
            </w:r>
          </w:p>
        </w:tc>
        <w:tc>
          <w:tcPr>
            <w:tcW w:w="705" w:type="dxa"/>
            <w:noWrap/>
            <w:vAlign w:val="center"/>
            <w:hideMark/>
          </w:tcPr>
          <w:p w14:paraId="7C54C472" w14:textId="77777777" w:rsidR="006E0DB0" w:rsidRPr="00DF14C0" w:rsidRDefault="006E0DB0" w:rsidP="00070765">
            <w:pPr>
              <w:jc w:val="center"/>
            </w:pPr>
            <w:r>
              <w:rPr>
                <w:rFonts w:ascii="Calibri" w:hAnsi="Calibri" w:cs="Calibri"/>
                <w:color w:val="000000"/>
                <w:szCs w:val="21"/>
              </w:rPr>
              <w:t>9</w:t>
            </w:r>
          </w:p>
        </w:tc>
        <w:tc>
          <w:tcPr>
            <w:tcW w:w="704" w:type="dxa"/>
            <w:noWrap/>
            <w:vAlign w:val="center"/>
            <w:hideMark/>
          </w:tcPr>
          <w:p w14:paraId="5B014B6A" w14:textId="77777777" w:rsidR="006E0DB0" w:rsidRPr="00DF14C0" w:rsidRDefault="006E0DB0" w:rsidP="00070765">
            <w:pPr>
              <w:jc w:val="center"/>
            </w:pPr>
            <w:r>
              <w:rPr>
                <w:rFonts w:ascii="Calibri" w:hAnsi="Calibri" w:cs="Calibri"/>
                <w:color w:val="000000"/>
                <w:szCs w:val="21"/>
              </w:rPr>
              <w:t>9</w:t>
            </w:r>
          </w:p>
        </w:tc>
        <w:tc>
          <w:tcPr>
            <w:tcW w:w="705" w:type="dxa"/>
            <w:noWrap/>
            <w:vAlign w:val="center"/>
            <w:hideMark/>
          </w:tcPr>
          <w:p w14:paraId="5BB7010A" w14:textId="77777777" w:rsidR="006E0DB0" w:rsidRPr="00DF14C0" w:rsidRDefault="006E0DB0" w:rsidP="00070765">
            <w:pPr>
              <w:jc w:val="center"/>
            </w:pPr>
            <w:r>
              <w:rPr>
                <w:rFonts w:ascii="Calibri" w:hAnsi="Calibri" w:cs="Calibri"/>
                <w:color w:val="000000"/>
                <w:szCs w:val="21"/>
              </w:rPr>
              <w:t>11</w:t>
            </w:r>
          </w:p>
        </w:tc>
        <w:tc>
          <w:tcPr>
            <w:tcW w:w="705" w:type="dxa"/>
            <w:noWrap/>
            <w:vAlign w:val="center"/>
            <w:hideMark/>
          </w:tcPr>
          <w:p w14:paraId="16AFCD2E" w14:textId="77777777" w:rsidR="006E0DB0" w:rsidRPr="00DF14C0" w:rsidRDefault="006E0DB0" w:rsidP="00070765">
            <w:pPr>
              <w:jc w:val="center"/>
            </w:pPr>
            <w:r>
              <w:rPr>
                <w:rFonts w:ascii="Calibri" w:hAnsi="Calibri" w:cs="Calibri"/>
                <w:color w:val="000000"/>
                <w:szCs w:val="21"/>
              </w:rPr>
              <w:t>11</w:t>
            </w:r>
          </w:p>
        </w:tc>
        <w:tc>
          <w:tcPr>
            <w:tcW w:w="705" w:type="dxa"/>
            <w:noWrap/>
            <w:vAlign w:val="center"/>
            <w:hideMark/>
          </w:tcPr>
          <w:p w14:paraId="715F0A71" w14:textId="77777777" w:rsidR="006E0DB0" w:rsidRPr="00DF14C0" w:rsidRDefault="006E0DB0" w:rsidP="00070765">
            <w:pPr>
              <w:jc w:val="center"/>
            </w:pPr>
            <w:r>
              <w:rPr>
                <w:rFonts w:ascii="Calibri" w:hAnsi="Calibri" w:cs="Calibri"/>
                <w:color w:val="000000"/>
                <w:szCs w:val="21"/>
              </w:rPr>
              <w:t>10</w:t>
            </w:r>
          </w:p>
        </w:tc>
      </w:tr>
      <w:tr w:rsidR="006E0DB0" w:rsidRPr="0005682C" w14:paraId="13F30CD6" w14:textId="77777777" w:rsidTr="00070765">
        <w:trPr>
          <w:trHeight w:val="300"/>
          <w:jc w:val="center"/>
        </w:trPr>
        <w:tc>
          <w:tcPr>
            <w:tcW w:w="1858" w:type="dxa"/>
            <w:noWrap/>
            <w:vAlign w:val="center"/>
            <w:hideMark/>
          </w:tcPr>
          <w:p w14:paraId="07384168" w14:textId="77777777" w:rsidR="006E0DB0" w:rsidRPr="00DF14C0" w:rsidRDefault="006E0DB0" w:rsidP="00070765">
            <w:r>
              <w:rPr>
                <w:rFonts w:ascii="Calibri" w:hAnsi="Calibri" w:cs="Calibri"/>
                <w:color w:val="000000"/>
                <w:szCs w:val="21"/>
              </w:rPr>
              <w:t>JMC</w:t>
            </w:r>
          </w:p>
        </w:tc>
        <w:tc>
          <w:tcPr>
            <w:tcW w:w="704" w:type="dxa"/>
            <w:vAlign w:val="center"/>
          </w:tcPr>
          <w:p w14:paraId="1431DF4B"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584FEFAD" w14:textId="77777777" w:rsidR="006E0DB0" w:rsidRPr="00DF14C0" w:rsidRDefault="006E0DB0" w:rsidP="00070765">
            <w:pPr>
              <w:jc w:val="center"/>
            </w:pPr>
            <w:r>
              <w:rPr>
                <w:rFonts w:ascii="Calibri" w:hAnsi="Calibri" w:cs="Calibri"/>
                <w:color w:val="000000"/>
                <w:szCs w:val="21"/>
              </w:rPr>
              <w:t>13</w:t>
            </w:r>
          </w:p>
        </w:tc>
        <w:tc>
          <w:tcPr>
            <w:tcW w:w="704" w:type="dxa"/>
            <w:vAlign w:val="center"/>
          </w:tcPr>
          <w:p w14:paraId="0DAA98DE" w14:textId="77777777" w:rsidR="006E0DB0" w:rsidRPr="00DF14C0" w:rsidRDefault="006E0DB0" w:rsidP="00070765">
            <w:pPr>
              <w:jc w:val="center"/>
            </w:pPr>
            <w:r>
              <w:rPr>
                <w:rFonts w:ascii="Calibri" w:hAnsi="Calibri" w:cs="Calibri"/>
                <w:color w:val="000000"/>
                <w:szCs w:val="21"/>
              </w:rPr>
              <w:t>13</w:t>
            </w:r>
          </w:p>
        </w:tc>
        <w:tc>
          <w:tcPr>
            <w:tcW w:w="704" w:type="dxa"/>
            <w:noWrap/>
            <w:vAlign w:val="center"/>
            <w:hideMark/>
          </w:tcPr>
          <w:p w14:paraId="64B72808"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61879B43"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2A5C49CF"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31885654" w14:textId="77777777" w:rsidR="006E0DB0" w:rsidRPr="00DF14C0" w:rsidRDefault="006E0DB0" w:rsidP="00070765">
            <w:pPr>
              <w:jc w:val="center"/>
            </w:pPr>
            <w:r>
              <w:rPr>
                <w:rFonts w:ascii="Calibri" w:hAnsi="Calibri" w:cs="Calibri"/>
                <w:color w:val="000000"/>
                <w:szCs w:val="21"/>
              </w:rPr>
              <w:t xml:space="preserve">　</w:t>
            </w:r>
          </w:p>
        </w:tc>
        <w:tc>
          <w:tcPr>
            <w:tcW w:w="704" w:type="dxa"/>
            <w:noWrap/>
            <w:vAlign w:val="center"/>
            <w:hideMark/>
          </w:tcPr>
          <w:p w14:paraId="56649CF8"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6CE6C8BB"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6CAFAAB0"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2A340C6A" w14:textId="77777777" w:rsidR="006E0DB0" w:rsidRPr="00DF14C0" w:rsidRDefault="006E0DB0" w:rsidP="00070765">
            <w:pPr>
              <w:jc w:val="center"/>
            </w:pPr>
            <w:r>
              <w:rPr>
                <w:rFonts w:ascii="Calibri" w:hAnsi="Calibri" w:cs="Calibri"/>
                <w:color w:val="000000"/>
                <w:szCs w:val="21"/>
              </w:rPr>
              <w:t xml:space="preserve">　</w:t>
            </w:r>
          </w:p>
        </w:tc>
        <w:tc>
          <w:tcPr>
            <w:tcW w:w="704" w:type="dxa"/>
            <w:noWrap/>
            <w:vAlign w:val="center"/>
            <w:hideMark/>
          </w:tcPr>
          <w:p w14:paraId="29CCF655"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3712DAB8"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695D9564"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46390148" w14:textId="77777777" w:rsidR="006E0DB0" w:rsidRPr="00DF14C0" w:rsidRDefault="006E0DB0" w:rsidP="00070765">
            <w:pPr>
              <w:jc w:val="center"/>
            </w:pPr>
            <w:r>
              <w:rPr>
                <w:rFonts w:ascii="Calibri" w:hAnsi="Calibri" w:cs="Calibri"/>
                <w:color w:val="000000"/>
                <w:szCs w:val="21"/>
              </w:rPr>
              <w:t xml:space="preserve">　</w:t>
            </w:r>
          </w:p>
        </w:tc>
      </w:tr>
      <w:tr w:rsidR="006E0DB0" w:rsidRPr="0005682C" w14:paraId="474C8470" w14:textId="77777777" w:rsidTr="00070765">
        <w:trPr>
          <w:trHeight w:val="300"/>
          <w:jc w:val="center"/>
        </w:trPr>
        <w:tc>
          <w:tcPr>
            <w:tcW w:w="1858" w:type="dxa"/>
            <w:noWrap/>
            <w:vAlign w:val="center"/>
            <w:hideMark/>
          </w:tcPr>
          <w:p w14:paraId="6E4033DF" w14:textId="77777777" w:rsidR="006E0DB0" w:rsidRPr="00DF14C0" w:rsidRDefault="006E0DB0" w:rsidP="00070765">
            <w:r>
              <w:rPr>
                <w:rFonts w:ascii="Calibri" w:hAnsi="Calibri" w:cs="Calibri"/>
                <w:color w:val="000000"/>
                <w:szCs w:val="21"/>
              </w:rPr>
              <w:t>CNHTC</w:t>
            </w:r>
          </w:p>
        </w:tc>
        <w:tc>
          <w:tcPr>
            <w:tcW w:w="704" w:type="dxa"/>
            <w:vAlign w:val="center"/>
          </w:tcPr>
          <w:p w14:paraId="3012F2D1"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61F9F8B1" w14:textId="77777777" w:rsidR="006E0DB0" w:rsidRPr="00DF14C0" w:rsidRDefault="006E0DB0" w:rsidP="00070765">
            <w:pPr>
              <w:jc w:val="center"/>
            </w:pPr>
            <w:r>
              <w:rPr>
                <w:rFonts w:ascii="Calibri" w:hAnsi="Calibri" w:cs="Calibri"/>
                <w:color w:val="000000"/>
                <w:szCs w:val="21"/>
              </w:rPr>
              <w:t>14</w:t>
            </w:r>
          </w:p>
        </w:tc>
        <w:tc>
          <w:tcPr>
            <w:tcW w:w="704" w:type="dxa"/>
            <w:vAlign w:val="center"/>
          </w:tcPr>
          <w:p w14:paraId="4DC6840E" w14:textId="77777777" w:rsidR="006E0DB0" w:rsidRPr="00DF14C0" w:rsidRDefault="006E0DB0" w:rsidP="00070765">
            <w:pPr>
              <w:jc w:val="center"/>
            </w:pPr>
            <w:r>
              <w:rPr>
                <w:rFonts w:ascii="Calibri" w:hAnsi="Calibri" w:cs="Calibri"/>
                <w:color w:val="000000"/>
                <w:szCs w:val="21"/>
              </w:rPr>
              <w:t>14</w:t>
            </w:r>
          </w:p>
        </w:tc>
        <w:tc>
          <w:tcPr>
            <w:tcW w:w="704" w:type="dxa"/>
            <w:noWrap/>
            <w:vAlign w:val="center"/>
            <w:hideMark/>
          </w:tcPr>
          <w:p w14:paraId="53C4DA30" w14:textId="77777777" w:rsidR="006E0DB0" w:rsidRPr="00DF14C0" w:rsidRDefault="006E0DB0" w:rsidP="00070765">
            <w:pPr>
              <w:jc w:val="center"/>
            </w:pPr>
            <w:r>
              <w:rPr>
                <w:rFonts w:ascii="Calibri" w:hAnsi="Calibri" w:cs="Calibri"/>
                <w:color w:val="000000"/>
                <w:szCs w:val="21"/>
              </w:rPr>
              <w:t>14</w:t>
            </w:r>
          </w:p>
        </w:tc>
        <w:tc>
          <w:tcPr>
            <w:tcW w:w="705" w:type="dxa"/>
            <w:noWrap/>
            <w:vAlign w:val="center"/>
            <w:hideMark/>
          </w:tcPr>
          <w:p w14:paraId="41F339C1" w14:textId="77777777" w:rsidR="006E0DB0" w:rsidRPr="00DF14C0" w:rsidRDefault="006E0DB0" w:rsidP="00070765">
            <w:pPr>
              <w:jc w:val="center"/>
            </w:pPr>
            <w:r>
              <w:rPr>
                <w:rFonts w:ascii="Calibri" w:hAnsi="Calibri" w:cs="Calibri"/>
                <w:color w:val="000000"/>
                <w:szCs w:val="21"/>
              </w:rPr>
              <w:t>15</w:t>
            </w:r>
          </w:p>
        </w:tc>
        <w:tc>
          <w:tcPr>
            <w:tcW w:w="705" w:type="dxa"/>
            <w:noWrap/>
            <w:vAlign w:val="center"/>
            <w:hideMark/>
          </w:tcPr>
          <w:p w14:paraId="2AFB848B" w14:textId="77777777" w:rsidR="006E0DB0" w:rsidRPr="00DF14C0" w:rsidRDefault="006E0DB0" w:rsidP="00070765">
            <w:pPr>
              <w:jc w:val="center"/>
            </w:pPr>
            <w:r>
              <w:rPr>
                <w:rFonts w:ascii="Calibri" w:hAnsi="Calibri" w:cs="Calibri"/>
                <w:color w:val="000000"/>
                <w:szCs w:val="21"/>
              </w:rPr>
              <w:t>15</w:t>
            </w:r>
          </w:p>
        </w:tc>
        <w:tc>
          <w:tcPr>
            <w:tcW w:w="705" w:type="dxa"/>
            <w:noWrap/>
            <w:vAlign w:val="center"/>
            <w:hideMark/>
          </w:tcPr>
          <w:p w14:paraId="0E18A3C3" w14:textId="77777777" w:rsidR="006E0DB0" w:rsidRPr="00DF14C0" w:rsidRDefault="006E0DB0" w:rsidP="00070765">
            <w:pPr>
              <w:jc w:val="center"/>
            </w:pPr>
            <w:r>
              <w:rPr>
                <w:rFonts w:ascii="Calibri" w:hAnsi="Calibri" w:cs="Calibri"/>
                <w:color w:val="000000"/>
                <w:szCs w:val="21"/>
              </w:rPr>
              <w:t>15</w:t>
            </w:r>
          </w:p>
        </w:tc>
        <w:tc>
          <w:tcPr>
            <w:tcW w:w="704" w:type="dxa"/>
            <w:noWrap/>
            <w:vAlign w:val="center"/>
            <w:hideMark/>
          </w:tcPr>
          <w:p w14:paraId="624F2C74" w14:textId="77777777" w:rsidR="006E0DB0" w:rsidRPr="00DF14C0" w:rsidRDefault="006E0DB0" w:rsidP="00070765">
            <w:pPr>
              <w:jc w:val="center"/>
            </w:pPr>
            <w:r>
              <w:rPr>
                <w:rFonts w:ascii="Calibri" w:hAnsi="Calibri" w:cs="Calibri"/>
                <w:color w:val="000000"/>
                <w:szCs w:val="21"/>
              </w:rPr>
              <w:t>15</w:t>
            </w:r>
          </w:p>
        </w:tc>
        <w:tc>
          <w:tcPr>
            <w:tcW w:w="705" w:type="dxa"/>
            <w:noWrap/>
            <w:vAlign w:val="center"/>
            <w:hideMark/>
          </w:tcPr>
          <w:p w14:paraId="12695C53" w14:textId="77777777" w:rsidR="006E0DB0" w:rsidRPr="00DF14C0" w:rsidRDefault="006E0DB0" w:rsidP="00070765">
            <w:pPr>
              <w:jc w:val="center"/>
            </w:pPr>
            <w:r>
              <w:rPr>
                <w:rFonts w:ascii="Calibri" w:hAnsi="Calibri" w:cs="Calibri"/>
                <w:color w:val="000000"/>
                <w:szCs w:val="21"/>
              </w:rPr>
              <w:t>14</w:t>
            </w:r>
          </w:p>
        </w:tc>
        <w:tc>
          <w:tcPr>
            <w:tcW w:w="705" w:type="dxa"/>
            <w:noWrap/>
            <w:vAlign w:val="center"/>
            <w:hideMark/>
          </w:tcPr>
          <w:p w14:paraId="6F078B21" w14:textId="77777777" w:rsidR="006E0DB0" w:rsidRPr="00DF14C0" w:rsidRDefault="006E0DB0" w:rsidP="00070765">
            <w:pPr>
              <w:jc w:val="center"/>
            </w:pPr>
            <w:r>
              <w:rPr>
                <w:rFonts w:ascii="Calibri" w:hAnsi="Calibri" w:cs="Calibri"/>
                <w:color w:val="000000"/>
                <w:szCs w:val="21"/>
              </w:rPr>
              <w:t>15</w:t>
            </w:r>
          </w:p>
        </w:tc>
        <w:tc>
          <w:tcPr>
            <w:tcW w:w="705" w:type="dxa"/>
            <w:noWrap/>
            <w:vAlign w:val="center"/>
            <w:hideMark/>
          </w:tcPr>
          <w:p w14:paraId="0F716CEC" w14:textId="77777777" w:rsidR="006E0DB0" w:rsidRPr="00DF14C0" w:rsidRDefault="006E0DB0" w:rsidP="00070765">
            <w:pPr>
              <w:jc w:val="center"/>
            </w:pPr>
            <w:r>
              <w:rPr>
                <w:rFonts w:ascii="Calibri" w:hAnsi="Calibri" w:cs="Calibri"/>
                <w:color w:val="000000"/>
                <w:szCs w:val="21"/>
              </w:rPr>
              <w:t>13</w:t>
            </w:r>
          </w:p>
        </w:tc>
        <w:tc>
          <w:tcPr>
            <w:tcW w:w="704" w:type="dxa"/>
            <w:noWrap/>
            <w:vAlign w:val="center"/>
            <w:hideMark/>
          </w:tcPr>
          <w:p w14:paraId="0D6C5DFF" w14:textId="77777777" w:rsidR="006E0DB0" w:rsidRPr="00DF14C0" w:rsidRDefault="006E0DB0" w:rsidP="00070765">
            <w:pPr>
              <w:jc w:val="center"/>
            </w:pPr>
            <w:r>
              <w:rPr>
                <w:rFonts w:ascii="Calibri" w:hAnsi="Calibri" w:cs="Calibri"/>
                <w:color w:val="000000"/>
                <w:szCs w:val="21"/>
              </w:rPr>
              <w:t>13</w:t>
            </w:r>
          </w:p>
        </w:tc>
        <w:tc>
          <w:tcPr>
            <w:tcW w:w="705" w:type="dxa"/>
            <w:noWrap/>
            <w:vAlign w:val="center"/>
            <w:hideMark/>
          </w:tcPr>
          <w:p w14:paraId="115EC553" w14:textId="77777777" w:rsidR="006E0DB0" w:rsidRPr="00DF14C0" w:rsidRDefault="006E0DB0" w:rsidP="00070765">
            <w:pPr>
              <w:jc w:val="center"/>
            </w:pPr>
            <w:r>
              <w:rPr>
                <w:rFonts w:ascii="Calibri" w:hAnsi="Calibri" w:cs="Calibri"/>
                <w:color w:val="000000"/>
                <w:szCs w:val="21"/>
              </w:rPr>
              <w:t>15</w:t>
            </w:r>
          </w:p>
        </w:tc>
        <w:tc>
          <w:tcPr>
            <w:tcW w:w="705" w:type="dxa"/>
            <w:noWrap/>
            <w:vAlign w:val="center"/>
            <w:hideMark/>
          </w:tcPr>
          <w:p w14:paraId="7BC4B1C7" w14:textId="77777777" w:rsidR="006E0DB0" w:rsidRPr="00DF14C0" w:rsidRDefault="006E0DB0" w:rsidP="00070765">
            <w:pPr>
              <w:jc w:val="center"/>
            </w:pPr>
            <w:r>
              <w:rPr>
                <w:rFonts w:ascii="Calibri" w:hAnsi="Calibri" w:cs="Calibri"/>
                <w:color w:val="000000"/>
                <w:szCs w:val="21"/>
              </w:rPr>
              <w:t>16</w:t>
            </w:r>
          </w:p>
        </w:tc>
        <w:tc>
          <w:tcPr>
            <w:tcW w:w="705" w:type="dxa"/>
            <w:noWrap/>
            <w:vAlign w:val="center"/>
            <w:hideMark/>
          </w:tcPr>
          <w:p w14:paraId="43E51B13" w14:textId="77777777" w:rsidR="006E0DB0" w:rsidRPr="00DF14C0" w:rsidRDefault="006E0DB0" w:rsidP="00070765">
            <w:pPr>
              <w:jc w:val="center"/>
            </w:pPr>
            <w:r>
              <w:rPr>
                <w:rFonts w:ascii="Calibri" w:hAnsi="Calibri" w:cs="Calibri"/>
                <w:color w:val="000000"/>
                <w:szCs w:val="21"/>
              </w:rPr>
              <w:t>14</w:t>
            </w:r>
          </w:p>
        </w:tc>
      </w:tr>
      <w:tr w:rsidR="006E0DB0" w:rsidRPr="0005682C" w14:paraId="15A0C004" w14:textId="77777777" w:rsidTr="00070765">
        <w:trPr>
          <w:trHeight w:val="300"/>
          <w:jc w:val="center"/>
        </w:trPr>
        <w:tc>
          <w:tcPr>
            <w:tcW w:w="1858" w:type="dxa"/>
            <w:noWrap/>
            <w:vAlign w:val="center"/>
            <w:hideMark/>
          </w:tcPr>
          <w:p w14:paraId="5D81A30A" w14:textId="77777777" w:rsidR="006E0DB0" w:rsidRPr="00DF14C0" w:rsidRDefault="006E0DB0" w:rsidP="00070765">
            <w:r>
              <w:rPr>
                <w:rFonts w:ascii="Calibri" w:hAnsi="Calibri" w:cs="Calibri"/>
                <w:color w:val="000000"/>
                <w:szCs w:val="21"/>
              </w:rPr>
              <w:t>Shaanxi</w:t>
            </w:r>
          </w:p>
        </w:tc>
        <w:tc>
          <w:tcPr>
            <w:tcW w:w="704" w:type="dxa"/>
            <w:vAlign w:val="center"/>
          </w:tcPr>
          <w:p w14:paraId="5158951E" w14:textId="77777777" w:rsidR="006E0DB0" w:rsidRPr="00DF14C0" w:rsidRDefault="006E0DB0" w:rsidP="00070765">
            <w:pPr>
              <w:jc w:val="center"/>
            </w:pPr>
            <w:r>
              <w:rPr>
                <w:rFonts w:ascii="Calibri" w:hAnsi="Calibri" w:cs="Calibri"/>
                <w:color w:val="000000"/>
                <w:szCs w:val="21"/>
              </w:rPr>
              <w:t>Y</w:t>
            </w:r>
          </w:p>
        </w:tc>
        <w:tc>
          <w:tcPr>
            <w:tcW w:w="704" w:type="dxa"/>
            <w:vAlign w:val="center"/>
          </w:tcPr>
          <w:p w14:paraId="4E5D7B9C" w14:textId="77777777" w:rsidR="006E0DB0" w:rsidRPr="00DF14C0" w:rsidRDefault="006E0DB0" w:rsidP="00070765">
            <w:pPr>
              <w:jc w:val="center"/>
            </w:pPr>
            <w:r>
              <w:rPr>
                <w:rFonts w:ascii="Calibri" w:hAnsi="Calibri" w:cs="Calibri"/>
                <w:color w:val="000000"/>
                <w:szCs w:val="21"/>
              </w:rPr>
              <w:t>15</w:t>
            </w:r>
          </w:p>
        </w:tc>
        <w:tc>
          <w:tcPr>
            <w:tcW w:w="704" w:type="dxa"/>
            <w:vAlign w:val="center"/>
          </w:tcPr>
          <w:p w14:paraId="735BF619" w14:textId="77777777" w:rsidR="006E0DB0" w:rsidRPr="00DF14C0" w:rsidRDefault="006E0DB0" w:rsidP="00070765">
            <w:pPr>
              <w:jc w:val="center"/>
            </w:pPr>
            <w:r>
              <w:rPr>
                <w:rFonts w:ascii="Calibri" w:hAnsi="Calibri" w:cs="Calibri"/>
                <w:color w:val="000000"/>
                <w:szCs w:val="21"/>
              </w:rPr>
              <w:t>16</w:t>
            </w:r>
          </w:p>
        </w:tc>
        <w:tc>
          <w:tcPr>
            <w:tcW w:w="704" w:type="dxa"/>
            <w:noWrap/>
            <w:vAlign w:val="center"/>
            <w:hideMark/>
          </w:tcPr>
          <w:p w14:paraId="29FD0289" w14:textId="77777777" w:rsidR="006E0DB0" w:rsidRPr="00DF14C0" w:rsidRDefault="006E0DB0" w:rsidP="00070765">
            <w:pPr>
              <w:jc w:val="center"/>
            </w:pPr>
            <w:r>
              <w:rPr>
                <w:rFonts w:ascii="Calibri" w:hAnsi="Calibri" w:cs="Calibri"/>
                <w:color w:val="000000"/>
                <w:szCs w:val="21"/>
              </w:rPr>
              <w:t>16</w:t>
            </w:r>
          </w:p>
        </w:tc>
        <w:tc>
          <w:tcPr>
            <w:tcW w:w="705" w:type="dxa"/>
            <w:noWrap/>
            <w:vAlign w:val="center"/>
            <w:hideMark/>
          </w:tcPr>
          <w:p w14:paraId="6A571982" w14:textId="77777777" w:rsidR="006E0DB0" w:rsidRPr="00DF14C0" w:rsidRDefault="006E0DB0" w:rsidP="00070765">
            <w:pPr>
              <w:jc w:val="center"/>
            </w:pPr>
            <w:r>
              <w:rPr>
                <w:rFonts w:ascii="Calibri" w:hAnsi="Calibri" w:cs="Calibri"/>
                <w:color w:val="000000"/>
                <w:szCs w:val="21"/>
              </w:rPr>
              <w:t>18</w:t>
            </w:r>
          </w:p>
        </w:tc>
        <w:tc>
          <w:tcPr>
            <w:tcW w:w="705" w:type="dxa"/>
            <w:noWrap/>
            <w:vAlign w:val="center"/>
            <w:hideMark/>
          </w:tcPr>
          <w:p w14:paraId="2A7A84F7" w14:textId="77777777" w:rsidR="006E0DB0" w:rsidRPr="00DF14C0" w:rsidRDefault="006E0DB0" w:rsidP="00070765">
            <w:pPr>
              <w:jc w:val="center"/>
            </w:pPr>
            <w:r>
              <w:rPr>
                <w:rFonts w:ascii="Calibri" w:hAnsi="Calibri" w:cs="Calibri"/>
                <w:color w:val="000000"/>
                <w:szCs w:val="21"/>
              </w:rPr>
              <w:t>18</w:t>
            </w:r>
          </w:p>
        </w:tc>
        <w:tc>
          <w:tcPr>
            <w:tcW w:w="705" w:type="dxa"/>
            <w:noWrap/>
            <w:vAlign w:val="center"/>
            <w:hideMark/>
          </w:tcPr>
          <w:p w14:paraId="394BD16C" w14:textId="77777777" w:rsidR="006E0DB0" w:rsidRPr="00DF14C0" w:rsidRDefault="006E0DB0" w:rsidP="00070765">
            <w:pPr>
              <w:jc w:val="center"/>
            </w:pPr>
            <w:r>
              <w:rPr>
                <w:rFonts w:ascii="Calibri" w:hAnsi="Calibri" w:cs="Calibri"/>
                <w:color w:val="000000"/>
                <w:szCs w:val="21"/>
              </w:rPr>
              <w:t>17</w:t>
            </w:r>
          </w:p>
        </w:tc>
        <w:tc>
          <w:tcPr>
            <w:tcW w:w="704" w:type="dxa"/>
            <w:noWrap/>
            <w:vAlign w:val="center"/>
            <w:hideMark/>
          </w:tcPr>
          <w:p w14:paraId="2CADDFF9" w14:textId="77777777" w:rsidR="006E0DB0" w:rsidRPr="00DF14C0" w:rsidRDefault="006E0DB0" w:rsidP="00070765">
            <w:pPr>
              <w:jc w:val="center"/>
            </w:pPr>
            <w:r>
              <w:rPr>
                <w:rFonts w:ascii="Calibri" w:hAnsi="Calibri" w:cs="Calibri"/>
                <w:color w:val="000000"/>
                <w:szCs w:val="21"/>
              </w:rPr>
              <w:t>17</w:t>
            </w:r>
          </w:p>
        </w:tc>
        <w:tc>
          <w:tcPr>
            <w:tcW w:w="705" w:type="dxa"/>
            <w:noWrap/>
            <w:vAlign w:val="center"/>
            <w:hideMark/>
          </w:tcPr>
          <w:p w14:paraId="25760EBA" w14:textId="77777777" w:rsidR="006E0DB0" w:rsidRPr="00DF14C0" w:rsidRDefault="006E0DB0" w:rsidP="00070765">
            <w:pPr>
              <w:jc w:val="center"/>
            </w:pPr>
            <w:r>
              <w:rPr>
                <w:rFonts w:ascii="Calibri" w:hAnsi="Calibri" w:cs="Calibri"/>
                <w:color w:val="000000"/>
                <w:szCs w:val="21"/>
              </w:rPr>
              <w:t>18</w:t>
            </w:r>
          </w:p>
        </w:tc>
        <w:tc>
          <w:tcPr>
            <w:tcW w:w="705" w:type="dxa"/>
            <w:noWrap/>
            <w:vAlign w:val="center"/>
            <w:hideMark/>
          </w:tcPr>
          <w:p w14:paraId="3D1FC30C" w14:textId="77777777" w:rsidR="006E0DB0" w:rsidRPr="00DF14C0" w:rsidRDefault="006E0DB0" w:rsidP="00070765">
            <w:pPr>
              <w:jc w:val="center"/>
            </w:pPr>
            <w:r>
              <w:rPr>
                <w:rFonts w:ascii="Calibri" w:hAnsi="Calibri" w:cs="Calibri"/>
                <w:color w:val="000000"/>
                <w:szCs w:val="21"/>
              </w:rPr>
              <w:t>17</w:t>
            </w:r>
          </w:p>
        </w:tc>
        <w:tc>
          <w:tcPr>
            <w:tcW w:w="705" w:type="dxa"/>
            <w:noWrap/>
            <w:vAlign w:val="center"/>
            <w:hideMark/>
          </w:tcPr>
          <w:p w14:paraId="068A7629" w14:textId="77777777" w:rsidR="006E0DB0" w:rsidRPr="00DF14C0" w:rsidRDefault="006E0DB0" w:rsidP="00070765">
            <w:pPr>
              <w:jc w:val="center"/>
            </w:pPr>
            <w:r>
              <w:rPr>
                <w:rFonts w:ascii="Calibri" w:hAnsi="Calibri" w:cs="Calibri"/>
                <w:color w:val="000000"/>
                <w:szCs w:val="21"/>
              </w:rPr>
              <w:t>14</w:t>
            </w:r>
          </w:p>
        </w:tc>
        <w:tc>
          <w:tcPr>
            <w:tcW w:w="704" w:type="dxa"/>
            <w:noWrap/>
            <w:vAlign w:val="center"/>
            <w:hideMark/>
          </w:tcPr>
          <w:p w14:paraId="08E3AB5C" w14:textId="77777777" w:rsidR="006E0DB0" w:rsidRPr="00DF14C0" w:rsidRDefault="006E0DB0" w:rsidP="00070765">
            <w:pPr>
              <w:jc w:val="center"/>
            </w:pPr>
            <w:r>
              <w:rPr>
                <w:rFonts w:ascii="Calibri" w:hAnsi="Calibri" w:cs="Calibri"/>
                <w:color w:val="000000"/>
                <w:szCs w:val="21"/>
              </w:rPr>
              <w:t>16</w:t>
            </w:r>
          </w:p>
        </w:tc>
        <w:tc>
          <w:tcPr>
            <w:tcW w:w="705" w:type="dxa"/>
            <w:noWrap/>
            <w:vAlign w:val="center"/>
            <w:hideMark/>
          </w:tcPr>
          <w:p w14:paraId="21319F32" w14:textId="77777777" w:rsidR="006E0DB0" w:rsidRPr="00DF14C0" w:rsidRDefault="006E0DB0" w:rsidP="00070765">
            <w:pPr>
              <w:jc w:val="center"/>
            </w:pPr>
            <w:r>
              <w:rPr>
                <w:rFonts w:ascii="Calibri" w:hAnsi="Calibri" w:cs="Calibri"/>
                <w:color w:val="000000"/>
                <w:szCs w:val="21"/>
              </w:rPr>
              <w:t>17</w:t>
            </w:r>
          </w:p>
        </w:tc>
        <w:tc>
          <w:tcPr>
            <w:tcW w:w="705" w:type="dxa"/>
            <w:noWrap/>
            <w:vAlign w:val="center"/>
            <w:hideMark/>
          </w:tcPr>
          <w:p w14:paraId="07B5128A" w14:textId="77777777" w:rsidR="006E0DB0" w:rsidRPr="00DF14C0" w:rsidRDefault="006E0DB0" w:rsidP="00070765">
            <w:pPr>
              <w:jc w:val="center"/>
            </w:pPr>
            <w:r>
              <w:rPr>
                <w:rFonts w:ascii="Calibri" w:hAnsi="Calibri" w:cs="Calibri"/>
                <w:color w:val="000000"/>
                <w:szCs w:val="21"/>
              </w:rPr>
              <w:t>18</w:t>
            </w:r>
          </w:p>
        </w:tc>
        <w:tc>
          <w:tcPr>
            <w:tcW w:w="705" w:type="dxa"/>
            <w:noWrap/>
            <w:vAlign w:val="center"/>
            <w:hideMark/>
          </w:tcPr>
          <w:p w14:paraId="4894F5A6" w14:textId="77777777" w:rsidR="006E0DB0" w:rsidRPr="00DF14C0" w:rsidRDefault="006E0DB0" w:rsidP="00070765">
            <w:pPr>
              <w:jc w:val="center"/>
            </w:pPr>
            <w:r>
              <w:rPr>
                <w:rFonts w:ascii="Calibri" w:hAnsi="Calibri" w:cs="Calibri"/>
                <w:color w:val="000000"/>
                <w:szCs w:val="21"/>
              </w:rPr>
              <w:t>17</w:t>
            </w:r>
          </w:p>
        </w:tc>
      </w:tr>
      <w:tr w:rsidR="006E0DB0" w:rsidRPr="0005682C" w14:paraId="38BFB199" w14:textId="77777777" w:rsidTr="00070765">
        <w:trPr>
          <w:trHeight w:val="300"/>
          <w:jc w:val="center"/>
        </w:trPr>
        <w:tc>
          <w:tcPr>
            <w:tcW w:w="1858" w:type="dxa"/>
            <w:noWrap/>
            <w:vAlign w:val="center"/>
            <w:hideMark/>
          </w:tcPr>
          <w:p w14:paraId="52F323B5" w14:textId="77777777" w:rsidR="006E0DB0" w:rsidRPr="00DF14C0" w:rsidRDefault="006E0DB0" w:rsidP="00070765">
            <w:proofErr w:type="spellStart"/>
            <w:r>
              <w:rPr>
                <w:rFonts w:ascii="Calibri" w:hAnsi="Calibri" w:cs="Calibri"/>
                <w:color w:val="000000"/>
                <w:szCs w:val="21"/>
              </w:rPr>
              <w:t>Zotye</w:t>
            </w:r>
            <w:proofErr w:type="spellEnd"/>
            <w:r>
              <w:rPr>
                <w:rFonts w:ascii="Calibri" w:hAnsi="Calibri" w:cs="Calibri"/>
                <w:color w:val="000000"/>
                <w:szCs w:val="21"/>
              </w:rPr>
              <w:t xml:space="preserve"> / Jiangnan</w:t>
            </w:r>
          </w:p>
        </w:tc>
        <w:tc>
          <w:tcPr>
            <w:tcW w:w="704" w:type="dxa"/>
            <w:vAlign w:val="center"/>
          </w:tcPr>
          <w:p w14:paraId="54ADB0D1" w14:textId="77777777" w:rsidR="006E0DB0" w:rsidRPr="00DF14C0" w:rsidRDefault="006E0DB0" w:rsidP="00070765">
            <w:pPr>
              <w:jc w:val="center"/>
            </w:pPr>
            <w:r>
              <w:rPr>
                <w:rFonts w:ascii="Calibri" w:hAnsi="Calibri" w:cs="Calibri"/>
                <w:color w:val="000000"/>
                <w:szCs w:val="21"/>
              </w:rPr>
              <w:t>N</w:t>
            </w:r>
          </w:p>
        </w:tc>
        <w:tc>
          <w:tcPr>
            <w:tcW w:w="704" w:type="dxa"/>
            <w:vAlign w:val="center"/>
          </w:tcPr>
          <w:p w14:paraId="26652881" w14:textId="77777777" w:rsidR="006E0DB0" w:rsidRPr="00DF14C0" w:rsidRDefault="006E0DB0" w:rsidP="00070765">
            <w:pPr>
              <w:jc w:val="center"/>
            </w:pPr>
            <w:r>
              <w:rPr>
                <w:rFonts w:ascii="Calibri" w:hAnsi="Calibri" w:cs="Calibri"/>
                <w:color w:val="000000"/>
                <w:szCs w:val="21"/>
              </w:rPr>
              <w:t>16</w:t>
            </w:r>
          </w:p>
        </w:tc>
        <w:tc>
          <w:tcPr>
            <w:tcW w:w="704" w:type="dxa"/>
            <w:vAlign w:val="center"/>
          </w:tcPr>
          <w:p w14:paraId="11CFA9E5" w14:textId="77777777" w:rsidR="006E0DB0" w:rsidRPr="00DF14C0" w:rsidRDefault="006E0DB0" w:rsidP="00070765">
            <w:pPr>
              <w:jc w:val="center"/>
            </w:pPr>
            <w:r>
              <w:rPr>
                <w:rFonts w:ascii="Calibri" w:hAnsi="Calibri" w:cs="Calibri"/>
                <w:color w:val="000000"/>
                <w:szCs w:val="21"/>
              </w:rPr>
              <w:t>15</w:t>
            </w:r>
          </w:p>
        </w:tc>
        <w:tc>
          <w:tcPr>
            <w:tcW w:w="704" w:type="dxa"/>
            <w:noWrap/>
            <w:vAlign w:val="center"/>
            <w:hideMark/>
          </w:tcPr>
          <w:p w14:paraId="66B55F2D" w14:textId="77777777" w:rsidR="006E0DB0" w:rsidRPr="00DF14C0" w:rsidRDefault="006E0DB0" w:rsidP="00070765">
            <w:pPr>
              <w:jc w:val="center"/>
            </w:pPr>
            <w:r>
              <w:rPr>
                <w:rFonts w:ascii="Calibri" w:hAnsi="Calibri" w:cs="Calibri"/>
                <w:color w:val="000000"/>
                <w:szCs w:val="21"/>
              </w:rPr>
              <w:t>13</w:t>
            </w:r>
          </w:p>
        </w:tc>
        <w:tc>
          <w:tcPr>
            <w:tcW w:w="705" w:type="dxa"/>
            <w:noWrap/>
            <w:vAlign w:val="center"/>
            <w:hideMark/>
          </w:tcPr>
          <w:p w14:paraId="571128E6" w14:textId="77777777" w:rsidR="006E0DB0" w:rsidRPr="00DF14C0" w:rsidRDefault="006E0DB0" w:rsidP="00070765">
            <w:pPr>
              <w:jc w:val="center"/>
            </w:pPr>
            <w:r>
              <w:rPr>
                <w:rFonts w:ascii="Calibri" w:hAnsi="Calibri" w:cs="Calibri"/>
                <w:color w:val="000000"/>
                <w:szCs w:val="21"/>
              </w:rPr>
              <w:t>13</w:t>
            </w:r>
          </w:p>
        </w:tc>
        <w:tc>
          <w:tcPr>
            <w:tcW w:w="705" w:type="dxa"/>
            <w:noWrap/>
            <w:vAlign w:val="center"/>
            <w:hideMark/>
          </w:tcPr>
          <w:p w14:paraId="485ADA71" w14:textId="77777777" w:rsidR="006E0DB0" w:rsidRPr="00DF14C0" w:rsidRDefault="006E0DB0" w:rsidP="00070765">
            <w:pPr>
              <w:jc w:val="center"/>
            </w:pPr>
            <w:r>
              <w:rPr>
                <w:rFonts w:ascii="Calibri" w:hAnsi="Calibri" w:cs="Calibri"/>
                <w:color w:val="000000"/>
                <w:szCs w:val="21"/>
              </w:rPr>
              <w:t>14</w:t>
            </w:r>
          </w:p>
        </w:tc>
        <w:tc>
          <w:tcPr>
            <w:tcW w:w="705" w:type="dxa"/>
            <w:noWrap/>
            <w:vAlign w:val="center"/>
            <w:hideMark/>
          </w:tcPr>
          <w:p w14:paraId="607B078D" w14:textId="77777777" w:rsidR="006E0DB0" w:rsidRPr="00DF14C0" w:rsidRDefault="006E0DB0" w:rsidP="00070765">
            <w:pPr>
              <w:jc w:val="center"/>
            </w:pPr>
            <w:r>
              <w:rPr>
                <w:rFonts w:ascii="Calibri" w:hAnsi="Calibri" w:cs="Calibri"/>
                <w:color w:val="000000"/>
                <w:szCs w:val="21"/>
              </w:rPr>
              <w:t>16</w:t>
            </w:r>
          </w:p>
        </w:tc>
        <w:tc>
          <w:tcPr>
            <w:tcW w:w="704" w:type="dxa"/>
            <w:noWrap/>
            <w:vAlign w:val="center"/>
            <w:hideMark/>
          </w:tcPr>
          <w:p w14:paraId="6ADD98A4" w14:textId="77777777" w:rsidR="006E0DB0" w:rsidRPr="00DF14C0" w:rsidRDefault="006E0DB0" w:rsidP="00070765">
            <w:pPr>
              <w:jc w:val="center"/>
            </w:pPr>
            <w:r>
              <w:rPr>
                <w:rFonts w:ascii="Calibri" w:hAnsi="Calibri" w:cs="Calibri"/>
                <w:color w:val="000000"/>
                <w:szCs w:val="21"/>
              </w:rPr>
              <w:t>16</w:t>
            </w:r>
          </w:p>
        </w:tc>
        <w:tc>
          <w:tcPr>
            <w:tcW w:w="705" w:type="dxa"/>
            <w:noWrap/>
            <w:vAlign w:val="center"/>
            <w:hideMark/>
          </w:tcPr>
          <w:p w14:paraId="5235C569" w14:textId="77777777" w:rsidR="006E0DB0" w:rsidRPr="00DF14C0" w:rsidRDefault="006E0DB0" w:rsidP="00070765">
            <w:pPr>
              <w:jc w:val="center"/>
            </w:pPr>
            <w:r>
              <w:rPr>
                <w:rFonts w:ascii="Calibri" w:hAnsi="Calibri" w:cs="Calibri"/>
                <w:color w:val="000000"/>
                <w:szCs w:val="21"/>
              </w:rPr>
              <w:t>15</w:t>
            </w:r>
          </w:p>
        </w:tc>
        <w:tc>
          <w:tcPr>
            <w:tcW w:w="705" w:type="dxa"/>
            <w:noWrap/>
            <w:vAlign w:val="center"/>
            <w:hideMark/>
          </w:tcPr>
          <w:p w14:paraId="73E33478" w14:textId="77777777" w:rsidR="006E0DB0" w:rsidRPr="00DF14C0" w:rsidRDefault="006E0DB0" w:rsidP="00070765">
            <w:pPr>
              <w:jc w:val="center"/>
            </w:pPr>
            <w:r>
              <w:rPr>
                <w:rFonts w:ascii="Calibri" w:hAnsi="Calibri" w:cs="Calibri"/>
                <w:color w:val="000000"/>
                <w:szCs w:val="21"/>
              </w:rPr>
              <w:t>16</w:t>
            </w:r>
          </w:p>
        </w:tc>
        <w:tc>
          <w:tcPr>
            <w:tcW w:w="705" w:type="dxa"/>
            <w:noWrap/>
            <w:vAlign w:val="center"/>
            <w:hideMark/>
          </w:tcPr>
          <w:p w14:paraId="6E60CBF0" w14:textId="77777777" w:rsidR="006E0DB0" w:rsidRPr="00DF14C0" w:rsidRDefault="006E0DB0" w:rsidP="00070765">
            <w:pPr>
              <w:jc w:val="center"/>
            </w:pPr>
            <w:r>
              <w:rPr>
                <w:rFonts w:ascii="Calibri" w:hAnsi="Calibri" w:cs="Calibri"/>
                <w:color w:val="000000"/>
                <w:szCs w:val="21"/>
              </w:rPr>
              <w:t xml:space="preserve">　</w:t>
            </w:r>
          </w:p>
        </w:tc>
        <w:tc>
          <w:tcPr>
            <w:tcW w:w="704" w:type="dxa"/>
            <w:noWrap/>
            <w:vAlign w:val="center"/>
            <w:hideMark/>
          </w:tcPr>
          <w:p w14:paraId="127CA935"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537402D6"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249DA881" w14:textId="77777777" w:rsidR="006E0DB0" w:rsidRPr="00DF14C0" w:rsidRDefault="006E0DB0" w:rsidP="00070765">
            <w:pPr>
              <w:jc w:val="center"/>
            </w:pPr>
            <w:r>
              <w:rPr>
                <w:rFonts w:ascii="Calibri" w:hAnsi="Calibri" w:cs="Calibri"/>
                <w:color w:val="000000"/>
                <w:szCs w:val="21"/>
              </w:rPr>
              <w:t xml:space="preserve">　</w:t>
            </w:r>
          </w:p>
        </w:tc>
        <w:tc>
          <w:tcPr>
            <w:tcW w:w="705" w:type="dxa"/>
            <w:noWrap/>
            <w:vAlign w:val="center"/>
            <w:hideMark/>
          </w:tcPr>
          <w:p w14:paraId="4F5631C2" w14:textId="77777777" w:rsidR="006E0DB0" w:rsidRPr="00DF14C0" w:rsidRDefault="006E0DB0" w:rsidP="00070765">
            <w:pPr>
              <w:jc w:val="center"/>
            </w:pPr>
            <w:r>
              <w:rPr>
                <w:rFonts w:ascii="Calibri" w:hAnsi="Calibri" w:cs="Calibri"/>
                <w:color w:val="000000"/>
                <w:szCs w:val="21"/>
              </w:rPr>
              <w:t xml:space="preserve">　</w:t>
            </w:r>
          </w:p>
        </w:tc>
      </w:tr>
    </w:tbl>
    <w:p w14:paraId="2D0D176B" w14:textId="77777777" w:rsidR="006E0DB0" w:rsidRDefault="006E0DB0" w:rsidP="006E0DB0">
      <w:pPr>
        <w:pStyle w:val="Paracaption"/>
      </w:pPr>
      <w:r w:rsidRPr="000814F1">
        <w:t>NOTE: Empty cells means the volume of production was not among the top 20 manufacturer</w:t>
      </w:r>
      <w:r>
        <w:t>s or</w:t>
      </w:r>
      <w:r w:rsidRPr="000814F1">
        <w:t xml:space="preserve"> </w:t>
      </w:r>
      <w:r>
        <w:t xml:space="preserve">was not established as an independent entity. </w:t>
      </w:r>
    </w:p>
    <w:p w14:paraId="6A483FBB" w14:textId="77777777" w:rsidR="006E0DB0" w:rsidRDefault="006E0DB0" w:rsidP="006E0DB0">
      <w:pPr>
        <w:pStyle w:val="Paracaption"/>
      </w:pPr>
      <w:r w:rsidRPr="00DA1E55">
        <w:rPr>
          <w:vertAlign w:val="baseline"/>
        </w:rPr>
        <w:t>*</w:t>
      </w:r>
      <w:r>
        <w:t xml:space="preserve"> State holding controlling shares.</w:t>
      </w:r>
    </w:p>
    <w:p w14:paraId="6037620B" w14:textId="77777777" w:rsidR="005365D3" w:rsidRDefault="006E0DB0" w:rsidP="006E0DB0">
      <w:r w:rsidRPr="00D221D3">
        <w:t>Source: China Automobile Industry Yearbooks (200</w:t>
      </w:r>
      <w:r>
        <w:t>7</w:t>
      </w:r>
      <w:r w:rsidRPr="00D221D3">
        <w:t>-20</w:t>
      </w:r>
      <w:r>
        <w:t>20</w:t>
      </w:r>
      <w:r w:rsidRPr="00D221D3">
        <w:t>)</w:t>
      </w:r>
    </w:p>
    <w:p w14:paraId="25967C18" w14:textId="77777777" w:rsidR="005365D3" w:rsidRDefault="005365D3" w:rsidP="006E0DB0"/>
    <w:p w14:paraId="717A40C7" w14:textId="70A36EB2" w:rsidR="00B761FC" w:rsidRDefault="00B761FC">
      <w:pPr>
        <w:widowControl/>
        <w:spacing w:after="200" w:line="276" w:lineRule="auto"/>
        <w:jc w:val="left"/>
      </w:pPr>
      <w:r>
        <w:br w:type="page"/>
      </w:r>
    </w:p>
    <w:p w14:paraId="06DAC500" w14:textId="4CBC9EB8" w:rsidR="00B761FC" w:rsidRDefault="00B761FC" w:rsidP="00B761FC">
      <w:pPr>
        <w:pStyle w:val="Para"/>
      </w:pPr>
      <w:r>
        <w:lastRenderedPageBreak/>
        <w:t xml:space="preserve">Table 2: BAIC's and Geely's new products </w:t>
      </w:r>
      <w:r w:rsidR="00E82189">
        <w:t xml:space="preserve">developed </w:t>
      </w:r>
      <w:r>
        <w:t xml:space="preserve">based on the </w:t>
      </w:r>
      <w:r w:rsidR="00E82189">
        <w:t>acquired</w:t>
      </w:r>
      <w:r>
        <w:t xml:space="preserve"> technology</w:t>
      </w:r>
    </w:p>
    <w:tbl>
      <w:tblPr>
        <w:tblStyle w:val="TableGrid"/>
        <w:tblW w:w="0" w:type="auto"/>
        <w:tblLook w:val="04A0" w:firstRow="1" w:lastRow="0" w:firstColumn="1" w:lastColumn="0" w:noHBand="0" w:noVBand="1"/>
      </w:tblPr>
      <w:tblGrid>
        <w:gridCol w:w="1699"/>
        <w:gridCol w:w="848"/>
        <w:gridCol w:w="2552"/>
        <w:gridCol w:w="1133"/>
        <w:gridCol w:w="1701"/>
        <w:gridCol w:w="993"/>
        <w:gridCol w:w="2324"/>
        <w:gridCol w:w="1538"/>
      </w:tblGrid>
      <w:tr w:rsidR="00B761FC" w:rsidRPr="000C1C67" w14:paraId="18EDEAD5" w14:textId="77777777" w:rsidTr="00070765">
        <w:tc>
          <w:tcPr>
            <w:tcW w:w="6232" w:type="dxa"/>
            <w:gridSpan w:val="4"/>
            <w:shd w:val="clear" w:color="auto" w:fill="D9D9D9" w:themeFill="background1" w:themeFillShade="D9"/>
            <w:vAlign w:val="center"/>
          </w:tcPr>
          <w:p w14:paraId="11C43D83" w14:textId="77777777" w:rsidR="00B761FC" w:rsidRPr="000C1C67" w:rsidRDefault="00B761FC" w:rsidP="00070765">
            <w:pPr>
              <w:jc w:val="center"/>
              <w:rPr>
                <w:rFonts w:ascii="DengXian" w:eastAsia="DengXian" w:hAnsi="DengXian" w:cs="Calibri"/>
                <w:b/>
                <w:bCs/>
                <w:color w:val="000000"/>
                <w:sz w:val="24"/>
                <w:szCs w:val="24"/>
              </w:rPr>
            </w:pPr>
            <w:r w:rsidRPr="000C1C67">
              <w:rPr>
                <w:rFonts w:ascii="DengXian" w:eastAsia="DengXian" w:hAnsi="DengXian" w:cs="Calibri"/>
                <w:b/>
                <w:bCs/>
                <w:color w:val="000000"/>
                <w:sz w:val="24"/>
                <w:szCs w:val="24"/>
              </w:rPr>
              <w:t>BAIC</w:t>
            </w:r>
            <w:r>
              <w:rPr>
                <w:rFonts w:ascii="DengXian" w:eastAsia="DengXian" w:hAnsi="DengXian" w:cs="Calibri"/>
                <w:b/>
                <w:bCs/>
                <w:color w:val="000000"/>
                <w:sz w:val="24"/>
                <w:szCs w:val="24"/>
              </w:rPr>
              <w:t>*</w:t>
            </w:r>
          </w:p>
        </w:tc>
        <w:tc>
          <w:tcPr>
            <w:tcW w:w="6556" w:type="dxa"/>
            <w:gridSpan w:val="4"/>
            <w:shd w:val="clear" w:color="auto" w:fill="D9D9D9" w:themeFill="background1" w:themeFillShade="D9"/>
            <w:vAlign w:val="center"/>
          </w:tcPr>
          <w:p w14:paraId="30787A05" w14:textId="77777777" w:rsidR="00B761FC" w:rsidRPr="000C1C67" w:rsidRDefault="00B761FC" w:rsidP="00070765">
            <w:pPr>
              <w:jc w:val="center"/>
              <w:rPr>
                <w:b/>
                <w:bCs/>
                <w:sz w:val="24"/>
                <w:szCs w:val="24"/>
              </w:rPr>
            </w:pPr>
            <w:r w:rsidRPr="000C1C67">
              <w:rPr>
                <w:b/>
                <w:bCs/>
                <w:sz w:val="24"/>
                <w:szCs w:val="24"/>
              </w:rPr>
              <w:t>Geely</w:t>
            </w:r>
          </w:p>
        </w:tc>
      </w:tr>
      <w:tr w:rsidR="00B761FC" w:rsidRPr="000C1C67" w14:paraId="1F24C01A" w14:textId="77777777" w:rsidTr="00070765">
        <w:tc>
          <w:tcPr>
            <w:tcW w:w="1699" w:type="dxa"/>
            <w:vAlign w:val="center"/>
          </w:tcPr>
          <w:p w14:paraId="7A56BF1F" w14:textId="77777777" w:rsidR="00B761FC" w:rsidRPr="000C1C67" w:rsidRDefault="00B761FC" w:rsidP="00070765">
            <w:pPr>
              <w:jc w:val="center"/>
              <w:rPr>
                <w:rFonts w:asciiTheme="majorBidi" w:hAnsiTheme="majorBidi" w:cstheme="majorBidi"/>
                <w:b/>
                <w:bCs/>
              </w:rPr>
            </w:pPr>
            <w:r w:rsidRPr="000C1C67">
              <w:rPr>
                <w:rFonts w:asciiTheme="majorBidi" w:eastAsia="DengXian" w:hAnsiTheme="majorBidi" w:cstheme="majorBidi"/>
                <w:b/>
                <w:bCs/>
                <w:color w:val="000000"/>
                <w:szCs w:val="21"/>
              </w:rPr>
              <w:t>Brand/Model</w:t>
            </w:r>
          </w:p>
        </w:tc>
        <w:tc>
          <w:tcPr>
            <w:tcW w:w="848" w:type="dxa"/>
            <w:vAlign w:val="center"/>
          </w:tcPr>
          <w:p w14:paraId="6CEF0EFB" w14:textId="77777777" w:rsidR="00B761FC" w:rsidRPr="000C1C67" w:rsidRDefault="00B761FC" w:rsidP="00070765">
            <w:pPr>
              <w:jc w:val="center"/>
              <w:rPr>
                <w:rFonts w:asciiTheme="majorBidi" w:hAnsiTheme="majorBidi" w:cstheme="majorBidi"/>
                <w:b/>
                <w:bCs/>
              </w:rPr>
            </w:pPr>
            <w:r w:rsidRPr="000C1C67">
              <w:rPr>
                <w:rFonts w:asciiTheme="majorBidi" w:eastAsia="DengXian" w:hAnsiTheme="majorBidi" w:cstheme="majorBidi"/>
                <w:b/>
                <w:bCs/>
                <w:color w:val="000000"/>
                <w:szCs w:val="21"/>
              </w:rPr>
              <w:t xml:space="preserve">Year </w:t>
            </w:r>
          </w:p>
        </w:tc>
        <w:tc>
          <w:tcPr>
            <w:tcW w:w="2552" w:type="dxa"/>
            <w:vAlign w:val="center"/>
          </w:tcPr>
          <w:p w14:paraId="2A1EA3CD" w14:textId="77777777" w:rsidR="00B761FC" w:rsidRPr="000C1C67" w:rsidRDefault="00B761FC" w:rsidP="00070765">
            <w:pPr>
              <w:jc w:val="center"/>
              <w:rPr>
                <w:rFonts w:asciiTheme="majorBidi" w:hAnsiTheme="majorBidi" w:cstheme="majorBidi"/>
                <w:b/>
                <w:bCs/>
              </w:rPr>
            </w:pPr>
            <w:r w:rsidRPr="000C1C67">
              <w:rPr>
                <w:rFonts w:asciiTheme="majorBidi" w:eastAsia="DengXian" w:hAnsiTheme="majorBidi" w:cstheme="majorBidi"/>
                <w:b/>
                <w:bCs/>
                <w:color w:val="000000"/>
                <w:szCs w:val="21"/>
              </w:rPr>
              <w:t>Type</w:t>
            </w:r>
          </w:p>
        </w:tc>
        <w:tc>
          <w:tcPr>
            <w:tcW w:w="1133" w:type="dxa"/>
            <w:vAlign w:val="center"/>
          </w:tcPr>
          <w:p w14:paraId="747EC99C" w14:textId="77777777" w:rsidR="00B761FC" w:rsidRPr="000C1C67" w:rsidRDefault="00B761FC" w:rsidP="00070765">
            <w:pPr>
              <w:jc w:val="center"/>
              <w:rPr>
                <w:rFonts w:asciiTheme="majorBidi" w:hAnsiTheme="majorBidi" w:cstheme="majorBidi"/>
                <w:b/>
                <w:bCs/>
              </w:rPr>
            </w:pPr>
            <w:r w:rsidRPr="000C1C67">
              <w:rPr>
                <w:rFonts w:asciiTheme="majorBidi" w:eastAsia="DengXian" w:hAnsiTheme="majorBidi" w:cstheme="majorBidi"/>
                <w:b/>
                <w:bCs/>
                <w:color w:val="000000"/>
                <w:szCs w:val="21"/>
              </w:rPr>
              <w:t>Fuel</w:t>
            </w:r>
          </w:p>
        </w:tc>
        <w:tc>
          <w:tcPr>
            <w:tcW w:w="1701" w:type="dxa"/>
            <w:vAlign w:val="center"/>
          </w:tcPr>
          <w:p w14:paraId="3F095338" w14:textId="77777777" w:rsidR="00B761FC" w:rsidRPr="000C1C67" w:rsidRDefault="00B761FC" w:rsidP="00070765">
            <w:pPr>
              <w:jc w:val="center"/>
              <w:rPr>
                <w:rFonts w:asciiTheme="majorBidi" w:hAnsiTheme="majorBidi" w:cstheme="majorBidi"/>
                <w:b/>
                <w:bCs/>
              </w:rPr>
            </w:pPr>
            <w:r w:rsidRPr="000C1C67">
              <w:rPr>
                <w:rFonts w:asciiTheme="majorBidi" w:eastAsia="DengXian" w:hAnsiTheme="majorBidi" w:cstheme="majorBidi"/>
                <w:b/>
                <w:bCs/>
                <w:color w:val="000000"/>
                <w:szCs w:val="21"/>
              </w:rPr>
              <w:t>Brand/Model</w:t>
            </w:r>
          </w:p>
        </w:tc>
        <w:tc>
          <w:tcPr>
            <w:tcW w:w="993" w:type="dxa"/>
            <w:vAlign w:val="center"/>
          </w:tcPr>
          <w:p w14:paraId="63CA5466" w14:textId="77777777" w:rsidR="00B761FC" w:rsidRPr="000C1C67" w:rsidRDefault="00B761FC" w:rsidP="00070765">
            <w:pPr>
              <w:jc w:val="center"/>
              <w:rPr>
                <w:rFonts w:asciiTheme="majorBidi" w:hAnsiTheme="majorBidi" w:cstheme="majorBidi"/>
                <w:b/>
                <w:bCs/>
              </w:rPr>
            </w:pPr>
            <w:r w:rsidRPr="000C1C67">
              <w:rPr>
                <w:rFonts w:asciiTheme="majorBidi" w:eastAsia="DengXian" w:hAnsiTheme="majorBidi" w:cstheme="majorBidi"/>
                <w:b/>
                <w:bCs/>
                <w:color w:val="000000"/>
                <w:szCs w:val="21"/>
              </w:rPr>
              <w:t xml:space="preserve">Year </w:t>
            </w:r>
          </w:p>
        </w:tc>
        <w:tc>
          <w:tcPr>
            <w:tcW w:w="2324" w:type="dxa"/>
            <w:vAlign w:val="center"/>
          </w:tcPr>
          <w:p w14:paraId="6414AAB7" w14:textId="77777777" w:rsidR="00B761FC" w:rsidRPr="000C1C67" w:rsidRDefault="00B761FC" w:rsidP="00070765">
            <w:pPr>
              <w:jc w:val="center"/>
              <w:rPr>
                <w:rFonts w:asciiTheme="majorBidi" w:hAnsiTheme="majorBidi" w:cstheme="majorBidi"/>
                <w:b/>
                <w:bCs/>
              </w:rPr>
            </w:pPr>
            <w:r w:rsidRPr="000C1C67">
              <w:rPr>
                <w:rFonts w:asciiTheme="majorBidi" w:eastAsia="DengXian" w:hAnsiTheme="majorBidi" w:cstheme="majorBidi"/>
                <w:b/>
                <w:bCs/>
                <w:color w:val="000000"/>
                <w:szCs w:val="21"/>
              </w:rPr>
              <w:t>Type</w:t>
            </w:r>
          </w:p>
        </w:tc>
        <w:tc>
          <w:tcPr>
            <w:tcW w:w="1538" w:type="dxa"/>
            <w:vAlign w:val="center"/>
          </w:tcPr>
          <w:p w14:paraId="07E60A45" w14:textId="77777777" w:rsidR="00B761FC" w:rsidRPr="000C1C67" w:rsidRDefault="00B761FC" w:rsidP="00070765">
            <w:pPr>
              <w:jc w:val="center"/>
              <w:rPr>
                <w:rFonts w:asciiTheme="majorBidi" w:hAnsiTheme="majorBidi" w:cstheme="majorBidi"/>
                <w:b/>
                <w:bCs/>
              </w:rPr>
            </w:pPr>
            <w:r w:rsidRPr="000C1C67">
              <w:rPr>
                <w:rFonts w:asciiTheme="majorBidi" w:eastAsia="DengXian" w:hAnsiTheme="majorBidi" w:cstheme="majorBidi"/>
                <w:b/>
                <w:bCs/>
                <w:color w:val="000000"/>
                <w:szCs w:val="21"/>
              </w:rPr>
              <w:t>Fuel</w:t>
            </w:r>
          </w:p>
        </w:tc>
      </w:tr>
      <w:tr w:rsidR="00B761FC" w:rsidRPr="000C1C67" w14:paraId="04885D22" w14:textId="77777777" w:rsidTr="00070765">
        <w:tc>
          <w:tcPr>
            <w:tcW w:w="1699" w:type="dxa"/>
            <w:vAlign w:val="center"/>
          </w:tcPr>
          <w:p w14:paraId="5FEA606A" w14:textId="77777777" w:rsidR="00B761FC" w:rsidRPr="000C1C67" w:rsidRDefault="00B761FC" w:rsidP="00070765">
            <w:pPr>
              <w:rPr>
                <w:sz w:val="22"/>
              </w:rPr>
            </w:pPr>
            <w:r w:rsidRPr="000C1C67">
              <w:rPr>
                <w:rFonts w:ascii="Calibri" w:hAnsi="Calibri" w:cs="Calibri"/>
                <w:color w:val="000000"/>
                <w:sz w:val="22"/>
              </w:rPr>
              <w:t>Senova CC</w:t>
            </w:r>
          </w:p>
        </w:tc>
        <w:tc>
          <w:tcPr>
            <w:tcW w:w="848" w:type="dxa"/>
            <w:vAlign w:val="center"/>
          </w:tcPr>
          <w:p w14:paraId="3D819A79" w14:textId="77777777" w:rsidR="00B761FC" w:rsidRPr="000C1C67" w:rsidRDefault="00B761FC" w:rsidP="00070765">
            <w:pPr>
              <w:rPr>
                <w:sz w:val="22"/>
              </w:rPr>
            </w:pPr>
            <w:r w:rsidRPr="000C1C67">
              <w:rPr>
                <w:rFonts w:ascii="Calibri" w:hAnsi="Calibri" w:cs="Calibri"/>
                <w:color w:val="000000"/>
                <w:sz w:val="22"/>
              </w:rPr>
              <w:t>2015</w:t>
            </w:r>
          </w:p>
        </w:tc>
        <w:tc>
          <w:tcPr>
            <w:tcW w:w="2552" w:type="dxa"/>
            <w:vAlign w:val="center"/>
          </w:tcPr>
          <w:p w14:paraId="300FF73D" w14:textId="77777777" w:rsidR="00B761FC" w:rsidRPr="000C1C67" w:rsidRDefault="00B761FC" w:rsidP="00070765">
            <w:pPr>
              <w:rPr>
                <w:sz w:val="22"/>
              </w:rPr>
            </w:pPr>
            <w:r w:rsidRPr="000C1C67">
              <w:rPr>
                <w:rFonts w:ascii="Calibri" w:hAnsi="Calibri" w:cs="Calibri"/>
                <w:color w:val="000000"/>
                <w:sz w:val="22"/>
              </w:rPr>
              <w:t>Compact coupe</w:t>
            </w:r>
            <w:r w:rsidRPr="000C1C67">
              <w:rPr>
                <w:sz w:val="22"/>
              </w:rPr>
              <w:t xml:space="preserve"> </w:t>
            </w:r>
          </w:p>
        </w:tc>
        <w:tc>
          <w:tcPr>
            <w:tcW w:w="1133" w:type="dxa"/>
            <w:vAlign w:val="center"/>
          </w:tcPr>
          <w:p w14:paraId="6F8CAC7C" w14:textId="77777777" w:rsidR="00B761FC" w:rsidRPr="000C1C67" w:rsidRDefault="00B761FC" w:rsidP="00070765">
            <w:pPr>
              <w:rPr>
                <w:sz w:val="22"/>
              </w:rPr>
            </w:pPr>
            <w:r w:rsidRPr="000C1C67">
              <w:rPr>
                <w:rFonts w:ascii="Calibri" w:hAnsi="Calibri" w:cs="Calibri"/>
                <w:color w:val="000000"/>
                <w:sz w:val="22"/>
              </w:rPr>
              <w:t>Gas</w:t>
            </w:r>
          </w:p>
        </w:tc>
        <w:tc>
          <w:tcPr>
            <w:tcW w:w="1701" w:type="dxa"/>
            <w:vAlign w:val="center"/>
          </w:tcPr>
          <w:p w14:paraId="02C1FC46"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Volvo XC40</w:t>
            </w:r>
          </w:p>
        </w:tc>
        <w:tc>
          <w:tcPr>
            <w:tcW w:w="993" w:type="dxa"/>
            <w:vAlign w:val="center"/>
          </w:tcPr>
          <w:p w14:paraId="66F7BA35"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2017-</w:t>
            </w:r>
          </w:p>
        </w:tc>
        <w:tc>
          <w:tcPr>
            <w:tcW w:w="2324" w:type="dxa"/>
            <w:vAlign w:val="center"/>
          </w:tcPr>
          <w:p w14:paraId="48AF669C"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Compact SUV</w:t>
            </w:r>
          </w:p>
        </w:tc>
        <w:tc>
          <w:tcPr>
            <w:tcW w:w="1538" w:type="dxa"/>
            <w:vAlign w:val="center"/>
          </w:tcPr>
          <w:p w14:paraId="0C0059F9"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Plug-in hybrid &amp; Hybrid</w:t>
            </w:r>
          </w:p>
        </w:tc>
      </w:tr>
      <w:tr w:rsidR="00B761FC" w:rsidRPr="000C1C67" w14:paraId="69310419" w14:textId="77777777" w:rsidTr="00070765">
        <w:tc>
          <w:tcPr>
            <w:tcW w:w="1699" w:type="dxa"/>
            <w:vAlign w:val="center"/>
          </w:tcPr>
          <w:p w14:paraId="7E699340" w14:textId="77777777" w:rsidR="00B761FC" w:rsidRPr="000C1C67" w:rsidRDefault="00B761FC" w:rsidP="00070765">
            <w:pPr>
              <w:rPr>
                <w:sz w:val="22"/>
              </w:rPr>
            </w:pPr>
            <w:r w:rsidRPr="000C1C67">
              <w:rPr>
                <w:rFonts w:ascii="Calibri" w:hAnsi="Calibri" w:cs="Calibri"/>
                <w:color w:val="000000"/>
                <w:sz w:val="22"/>
              </w:rPr>
              <w:t>Senova D20</w:t>
            </w:r>
          </w:p>
        </w:tc>
        <w:tc>
          <w:tcPr>
            <w:tcW w:w="848" w:type="dxa"/>
            <w:vAlign w:val="center"/>
          </w:tcPr>
          <w:p w14:paraId="3342FD68" w14:textId="77777777" w:rsidR="00B761FC" w:rsidRPr="000C1C67" w:rsidRDefault="00B761FC" w:rsidP="00070765">
            <w:pPr>
              <w:rPr>
                <w:sz w:val="22"/>
              </w:rPr>
            </w:pPr>
            <w:r w:rsidRPr="000C1C67">
              <w:rPr>
                <w:rFonts w:ascii="Calibri" w:hAnsi="Calibri" w:cs="Calibri"/>
                <w:color w:val="000000"/>
                <w:sz w:val="22"/>
              </w:rPr>
              <w:t>2014</w:t>
            </w:r>
          </w:p>
        </w:tc>
        <w:tc>
          <w:tcPr>
            <w:tcW w:w="2552" w:type="dxa"/>
            <w:vAlign w:val="center"/>
          </w:tcPr>
          <w:p w14:paraId="2C003BB3" w14:textId="77777777" w:rsidR="00B761FC" w:rsidRPr="000C1C67" w:rsidRDefault="00B761FC" w:rsidP="00070765">
            <w:pPr>
              <w:rPr>
                <w:sz w:val="22"/>
              </w:rPr>
            </w:pPr>
            <w:r w:rsidRPr="000C1C67">
              <w:rPr>
                <w:rFonts w:ascii="Calibri" w:hAnsi="Calibri" w:cs="Calibri"/>
                <w:color w:val="000000"/>
                <w:sz w:val="22"/>
              </w:rPr>
              <w:t xml:space="preserve">Small hatchback sedan, 5-door, and small crossover </w:t>
            </w:r>
          </w:p>
        </w:tc>
        <w:tc>
          <w:tcPr>
            <w:tcW w:w="1133" w:type="dxa"/>
            <w:vAlign w:val="center"/>
          </w:tcPr>
          <w:p w14:paraId="1FFF0F5B" w14:textId="77777777" w:rsidR="00B761FC" w:rsidRPr="000C1C67" w:rsidRDefault="00B761FC" w:rsidP="00070765">
            <w:pPr>
              <w:rPr>
                <w:sz w:val="22"/>
              </w:rPr>
            </w:pPr>
            <w:r w:rsidRPr="000C1C67">
              <w:rPr>
                <w:rFonts w:ascii="Calibri" w:hAnsi="Calibri" w:cs="Calibri"/>
                <w:color w:val="000000"/>
                <w:sz w:val="22"/>
              </w:rPr>
              <w:t>Gas</w:t>
            </w:r>
          </w:p>
        </w:tc>
        <w:tc>
          <w:tcPr>
            <w:tcW w:w="1701" w:type="dxa"/>
            <w:vAlign w:val="center"/>
          </w:tcPr>
          <w:p w14:paraId="16FCDAEC" w14:textId="77777777" w:rsidR="00B761FC" w:rsidRPr="000C1C67" w:rsidRDefault="00B761FC" w:rsidP="00070765">
            <w:pPr>
              <w:rPr>
                <w:rFonts w:ascii="Calibri" w:hAnsi="Calibri" w:cs="Calibri"/>
                <w:color w:val="000000"/>
                <w:sz w:val="22"/>
              </w:rPr>
            </w:pPr>
            <w:proofErr w:type="spellStart"/>
            <w:r w:rsidRPr="000C1C67">
              <w:rPr>
                <w:rFonts w:ascii="Calibri" w:hAnsi="Calibri" w:cs="Calibri" w:hint="eastAsia"/>
                <w:color w:val="000000"/>
                <w:sz w:val="22"/>
              </w:rPr>
              <w:t>Lynk</w:t>
            </w:r>
            <w:proofErr w:type="spellEnd"/>
            <w:r w:rsidRPr="000C1C67">
              <w:rPr>
                <w:rFonts w:ascii="Calibri" w:hAnsi="Calibri" w:cs="Calibri" w:hint="eastAsia"/>
                <w:color w:val="000000"/>
                <w:sz w:val="22"/>
              </w:rPr>
              <w:t xml:space="preserve"> &amp; Co 1, 2, 3, 5, &amp; 6</w:t>
            </w:r>
          </w:p>
        </w:tc>
        <w:tc>
          <w:tcPr>
            <w:tcW w:w="993" w:type="dxa"/>
            <w:vAlign w:val="center"/>
          </w:tcPr>
          <w:p w14:paraId="7D67406F"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2017-</w:t>
            </w:r>
          </w:p>
        </w:tc>
        <w:tc>
          <w:tcPr>
            <w:tcW w:w="2324" w:type="dxa"/>
            <w:vAlign w:val="center"/>
          </w:tcPr>
          <w:p w14:paraId="7D1FE512"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Sub-compact, compact, and midsize SUV and sedan</w:t>
            </w:r>
          </w:p>
        </w:tc>
        <w:tc>
          <w:tcPr>
            <w:tcW w:w="1538" w:type="dxa"/>
            <w:vAlign w:val="center"/>
          </w:tcPr>
          <w:p w14:paraId="4BA3E264"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Gas, mild-hybrid, &amp; plugin hybrid</w:t>
            </w:r>
          </w:p>
        </w:tc>
      </w:tr>
      <w:tr w:rsidR="00B761FC" w:rsidRPr="000C1C67" w14:paraId="61189821" w14:textId="77777777" w:rsidTr="00070765">
        <w:tc>
          <w:tcPr>
            <w:tcW w:w="1699" w:type="dxa"/>
            <w:vAlign w:val="center"/>
          </w:tcPr>
          <w:p w14:paraId="187710E5" w14:textId="77777777" w:rsidR="00B761FC" w:rsidRPr="000C1C67" w:rsidRDefault="00B761FC" w:rsidP="00070765">
            <w:pPr>
              <w:rPr>
                <w:sz w:val="22"/>
              </w:rPr>
            </w:pPr>
            <w:r w:rsidRPr="000C1C67">
              <w:rPr>
                <w:rFonts w:ascii="Calibri" w:hAnsi="Calibri" w:cs="Calibri"/>
                <w:color w:val="000000"/>
                <w:sz w:val="22"/>
              </w:rPr>
              <w:t>Senova D50</w:t>
            </w:r>
          </w:p>
        </w:tc>
        <w:tc>
          <w:tcPr>
            <w:tcW w:w="848" w:type="dxa"/>
            <w:vAlign w:val="center"/>
          </w:tcPr>
          <w:p w14:paraId="2ACFE48E" w14:textId="77777777" w:rsidR="00B761FC" w:rsidRPr="000C1C67" w:rsidRDefault="00B761FC" w:rsidP="00070765">
            <w:pPr>
              <w:rPr>
                <w:sz w:val="22"/>
              </w:rPr>
            </w:pPr>
            <w:r w:rsidRPr="000C1C67">
              <w:rPr>
                <w:rFonts w:ascii="Calibri" w:hAnsi="Calibri" w:cs="Calibri"/>
                <w:color w:val="000000"/>
                <w:sz w:val="22"/>
              </w:rPr>
              <w:t>2013</w:t>
            </w:r>
          </w:p>
        </w:tc>
        <w:tc>
          <w:tcPr>
            <w:tcW w:w="2552" w:type="dxa"/>
            <w:vAlign w:val="center"/>
          </w:tcPr>
          <w:p w14:paraId="047FDA61" w14:textId="77777777" w:rsidR="00B761FC" w:rsidRPr="000C1C67" w:rsidRDefault="00B761FC" w:rsidP="00070765">
            <w:pPr>
              <w:rPr>
                <w:sz w:val="22"/>
              </w:rPr>
            </w:pPr>
            <w:r w:rsidRPr="000C1C67">
              <w:rPr>
                <w:rFonts w:ascii="Calibri" w:hAnsi="Calibri" w:cs="Calibri"/>
                <w:color w:val="000000"/>
                <w:sz w:val="22"/>
              </w:rPr>
              <w:t>Compact sedan</w:t>
            </w:r>
          </w:p>
        </w:tc>
        <w:tc>
          <w:tcPr>
            <w:tcW w:w="1133" w:type="dxa"/>
            <w:vAlign w:val="center"/>
          </w:tcPr>
          <w:p w14:paraId="37E976F5" w14:textId="77777777" w:rsidR="00B761FC" w:rsidRPr="000C1C67" w:rsidRDefault="00B761FC" w:rsidP="00070765">
            <w:pPr>
              <w:rPr>
                <w:sz w:val="22"/>
              </w:rPr>
            </w:pPr>
            <w:r w:rsidRPr="000C1C67">
              <w:rPr>
                <w:rFonts w:ascii="Calibri" w:hAnsi="Calibri" w:cs="Calibri"/>
                <w:color w:val="000000"/>
                <w:sz w:val="22"/>
              </w:rPr>
              <w:t>Gas</w:t>
            </w:r>
          </w:p>
        </w:tc>
        <w:tc>
          <w:tcPr>
            <w:tcW w:w="1701" w:type="dxa"/>
            <w:vAlign w:val="center"/>
          </w:tcPr>
          <w:p w14:paraId="128565EE"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Polestar 2.0</w:t>
            </w:r>
          </w:p>
        </w:tc>
        <w:tc>
          <w:tcPr>
            <w:tcW w:w="993" w:type="dxa"/>
            <w:vAlign w:val="center"/>
          </w:tcPr>
          <w:p w14:paraId="22A41588"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2020</w:t>
            </w:r>
          </w:p>
        </w:tc>
        <w:tc>
          <w:tcPr>
            <w:tcW w:w="2324" w:type="dxa"/>
            <w:vAlign w:val="center"/>
          </w:tcPr>
          <w:p w14:paraId="0BDAD37B"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5-door sedan</w:t>
            </w:r>
          </w:p>
        </w:tc>
        <w:tc>
          <w:tcPr>
            <w:tcW w:w="1538" w:type="dxa"/>
            <w:vAlign w:val="center"/>
          </w:tcPr>
          <w:p w14:paraId="64EFDDB0"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EV</w:t>
            </w:r>
          </w:p>
        </w:tc>
      </w:tr>
      <w:tr w:rsidR="00B761FC" w:rsidRPr="000C1C67" w14:paraId="133BFB57" w14:textId="77777777" w:rsidTr="00070765">
        <w:tc>
          <w:tcPr>
            <w:tcW w:w="1699" w:type="dxa"/>
            <w:vAlign w:val="center"/>
          </w:tcPr>
          <w:p w14:paraId="0791191C" w14:textId="77777777" w:rsidR="00B761FC" w:rsidRPr="000C1C67" w:rsidRDefault="00B761FC" w:rsidP="00070765">
            <w:pPr>
              <w:rPr>
                <w:sz w:val="22"/>
              </w:rPr>
            </w:pPr>
            <w:r w:rsidRPr="000C1C67">
              <w:rPr>
                <w:rFonts w:ascii="Calibri" w:hAnsi="Calibri" w:cs="Calibri"/>
                <w:color w:val="000000"/>
                <w:sz w:val="22"/>
              </w:rPr>
              <w:t>Senova D60</w:t>
            </w:r>
          </w:p>
        </w:tc>
        <w:tc>
          <w:tcPr>
            <w:tcW w:w="848" w:type="dxa"/>
            <w:vAlign w:val="center"/>
          </w:tcPr>
          <w:p w14:paraId="647D08F5" w14:textId="77777777" w:rsidR="00B761FC" w:rsidRPr="000C1C67" w:rsidRDefault="00B761FC" w:rsidP="00070765">
            <w:pPr>
              <w:rPr>
                <w:sz w:val="22"/>
              </w:rPr>
            </w:pPr>
            <w:r w:rsidRPr="000C1C67">
              <w:rPr>
                <w:rFonts w:ascii="Calibri" w:hAnsi="Calibri" w:cs="Calibri"/>
                <w:color w:val="000000"/>
                <w:sz w:val="22"/>
              </w:rPr>
              <w:t>2014</w:t>
            </w:r>
          </w:p>
        </w:tc>
        <w:tc>
          <w:tcPr>
            <w:tcW w:w="2552" w:type="dxa"/>
            <w:vAlign w:val="center"/>
          </w:tcPr>
          <w:p w14:paraId="2BCD8B47" w14:textId="77777777" w:rsidR="00B761FC" w:rsidRPr="000C1C67" w:rsidRDefault="00B761FC" w:rsidP="00070765">
            <w:pPr>
              <w:rPr>
                <w:sz w:val="22"/>
              </w:rPr>
            </w:pPr>
            <w:r w:rsidRPr="000C1C67">
              <w:rPr>
                <w:rFonts w:ascii="Calibri" w:hAnsi="Calibri" w:cs="Calibri"/>
                <w:color w:val="000000"/>
                <w:sz w:val="22"/>
              </w:rPr>
              <w:t>Compact sedan</w:t>
            </w:r>
            <w:r w:rsidRPr="000C1C67">
              <w:rPr>
                <w:sz w:val="22"/>
              </w:rPr>
              <w:t xml:space="preserve"> </w:t>
            </w:r>
          </w:p>
        </w:tc>
        <w:tc>
          <w:tcPr>
            <w:tcW w:w="1133" w:type="dxa"/>
            <w:vAlign w:val="center"/>
          </w:tcPr>
          <w:p w14:paraId="0764E855" w14:textId="77777777" w:rsidR="00B761FC" w:rsidRPr="000C1C67" w:rsidRDefault="00B761FC" w:rsidP="00070765">
            <w:pPr>
              <w:rPr>
                <w:sz w:val="22"/>
              </w:rPr>
            </w:pPr>
            <w:r w:rsidRPr="000C1C67">
              <w:rPr>
                <w:rFonts w:ascii="Calibri" w:hAnsi="Calibri" w:cs="Calibri"/>
                <w:color w:val="000000"/>
                <w:sz w:val="22"/>
              </w:rPr>
              <w:t>Gas</w:t>
            </w:r>
          </w:p>
        </w:tc>
        <w:tc>
          <w:tcPr>
            <w:tcW w:w="1701" w:type="dxa"/>
            <w:vAlign w:val="center"/>
          </w:tcPr>
          <w:p w14:paraId="4531A792" w14:textId="77777777" w:rsidR="00B761FC" w:rsidRPr="000C1C67" w:rsidRDefault="00B761FC" w:rsidP="00070765">
            <w:pPr>
              <w:rPr>
                <w:rFonts w:ascii="Calibri" w:hAnsi="Calibri" w:cs="Calibri"/>
                <w:color w:val="000000"/>
                <w:sz w:val="22"/>
              </w:rPr>
            </w:pPr>
            <w:proofErr w:type="spellStart"/>
            <w:r w:rsidRPr="000C1C67">
              <w:rPr>
                <w:rFonts w:ascii="Calibri" w:hAnsi="Calibri" w:cs="Calibri" w:hint="eastAsia"/>
                <w:color w:val="000000"/>
                <w:sz w:val="22"/>
              </w:rPr>
              <w:t>Geely</w:t>
            </w:r>
            <w:proofErr w:type="spellEnd"/>
            <w:r w:rsidRPr="000C1C67">
              <w:rPr>
                <w:rFonts w:ascii="Calibri" w:hAnsi="Calibri" w:cs="Calibri" w:hint="eastAsia"/>
                <w:color w:val="000000"/>
                <w:sz w:val="22"/>
              </w:rPr>
              <w:t xml:space="preserve"> </w:t>
            </w:r>
            <w:proofErr w:type="spellStart"/>
            <w:r w:rsidRPr="000C1C67">
              <w:rPr>
                <w:rFonts w:ascii="Calibri" w:hAnsi="Calibri" w:cs="Calibri" w:hint="eastAsia"/>
                <w:color w:val="000000"/>
                <w:sz w:val="22"/>
              </w:rPr>
              <w:t>Xingyue</w:t>
            </w:r>
            <w:proofErr w:type="spellEnd"/>
            <w:r w:rsidRPr="000C1C67">
              <w:rPr>
                <w:rFonts w:ascii="Calibri" w:hAnsi="Calibri" w:cs="Calibri" w:hint="eastAsia"/>
                <w:color w:val="000000"/>
                <w:sz w:val="22"/>
              </w:rPr>
              <w:t xml:space="preserve"> (also </w:t>
            </w:r>
            <w:proofErr w:type="spellStart"/>
            <w:r w:rsidRPr="000C1C67">
              <w:rPr>
                <w:rFonts w:ascii="Calibri" w:hAnsi="Calibri" w:cs="Calibri" w:hint="eastAsia"/>
                <w:color w:val="000000"/>
                <w:sz w:val="22"/>
              </w:rPr>
              <w:t>Tugella</w:t>
            </w:r>
            <w:proofErr w:type="spellEnd"/>
            <w:r w:rsidRPr="000C1C67">
              <w:rPr>
                <w:rFonts w:ascii="Calibri" w:hAnsi="Calibri" w:cs="Calibri" w:hint="eastAsia"/>
                <w:color w:val="000000"/>
                <w:sz w:val="22"/>
              </w:rPr>
              <w:t>)</w:t>
            </w:r>
          </w:p>
        </w:tc>
        <w:tc>
          <w:tcPr>
            <w:tcW w:w="993" w:type="dxa"/>
            <w:vAlign w:val="center"/>
          </w:tcPr>
          <w:p w14:paraId="1CF669B4"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2019-</w:t>
            </w:r>
          </w:p>
        </w:tc>
        <w:tc>
          <w:tcPr>
            <w:tcW w:w="2324" w:type="dxa"/>
            <w:vAlign w:val="center"/>
          </w:tcPr>
          <w:p w14:paraId="3441D3D1"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5-door coup SUV</w:t>
            </w:r>
          </w:p>
        </w:tc>
        <w:tc>
          <w:tcPr>
            <w:tcW w:w="1538" w:type="dxa"/>
            <w:vAlign w:val="center"/>
          </w:tcPr>
          <w:p w14:paraId="5C67BFF5"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Gas, hybrid</w:t>
            </w:r>
          </w:p>
        </w:tc>
      </w:tr>
      <w:tr w:rsidR="00B761FC" w:rsidRPr="000C1C67" w14:paraId="6B6C5F1D" w14:textId="77777777" w:rsidTr="00070765">
        <w:tc>
          <w:tcPr>
            <w:tcW w:w="1699" w:type="dxa"/>
            <w:vAlign w:val="center"/>
          </w:tcPr>
          <w:p w14:paraId="7F25EA34" w14:textId="77777777" w:rsidR="00B761FC" w:rsidRPr="000C1C67" w:rsidRDefault="00B761FC" w:rsidP="00070765">
            <w:pPr>
              <w:rPr>
                <w:sz w:val="22"/>
              </w:rPr>
            </w:pPr>
            <w:r w:rsidRPr="000C1C67">
              <w:rPr>
                <w:rFonts w:ascii="Calibri" w:hAnsi="Calibri" w:cs="Calibri"/>
                <w:color w:val="000000"/>
                <w:sz w:val="22"/>
              </w:rPr>
              <w:t>Senova D70</w:t>
            </w:r>
          </w:p>
        </w:tc>
        <w:tc>
          <w:tcPr>
            <w:tcW w:w="848" w:type="dxa"/>
            <w:vAlign w:val="center"/>
          </w:tcPr>
          <w:p w14:paraId="6C96D688" w14:textId="77777777" w:rsidR="00B761FC" w:rsidRPr="000C1C67" w:rsidRDefault="00B761FC" w:rsidP="00070765">
            <w:pPr>
              <w:rPr>
                <w:sz w:val="22"/>
              </w:rPr>
            </w:pPr>
            <w:r w:rsidRPr="000C1C67">
              <w:rPr>
                <w:rFonts w:ascii="Calibri" w:hAnsi="Calibri" w:cs="Calibri"/>
                <w:color w:val="000000"/>
                <w:sz w:val="22"/>
              </w:rPr>
              <w:t>2013</w:t>
            </w:r>
          </w:p>
        </w:tc>
        <w:tc>
          <w:tcPr>
            <w:tcW w:w="2552" w:type="dxa"/>
            <w:vAlign w:val="center"/>
          </w:tcPr>
          <w:p w14:paraId="71B1132B" w14:textId="77777777" w:rsidR="00B761FC" w:rsidRPr="000C1C67" w:rsidRDefault="00B761FC" w:rsidP="00070765">
            <w:pPr>
              <w:rPr>
                <w:sz w:val="22"/>
              </w:rPr>
            </w:pPr>
            <w:r w:rsidRPr="000C1C67">
              <w:rPr>
                <w:rFonts w:ascii="Calibri" w:hAnsi="Calibri" w:cs="Calibri"/>
                <w:color w:val="000000"/>
                <w:sz w:val="22"/>
              </w:rPr>
              <w:t>Midsize sedan (business)</w:t>
            </w:r>
            <w:r w:rsidRPr="000C1C67">
              <w:rPr>
                <w:sz w:val="22"/>
              </w:rPr>
              <w:t xml:space="preserve"> </w:t>
            </w:r>
          </w:p>
        </w:tc>
        <w:tc>
          <w:tcPr>
            <w:tcW w:w="1133" w:type="dxa"/>
            <w:vAlign w:val="center"/>
          </w:tcPr>
          <w:p w14:paraId="31394AE3" w14:textId="77777777" w:rsidR="00B761FC" w:rsidRPr="000C1C67" w:rsidRDefault="00B761FC" w:rsidP="00070765">
            <w:pPr>
              <w:rPr>
                <w:sz w:val="22"/>
              </w:rPr>
            </w:pPr>
            <w:r w:rsidRPr="000C1C67">
              <w:rPr>
                <w:rFonts w:ascii="Calibri" w:hAnsi="Calibri" w:cs="Calibri"/>
                <w:color w:val="000000"/>
                <w:sz w:val="22"/>
              </w:rPr>
              <w:t>Gas</w:t>
            </w:r>
          </w:p>
        </w:tc>
        <w:tc>
          <w:tcPr>
            <w:tcW w:w="1701" w:type="dxa"/>
            <w:vAlign w:val="center"/>
          </w:tcPr>
          <w:p w14:paraId="7DFAC073" w14:textId="77777777" w:rsidR="00B761FC" w:rsidRPr="000C1C67" w:rsidRDefault="00B761FC" w:rsidP="00070765">
            <w:pPr>
              <w:rPr>
                <w:rFonts w:ascii="Calibri" w:hAnsi="Calibri" w:cs="Calibri"/>
                <w:color w:val="000000"/>
                <w:sz w:val="22"/>
              </w:rPr>
            </w:pPr>
            <w:proofErr w:type="spellStart"/>
            <w:r w:rsidRPr="000C1C67">
              <w:rPr>
                <w:rFonts w:ascii="Calibri" w:hAnsi="Calibri" w:cs="Calibri" w:hint="eastAsia"/>
                <w:color w:val="000000"/>
                <w:sz w:val="22"/>
              </w:rPr>
              <w:t>Geely</w:t>
            </w:r>
            <w:proofErr w:type="spellEnd"/>
            <w:r w:rsidRPr="000C1C67">
              <w:rPr>
                <w:rFonts w:ascii="Calibri" w:hAnsi="Calibri" w:cs="Calibri" w:hint="eastAsia"/>
                <w:color w:val="000000"/>
                <w:sz w:val="22"/>
              </w:rPr>
              <w:t xml:space="preserve"> </w:t>
            </w:r>
            <w:proofErr w:type="spellStart"/>
            <w:r w:rsidRPr="000C1C67">
              <w:rPr>
                <w:rFonts w:ascii="Calibri" w:hAnsi="Calibri" w:cs="Calibri" w:hint="eastAsia"/>
                <w:color w:val="000000"/>
                <w:sz w:val="22"/>
              </w:rPr>
              <w:t>Xingrui</w:t>
            </w:r>
            <w:proofErr w:type="spellEnd"/>
            <w:r w:rsidRPr="000C1C67">
              <w:rPr>
                <w:rFonts w:ascii="Calibri" w:hAnsi="Calibri" w:cs="Calibri" w:hint="eastAsia"/>
                <w:color w:val="000000"/>
                <w:sz w:val="22"/>
              </w:rPr>
              <w:t xml:space="preserve"> (also Preface)</w:t>
            </w:r>
          </w:p>
        </w:tc>
        <w:tc>
          <w:tcPr>
            <w:tcW w:w="993" w:type="dxa"/>
            <w:vAlign w:val="center"/>
          </w:tcPr>
          <w:p w14:paraId="17B601C0"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2020-</w:t>
            </w:r>
          </w:p>
        </w:tc>
        <w:tc>
          <w:tcPr>
            <w:tcW w:w="2324" w:type="dxa"/>
            <w:vAlign w:val="center"/>
          </w:tcPr>
          <w:p w14:paraId="3C6DF3E6"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5-door sedan</w:t>
            </w:r>
          </w:p>
        </w:tc>
        <w:tc>
          <w:tcPr>
            <w:tcW w:w="1538" w:type="dxa"/>
            <w:vAlign w:val="center"/>
          </w:tcPr>
          <w:p w14:paraId="61328D87" w14:textId="77777777" w:rsidR="00B761FC" w:rsidRPr="000C1C67" w:rsidRDefault="00B761FC" w:rsidP="00070765">
            <w:pPr>
              <w:rPr>
                <w:rFonts w:ascii="Calibri" w:hAnsi="Calibri" w:cs="Calibri"/>
                <w:color w:val="000000"/>
                <w:sz w:val="22"/>
              </w:rPr>
            </w:pPr>
            <w:r>
              <w:rPr>
                <w:rFonts w:ascii="Calibri" w:hAnsi="Calibri" w:cs="Calibri"/>
                <w:color w:val="000000"/>
                <w:sz w:val="22"/>
              </w:rPr>
              <w:t>Gas, hybrid</w:t>
            </w:r>
          </w:p>
        </w:tc>
      </w:tr>
      <w:tr w:rsidR="00B761FC" w:rsidRPr="000C1C67" w14:paraId="3BEE415F" w14:textId="77777777" w:rsidTr="00070765">
        <w:tc>
          <w:tcPr>
            <w:tcW w:w="1699" w:type="dxa"/>
            <w:vAlign w:val="center"/>
          </w:tcPr>
          <w:p w14:paraId="3789CB07" w14:textId="77777777" w:rsidR="00B761FC" w:rsidRPr="000C1C67" w:rsidRDefault="00B761FC" w:rsidP="00070765">
            <w:pPr>
              <w:rPr>
                <w:sz w:val="22"/>
              </w:rPr>
            </w:pPr>
            <w:r w:rsidRPr="000C1C67">
              <w:rPr>
                <w:rFonts w:ascii="Calibri" w:hAnsi="Calibri" w:cs="Calibri"/>
                <w:color w:val="000000"/>
                <w:sz w:val="22"/>
              </w:rPr>
              <w:t>Senova D80</w:t>
            </w:r>
          </w:p>
        </w:tc>
        <w:tc>
          <w:tcPr>
            <w:tcW w:w="848" w:type="dxa"/>
            <w:vAlign w:val="center"/>
          </w:tcPr>
          <w:p w14:paraId="3C3EB02C" w14:textId="77777777" w:rsidR="00B761FC" w:rsidRPr="000C1C67" w:rsidRDefault="00B761FC" w:rsidP="00070765">
            <w:pPr>
              <w:rPr>
                <w:sz w:val="22"/>
              </w:rPr>
            </w:pPr>
            <w:r w:rsidRPr="000C1C67">
              <w:rPr>
                <w:rFonts w:ascii="Calibri" w:hAnsi="Calibri" w:cs="Calibri"/>
                <w:color w:val="000000"/>
                <w:sz w:val="22"/>
              </w:rPr>
              <w:t>2015</w:t>
            </w:r>
          </w:p>
        </w:tc>
        <w:tc>
          <w:tcPr>
            <w:tcW w:w="2552" w:type="dxa"/>
            <w:vAlign w:val="center"/>
          </w:tcPr>
          <w:p w14:paraId="4BF95FA6" w14:textId="77777777" w:rsidR="00B761FC" w:rsidRPr="000C1C67" w:rsidRDefault="00B761FC" w:rsidP="00070765">
            <w:pPr>
              <w:rPr>
                <w:sz w:val="22"/>
              </w:rPr>
            </w:pPr>
            <w:r w:rsidRPr="000C1C67">
              <w:rPr>
                <w:rFonts w:ascii="Calibri" w:hAnsi="Calibri" w:cs="Calibri"/>
                <w:color w:val="000000"/>
                <w:sz w:val="22"/>
              </w:rPr>
              <w:t>Medium and large sedan</w:t>
            </w:r>
            <w:r w:rsidRPr="000C1C67">
              <w:rPr>
                <w:sz w:val="22"/>
              </w:rPr>
              <w:t xml:space="preserve"> </w:t>
            </w:r>
          </w:p>
        </w:tc>
        <w:tc>
          <w:tcPr>
            <w:tcW w:w="1133" w:type="dxa"/>
            <w:vAlign w:val="center"/>
          </w:tcPr>
          <w:p w14:paraId="38D75113" w14:textId="77777777" w:rsidR="00B761FC" w:rsidRPr="000C1C67" w:rsidRDefault="00B761FC" w:rsidP="00070765">
            <w:pPr>
              <w:rPr>
                <w:sz w:val="22"/>
              </w:rPr>
            </w:pPr>
            <w:r w:rsidRPr="000C1C67">
              <w:rPr>
                <w:rFonts w:ascii="Calibri" w:hAnsi="Calibri" w:cs="Calibri"/>
                <w:color w:val="000000"/>
                <w:sz w:val="22"/>
              </w:rPr>
              <w:t>Gas</w:t>
            </w:r>
          </w:p>
        </w:tc>
        <w:tc>
          <w:tcPr>
            <w:tcW w:w="1701" w:type="dxa"/>
            <w:vAlign w:val="center"/>
          </w:tcPr>
          <w:p w14:paraId="374E23B7"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Volvo C40</w:t>
            </w:r>
          </w:p>
        </w:tc>
        <w:tc>
          <w:tcPr>
            <w:tcW w:w="993" w:type="dxa"/>
            <w:vAlign w:val="center"/>
          </w:tcPr>
          <w:p w14:paraId="4BBCE6D7"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2022</w:t>
            </w:r>
          </w:p>
        </w:tc>
        <w:tc>
          <w:tcPr>
            <w:tcW w:w="2324" w:type="dxa"/>
            <w:vAlign w:val="center"/>
          </w:tcPr>
          <w:p w14:paraId="28F0AB43"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Lux sub-compact SUV</w:t>
            </w:r>
          </w:p>
        </w:tc>
        <w:tc>
          <w:tcPr>
            <w:tcW w:w="1538" w:type="dxa"/>
            <w:vAlign w:val="center"/>
          </w:tcPr>
          <w:p w14:paraId="33E6E50F" w14:textId="77777777" w:rsidR="00B761FC" w:rsidRPr="000C1C67" w:rsidRDefault="00B761FC" w:rsidP="00070765">
            <w:pPr>
              <w:rPr>
                <w:rFonts w:ascii="Calibri" w:hAnsi="Calibri" w:cs="Calibri"/>
                <w:color w:val="000000"/>
                <w:sz w:val="22"/>
              </w:rPr>
            </w:pPr>
            <w:r w:rsidRPr="000C1C67">
              <w:rPr>
                <w:rFonts w:ascii="Calibri" w:hAnsi="Calibri" w:cs="Calibri" w:hint="eastAsia"/>
                <w:color w:val="000000"/>
                <w:sz w:val="22"/>
              </w:rPr>
              <w:t>EV</w:t>
            </w:r>
          </w:p>
        </w:tc>
      </w:tr>
      <w:tr w:rsidR="00B761FC" w:rsidRPr="000C1C67" w14:paraId="5BC32B2E" w14:textId="77777777" w:rsidTr="00070765">
        <w:tc>
          <w:tcPr>
            <w:tcW w:w="1699" w:type="dxa"/>
            <w:vAlign w:val="center"/>
          </w:tcPr>
          <w:p w14:paraId="3E4EB9F2" w14:textId="77777777" w:rsidR="00B761FC" w:rsidRPr="000C1C67" w:rsidRDefault="00B761FC" w:rsidP="00070765">
            <w:pPr>
              <w:rPr>
                <w:sz w:val="22"/>
              </w:rPr>
            </w:pPr>
            <w:r w:rsidRPr="000C1C67">
              <w:rPr>
                <w:rFonts w:ascii="Calibri" w:hAnsi="Calibri" w:cs="Calibri"/>
                <w:color w:val="000000"/>
                <w:sz w:val="22"/>
              </w:rPr>
              <w:t>Senova X25</w:t>
            </w:r>
          </w:p>
        </w:tc>
        <w:tc>
          <w:tcPr>
            <w:tcW w:w="848" w:type="dxa"/>
            <w:vAlign w:val="center"/>
          </w:tcPr>
          <w:p w14:paraId="6D4049FC" w14:textId="77777777" w:rsidR="00B761FC" w:rsidRPr="000C1C67" w:rsidRDefault="00B761FC" w:rsidP="00070765">
            <w:pPr>
              <w:rPr>
                <w:sz w:val="22"/>
              </w:rPr>
            </w:pPr>
            <w:r w:rsidRPr="000C1C67">
              <w:rPr>
                <w:rFonts w:ascii="Calibri" w:hAnsi="Calibri" w:cs="Calibri"/>
                <w:color w:val="000000"/>
                <w:sz w:val="22"/>
              </w:rPr>
              <w:t>2015</w:t>
            </w:r>
          </w:p>
        </w:tc>
        <w:tc>
          <w:tcPr>
            <w:tcW w:w="2552" w:type="dxa"/>
            <w:vAlign w:val="center"/>
          </w:tcPr>
          <w:p w14:paraId="566336EA" w14:textId="77777777" w:rsidR="00B761FC" w:rsidRPr="000C1C67" w:rsidRDefault="00B761FC" w:rsidP="00070765">
            <w:pPr>
              <w:rPr>
                <w:sz w:val="22"/>
              </w:rPr>
            </w:pPr>
            <w:r w:rsidRPr="000C1C67">
              <w:rPr>
                <w:rFonts w:ascii="Calibri" w:hAnsi="Calibri" w:cs="Calibri"/>
                <w:color w:val="000000"/>
                <w:sz w:val="22"/>
              </w:rPr>
              <w:t>Small SUV</w:t>
            </w:r>
          </w:p>
        </w:tc>
        <w:tc>
          <w:tcPr>
            <w:tcW w:w="1133" w:type="dxa"/>
            <w:vAlign w:val="center"/>
          </w:tcPr>
          <w:p w14:paraId="373E9E47" w14:textId="77777777" w:rsidR="00B761FC" w:rsidRPr="000C1C67" w:rsidRDefault="00B761FC" w:rsidP="00070765">
            <w:pPr>
              <w:rPr>
                <w:sz w:val="22"/>
              </w:rPr>
            </w:pPr>
            <w:r w:rsidRPr="000C1C67">
              <w:rPr>
                <w:rFonts w:ascii="Calibri" w:hAnsi="Calibri" w:cs="Calibri"/>
                <w:color w:val="000000"/>
                <w:sz w:val="22"/>
              </w:rPr>
              <w:t>Gas</w:t>
            </w:r>
          </w:p>
        </w:tc>
        <w:tc>
          <w:tcPr>
            <w:tcW w:w="1701" w:type="dxa"/>
            <w:vAlign w:val="center"/>
          </w:tcPr>
          <w:p w14:paraId="784AD983" w14:textId="77777777" w:rsidR="00B761FC" w:rsidRPr="000C1C67" w:rsidRDefault="00B761FC" w:rsidP="00070765">
            <w:pPr>
              <w:rPr>
                <w:rFonts w:ascii="Calibri" w:hAnsi="Calibri" w:cs="Calibri"/>
                <w:color w:val="000000"/>
                <w:sz w:val="22"/>
              </w:rPr>
            </w:pPr>
          </w:p>
        </w:tc>
        <w:tc>
          <w:tcPr>
            <w:tcW w:w="993" w:type="dxa"/>
            <w:vAlign w:val="center"/>
          </w:tcPr>
          <w:p w14:paraId="6A8780FB" w14:textId="77777777" w:rsidR="00B761FC" w:rsidRPr="000C1C67" w:rsidRDefault="00B761FC" w:rsidP="00070765">
            <w:pPr>
              <w:rPr>
                <w:rFonts w:ascii="Calibri" w:hAnsi="Calibri" w:cs="Calibri"/>
                <w:color w:val="000000"/>
                <w:sz w:val="22"/>
              </w:rPr>
            </w:pPr>
          </w:p>
        </w:tc>
        <w:tc>
          <w:tcPr>
            <w:tcW w:w="2324" w:type="dxa"/>
            <w:vAlign w:val="center"/>
          </w:tcPr>
          <w:p w14:paraId="6B6C09E7" w14:textId="77777777" w:rsidR="00B761FC" w:rsidRPr="000C1C67" w:rsidRDefault="00B761FC" w:rsidP="00070765">
            <w:pPr>
              <w:rPr>
                <w:rFonts w:ascii="Calibri" w:hAnsi="Calibri" w:cs="Calibri"/>
                <w:color w:val="000000"/>
                <w:sz w:val="22"/>
              </w:rPr>
            </w:pPr>
          </w:p>
        </w:tc>
        <w:tc>
          <w:tcPr>
            <w:tcW w:w="1538" w:type="dxa"/>
            <w:vAlign w:val="center"/>
          </w:tcPr>
          <w:p w14:paraId="2AC4D243" w14:textId="77777777" w:rsidR="00B761FC" w:rsidRPr="000C1C67" w:rsidRDefault="00B761FC" w:rsidP="00070765">
            <w:pPr>
              <w:rPr>
                <w:rFonts w:ascii="Calibri" w:hAnsi="Calibri" w:cs="Calibri"/>
                <w:color w:val="000000"/>
                <w:sz w:val="22"/>
              </w:rPr>
            </w:pPr>
          </w:p>
        </w:tc>
      </w:tr>
      <w:tr w:rsidR="00B761FC" w:rsidRPr="000C1C67" w14:paraId="21F93E1F" w14:textId="77777777" w:rsidTr="00070765">
        <w:tc>
          <w:tcPr>
            <w:tcW w:w="1699" w:type="dxa"/>
            <w:vAlign w:val="center"/>
          </w:tcPr>
          <w:p w14:paraId="695C718E" w14:textId="77777777" w:rsidR="00B761FC" w:rsidRPr="000C1C67" w:rsidRDefault="00B761FC" w:rsidP="00070765">
            <w:pPr>
              <w:rPr>
                <w:sz w:val="22"/>
              </w:rPr>
            </w:pPr>
            <w:r w:rsidRPr="000C1C67">
              <w:rPr>
                <w:rFonts w:ascii="Calibri" w:hAnsi="Calibri" w:cs="Calibri"/>
                <w:color w:val="000000"/>
                <w:sz w:val="22"/>
              </w:rPr>
              <w:t>Senova X35</w:t>
            </w:r>
          </w:p>
        </w:tc>
        <w:tc>
          <w:tcPr>
            <w:tcW w:w="848" w:type="dxa"/>
            <w:vAlign w:val="center"/>
          </w:tcPr>
          <w:p w14:paraId="1A7D395E" w14:textId="77777777" w:rsidR="00B761FC" w:rsidRPr="000C1C67" w:rsidRDefault="00B761FC" w:rsidP="00070765">
            <w:pPr>
              <w:rPr>
                <w:sz w:val="22"/>
              </w:rPr>
            </w:pPr>
            <w:r w:rsidRPr="000C1C67">
              <w:rPr>
                <w:rFonts w:ascii="Calibri" w:hAnsi="Calibri" w:cs="Calibri"/>
                <w:color w:val="000000"/>
                <w:sz w:val="22"/>
              </w:rPr>
              <w:t>2016</w:t>
            </w:r>
          </w:p>
        </w:tc>
        <w:tc>
          <w:tcPr>
            <w:tcW w:w="2552" w:type="dxa"/>
            <w:vAlign w:val="center"/>
          </w:tcPr>
          <w:p w14:paraId="510E8A63" w14:textId="77777777" w:rsidR="00B761FC" w:rsidRPr="000C1C67" w:rsidRDefault="00B761FC" w:rsidP="00070765">
            <w:pPr>
              <w:rPr>
                <w:sz w:val="22"/>
              </w:rPr>
            </w:pPr>
            <w:r w:rsidRPr="000C1C67">
              <w:rPr>
                <w:rFonts w:ascii="Calibri" w:hAnsi="Calibri" w:cs="Calibri"/>
                <w:color w:val="000000"/>
                <w:sz w:val="22"/>
              </w:rPr>
              <w:t>Small SUV</w:t>
            </w:r>
          </w:p>
        </w:tc>
        <w:tc>
          <w:tcPr>
            <w:tcW w:w="1133" w:type="dxa"/>
            <w:vAlign w:val="center"/>
          </w:tcPr>
          <w:p w14:paraId="35DFDD7E" w14:textId="77777777" w:rsidR="00B761FC" w:rsidRPr="000C1C67" w:rsidRDefault="00B761FC" w:rsidP="00070765">
            <w:pPr>
              <w:rPr>
                <w:sz w:val="22"/>
              </w:rPr>
            </w:pPr>
            <w:r w:rsidRPr="000C1C67">
              <w:rPr>
                <w:rFonts w:ascii="Calibri" w:hAnsi="Calibri" w:cs="Calibri"/>
                <w:color w:val="000000"/>
                <w:sz w:val="22"/>
              </w:rPr>
              <w:t>Gas</w:t>
            </w:r>
          </w:p>
        </w:tc>
        <w:tc>
          <w:tcPr>
            <w:tcW w:w="1701" w:type="dxa"/>
          </w:tcPr>
          <w:p w14:paraId="68410955" w14:textId="77777777" w:rsidR="00B761FC" w:rsidRPr="000C1C67" w:rsidRDefault="00B761FC" w:rsidP="00070765">
            <w:pPr>
              <w:rPr>
                <w:rFonts w:ascii="Calibri" w:hAnsi="Calibri" w:cs="Calibri"/>
                <w:color w:val="000000"/>
                <w:sz w:val="22"/>
              </w:rPr>
            </w:pPr>
          </w:p>
        </w:tc>
        <w:tc>
          <w:tcPr>
            <w:tcW w:w="993" w:type="dxa"/>
          </w:tcPr>
          <w:p w14:paraId="220FE490" w14:textId="77777777" w:rsidR="00B761FC" w:rsidRPr="000C1C67" w:rsidRDefault="00B761FC" w:rsidP="00070765">
            <w:pPr>
              <w:rPr>
                <w:rFonts w:ascii="Calibri" w:hAnsi="Calibri" w:cs="Calibri"/>
                <w:color w:val="000000"/>
                <w:sz w:val="22"/>
              </w:rPr>
            </w:pPr>
          </w:p>
        </w:tc>
        <w:tc>
          <w:tcPr>
            <w:tcW w:w="2324" w:type="dxa"/>
          </w:tcPr>
          <w:p w14:paraId="56C02441" w14:textId="77777777" w:rsidR="00B761FC" w:rsidRPr="000C1C67" w:rsidRDefault="00B761FC" w:rsidP="00070765">
            <w:pPr>
              <w:rPr>
                <w:rFonts w:ascii="Calibri" w:hAnsi="Calibri" w:cs="Calibri"/>
                <w:color w:val="000000"/>
                <w:sz w:val="22"/>
              </w:rPr>
            </w:pPr>
          </w:p>
        </w:tc>
        <w:tc>
          <w:tcPr>
            <w:tcW w:w="1538" w:type="dxa"/>
          </w:tcPr>
          <w:p w14:paraId="243BB771" w14:textId="77777777" w:rsidR="00B761FC" w:rsidRPr="000C1C67" w:rsidRDefault="00B761FC" w:rsidP="00070765">
            <w:pPr>
              <w:rPr>
                <w:rFonts w:ascii="Calibri" w:hAnsi="Calibri" w:cs="Calibri"/>
                <w:color w:val="000000"/>
                <w:sz w:val="22"/>
              </w:rPr>
            </w:pPr>
          </w:p>
        </w:tc>
      </w:tr>
      <w:tr w:rsidR="00B761FC" w:rsidRPr="000C1C67" w14:paraId="64D23DC8" w14:textId="77777777" w:rsidTr="00070765">
        <w:tc>
          <w:tcPr>
            <w:tcW w:w="1699" w:type="dxa"/>
            <w:vAlign w:val="center"/>
          </w:tcPr>
          <w:p w14:paraId="71D0FD75" w14:textId="77777777" w:rsidR="00B761FC" w:rsidRPr="000C1C67" w:rsidRDefault="00B761FC" w:rsidP="00070765">
            <w:pPr>
              <w:rPr>
                <w:sz w:val="22"/>
              </w:rPr>
            </w:pPr>
            <w:r w:rsidRPr="000C1C67">
              <w:rPr>
                <w:rFonts w:ascii="Calibri" w:hAnsi="Calibri" w:cs="Calibri"/>
                <w:color w:val="000000"/>
                <w:sz w:val="22"/>
              </w:rPr>
              <w:t>Senova X55</w:t>
            </w:r>
          </w:p>
        </w:tc>
        <w:tc>
          <w:tcPr>
            <w:tcW w:w="848" w:type="dxa"/>
            <w:vAlign w:val="center"/>
          </w:tcPr>
          <w:p w14:paraId="7998554E" w14:textId="77777777" w:rsidR="00B761FC" w:rsidRPr="000C1C67" w:rsidRDefault="00B761FC" w:rsidP="00070765">
            <w:pPr>
              <w:rPr>
                <w:sz w:val="22"/>
              </w:rPr>
            </w:pPr>
            <w:r w:rsidRPr="000C1C67">
              <w:rPr>
                <w:rFonts w:ascii="Calibri" w:hAnsi="Calibri" w:cs="Calibri"/>
                <w:color w:val="000000"/>
                <w:sz w:val="22"/>
              </w:rPr>
              <w:t>2016</w:t>
            </w:r>
          </w:p>
        </w:tc>
        <w:tc>
          <w:tcPr>
            <w:tcW w:w="2552" w:type="dxa"/>
            <w:vAlign w:val="center"/>
          </w:tcPr>
          <w:p w14:paraId="640D8F70" w14:textId="77777777" w:rsidR="00B761FC" w:rsidRPr="000C1C67" w:rsidRDefault="00B761FC" w:rsidP="00070765">
            <w:pPr>
              <w:rPr>
                <w:sz w:val="22"/>
              </w:rPr>
            </w:pPr>
            <w:r w:rsidRPr="000C1C67">
              <w:rPr>
                <w:rFonts w:ascii="Calibri" w:hAnsi="Calibri" w:cs="Calibri"/>
                <w:color w:val="000000"/>
                <w:sz w:val="22"/>
              </w:rPr>
              <w:t>Compact SUV</w:t>
            </w:r>
          </w:p>
        </w:tc>
        <w:tc>
          <w:tcPr>
            <w:tcW w:w="1133" w:type="dxa"/>
            <w:vAlign w:val="center"/>
          </w:tcPr>
          <w:p w14:paraId="7744B07F" w14:textId="77777777" w:rsidR="00B761FC" w:rsidRPr="000C1C67" w:rsidRDefault="00B761FC" w:rsidP="00070765">
            <w:pPr>
              <w:rPr>
                <w:sz w:val="22"/>
              </w:rPr>
            </w:pPr>
            <w:r w:rsidRPr="000C1C67">
              <w:rPr>
                <w:rFonts w:ascii="Calibri" w:hAnsi="Calibri" w:cs="Calibri"/>
                <w:color w:val="000000"/>
                <w:sz w:val="22"/>
              </w:rPr>
              <w:t>Gas</w:t>
            </w:r>
          </w:p>
        </w:tc>
        <w:tc>
          <w:tcPr>
            <w:tcW w:w="1701" w:type="dxa"/>
          </w:tcPr>
          <w:p w14:paraId="2133FF29" w14:textId="77777777" w:rsidR="00B761FC" w:rsidRPr="000C1C67" w:rsidRDefault="00B761FC" w:rsidP="00070765">
            <w:pPr>
              <w:rPr>
                <w:rFonts w:ascii="Calibri" w:hAnsi="Calibri" w:cs="Calibri"/>
                <w:color w:val="000000"/>
                <w:sz w:val="22"/>
              </w:rPr>
            </w:pPr>
          </w:p>
        </w:tc>
        <w:tc>
          <w:tcPr>
            <w:tcW w:w="993" w:type="dxa"/>
          </w:tcPr>
          <w:p w14:paraId="62D087A8" w14:textId="77777777" w:rsidR="00B761FC" w:rsidRPr="000C1C67" w:rsidRDefault="00B761FC" w:rsidP="00070765">
            <w:pPr>
              <w:rPr>
                <w:rFonts w:ascii="Calibri" w:hAnsi="Calibri" w:cs="Calibri"/>
                <w:color w:val="000000"/>
                <w:sz w:val="22"/>
              </w:rPr>
            </w:pPr>
          </w:p>
        </w:tc>
        <w:tc>
          <w:tcPr>
            <w:tcW w:w="2324" w:type="dxa"/>
          </w:tcPr>
          <w:p w14:paraId="74F127F9" w14:textId="77777777" w:rsidR="00B761FC" w:rsidRPr="000C1C67" w:rsidRDefault="00B761FC" w:rsidP="00070765">
            <w:pPr>
              <w:rPr>
                <w:rFonts w:ascii="Calibri" w:hAnsi="Calibri" w:cs="Calibri"/>
                <w:color w:val="000000"/>
                <w:sz w:val="22"/>
              </w:rPr>
            </w:pPr>
          </w:p>
        </w:tc>
        <w:tc>
          <w:tcPr>
            <w:tcW w:w="1538" w:type="dxa"/>
          </w:tcPr>
          <w:p w14:paraId="62976388" w14:textId="77777777" w:rsidR="00B761FC" w:rsidRPr="000C1C67" w:rsidRDefault="00B761FC" w:rsidP="00070765">
            <w:pPr>
              <w:rPr>
                <w:rFonts w:ascii="Calibri" w:hAnsi="Calibri" w:cs="Calibri"/>
                <w:color w:val="000000"/>
                <w:sz w:val="22"/>
              </w:rPr>
            </w:pPr>
          </w:p>
        </w:tc>
      </w:tr>
      <w:tr w:rsidR="00B761FC" w:rsidRPr="000C1C67" w14:paraId="22D906CF" w14:textId="77777777" w:rsidTr="00070765">
        <w:tc>
          <w:tcPr>
            <w:tcW w:w="1699" w:type="dxa"/>
            <w:vAlign w:val="center"/>
          </w:tcPr>
          <w:p w14:paraId="709918A4" w14:textId="77777777" w:rsidR="00B761FC" w:rsidRPr="000C1C67" w:rsidRDefault="00B761FC" w:rsidP="00070765">
            <w:pPr>
              <w:rPr>
                <w:sz w:val="22"/>
              </w:rPr>
            </w:pPr>
            <w:r w:rsidRPr="000C1C67">
              <w:rPr>
                <w:rFonts w:ascii="Calibri" w:hAnsi="Calibri" w:cs="Calibri"/>
                <w:color w:val="000000"/>
                <w:sz w:val="22"/>
              </w:rPr>
              <w:t>Senova X65</w:t>
            </w:r>
          </w:p>
        </w:tc>
        <w:tc>
          <w:tcPr>
            <w:tcW w:w="848" w:type="dxa"/>
            <w:vAlign w:val="center"/>
          </w:tcPr>
          <w:p w14:paraId="3C533680" w14:textId="77777777" w:rsidR="00B761FC" w:rsidRPr="000C1C67" w:rsidRDefault="00B761FC" w:rsidP="00070765">
            <w:pPr>
              <w:rPr>
                <w:sz w:val="22"/>
              </w:rPr>
            </w:pPr>
            <w:r w:rsidRPr="000C1C67">
              <w:rPr>
                <w:rFonts w:ascii="Calibri" w:hAnsi="Calibri" w:cs="Calibri"/>
                <w:color w:val="000000"/>
                <w:sz w:val="22"/>
              </w:rPr>
              <w:t>2014</w:t>
            </w:r>
          </w:p>
        </w:tc>
        <w:tc>
          <w:tcPr>
            <w:tcW w:w="2552" w:type="dxa"/>
            <w:vAlign w:val="center"/>
          </w:tcPr>
          <w:p w14:paraId="5F5EAE21" w14:textId="77777777" w:rsidR="00B761FC" w:rsidRPr="000C1C67" w:rsidRDefault="00B761FC" w:rsidP="00070765">
            <w:pPr>
              <w:rPr>
                <w:sz w:val="22"/>
              </w:rPr>
            </w:pPr>
            <w:r w:rsidRPr="000C1C67">
              <w:rPr>
                <w:rFonts w:ascii="Calibri" w:hAnsi="Calibri" w:cs="Calibri"/>
                <w:color w:val="000000"/>
                <w:sz w:val="22"/>
              </w:rPr>
              <w:t>Compact SUV</w:t>
            </w:r>
          </w:p>
        </w:tc>
        <w:tc>
          <w:tcPr>
            <w:tcW w:w="1133" w:type="dxa"/>
            <w:vAlign w:val="center"/>
          </w:tcPr>
          <w:p w14:paraId="4E4B1BD4" w14:textId="77777777" w:rsidR="00B761FC" w:rsidRPr="000C1C67" w:rsidRDefault="00B761FC" w:rsidP="00070765">
            <w:pPr>
              <w:rPr>
                <w:sz w:val="22"/>
              </w:rPr>
            </w:pPr>
            <w:r w:rsidRPr="000C1C67">
              <w:rPr>
                <w:rFonts w:ascii="Calibri" w:hAnsi="Calibri" w:cs="Calibri"/>
                <w:color w:val="000000"/>
                <w:sz w:val="22"/>
              </w:rPr>
              <w:t>Gas</w:t>
            </w:r>
          </w:p>
        </w:tc>
        <w:tc>
          <w:tcPr>
            <w:tcW w:w="1701" w:type="dxa"/>
          </w:tcPr>
          <w:p w14:paraId="327766D0" w14:textId="77777777" w:rsidR="00B761FC" w:rsidRPr="000C1C67" w:rsidRDefault="00B761FC" w:rsidP="00070765">
            <w:pPr>
              <w:rPr>
                <w:rFonts w:ascii="Calibri" w:hAnsi="Calibri" w:cs="Calibri"/>
                <w:color w:val="000000"/>
                <w:sz w:val="22"/>
              </w:rPr>
            </w:pPr>
          </w:p>
        </w:tc>
        <w:tc>
          <w:tcPr>
            <w:tcW w:w="993" w:type="dxa"/>
          </w:tcPr>
          <w:p w14:paraId="29B00864" w14:textId="77777777" w:rsidR="00B761FC" w:rsidRPr="000C1C67" w:rsidRDefault="00B761FC" w:rsidP="00070765">
            <w:pPr>
              <w:rPr>
                <w:rFonts w:ascii="Calibri" w:hAnsi="Calibri" w:cs="Calibri"/>
                <w:color w:val="000000"/>
                <w:sz w:val="22"/>
              </w:rPr>
            </w:pPr>
          </w:p>
        </w:tc>
        <w:tc>
          <w:tcPr>
            <w:tcW w:w="2324" w:type="dxa"/>
          </w:tcPr>
          <w:p w14:paraId="613E9B19" w14:textId="77777777" w:rsidR="00B761FC" w:rsidRPr="000C1C67" w:rsidRDefault="00B761FC" w:rsidP="00070765">
            <w:pPr>
              <w:rPr>
                <w:rFonts w:ascii="Calibri" w:hAnsi="Calibri" w:cs="Calibri"/>
                <w:color w:val="000000"/>
                <w:sz w:val="22"/>
              </w:rPr>
            </w:pPr>
          </w:p>
        </w:tc>
        <w:tc>
          <w:tcPr>
            <w:tcW w:w="1538" w:type="dxa"/>
          </w:tcPr>
          <w:p w14:paraId="39D105D1" w14:textId="77777777" w:rsidR="00B761FC" w:rsidRPr="000C1C67" w:rsidRDefault="00B761FC" w:rsidP="00070765">
            <w:pPr>
              <w:rPr>
                <w:rFonts w:ascii="Calibri" w:hAnsi="Calibri" w:cs="Calibri"/>
                <w:color w:val="000000"/>
                <w:sz w:val="22"/>
              </w:rPr>
            </w:pPr>
          </w:p>
        </w:tc>
      </w:tr>
      <w:tr w:rsidR="00B761FC" w:rsidRPr="000C1C67" w14:paraId="5BB3E83D" w14:textId="77777777" w:rsidTr="00070765">
        <w:tc>
          <w:tcPr>
            <w:tcW w:w="1699" w:type="dxa"/>
            <w:vAlign w:val="center"/>
          </w:tcPr>
          <w:p w14:paraId="7AE6EB8B" w14:textId="77777777" w:rsidR="00B761FC" w:rsidRPr="000C1C67" w:rsidRDefault="00B761FC" w:rsidP="00070765">
            <w:pPr>
              <w:rPr>
                <w:sz w:val="22"/>
              </w:rPr>
            </w:pPr>
            <w:proofErr w:type="spellStart"/>
            <w:r w:rsidRPr="000C1C67">
              <w:rPr>
                <w:rFonts w:ascii="Calibri" w:hAnsi="Calibri" w:cs="Calibri"/>
                <w:color w:val="000000"/>
                <w:sz w:val="22"/>
              </w:rPr>
              <w:t>Senova</w:t>
            </w:r>
            <w:proofErr w:type="spellEnd"/>
            <w:r w:rsidRPr="000C1C67">
              <w:rPr>
                <w:rFonts w:ascii="Calibri" w:hAnsi="Calibri" w:cs="Calibri"/>
                <w:color w:val="000000"/>
                <w:sz w:val="22"/>
              </w:rPr>
              <w:t xml:space="preserve"> </w:t>
            </w:r>
            <w:proofErr w:type="spellStart"/>
            <w:r w:rsidRPr="000C1C67">
              <w:rPr>
                <w:rFonts w:ascii="Calibri" w:hAnsi="Calibri" w:cs="Calibri"/>
                <w:color w:val="000000"/>
                <w:sz w:val="22"/>
              </w:rPr>
              <w:t>Zhidao</w:t>
            </w:r>
            <w:proofErr w:type="spellEnd"/>
          </w:p>
        </w:tc>
        <w:tc>
          <w:tcPr>
            <w:tcW w:w="848" w:type="dxa"/>
            <w:vAlign w:val="center"/>
          </w:tcPr>
          <w:p w14:paraId="07E7241E" w14:textId="77777777" w:rsidR="00B761FC" w:rsidRPr="000C1C67" w:rsidRDefault="00B761FC" w:rsidP="00070765">
            <w:pPr>
              <w:rPr>
                <w:sz w:val="22"/>
              </w:rPr>
            </w:pPr>
            <w:r w:rsidRPr="000C1C67">
              <w:rPr>
                <w:rFonts w:ascii="Calibri" w:hAnsi="Calibri" w:cs="Calibri"/>
                <w:color w:val="000000"/>
                <w:sz w:val="22"/>
              </w:rPr>
              <w:t>2018</w:t>
            </w:r>
          </w:p>
        </w:tc>
        <w:tc>
          <w:tcPr>
            <w:tcW w:w="2552" w:type="dxa"/>
            <w:vAlign w:val="center"/>
          </w:tcPr>
          <w:p w14:paraId="496146AC" w14:textId="77777777" w:rsidR="00B761FC" w:rsidRPr="00322FB7" w:rsidRDefault="00B761FC" w:rsidP="00070765">
            <w:pPr>
              <w:rPr>
                <w:rFonts w:ascii="Calibri" w:hAnsi="Calibri" w:cs="Calibri"/>
                <w:color w:val="000000"/>
                <w:sz w:val="22"/>
              </w:rPr>
            </w:pPr>
            <w:r w:rsidRPr="00322FB7">
              <w:rPr>
                <w:rFonts w:ascii="Calibri" w:hAnsi="Calibri" w:cs="Calibri" w:hint="eastAsia"/>
                <w:color w:val="000000"/>
                <w:sz w:val="22"/>
              </w:rPr>
              <w:t>5-door sedan</w:t>
            </w:r>
          </w:p>
        </w:tc>
        <w:tc>
          <w:tcPr>
            <w:tcW w:w="1133" w:type="dxa"/>
            <w:vAlign w:val="center"/>
          </w:tcPr>
          <w:p w14:paraId="33E12208" w14:textId="77777777" w:rsidR="00B761FC" w:rsidRPr="000C1C67" w:rsidRDefault="00B761FC" w:rsidP="00070765">
            <w:pPr>
              <w:rPr>
                <w:sz w:val="22"/>
              </w:rPr>
            </w:pPr>
            <w:r w:rsidRPr="000C1C67">
              <w:rPr>
                <w:rFonts w:ascii="Calibri" w:hAnsi="Calibri" w:cs="Calibri"/>
                <w:color w:val="000000"/>
                <w:sz w:val="22"/>
              </w:rPr>
              <w:t>Gas</w:t>
            </w:r>
          </w:p>
        </w:tc>
        <w:tc>
          <w:tcPr>
            <w:tcW w:w="1701" w:type="dxa"/>
          </w:tcPr>
          <w:p w14:paraId="5EE355CF" w14:textId="77777777" w:rsidR="00B761FC" w:rsidRPr="000C1C67" w:rsidRDefault="00B761FC" w:rsidP="00070765">
            <w:pPr>
              <w:rPr>
                <w:rFonts w:ascii="Calibri" w:hAnsi="Calibri" w:cs="Calibri"/>
                <w:color w:val="000000"/>
                <w:sz w:val="22"/>
              </w:rPr>
            </w:pPr>
          </w:p>
        </w:tc>
        <w:tc>
          <w:tcPr>
            <w:tcW w:w="993" w:type="dxa"/>
          </w:tcPr>
          <w:p w14:paraId="525FDC49" w14:textId="77777777" w:rsidR="00B761FC" w:rsidRPr="000C1C67" w:rsidRDefault="00B761FC" w:rsidP="00070765">
            <w:pPr>
              <w:rPr>
                <w:rFonts w:ascii="Calibri" w:hAnsi="Calibri" w:cs="Calibri"/>
                <w:color w:val="000000"/>
                <w:sz w:val="22"/>
              </w:rPr>
            </w:pPr>
          </w:p>
        </w:tc>
        <w:tc>
          <w:tcPr>
            <w:tcW w:w="2324" w:type="dxa"/>
          </w:tcPr>
          <w:p w14:paraId="4292C08D" w14:textId="77777777" w:rsidR="00B761FC" w:rsidRPr="000C1C67" w:rsidRDefault="00B761FC" w:rsidP="00070765">
            <w:pPr>
              <w:rPr>
                <w:rFonts w:ascii="Calibri" w:hAnsi="Calibri" w:cs="Calibri"/>
                <w:color w:val="000000"/>
                <w:sz w:val="22"/>
              </w:rPr>
            </w:pPr>
          </w:p>
        </w:tc>
        <w:tc>
          <w:tcPr>
            <w:tcW w:w="1538" w:type="dxa"/>
          </w:tcPr>
          <w:p w14:paraId="12F1A782" w14:textId="77777777" w:rsidR="00B761FC" w:rsidRPr="000C1C67" w:rsidRDefault="00B761FC" w:rsidP="00070765">
            <w:pPr>
              <w:rPr>
                <w:rFonts w:ascii="Calibri" w:hAnsi="Calibri" w:cs="Calibri"/>
                <w:color w:val="000000"/>
                <w:sz w:val="22"/>
              </w:rPr>
            </w:pPr>
          </w:p>
        </w:tc>
      </w:tr>
      <w:tr w:rsidR="00B761FC" w:rsidRPr="000C1C67" w14:paraId="1503A40C" w14:textId="77777777" w:rsidTr="00070765">
        <w:tc>
          <w:tcPr>
            <w:tcW w:w="1699" w:type="dxa"/>
            <w:vAlign w:val="center"/>
          </w:tcPr>
          <w:p w14:paraId="1FE146FA" w14:textId="77777777" w:rsidR="00B761FC" w:rsidRPr="000C1C67" w:rsidRDefault="00B761FC" w:rsidP="00070765">
            <w:pPr>
              <w:rPr>
                <w:sz w:val="22"/>
              </w:rPr>
            </w:pPr>
            <w:proofErr w:type="spellStart"/>
            <w:r w:rsidRPr="000C1C67">
              <w:rPr>
                <w:rFonts w:ascii="Calibri" w:hAnsi="Calibri" w:cs="Calibri"/>
                <w:color w:val="000000"/>
                <w:sz w:val="22"/>
              </w:rPr>
              <w:t>Senova</w:t>
            </w:r>
            <w:proofErr w:type="spellEnd"/>
            <w:r w:rsidRPr="000C1C67">
              <w:rPr>
                <w:rFonts w:ascii="Calibri" w:hAnsi="Calibri" w:cs="Calibri"/>
                <w:color w:val="000000"/>
                <w:sz w:val="22"/>
              </w:rPr>
              <w:t xml:space="preserve"> </w:t>
            </w:r>
            <w:proofErr w:type="spellStart"/>
            <w:r w:rsidRPr="000C1C67">
              <w:rPr>
                <w:rFonts w:ascii="Calibri" w:hAnsi="Calibri" w:cs="Calibri"/>
                <w:color w:val="000000"/>
                <w:sz w:val="22"/>
              </w:rPr>
              <w:t>Zhixing</w:t>
            </w:r>
            <w:proofErr w:type="spellEnd"/>
          </w:p>
        </w:tc>
        <w:tc>
          <w:tcPr>
            <w:tcW w:w="848" w:type="dxa"/>
            <w:vAlign w:val="center"/>
          </w:tcPr>
          <w:p w14:paraId="206C9DFE" w14:textId="77777777" w:rsidR="00B761FC" w:rsidRPr="000C1C67" w:rsidRDefault="00B761FC" w:rsidP="00070765">
            <w:pPr>
              <w:rPr>
                <w:sz w:val="22"/>
              </w:rPr>
            </w:pPr>
            <w:r w:rsidRPr="000C1C67">
              <w:rPr>
                <w:rFonts w:ascii="Calibri" w:hAnsi="Calibri" w:cs="Calibri"/>
                <w:color w:val="000000"/>
                <w:sz w:val="22"/>
              </w:rPr>
              <w:t>2018</w:t>
            </w:r>
          </w:p>
        </w:tc>
        <w:tc>
          <w:tcPr>
            <w:tcW w:w="2552" w:type="dxa"/>
            <w:vAlign w:val="center"/>
          </w:tcPr>
          <w:p w14:paraId="01F5E375" w14:textId="77777777" w:rsidR="00B761FC" w:rsidRPr="00322FB7" w:rsidRDefault="00B761FC" w:rsidP="00070765">
            <w:pPr>
              <w:rPr>
                <w:rFonts w:ascii="Calibri" w:hAnsi="Calibri" w:cs="Calibri"/>
                <w:color w:val="000000"/>
                <w:sz w:val="22"/>
              </w:rPr>
            </w:pPr>
            <w:r w:rsidRPr="00322FB7">
              <w:rPr>
                <w:rFonts w:ascii="Calibri" w:hAnsi="Calibri" w:cs="Calibri" w:hint="eastAsia"/>
                <w:color w:val="000000"/>
                <w:sz w:val="22"/>
              </w:rPr>
              <w:t>5-door SUV</w:t>
            </w:r>
            <w:r w:rsidRPr="00322FB7">
              <w:rPr>
                <w:rFonts w:ascii="Calibri" w:hAnsi="Calibri" w:cs="Calibri"/>
                <w:color w:val="000000"/>
                <w:sz w:val="22"/>
              </w:rPr>
              <w:t xml:space="preserve"> </w:t>
            </w:r>
          </w:p>
        </w:tc>
        <w:tc>
          <w:tcPr>
            <w:tcW w:w="1133" w:type="dxa"/>
            <w:vAlign w:val="center"/>
          </w:tcPr>
          <w:p w14:paraId="5123AC3C" w14:textId="77777777" w:rsidR="00B761FC" w:rsidRPr="000C1C67" w:rsidRDefault="00B761FC" w:rsidP="00070765">
            <w:pPr>
              <w:rPr>
                <w:sz w:val="22"/>
              </w:rPr>
            </w:pPr>
            <w:r w:rsidRPr="000C1C67">
              <w:rPr>
                <w:rFonts w:ascii="Calibri" w:hAnsi="Calibri" w:cs="Calibri"/>
                <w:color w:val="000000"/>
                <w:sz w:val="22"/>
              </w:rPr>
              <w:t>Gas</w:t>
            </w:r>
          </w:p>
        </w:tc>
        <w:tc>
          <w:tcPr>
            <w:tcW w:w="1701" w:type="dxa"/>
          </w:tcPr>
          <w:p w14:paraId="6093647F" w14:textId="77777777" w:rsidR="00B761FC" w:rsidRPr="000C1C67" w:rsidRDefault="00B761FC" w:rsidP="00070765">
            <w:pPr>
              <w:rPr>
                <w:rFonts w:ascii="Calibri" w:hAnsi="Calibri" w:cs="Calibri"/>
                <w:color w:val="000000"/>
                <w:sz w:val="22"/>
              </w:rPr>
            </w:pPr>
          </w:p>
        </w:tc>
        <w:tc>
          <w:tcPr>
            <w:tcW w:w="993" w:type="dxa"/>
          </w:tcPr>
          <w:p w14:paraId="11833FCB" w14:textId="77777777" w:rsidR="00B761FC" w:rsidRPr="000C1C67" w:rsidRDefault="00B761FC" w:rsidP="00070765">
            <w:pPr>
              <w:rPr>
                <w:rFonts w:ascii="Calibri" w:hAnsi="Calibri" w:cs="Calibri"/>
                <w:color w:val="000000"/>
                <w:sz w:val="22"/>
              </w:rPr>
            </w:pPr>
          </w:p>
        </w:tc>
        <w:tc>
          <w:tcPr>
            <w:tcW w:w="2324" w:type="dxa"/>
          </w:tcPr>
          <w:p w14:paraId="7333188C" w14:textId="77777777" w:rsidR="00B761FC" w:rsidRPr="000C1C67" w:rsidRDefault="00B761FC" w:rsidP="00070765">
            <w:pPr>
              <w:rPr>
                <w:rFonts w:ascii="Calibri" w:hAnsi="Calibri" w:cs="Calibri"/>
                <w:color w:val="000000"/>
                <w:sz w:val="22"/>
              </w:rPr>
            </w:pPr>
          </w:p>
        </w:tc>
        <w:tc>
          <w:tcPr>
            <w:tcW w:w="1538" w:type="dxa"/>
          </w:tcPr>
          <w:p w14:paraId="0A41AFD8" w14:textId="77777777" w:rsidR="00B761FC" w:rsidRPr="000C1C67" w:rsidRDefault="00B761FC" w:rsidP="00070765">
            <w:pPr>
              <w:rPr>
                <w:rFonts w:ascii="Calibri" w:hAnsi="Calibri" w:cs="Calibri"/>
                <w:color w:val="000000"/>
                <w:sz w:val="22"/>
              </w:rPr>
            </w:pPr>
          </w:p>
        </w:tc>
      </w:tr>
      <w:tr w:rsidR="00B761FC" w:rsidRPr="000C1C67" w14:paraId="1A6DF923" w14:textId="77777777" w:rsidTr="00070765">
        <w:tc>
          <w:tcPr>
            <w:tcW w:w="1699" w:type="dxa"/>
            <w:vAlign w:val="center"/>
          </w:tcPr>
          <w:p w14:paraId="47B92B23" w14:textId="77777777" w:rsidR="00B761FC" w:rsidRPr="000C1C67" w:rsidRDefault="00B761FC" w:rsidP="00070765">
            <w:pPr>
              <w:rPr>
                <w:sz w:val="22"/>
              </w:rPr>
            </w:pPr>
            <w:r w:rsidRPr="000C1C67">
              <w:rPr>
                <w:rFonts w:ascii="Calibri" w:hAnsi="Calibri" w:cs="Calibri"/>
                <w:color w:val="000000"/>
                <w:sz w:val="22"/>
              </w:rPr>
              <w:t>Senova EV</w:t>
            </w:r>
          </w:p>
        </w:tc>
        <w:tc>
          <w:tcPr>
            <w:tcW w:w="848" w:type="dxa"/>
            <w:vAlign w:val="center"/>
          </w:tcPr>
          <w:p w14:paraId="25B8C232" w14:textId="77777777" w:rsidR="00B761FC" w:rsidRPr="000C1C67" w:rsidRDefault="00B761FC" w:rsidP="00070765">
            <w:pPr>
              <w:rPr>
                <w:sz w:val="22"/>
              </w:rPr>
            </w:pPr>
            <w:r w:rsidRPr="000C1C67">
              <w:rPr>
                <w:rFonts w:ascii="Calibri" w:hAnsi="Calibri" w:cs="Calibri"/>
                <w:color w:val="000000"/>
                <w:sz w:val="22"/>
              </w:rPr>
              <w:t>2013</w:t>
            </w:r>
          </w:p>
        </w:tc>
        <w:tc>
          <w:tcPr>
            <w:tcW w:w="2552" w:type="dxa"/>
            <w:vAlign w:val="center"/>
          </w:tcPr>
          <w:p w14:paraId="3BFEC1E5" w14:textId="77777777" w:rsidR="00B761FC" w:rsidRPr="00322FB7" w:rsidRDefault="00B761FC" w:rsidP="00070765">
            <w:pPr>
              <w:rPr>
                <w:rFonts w:ascii="Calibri" w:hAnsi="Calibri" w:cs="Calibri"/>
                <w:color w:val="000000"/>
                <w:sz w:val="22"/>
              </w:rPr>
            </w:pPr>
            <w:r w:rsidRPr="000C1C67">
              <w:rPr>
                <w:rFonts w:ascii="Calibri" w:hAnsi="Calibri" w:cs="Calibri"/>
                <w:color w:val="000000"/>
                <w:sz w:val="22"/>
              </w:rPr>
              <w:t>Midsize sedan (Business)</w:t>
            </w:r>
          </w:p>
        </w:tc>
        <w:tc>
          <w:tcPr>
            <w:tcW w:w="1133" w:type="dxa"/>
            <w:vAlign w:val="center"/>
          </w:tcPr>
          <w:p w14:paraId="37613DD7" w14:textId="77777777" w:rsidR="00B761FC" w:rsidRPr="000C1C67" w:rsidRDefault="00B761FC" w:rsidP="00070765">
            <w:pPr>
              <w:rPr>
                <w:sz w:val="22"/>
              </w:rPr>
            </w:pPr>
            <w:r w:rsidRPr="000C1C67">
              <w:rPr>
                <w:rFonts w:ascii="Calibri" w:hAnsi="Calibri" w:cs="Calibri"/>
                <w:color w:val="000000"/>
                <w:sz w:val="22"/>
              </w:rPr>
              <w:t>Electric</w:t>
            </w:r>
          </w:p>
        </w:tc>
        <w:tc>
          <w:tcPr>
            <w:tcW w:w="1701" w:type="dxa"/>
          </w:tcPr>
          <w:p w14:paraId="288E3E2B" w14:textId="77777777" w:rsidR="00B761FC" w:rsidRPr="000C1C67" w:rsidRDefault="00B761FC" w:rsidP="00070765">
            <w:pPr>
              <w:rPr>
                <w:rFonts w:ascii="Calibri" w:hAnsi="Calibri" w:cs="Calibri"/>
                <w:color w:val="000000"/>
                <w:sz w:val="22"/>
              </w:rPr>
            </w:pPr>
          </w:p>
        </w:tc>
        <w:tc>
          <w:tcPr>
            <w:tcW w:w="993" w:type="dxa"/>
          </w:tcPr>
          <w:p w14:paraId="73F3C206" w14:textId="77777777" w:rsidR="00B761FC" w:rsidRPr="000C1C67" w:rsidRDefault="00B761FC" w:rsidP="00070765">
            <w:pPr>
              <w:rPr>
                <w:rFonts w:ascii="Calibri" w:hAnsi="Calibri" w:cs="Calibri"/>
                <w:color w:val="000000"/>
                <w:sz w:val="22"/>
              </w:rPr>
            </w:pPr>
          </w:p>
        </w:tc>
        <w:tc>
          <w:tcPr>
            <w:tcW w:w="2324" w:type="dxa"/>
          </w:tcPr>
          <w:p w14:paraId="6967482E" w14:textId="77777777" w:rsidR="00B761FC" w:rsidRPr="000C1C67" w:rsidRDefault="00B761FC" w:rsidP="00070765">
            <w:pPr>
              <w:rPr>
                <w:rFonts w:ascii="Calibri" w:hAnsi="Calibri" w:cs="Calibri"/>
                <w:color w:val="000000"/>
                <w:sz w:val="22"/>
              </w:rPr>
            </w:pPr>
          </w:p>
        </w:tc>
        <w:tc>
          <w:tcPr>
            <w:tcW w:w="1538" w:type="dxa"/>
          </w:tcPr>
          <w:p w14:paraId="3A48EB0C" w14:textId="77777777" w:rsidR="00B761FC" w:rsidRPr="000C1C67" w:rsidRDefault="00B761FC" w:rsidP="00070765">
            <w:pPr>
              <w:rPr>
                <w:rFonts w:ascii="Calibri" w:hAnsi="Calibri" w:cs="Calibri"/>
                <w:color w:val="000000"/>
                <w:sz w:val="22"/>
              </w:rPr>
            </w:pPr>
          </w:p>
        </w:tc>
      </w:tr>
    </w:tbl>
    <w:p w14:paraId="07FB7C06" w14:textId="77777777" w:rsidR="00B761FC" w:rsidRPr="006C653C" w:rsidRDefault="00B761FC" w:rsidP="00B761FC">
      <w:pPr>
        <w:pStyle w:val="Para"/>
        <w:rPr>
          <w:rtl/>
        </w:rPr>
      </w:pPr>
      <w:r>
        <w:t>* According to BAIC, Saab technology appears in other local brands of BAIC cars, but they are not reported here.</w:t>
      </w:r>
    </w:p>
    <w:p w14:paraId="55D1B085" w14:textId="77777777" w:rsidR="00B761FC" w:rsidRDefault="00B761FC" w:rsidP="00B761FC"/>
    <w:p w14:paraId="48DAA438" w14:textId="77777777" w:rsidR="003E5EE4" w:rsidRDefault="00DE67BC" w:rsidP="005365D3"/>
    <w:sectPr w:rsidR="003E5EE4" w:rsidSect="006E0DB0">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9D1B" w14:textId="77777777" w:rsidR="00DE67BC" w:rsidRDefault="00DE67BC" w:rsidP="006E0DB0">
      <w:r>
        <w:separator/>
      </w:r>
    </w:p>
  </w:endnote>
  <w:endnote w:type="continuationSeparator" w:id="0">
    <w:p w14:paraId="120C8CC5" w14:textId="77777777" w:rsidR="00DE67BC" w:rsidRDefault="00DE67BC" w:rsidP="006E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BBEB" w14:textId="77777777" w:rsidR="006E0DB0" w:rsidRDefault="006E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1607" w14:textId="77777777" w:rsidR="00DE67BC" w:rsidRDefault="00DE67BC" w:rsidP="006E0DB0">
      <w:r>
        <w:separator/>
      </w:r>
    </w:p>
  </w:footnote>
  <w:footnote w:type="continuationSeparator" w:id="0">
    <w:p w14:paraId="07A75979" w14:textId="77777777" w:rsidR="00DE67BC" w:rsidRDefault="00DE67BC" w:rsidP="006E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B439" w14:textId="77777777" w:rsidR="006E0DB0" w:rsidRDefault="006E0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cademy Management Review&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rw29zr39rd5ce9s9t5txt3ts2vzw9erfrv&quot;&gt;KnowledgeLeader&lt;record-ids&gt;&lt;item&gt;112&lt;/item&gt;&lt;item&gt;782&lt;/item&gt;&lt;item&gt;799&lt;/item&gt;&lt;item&gt;817&lt;/item&gt;&lt;item&gt;831&lt;/item&gt;&lt;item&gt;852&lt;/item&gt;&lt;item&gt;997&lt;/item&gt;&lt;item&gt;1019&lt;/item&gt;&lt;item&gt;1052&lt;/item&gt;&lt;item&gt;1058&lt;/item&gt;&lt;item&gt;1072&lt;/item&gt;&lt;item&gt;1073&lt;/item&gt;&lt;item&gt;1088&lt;/item&gt;&lt;item&gt;1089&lt;/item&gt;&lt;item&gt;1090&lt;/item&gt;&lt;item&gt;1091&lt;/item&gt;&lt;item&gt;1092&lt;/item&gt;&lt;item&gt;1097&lt;/item&gt;&lt;item&gt;1100&lt;/item&gt;&lt;item&gt;1101&lt;/item&gt;&lt;item&gt;1110&lt;/item&gt;&lt;item&gt;1182&lt;/item&gt;&lt;item&gt;1184&lt;/item&gt;&lt;item&gt;1209&lt;/item&gt;&lt;/record-ids&gt;&lt;/item&gt;&lt;/Libraries&gt;"/>
  </w:docVars>
  <w:rsids>
    <w:rsidRoot w:val="006E0DB0"/>
    <w:rsid w:val="00006217"/>
    <w:rsid w:val="00097C25"/>
    <w:rsid w:val="000B216A"/>
    <w:rsid w:val="000C2E86"/>
    <w:rsid w:val="001604A7"/>
    <w:rsid w:val="001866E2"/>
    <w:rsid w:val="001D25D1"/>
    <w:rsid w:val="002578CB"/>
    <w:rsid w:val="00291419"/>
    <w:rsid w:val="0033204B"/>
    <w:rsid w:val="00344CCC"/>
    <w:rsid w:val="00372680"/>
    <w:rsid w:val="003760D5"/>
    <w:rsid w:val="00380A9E"/>
    <w:rsid w:val="00491C6A"/>
    <w:rsid w:val="004D787E"/>
    <w:rsid w:val="005078A6"/>
    <w:rsid w:val="005365D3"/>
    <w:rsid w:val="006505DD"/>
    <w:rsid w:val="0067326A"/>
    <w:rsid w:val="006A0B2E"/>
    <w:rsid w:val="006E0DB0"/>
    <w:rsid w:val="00863BD5"/>
    <w:rsid w:val="00873F45"/>
    <w:rsid w:val="0095027E"/>
    <w:rsid w:val="00955984"/>
    <w:rsid w:val="00B570F5"/>
    <w:rsid w:val="00B761FC"/>
    <w:rsid w:val="00BB6523"/>
    <w:rsid w:val="00C34985"/>
    <w:rsid w:val="00D17DEF"/>
    <w:rsid w:val="00D2593B"/>
    <w:rsid w:val="00D45DEC"/>
    <w:rsid w:val="00DE04EF"/>
    <w:rsid w:val="00DE67BC"/>
    <w:rsid w:val="00E13734"/>
    <w:rsid w:val="00E25EFC"/>
    <w:rsid w:val="00E455AB"/>
    <w:rsid w:val="00E82189"/>
    <w:rsid w:val="00F21C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EB2A0"/>
  <w15:chartTrackingRefBased/>
  <w15:docId w15:val="{9727B476-0374-469F-AB32-D725F557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B0"/>
    <w:pPr>
      <w:widowControl w:val="0"/>
      <w:spacing w:after="0" w:line="240" w:lineRule="auto"/>
      <w:jc w:val="both"/>
    </w:pPr>
    <w:rPr>
      <w:kern w:val="2"/>
      <w:sz w:val="21"/>
    </w:rPr>
  </w:style>
  <w:style w:type="paragraph" w:styleId="Heading1">
    <w:name w:val="heading 1"/>
    <w:basedOn w:val="Normal"/>
    <w:next w:val="Para"/>
    <w:link w:val="Heading1Char"/>
    <w:autoRedefine/>
    <w:uiPriority w:val="9"/>
    <w:qFormat/>
    <w:rsid w:val="00006217"/>
    <w:pPr>
      <w:keepNext/>
      <w:keepLines/>
      <w:spacing w:before="340" w:after="240"/>
      <w:jc w:val="left"/>
      <w:outlineLvl w:val="0"/>
    </w:pPr>
    <w:rPr>
      <w:rFonts w:ascii="Times New Roman" w:eastAsia="Times New Roman" w:hAnsi="Times New Roman"/>
      <w:b/>
      <w:bCs/>
      <w:caps/>
      <w:kern w:val="44"/>
      <w:sz w:val="24"/>
      <w:szCs w:val="44"/>
    </w:rPr>
  </w:style>
  <w:style w:type="paragraph" w:styleId="Heading2">
    <w:name w:val="heading 2"/>
    <w:basedOn w:val="Normal"/>
    <w:next w:val="Para"/>
    <w:link w:val="Heading2Char"/>
    <w:autoRedefine/>
    <w:uiPriority w:val="9"/>
    <w:unhideWhenUsed/>
    <w:qFormat/>
    <w:rsid w:val="006E0DB0"/>
    <w:pPr>
      <w:keepNext/>
      <w:keepLines/>
      <w:spacing w:before="260" w:after="120"/>
      <w:outlineLvl w:val="1"/>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DB0"/>
    <w:rPr>
      <w:rFonts w:ascii="Times New Roman" w:eastAsiaTheme="majorEastAsia" w:hAnsi="Times New Roman" w:cstheme="majorBidi"/>
      <w:b/>
      <w:kern w:val="2"/>
      <w:sz w:val="24"/>
      <w:szCs w:val="32"/>
    </w:rPr>
  </w:style>
  <w:style w:type="paragraph" w:customStyle="1" w:styleId="Para">
    <w:name w:val="Para"/>
    <w:basedOn w:val="Normal"/>
    <w:link w:val="ParaChar"/>
    <w:autoRedefine/>
    <w:qFormat/>
    <w:rsid w:val="006E0DB0"/>
    <w:pPr>
      <w:widowControl/>
      <w:tabs>
        <w:tab w:val="center" w:pos="4320"/>
        <w:tab w:val="left" w:pos="6724"/>
      </w:tabs>
      <w:spacing w:before="100" w:beforeAutospacing="1" w:after="100" w:afterAutospacing="1" w:line="480" w:lineRule="auto"/>
      <w:ind w:firstLine="397"/>
      <w:jc w:val="left"/>
    </w:pPr>
    <w:rPr>
      <w:rFonts w:ascii="Times New Roman" w:hAnsi="Times New Roman" w:cstheme="majorBidi"/>
      <w:color w:val="1C1D1E"/>
      <w:sz w:val="24"/>
      <w:szCs w:val="24"/>
      <w:shd w:val="clear" w:color="auto" w:fill="FFFFFF"/>
    </w:rPr>
  </w:style>
  <w:style w:type="paragraph" w:styleId="Header">
    <w:name w:val="header"/>
    <w:basedOn w:val="Normal"/>
    <w:link w:val="HeaderChar"/>
    <w:uiPriority w:val="99"/>
    <w:unhideWhenUsed/>
    <w:rsid w:val="006E0DB0"/>
    <w:pPr>
      <w:tabs>
        <w:tab w:val="center" w:pos="4680"/>
        <w:tab w:val="right" w:pos="9360"/>
      </w:tabs>
    </w:pPr>
  </w:style>
  <w:style w:type="character" w:customStyle="1" w:styleId="HeaderChar">
    <w:name w:val="Header Char"/>
    <w:basedOn w:val="DefaultParagraphFont"/>
    <w:link w:val="Header"/>
    <w:uiPriority w:val="99"/>
    <w:rsid w:val="006E0DB0"/>
    <w:rPr>
      <w:kern w:val="2"/>
      <w:sz w:val="21"/>
    </w:rPr>
  </w:style>
  <w:style w:type="paragraph" w:styleId="Footer">
    <w:name w:val="footer"/>
    <w:basedOn w:val="Normal"/>
    <w:link w:val="FooterChar"/>
    <w:uiPriority w:val="99"/>
    <w:unhideWhenUsed/>
    <w:rsid w:val="006E0DB0"/>
    <w:pPr>
      <w:tabs>
        <w:tab w:val="center" w:pos="4680"/>
        <w:tab w:val="right" w:pos="9360"/>
      </w:tabs>
    </w:pPr>
  </w:style>
  <w:style w:type="character" w:customStyle="1" w:styleId="FooterChar">
    <w:name w:val="Footer Char"/>
    <w:basedOn w:val="DefaultParagraphFont"/>
    <w:link w:val="Footer"/>
    <w:uiPriority w:val="99"/>
    <w:rsid w:val="006E0DB0"/>
    <w:rPr>
      <w:kern w:val="2"/>
      <w:sz w:val="21"/>
    </w:rPr>
  </w:style>
  <w:style w:type="paragraph" w:customStyle="1" w:styleId="Paracaption">
    <w:name w:val="Para_caption"/>
    <w:basedOn w:val="Subtitle"/>
    <w:autoRedefine/>
    <w:qFormat/>
    <w:rsid w:val="006E0DB0"/>
    <w:pPr>
      <w:spacing w:after="0"/>
      <w:jc w:val="left"/>
    </w:pPr>
    <w:rPr>
      <w:color w:val="000000" w:themeColor="text1"/>
      <w:vertAlign w:val="superscript"/>
    </w:rPr>
  </w:style>
  <w:style w:type="paragraph" w:customStyle="1" w:styleId="TableTitle">
    <w:name w:val="Table_Title"/>
    <w:basedOn w:val="Para"/>
    <w:autoRedefine/>
    <w:qFormat/>
    <w:rsid w:val="006E0DB0"/>
  </w:style>
  <w:style w:type="paragraph" w:styleId="Subtitle">
    <w:name w:val="Subtitle"/>
    <w:basedOn w:val="Normal"/>
    <w:next w:val="Normal"/>
    <w:link w:val="SubtitleChar"/>
    <w:uiPriority w:val="11"/>
    <w:qFormat/>
    <w:rsid w:val="006E0DB0"/>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6E0DB0"/>
    <w:rPr>
      <w:color w:val="5A5A5A" w:themeColor="text1" w:themeTint="A5"/>
      <w:spacing w:val="15"/>
      <w:kern w:val="2"/>
    </w:rPr>
  </w:style>
  <w:style w:type="table" w:styleId="TableGrid">
    <w:name w:val="Table Grid"/>
    <w:basedOn w:val="TableNormal"/>
    <w:uiPriority w:val="39"/>
    <w:rsid w:val="006E0DB0"/>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217"/>
    <w:rPr>
      <w:rFonts w:ascii="Times New Roman" w:eastAsia="Times New Roman" w:hAnsi="Times New Roman"/>
      <w:b/>
      <w:bCs/>
      <w:caps/>
      <w:kern w:val="44"/>
      <w:sz w:val="24"/>
      <w:szCs w:val="44"/>
    </w:rPr>
  </w:style>
  <w:style w:type="paragraph" w:customStyle="1" w:styleId="EndNoteBibliographyTitle">
    <w:name w:val="EndNote Bibliography Title"/>
    <w:basedOn w:val="Normal"/>
    <w:link w:val="EndNoteBibliographyTitleChar"/>
    <w:rsid w:val="005365D3"/>
    <w:pPr>
      <w:jc w:val="center"/>
    </w:pPr>
    <w:rPr>
      <w:rFonts w:ascii="Calibri" w:hAnsi="Calibri" w:cs="Calibri"/>
      <w:noProof/>
      <w:sz w:val="20"/>
    </w:rPr>
  </w:style>
  <w:style w:type="character" w:customStyle="1" w:styleId="ParaChar">
    <w:name w:val="Para Char"/>
    <w:basedOn w:val="DefaultParagraphFont"/>
    <w:link w:val="Para"/>
    <w:rsid w:val="005365D3"/>
    <w:rPr>
      <w:rFonts w:ascii="Times New Roman" w:hAnsi="Times New Roman" w:cstheme="majorBidi"/>
      <w:color w:val="1C1D1E"/>
      <w:kern w:val="2"/>
      <w:sz w:val="24"/>
      <w:szCs w:val="24"/>
    </w:rPr>
  </w:style>
  <w:style w:type="character" w:customStyle="1" w:styleId="EndNoteBibliographyTitleChar">
    <w:name w:val="EndNote Bibliography Title Char"/>
    <w:basedOn w:val="ParaChar"/>
    <w:link w:val="EndNoteBibliographyTitle"/>
    <w:rsid w:val="005365D3"/>
    <w:rPr>
      <w:rFonts w:ascii="Calibri" w:hAnsi="Calibri" w:cs="Calibri"/>
      <w:noProof/>
      <w:color w:val="1C1D1E"/>
      <w:kern w:val="2"/>
      <w:sz w:val="20"/>
      <w:szCs w:val="24"/>
    </w:rPr>
  </w:style>
  <w:style w:type="paragraph" w:customStyle="1" w:styleId="EndNoteBibliography">
    <w:name w:val="EndNote Bibliography"/>
    <w:basedOn w:val="Normal"/>
    <w:link w:val="EndNoteBibliographyChar"/>
    <w:rsid w:val="005365D3"/>
    <w:rPr>
      <w:rFonts w:ascii="Calibri" w:hAnsi="Calibri" w:cs="Calibri"/>
      <w:noProof/>
      <w:sz w:val="20"/>
    </w:rPr>
  </w:style>
  <w:style w:type="character" w:customStyle="1" w:styleId="EndNoteBibliographyChar">
    <w:name w:val="EndNote Bibliography Char"/>
    <w:basedOn w:val="ParaChar"/>
    <w:link w:val="EndNoteBibliography"/>
    <w:rsid w:val="005365D3"/>
    <w:rPr>
      <w:rFonts w:ascii="Calibri" w:hAnsi="Calibri" w:cs="Calibri"/>
      <w:noProof/>
      <w:color w:val="1C1D1E"/>
      <w:kern w:val="2"/>
      <w:sz w:val="20"/>
      <w:szCs w:val="24"/>
    </w:rPr>
  </w:style>
  <w:style w:type="character" w:styleId="Hyperlink">
    <w:name w:val="Hyperlink"/>
    <w:basedOn w:val="DefaultParagraphFont"/>
    <w:uiPriority w:val="99"/>
    <w:unhideWhenUsed/>
    <w:rsid w:val="005365D3"/>
    <w:rPr>
      <w:color w:val="0000FF" w:themeColor="hyperlink"/>
      <w:u w:val="single"/>
    </w:rPr>
  </w:style>
  <w:style w:type="character" w:styleId="UnresolvedMention">
    <w:name w:val="Unresolved Mention"/>
    <w:basedOn w:val="DefaultParagraphFont"/>
    <w:uiPriority w:val="99"/>
    <w:semiHidden/>
    <w:unhideWhenUsed/>
    <w:rsid w:val="005365D3"/>
    <w:rPr>
      <w:color w:val="605E5C"/>
      <w:shd w:val="clear" w:color="auto" w:fill="E1DFDD"/>
    </w:rPr>
  </w:style>
  <w:style w:type="paragraph" w:customStyle="1" w:styleId="ParaTable">
    <w:name w:val="Para_Table"/>
    <w:basedOn w:val="Para"/>
    <w:next w:val="Normal"/>
    <w:autoRedefine/>
    <w:qFormat/>
    <w:rsid w:val="00873F45"/>
    <w:pPr>
      <w:spacing w:line="240" w:lineRule="auto"/>
    </w:pPr>
    <w:rPr>
      <w:rFonts w:ascii="Calibri Light" w:hAnsi="Calibri Light" w:cs="Calibri Light"/>
      <w:sz w:val="20"/>
      <w:szCs w:val="20"/>
    </w:rPr>
  </w:style>
  <w:style w:type="paragraph" w:styleId="Title">
    <w:name w:val="Title"/>
    <w:basedOn w:val="Normal"/>
    <w:next w:val="Normal"/>
    <w:link w:val="TitleChar"/>
    <w:uiPriority w:val="10"/>
    <w:qFormat/>
    <w:rsid w:val="00006217"/>
    <w:pPr>
      <w:spacing w:line="360" w:lineRule="auto"/>
      <w:contextualSpacing/>
      <w:jc w:val="center"/>
    </w:pPr>
    <w:rPr>
      <w:rFonts w:asciiTheme="majorBidi" w:eastAsiaTheme="majorEastAsia" w:hAnsiTheme="majorBidi" w:cstheme="majorBidi"/>
      <w:b/>
      <w:caps/>
      <w:spacing w:val="-10"/>
      <w:kern w:val="28"/>
      <w:sz w:val="24"/>
      <w:szCs w:val="56"/>
    </w:rPr>
  </w:style>
  <w:style w:type="character" w:customStyle="1" w:styleId="TitleChar">
    <w:name w:val="Title Char"/>
    <w:basedOn w:val="DefaultParagraphFont"/>
    <w:link w:val="Title"/>
    <w:uiPriority w:val="10"/>
    <w:rsid w:val="00006217"/>
    <w:rPr>
      <w:rFonts w:asciiTheme="majorBidi" w:eastAsiaTheme="majorEastAsia" w:hAnsiTheme="majorBidi" w:cstheme="majorBidi"/>
      <w:b/>
      <w:caps/>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utotime.cn/news/210305-354.html" TargetMode="External"/><Relationship Id="rId13" Type="http://schemas.openxmlformats.org/officeDocument/2006/relationships/hyperlink" Target="https://www.sohu.com/a/217231374_100084983" TargetMode="External"/><Relationship Id="rId18" Type="http://schemas.openxmlformats.org/officeDocument/2006/relationships/chart" Target="charts/chart2.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mbd.baidu.com/newspage/data/landingsuper?context=%7B%22nid%22%3A%22news_9911335238344945568%22%7D" TargetMode="External"/><Relationship Id="rId12" Type="http://schemas.openxmlformats.org/officeDocument/2006/relationships/hyperlink" Target="https://www.autoweek.com/news/industry-news/a30853991/volvo-and-geely-are-thinking-about-merging-heres-whats-behind-it/" TargetMode="External"/><Relationship Id="rId17"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hyperlink" Target="https://www.scmp.com/business/article/3138823/chinese-carmaker-geely-scraps-us3-billion-secondary-listing-shanghais" TargetMode="External"/><Relationship Id="rId20" Type="http://schemas.openxmlformats.org/officeDocument/2006/relationships/hyperlink" Target="http://carsalesbase.com" TargetMode="External"/><Relationship Id="rId1" Type="http://schemas.openxmlformats.org/officeDocument/2006/relationships/styles" Target="styles.xml"/><Relationship Id="rId6" Type="http://schemas.openxmlformats.org/officeDocument/2006/relationships/hyperlink" Target="https://baijiahao.baidu.com/s?id=1655270161983353405" TargetMode="External"/><Relationship Id="rId11" Type="http://schemas.openxmlformats.org/officeDocument/2006/relationships/hyperlink" Target="https://baijiahao.baidu.com/s?id=1574703782072335"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media.volvocars.com/global/en-gb/media/pressreleases/277344/volvo-cars-and-geely-auto-to-deepen-collaboration" TargetMode="External"/><Relationship Id="rId23" Type="http://schemas.openxmlformats.org/officeDocument/2006/relationships/fontTable" Target="fontTable.xml"/><Relationship Id="rId10" Type="http://schemas.openxmlformats.org/officeDocument/2006/relationships/hyperlink" Target="https://www.guancha.cn/qiche/2019_10_18_521915.shtml" TargetMode="External"/><Relationship Id="rId19"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hyperlink" Target="http://www.china.org.cn/95e/95-english1/2.htm" TargetMode="External"/><Relationship Id="rId14" Type="http://schemas.openxmlformats.org/officeDocument/2006/relationships/hyperlink" Target="https://www.sohu.com/a/441836270_290112"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21271;&#27773;&#24182;&#36141;Saab\autopatentapp_top%20five%20pat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MOR_acquisition\MOR_R4\Geely%20breakdown_Nov1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1271;&#27773;&#24182;&#36141;Saab\Geely%20and%20volvo%20sale%20volumn_updat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'2012after update on 2021July21'!$B$1</c:f>
              <c:strCache>
                <c:ptCount val="1"/>
                <c:pt idx="0">
                  <c:v>China</c:v>
                </c:pt>
              </c:strCache>
            </c:strRef>
          </c:tx>
          <c:spPr>
            <a:ln w="28575" cap="rnd">
              <a:solidFill>
                <a:schemeClr val="tx1"/>
              </a:solidFill>
              <a:prstDash val="sysDash"/>
              <a:round/>
            </a:ln>
            <a:effectLst/>
          </c:spPr>
          <c:marker>
            <c:symbol val="triangle"/>
            <c:size val="8"/>
            <c:spPr>
              <a:solidFill>
                <a:schemeClr val="tx1"/>
              </a:solidFill>
              <a:ln w="9525">
                <a:solidFill>
                  <a:schemeClr val="tx1"/>
                </a:solidFill>
              </a:ln>
              <a:effectLst/>
            </c:spPr>
          </c:marker>
          <c:cat>
            <c:strRef>
              <c:f>'2012after update on 2021July21'!$A$2:$A$22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'2012after update on 2021July21'!$B$2:$B$22</c:f>
              <c:numCache>
                <c:formatCode>General</c:formatCode>
                <c:ptCount val="21"/>
                <c:pt idx="0">
                  <c:v>650</c:v>
                </c:pt>
                <c:pt idx="1">
                  <c:v>894</c:v>
                </c:pt>
                <c:pt idx="2">
                  <c:v>1149</c:v>
                </c:pt>
                <c:pt idx="3">
                  <c:v>1840</c:v>
                </c:pt>
                <c:pt idx="4">
                  <c:v>2621</c:v>
                </c:pt>
                <c:pt idx="5">
                  <c:v>3455</c:v>
                </c:pt>
                <c:pt idx="6">
                  <c:v>4261</c:v>
                </c:pt>
                <c:pt idx="7">
                  <c:v>4919</c:v>
                </c:pt>
                <c:pt idx="8">
                  <c:v>5659</c:v>
                </c:pt>
                <c:pt idx="9">
                  <c:v>5987</c:v>
                </c:pt>
                <c:pt idx="10">
                  <c:v>6708</c:v>
                </c:pt>
                <c:pt idx="11">
                  <c:v>6036</c:v>
                </c:pt>
                <c:pt idx="12">
                  <c:v>8834</c:v>
                </c:pt>
                <c:pt idx="13">
                  <c:v>10886</c:v>
                </c:pt>
                <c:pt idx="14">
                  <c:v>17327</c:v>
                </c:pt>
                <c:pt idx="15">
                  <c:v>17123</c:v>
                </c:pt>
                <c:pt idx="16">
                  <c:v>40465</c:v>
                </c:pt>
                <c:pt idx="17">
                  <c:v>60811</c:v>
                </c:pt>
                <c:pt idx="18">
                  <c:v>79177</c:v>
                </c:pt>
                <c:pt idx="19">
                  <c:v>91424</c:v>
                </c:pt>
                <c:pt idx="20">
                  <c:v>61500</c:v>
                </c:pt>
              </c:numCache>
            </c:numRef>
          </c:val>
          <c:smooth val="0"/>
          <c:extLst>
            <c:ext xmlns:c16="http://schemas.microsoft.com/office/drawing/2014/chart" uri="{C3380CC4-5D6E-409C-BE32-E72D297353CC}">
              <c16:uniqueId val="{00000000-EEEC-431F-B8EC-B92423009E23}"/>
            </c:ext>
          </c:extLst>
        </c:ser>
        <c:ser>
          <c:idx val="1"/>
          <c:order val="1"/>
          <c:tx>
            <c:strRef>
              <c:f>'2012after update on 2021July21'!$C$1</c:f>
              <c:strCache>
                <c:ptCount val="1"/>
                <c:pt idx="0">
                  <c:v>US</c:v>
                </c:pt>
              </c:strCache>
            </c:strRef>
          </c:tx>
          <c:spPr>
            <a:ln w="28575" cap="sq">
              <a:solidFill>
                <a:schemeClr val="tx1"/>
              </a:solidFill>
              <a:prstDash val="dash"/>
              <a:bevel/>
            </a:ln>
            <a:effectLst/>
          </c:spPr>
          <c:marker>
            <c:symbol val="plus"/>
            <c:size val="8"/>
            <c:spPr>
              <a:solidFill>
                <a:schemeClr val="tx1"/>
              </a:solidFill>
              <a:ln w="9525">
                <a:solidFill>
                  <a:schemeClr val="tx1"/>
                </a:solidFill>
              </a:ln>
              <a:effectLst/>
            </c:spPr>
          </c:marker>
          <c:cat>
            <c:strRef>
              <c:f>'2012after update on 2021July21'!$A$2:$A$22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'2012after update on 2021July21'!$C$2:$C$22</c:f>
              <c:numCache>
                <c:formatCode>General</c:formatCode>
                <c:ptCount val="21"/>
                <c:pt idx="0">
                  <c:v>7017</c:v>
                </c:pt>
                <c:pt idx="1">
                  <c:v>8528</c:v>
                </c:pt>
                <c:pt idx="2">
                  <c:v>8891</c:v>
                </c:pt>
                <c:pt idx="3">
                  <c:v>9311</c:v>
                </c:pt>
                <c:pt idx="4">
                  <c:v>9469</c:v>
                </c:pt>
                <c:pt idx="5">
                  <c:v>9940</c:v>
                </c:pt>
                <c:pt idx="6">
                  <c:v>9495</c:v>
                </c:pt>
                <c:pt idx="7">
                  <c:v>9197</c:v>
                </c:pt>
                <c:pt idx="8">
                  <c:v>9282</c:v>
                </c:pt>
                <c:pt idx="9">
                  <c:v>8286</c:v>
                </c:pt>
                <c:pt idx="10">
                  <c:v>8489</c:v>
                </c:pt>
                <c:pt idx="11">
                  <c:v>9824</c:v>
                </c:pt>
                <c:pt idx="12">
                  <c:v>10644</c:v>
                </c:pt>
                <c:pt idx="13">
                  <c:v>11991</c:v>
                </c:pt>
                <c:pt idx="14">
                  <c:v>13240</c:v>
                </c:pt>
                <c:pt idx="15">
                  <c:v>14199</c:v>
                </c:pt>
                <c:pt idx="16">
                  <c:v>16165</c:v>
                </c:pt>
                <c:pt idx="17">
                  <c:v>18425</c:v>
                </c:pt>
                <c:pt idx="18">
                  <c:v>18607</c:v>
                </c:pt>
                <c:pt idx="19">
                  <c:v>17042</c:v>
                </c:pt>
                <c:pt idx="20">
                  <c:v>10041</c:v>
                </c:pt>
              </c:numCache>
            </c:numRef>
          </c:val>
          <c:smooth val="0"/>
          <c:extLst>
            <c:ext xmlns:c16="http://schemas.microsoft.com/office/drawing/2014/chart" uri="{C3380CC4-5D6E-409C-BE32-E72D297353CC}">
              <c16:uniqueId val="{00000001-EEEC-431F-B8EC-B92423009E23}"/>
            </c:ext>
          </c:extLst>
        </c:ser>
        <c:ser>
          <c:idx val="2"/>
          <c:order val="2"/>
          <c:tx>
            <c:strRef>
              <c:f>'2012after update on 2021July21'!$D$1</c:f>
              <c:strCache>
                <c:ptCount val="1"/>
                <c:pt idx="0">
                  <c:v>Korea</c:v>
                </c:pt>
              </c:strCache>
            </c:strRef>
          </c:tx>
          <c:spPr>
            <a:ln w="28575" cap="sq">
              <a:solidFill>
                <a:schemeClr val="tx1"/>
              </a:solidFill>
              <a:miter lim="800000"/>
              <a:headEnd type="diamond"/>
              <a:tailEnd type="diamond"/>
            </a:ln>
            <a:effectLst/>
          </c:spPr>
          <c:marker>
            <c:symbol val="diamond"/>
            <c:size val="10"/>
            <c:spPr>
              <a:solidFill>
                <a:schemeClr val="tx1"/>
              </a:solidFill>
              <a:ln w="9525" cap="sq">
                <a:solidFill>
                  <a:schemeClr val="tx1"/>
                </a:solidFill>
                <a:prstDash val="lgDashDot"/>
                <a:miter lim="800000"/>
                <a:headEnd type="diamond"/>
                <a:tailEnd type="diamond"/>
              </a:ln>
              <a:effectLst/>
            </c:spPr>
          </c:marker>
          <c:cat>
            <c:strRef>
              <c:f>'2012after update on 2021July21'!$A$2:$A$22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'2012after update on 2021July21'!$D$2:$D$22</c:f>
              <c:numCache>
                <c:formatCode>General</c:formatCode>
                <c:ptCount val="21"/>
                <c:pt idx="0">
                  <c:v>3851</c:v>
                </c:pt>
                <c:pt idx="1">
                  <c:v>4294</c:v>
                </c:pt>
                <c:pt idx="2">
                  <c:v>4349</c:v>
                </c:pt>
                <c:pt idx="3">
                  <c:v>4989</c:v>
                </c:pt>
                <c:pt idx="4">
                  <c:v>5325</c:v>
                </c:pt>
                <c:pt idx="5">
                  <c:v>5263</c:v>
                </c:pt>
                <c:pt idx="6">
                  <c:v>5948</c:v>
                </c:pt>
                <c:pt idx="7">
                  <c:v>5462</c:v>
                </c:pt>
                <c:pt idx="8">
                  <c:v>5594</c:v>
                </c:pt>
                <c:pt idx="9">
                  <c:v>4448</c:v>
                </c:pt>
                <c:pt idx="10">
                  <c:v>4662</c:v>
                </c:pt>
                <c:pt idx="11">
                  <c:v>5639</c:v>
                </c:pt>
                <c:pt idx="12">
                  <c:v>5514</c:v>
                </c:pt>
                <c:pt idx="13">
                  <c:v>5829</c:v>
                </c:pt>
                <c:pt idx="14">
                  <c:v>6032</c:v>
                </c:pt>
                <c:pt idx="15">
                  <c:v>6982</c:v>
                </c:pt>
                <c:pt idx="16">
                  <c:v>7588</c:v>
                </c:pt>
                <c:pt idx="17">
                  <c:v>7678</c:v>
                </c:pt>
                <c:pt idx="18">
                  <c:v>6698</c:v>
                </c:pt>
                <c:pt idx="19">
                  <c:v>3697</c:v>
                </c:pt>
                <c:pt idx="20">
                  <c:v>653</c:v>
                </c:pt>
              </c:numCache>
            </c:numRef>
          </c:val>
          <c:smooth val="0"/>
          <c:extLst>
            <c:ext xmlns:c16="http://schemas.microsoft.com/office/drawing/2014/chart" uri="{C3380CC4-5D6E-409C-BE32-E72D297353CC}">
              <c16:uniqueId val="{00000002-EEEC-431F-B8EC-B92423009E23}"/>
            </c:ext>
          </c:extLst>
        </c:ser>
        <c:ser>
          <c:idx val="3"/>
          <c:order val="3"/>
          <c:tx>
            <c:strRef>
              <c:f>'2012after update on 2021July21'!$E$1</c:f>
              <c:strCache>
                <c:ptCount val="1"/>
                <c:pt idx="0">
                  <c:v>Japan</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'2012after update on 2021July21'!$A$2:$A$22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'2012after update on 2021July21'!$E$2:$E$22</c:f>
              <c:numCache>
                <c:formatCode>General</c:formatCode>
                <c:ptCount val="21"/>
                <c:pt idx="0">
                  <c:v>8808</c:v>
                </c:pt>
                <c:pt idx="1">
                  <c:v>9535</c:v>
                </c:pt>
                <c:pt idx="2">
                  <c:v>10955</c:v>
                </c:pt>
                <c:pt idx="3">
                  <c:v>12518</c:v>
                </c:pt>
                <c:pt idx="4">
                  <c:v>11108</c:v>
                </c:pt>
                <c:pt idx="5">
                  <c:v>11752</c:v>
                </c:pt>
                <c:pt idx="6">
                  <c:v>11528</c:v>
                </c:pt>
                <c:pt idx="7">
                  <c:v>12012</c:v>
                </c:pt>
                <c:pt idx="8">
                  <c:v>12384</c:v>
                </c:pt>
                <c:pt idx="9">
                  <c:v>10037</c:v>
                </c:pt>
                <c:pt idx="10">
                  <c:v>8377</c:v>
                </c:pt>
                <c:pt idx="11">
                  <c:v>9961</c:v>
                </c:pt>
                <c:pt idx="12">
                  <c:v>10197</c:v>
                </c:pt>
                <c:pt idx="13">
                  <c:v>9306</c:v>
                </c:pt>
                <c:pt idx="14">
                  <c:v>9903</c:v>
                </c:pt>
                <c:pt idx="15">
                  <c:v>9511</c:v>
                </c:pt>
                <c:pt idx="16">
                  <c:v>10497</c:v>
                </c:pt>
                <c:pt idx="17">
                  <c:v>11937</c:v>
                </c:pt>
                <c:pt idx="18">
                  <c:v>11680</c:v>
                </c:pt>
                <c:pt idx="19">
                  <c:v>9716</c:v>
                </c:pt>
                <c:pt idx="20">
                  <c:v>1005</c:v>
                </c:pt>
              </c:numCache>
            </c:numRef>
          </c:val>
          <c:smooth val="0"/>
          <c:extLst>
            <c:ext xmlns:c16="http://schemas.microsoft.com/office/drawing/2014/chart" uri="{C3380CC4-5D6E-409C-BE32-E72D297353CC}">
              <c16:uniqueId val="{00000003-EEEC-431F-B8EC-B92423009E23}"/>
            </c:ext>
          </c:extLst>
        </c:ser>
        <c:ser>
          <c:idx val="4"/>
          <c:order val="4"/>
          <c:tx>
            <c:strRef>
              <c:f>'2012after update on 2021July21'!$F$1</c:f>
              <c:strCache>
                <c:ptCount val="1"/>
                <c:pt idx="0">
                  <c:v>Europe</c:v>
                </c:pt>
              </c:strCache>
            </c:strRef>
          </c:tx>
          <c:spPr>
            <a:ln w="28575" cap="rnd">
              <a:solidFill>
                <a:schemeClr val="tx1"/>
              </a:solidFill>
              <a:prstDash val="sysDot"/>
              <a:round/>
              <a:tailEnd type="none"/>
            </a:ln>
            <a:effectLst/>
          </c:spPr>
          <c:marker>
            <c:symbol val="circle"/>
            <c:size val="5"/>
            <c:spPr>
              <a:solidFill>
                <a:schemeClr val="tx1"/>
              </a:solidFill>
              <a:ln w="9525">
                <a:solidFill>
                  <a:schemeClr val="tx1"/>
                </a:solidFill>
              </a:ln>
              <a:effectLst/>
            </c:spPr>
          </c:marker>
          <c:cat>
            <c:strRef>
              <c:f>'2012after update on 2021July21'!$A$2:$A$22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'2012after update on 2021July21'!$F$2:$F$22</c:f>
              <c:numCache>
                <c:formatCode>General</c:formatCode>
                <c:ptCount val="21"/>
                <c:pt idx="0">
                  <c:v>3908</c:v>
                </c:pt>
                <c:pt idx="1">
                  <c:v>4085</c:v>
                </c:pt>
                <c:pt idx="2">
                  <c:v>4116</c:v>
                </c:pt>
                <c:pt idx="3">
                  <c:v>4485</c:v>
                </c:pt>
                <c:pt idx="4">
                  <c:v>4814</c:v>
                </c:pt>
                <c:pt idx="5">
                  <c:v>5399</c:v>
                </c:pt>
                <c:pt idx="6">
                  <c:v>5959</c:v>
                </c:pt>
                <c:pt idx="7">
                  <c:v>4919</c:v>
                </c:pt>
                <c:pt idx="8">
                  <c:v>5156</c:v>
                </c:pt>
                <c:pt idx="9">
                  <c:v>4391</c:v>
                </c:pt>
                <c:pt idx="10">
                  <c:v>4520</c:v>
                </c:pt>
                <c:pt idx="11">
                  <c:v>4934</c:v>
                </c:pt>
                <c:pt idx="12">
                  <c:v>5338</c:v>
                </c:pt>
                <c:pt idx="13">
                  <c:v>5496</c:v>
                </c:pt>
                <c:pt idx="14">
                  <c:v>5848</c:v>
                </c:pt>
                <c:pt idx="15">
                  <c:v>6080</c:v>
                </c:pt>
                <c:pt idx="16">
                  <c:v>6599</c:v>
                </c:pt>
                <c:pt idx="17">
                  <c:v>7434</c:v>
                </c:pt>
                <c:pt idx="18">
                  <c:v>7835</c:v>
                </c:pt>
                <c:pt idx="19">
                  <c:v>6931</c:v>
                </c:pt>
                <c:pt idx="20">
                  <c:v>2143</c:v>
                </c:pt>
              </c:numCache>
            </c:numRef>
          </c:val>
          <c:smooth val="0"/>
          <c:extLst>
            <c:ext xmlns:c16="http://schemas.microsoft.com/office/drawing/2014/chart" uri="{C3380CC4-5D6E-409C-BE32-E72D297353CC}">
              <c16:uniqueId val="{00000004-EEEC-431F-B8EC-B92423009E23}"/>
            </c:ext>
          </c:extLst>
        </c:ser>
        <c:dLbls>
          <c:showLegendKey val="0"/>
          <c:showVal val="0"/>
          <c:showCatName val="0"/>
          <c:showSerName val="0"/>
          <c:showPercent val="0"/>
          <c:showBubbleSize val="0"/>
        </c:dLbls>
        <c:marker val="1"/>
        <c:smooth val="0"/>
        <c:axId val="158219648"/>
        <c:axId val="158242304"/>
      </c:lineChart>
      <c:catAx>
        <c:axId val="15821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242304"/>
        <c:crosses val="autoZero"/>
        <c:auto val="1"/>
        <c:lblAlgn val="ctr"/>
        <c:lblOffset val="100"/>
        <c:noMultiLvlLbl val="0"/>
      </c:catAx>
      <c:valAx>
        <c:axId val="15824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821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'Total car number'!$B$19</c:f>
              <c:strCache>
                <c:ptCount val="1"/>
                <c:pt idx="0">
                  <c:v>Geely Auto passenger cars</c:v>
                </c:pt>
              </c:strCache>
            </c:strRef>
          </c:tx>
          <c:spPr>
            <a:solidFill>
              <a:schemeClr val="bg1">
                <a:lumMod val="50000"/>
              </a:schemeClr>
            </a:solidFill>
            <a:ln>
              <a:noFill/>
            </a:ln>
            <a:effectLst/>
          </c:spPr>
          <c:invertIfNegative val="0"/>
          <c:cat>
            <c:numRef>
              <c:f>'Total car number'!$A$20:$A$33</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'Total car number'!$B$20:$B$33</c:f>
              <c:numCache>
                <c:formatCode>General</c:formatCode>
                <c:ptCount val="14"/>
                <c:pt idx="0">
                  <c:v>164495</c:v>
                </c:pt>
                <c:pt idx="1">
                  <c:v>216774</c:v>
                </c:pt>
                <c:pt idx="2">
                  <c:v>204205</c:v>
                </c:pt>
                <c:pt idx="3">
                  <c:v>326710</c:v>
                </c:pt>
                <c:pt idx="4">
                  <c:v>415843</c:v>
                </c:pt>
                <c:pt idx="5">
                  <c:v>421611</c:v>
                </c:pt>
                <c:pt idx="6">
                  <c:v>483483</c:v>
                </c:pt>
                <c:pt idx="7">
                  <c:v>549468</c:v>
                </c:pt>
                <c:pt idx="8">
                  <c:v>417851</c:v>
                </c:pt>
                <c:pt idx="9">
                  <c:v>510097</c:v>
                </c:pt>
                <c:pt idx="10">
                  <c:v>765970</c:v>
                </c:pt>
                <c:pt idx="11">
                  <c:v>1247116</c:v>
                </c:pt>
                <c:pt idx="12">
                  <c:v>1457795</c:v>
                </c:pt>
                <c:pt idx="13">
                  <c:v>1394234</c:v>
                </c:pt>
              </c:numCache>
            </c:numRef>
          </c:val>
          <c:extLst>
            <c:ext xmlns:c16="http://schemas.microsoft.com/office/drawing/2014/chart" uri="{C3380CC4-5D6E-409C-BE32-E72D297353CC}">
              <c16:uniqueId val="{00000000-3359-4828-A2B5-09EEB667EA9A}"/>
            </c:ext>
          </c:extLst>
        </c:ser>
        <c:ser>
          <c:idx val="2"/>
          <c:order val="2"/>
          <c:tx>
            <c:strRef>
              <c:f>'Total car number'!$D$19</c:f>
              <c:strCache>
                <c:ptCount val="1"/>
                <c:pt idx="0">
                  <c:v>BAIC passenger cars</c:v>
                </c:pt>
              </c:strCache>
            </c:strRef>
          </c:tx>
          <c:spPr>
            <a:solidFill>
              <a:schemeClr val="tx1"/>
            </a:solidFill>
            <a:ln>
              <a:noFill/>
            </a:ln>
            <a:effectLst/>
          </c:spPr>
          <c:invertIfNegative val="0"/>
          <c:cat>
            <c:numRef>
              <c:f>'Total car number'!$A$20:$A$33</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'Total car number'!$D$20:$D$33</c:f>
              <c:numCache>
                <c:formatCode>General</c:formatCode>
                <c:ptCount val="14"/>
                <c:pt idx="0">
                  <c:v>10061</c:v>
                </c:pt>
                <c:pt idx="1">
                  <c:v>11343</c:v>
                </c:pt>
                <c:pt idx="2">
                  <c:v>7767</c:v>
                </c:pt>
                <c:pt idx="3">
                  <c:v>8314</c:v>
                </c:pt>
                <c:pt idx="4">
                  <c:v>7274</c:v>
                </c:pt>
                <c:pt idx="5">
                  <c:v>5991</c:v>
                </c:pt>
                <c:pt idx="6">
                  <c:v>29345</c:v>
                </c:pt>
                <c:pt idx="7">
                  <c:v>195711</c:v>
                </c:pt>
                <c:pt idx="8">
                  <c:v>449468</c:v>
                </c:pt>
                <c:pt idx="9">
                  <c:v>632924</c:v>
                </c:pt>
                <c:pt idx="10">
                  <c:v>837967</c:v>
                </c:pt>
                <c:pt idx="11">
                  <c:v>580823</c:v>
                </c:pt>
                <c:pt idx="12">
                  <c:v>433008</c:v>
                </c:pt>
                <c:pt idx="13">
                  <c:v>360005</c:v>
                </c:pt>
              </c:numCache>
            </c:numRef>
          </c:val>
          <c:extLst>
            <c:ext xmlns:c16="http://schemas.microsoft.com/office/drawing/2014/chart" uri="{C3380CC4-5D6E-409C-BE32-E72D297353CC}">
              <c16:uniqueId val="{00000001-3359-4828-A2B5-09EEB667EA9A}"/>
            </c:ext>
          </c:extLst>
        </c:ser>
        <c:dLbls>
          <c:showLegendKey val="0"/>
          <c:showVal val="0"/>
          <c:showCatName val="0"/>
          <c:showSerName val="0"/>
          <c:showPercent val="0"/>
          <c:showBubbleSize val="0"/>
        </c:dLbls>
        <c:gapWidth val="150"/>
        <c:axId val="233526400"/>
        <c:axId val="233527936"/>
      </c:barChart>
      <c:lineChart>
        <c:grouping val="standard"/>
        <c:varyColors val="0"/>
        <c:ser>
          <c:idx val="1"/>
          <c:order val="1"/>
          <c:tx>
            <c:strRef>
              <c:f>'Total car number'!$C$19</c:f>
              <c:strCache>
                <c:ptCount val="1"/>
                <c:pt idx="0">
                  <c:v>Geely China market share</c:v>
                </c:pt>
              </c:strCache>
            </c:strRef>
          </c:tx>
          <c:spPr>
            <a:ln w="28575" cap="rnd">
              <a:solidFill>
                <a:schemeClr val="bg1">
                  <a:lumMod val="50000"/>
                </a:schemeClr>
              </a:solidFill>
              <a:round/>
            </a:ln>
            <a:effectLst/>
          </c:spPr>
          <c:marker>
            <c:symbol val="none"/>
          </c:marker>
          <c:cat>
            <c:numRef>
              <c:f>'Total car number'!$A$20:$A$33</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'Total car number'!$C$20:$C$33</c:f>
              <c:numCache>
                <c:formatCode>0.00%</c:formatCode>
                <c:ptCount val="14"/>
                <c:pt idx="0">
                  <c:v>3.1433374889072163E-2</c:v>
                </c:pt>
                <c:pt idx="1">
                  <c:v>3.3971173694381983E-2</c:v>
                </c:pt>
                <c:pt idx="2">
                  <c:v>3.0307617756385852E-2</c:v>
                </c:pt>
                <c:pt idx="3">
                  <c:v>3.1463339493872734E-2</c:v>
                </c:pt>
                <c:pt idx="4">
                  <c:v>2.9923042123300263E-2</c:v>
                </c:pt>
                <c:pt idx="5">
                  <c:v>2.9106076038606241E-2</c:v>
                </c:pt>
                <c:pt idx="6">
                  <c:v>3.114491442674143E-2</c:v>
                </c:pt>
                <c:pt idx="7">
                  <c:v>3.0382169123471203E-2</c:v>
                </c:pt>
                <c:pt idx="8">
                  <c:v>2.1210098043361082E-2</c:v>
                </c:pt>
                <c:pt idx="9">
                  <c:v>2.4125645930013647E-2</c:v>
                </c:pt>
                <c:pt idx="10">
                  <c:v>3.136554725769207E-2</c:v>
                </c:pt>
                <c:pt idx="11">
                  <c:v>5.0273379915665481E-2</c:v>
                </c:pt>
                <c:pt idx="12">
                  <c:v>6.1484394770139179E-2</c:v>
                </c:pt>
                <c:pt idx="13">
                  <c:v>6.5273127340823967E-2</c:v>
                </c:pt>
              </c:numCache>
            </c:numRef>
          </c:val>
          <c:smooth val="0"/>
          <c:extLst>
            <c:ext xmlns:c16="http://schemas.microsoft.com/office/drawing/2014/chart" uri="{C3380CC4-5D6E-409C-BE32-E72D297353CC}">
              <c16:uniqueId val="{00000002-3359-4828-A2B5-09EEB667EA9A}"/>
            </c:ext>
          </c:extLst>
        </c:ser>
        <c:ser>
          <c:idx val="3"/>
          <c:order val="3"/>
          <c:tx>
            <c:strRef>
              <c:f>'Total car number'!$E$19</c:f>
              <c:strCache>
                <c:ptCount val="1"/>
                <c:pt idx="0">
                  <c:v>BAIC China market share</c:v>
                </c:pt>
              </c:strCache>
            </c:strRef>
          </c:tx>
          <c:spPr>
            <a:ln w="28575" cap="rnd">
              <a:solidFill>
                <a:schemeClr val="tx1"/>
              </a:solidFill>
              <a:round/>
            </a:ln>
            <a:effectLst/>
          </c:spPr>
          <c:marker>
            <c:symbol val="none"/>
          </c:marker>
          <c:cat>
            <c:numRef>
              <c:f>'Total car number'!$A$20:$A$33</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'Total car number'!$E$20:$E$33</c:f>
              <c:numCache>
                <c:formatCode>0.00%</c:formatCode>
                <c:ptCount val="14"/>
                <c:pt idx="0">
                  <c:v>1.9225580398124871E-3</c:v>
                </c:pt>
                <c:pt idx="1">
                  <c:v>1.7775887477989743E-3</c:v>
                </c:pt>
                <c:pt idx="2">
                  <c:v>1.1527595657003938E-3</c:v>
                </c:pt>
                <c:pt idx="3">
                  <c:v>8.006678845216183E-4</c:v>
                </c:pt>
                <c:pt idx="4">
                  <c:v>5.2341919523687095E-4</c:v>
                </c:pt>
                <c:pt idx="5">
                  <c:v>4.1359096785257025E-4</c:v>
                </c:pt>
                <c:pt idx="6">
                  <c:v>1.8903405370048734E-3</c:v>
                </c:pt>
                <c:pt idx="7">
                  <c:v>1.0821603262289474E-2</c:v>
                </c:pt>
                <c:pt idx="8">
                  <c:v>2.2814975547152977E-2</c:v>
                </c:pt>
                <c:pt idx="9">
                  <c:v>2.9934895372072289E-2</c:v>
                </c:pt>
                <c:pt idx="10">
                  <c:v>3.4313737533958832E-2</c:v>
                </c:pt>
                <c:pt idx="11">
                  <c:v>2.3413968983443858E-2</c:v>
                </c:pt>
                <c:pt idx="12">
                  <c:v>1.8262673977224801E-2</c:v>
                </c:pt>
                <c:pt idx="13">
                  <c:v>1.6854166666666667E-2</c:v>
                </c:pt>
              </c:numCache>
            </c:numRef>
          </c:val>
          <c:smooth val="0"/>
          <c:extLst>
            <c:ext xmlns:c16="http://schemas.microsoft.com/office/drawing/2014/chart" uri="{C3380CC4-5D6E-409C-BE32-E72D297353CC}">
              <c16:uniqueId val="{00000003-3359-4828-A2B5-09EEB667EA9A}"/>
            </c:ext>
          </c:extLst>
        </c:ser>
        <c:dLbls>
          <c:showLegendKey val="0"/>
          <c:showVal val="0"/>
          <c:showCatName val="0"/>
          <c:showSerName val="0"/>
          <c:showPercent val="0"/>
          <c:showBubbleSize val="0"/>
        </c:dLbls>
        <c:marker val="1"/>
        <c:smooth val="0"/>
        <c:axId val="233535744"/>
        <c:axId val="233534208"/>
      </c:lineChart>
      <c:catAx>
        <c:axId val="23352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527936"/>
        <c:crosses val="autoZero"/>
        <c:auto val="1"/>
        <c:lblAlgn val="ctr"/>
        <c:lblOffset val="100"/>
        <c:noMultiLvlLbl val="0"/>
      </c:catAx>
      <c:valAx>
        <c:axId val="23352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526400"/>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valAx>
        <c:axId val="23353420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535744"/>
        <c:crosses val="max"/>
        <c:crossBetween val="between"/>
      </c:valAx>
      <c:catAx>
        <c:axId val="233535744"/>
        <c:scaling>
          <c:orientation val="minMax"/>
        </c:scaling>
        <c:delete val="1"/>
        <c:axPos val="b"/>
        <c:numFmt formatCode="General" sourceLinked="1"/>
        <c:majorTickMark val="out"/>
        <c:minorTickMark val="none"/>
        <c:tickLblPos val="nextTo"/>
        <c:crossAx val="2335342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124872102851552E-2"/>
          <c:y val="1.7732105520708218E-2"/>
          <c:w val="0.88031140175274702"/>
          <c:h val="0.81574371000235135"/>
        </c:manualLayout>
      </c:layout>
      <c:barChart>
        <c:barDir val="col"/>
        <c:grouping val="clustered"/>
        <c:varyColors val="0"/>
        <c:ser>
          <c:idx val="1"/>
          <c:order val="0"/>
          <c:tx>
            <c:strRef>
              <c:f>Sheet2!$B$1:$B$2</c:f>
              <c:strCache>
                <c:ptCount val="2"/>
                <c:pt idx="0">
                  <c:v>EU</c:v>
                </c:pt>
                <c:pt idx="1">
                  <c:v>Units</c:v>
                </c:pt>
              </c:strCache>
            </c:strRef>
          </c:tx>
          <c:spPr>
            <a:solidFill>
              <a:schemeClr val="accent2"/>
            </a:solidFill>
            <a:ln>
              <a:noFill/>
            </a:ln>
            <a:effectLst/>
          </c:spPr>
          <c:invertIfNegative val="0"/>
          <c:cat>
            <c:numRef>
              <c:f>Sheet2!$A$12:$A$33</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extLst/>
            </c:numRef>
          </c:cat>
          <c:val>
            <c:numRef>
              <c:f>Sheet2!$B$12:$B$33</c:f>
              <c:numCache>
                <c:formatCode>General</c:formatCode>
                <c:ptCount val="22"/>
                <c:pt idx="0">
                  <c:v>241771</c:v>
                </c:pt>
                <c:pt idx="1">
                  <c:v>230979</c:v>
                </c:pt>
                <c:pt idx="2">
                  <c:v>223684</c:v>
                </c:pt>
                <c:pt idx="3">
                  <c:v>231818</c:v>
                </c:pt>
                <c:pt idx="4">
                  <c:v>216733</c:v>
                </c:pt>
                <c:pt idx="5">
                  <c:v>258988</c:v>
                </c:pt>
                <c:pt idx="6">
                  <c:v>257607</c:v>
                </c:pt>
                <c:pt idx="7">
                  <c:v>244082</c:v>
                </c:pt>
                <c:pt idx="8">
                  <c:v>266045</c:v>
                </c:pt>
                <c:pt idx="9">
                  <c:v>222905</c:v>
                </c:pt>
                <c:pt idx="10">
                  <c:v>207516</c:v>
                </c:pt>
                <c:pt idx="11">
                  <c:v>232377</c:v>
                </c:pt>
                <c:pt idx="12">
                  <c:v>250626</c:v>
                </c:pt>
                <c:pt idx="13">
                  <c:v>231865</c:v>
                </c:pt>
                <c:pt idx="14">
                  <c:v>230474</c:v>
                </c:pt>
                <c:pt idx="15">
                  <c:v>254225</c:v>
                </c:pt>
                <c:pt idx="16">
                  <c:v>284567</c:v>
                </c:pt>
                <c:pt idx="17">
                  <c:v>289309</c:v>
                </c:pt>
                <c:pt idx="18">
                  <c:v>301240</c:v>
                </c:pt>
                <c:pt idx="19">
                  <c:v>319048</c:v>
                </c:pt>
                <c:pt idx="20">
                  <c:v>338721</c:v>
                </c:pt>
                <c:pt idx="21">
                  <c:v>290280</c:v>
                </c:pt>
              </c:numCache>
              <c:extLst/>
            </c:numRef>
          </c:val>
          <c:extLst>
            <c:ext xmlns:c16="http://schemas.microsoft.com/office/drawing/2014/chart" uri="{C3380CC4-5D6E-409C-BE32-E72D297353CC}">
              <c16:uniqueId val="{00000000-ECBF-45BC-AF3F-3A129ED0D59B}"/>
            </c:ext>
          </c:extLst>
        </c:ser>
        <c:ser>
          <c:idx val="3"/>
          <c:order val="2"/>
          <c:tx>
            <c:strRef>
              <c:f>Sheet2!$D$1:$D$2</c:f>
              <c:strCache>
                <c:ptCount val="2"/>
                <c:pt idx="0">
                  <c:v>US</c:v>
                </c:pt>
                <c:pt idx="1">
                  <c:v>Units</c:v>
                </c:pt>
              </c:strCache>
            </c:strRef>
          </c:tx>
          <c:spPr>
            <a:solidFill>
              <a:schemeClr val="accent4"/>
            </a:solidFill>
            <a:ln>
              <a:noFill/>
            </a:ln>
            <a:effectLst/>
          </c:spPr>
          <c:invertIfNegative val="0"/>
          <c:cat>
            <c:numRef>
              <c:f>Sheet2!$A$12:$A$33</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extLst/>
            </c:numRef>
          </c:cat>
          <c:val>
            <c:numRef>
              <c:f>Sheet2!$D$12:$D$33</c:f>
              <c:numCache>
                <c:formatCode>General</c:formatCode>
                <c:ptCount val="22"/>
                <c:pt idx="0">
                  <c:v>116692</c:v>
                </c:pt>
                <c:pt idx="1">
                  <c:v>123178</c:v>
                </c:pt>
                <c:pt idx="2">
                  <c:v>125710</c:v>
                </c:pt>
                <c:pt idx="3">
                  <c:v>110670</c:v>
                </c:pt>
                <c:pt idx="4">
                  <c:v>134586</c:v>
                </c:pt>
                <c:pt idx="5">
                  <c:v>139067</c:v>
                </c:pt>
                <c:pt idx="6">
                  <c:v>123587</c:v>
                </c:pt>
                <c:pt idx="7">
                  <c:v>115807</c:v>
                </c:pt>
                <c:pt idx="8">
                  <c:v>106213</c:v>
                </c:pt>
                <c:pt idx="9">
                  <c:v>73102</c:v>
                </c:pt>
                <c:pt idx="10">
                  <c:v>61435</c:v>
                </c:pt>
                <c:pt idx="11">
                  <c:v>53948</c:v>
                </c:pt>
                <c:pt idx="12">
                  <c:v>67240</c:v>
                </c:pt>
                <c:pt idx="13">
                  <c:v>68117</c:v>
                </c:pt>
                <c:pt idx="14">
                  <c:v>61233</c:v>
                </c:pt>
                <c:pt idx="15">
                  <c:v>56366</c:v>
                </c:pt>
                <c:pt idx="16">
                  <c:v>70047</c:v>
                </c:pt>
                <c:pt idx="17">
                  <c:v>82593</c:v>
                </c:pt>
                <c:pt idx="18">
                  <c:v>81507</c:v>
                </c:pt>
                <c:pt idx="19">
                  <c:v>98263</c:v>
                </c:pt>
                <c:pt idx="20">
                  <c:v>108234</c:v>
                </c:pt>
                <c:pt idx="21">
                  <c:v>110129</c:v>
                </c:pt>
              </c:numCache>
              <c:extLst/>
            </c:numRef>
          </c:val>
          <c:extLst>
            <c:ext xmlns:c16="http://schemas.microsoft.com/office/drawing/2014/chart" uri="{C3380CC4-5D6E-409C-BE32-E72D297353CC}">
              <c16:uniqueId val="{00000001-ECBF-45BC-AF3F-3A129ED0D59B}"/>
            </c:ext>
          </c:extLst>
        </c:ser>
        <c:ser>
          <c:idx val="5"/>
          <c:order val="4"/>
          <c:tx>
            <c:strRef>
              <c:f>Sheet2!$F$1:$F$2</c:f>
              <c:strCache>
                <c:ptCount val="2"/>
                <c:pt idx="0">
                  <c:v>CN</c:v>
                </c:pt>
                <c:pt idx="1">
                  <c:v>Units</c:v>
                </c:pt>
              </c:strCache>
            </c:strRef>
          </c:tx>
          <c:spPr>
            <a:solidFill>
              <a:schemeClr val="accent6"/>
            </a:solidFill>
            <a:ln>
              <a:noFill/>
            </a:ln>
            <a:effectLst/>
          </c:spPr>
          <c:invertIfNegative val="0"/>
          <c:cat>
            <c:strLit>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extLst>
                <c:ext xmlns:c15="http://schemas.microsoft.com/office/drawing/2012/chart" uri="{02D57815-91ED-43cb-92C2-25804820EDAC}">
                  <c15:autoCat val="1"/>
                </c:ext>
              </c:extLst>
            </c:strLit>
          </c:cat>
          <c:val>
            <c:numRef>
              <c:f>Sheet2!$F$12:$F$33</c:f>
              <c:numCache>
                <c:formatCode>General</c:formatCode>
                <c:ptCount val="22"/>
                <c:pt idx="7">
                  <c:v>3324</c:v>
                </c:pt>
                <c:pt idx="8">
                  <c:v>6391</c:v>
                </c:pt>
                <c:pt idx="9">
                  <c:v>5666</c:v>
                </c:pt>
                <c:pt idx="10">
                  <c:v>14496</c:v>
                </c:pt>
                <c:pt idx="11">
                  <c:v>17090</c:v>
                </c:pt>
                <c:pt idx="12">
                  <c:v>14884</c:v>
                </c:pt>
                <c:pt idx="13">
                  <c:v>7453</c:v>
                </c:pt>
                <c:pt idx="14">
                  <c:v>3735</c:v>
                </c:pt>
                <c:pt idx="15">
                  <c:v>18957</c:v>
                </c:pt>
                <c:pt idx="16">
                  <c:v>66994</c:v>
                </c:pt>
                <c:pt idx="17">
                  <c:v>70345</c:v>
                </c:pt>
                <c:pt idx="18">
                  <c:v>90417</c:v>
                </c:pt>
                <c:pt idx="19">
                  <c:v>107598</c:v>
                </c:pt>
                <c:pt idx="20">
                  <c:v>131946</c:v>
                </c:pt>
                <c:pt idx="21">
                  <c:v>148916</c:v>
                </c:pt>
              </c:numCache>
              <c:extLst/>
            </c:numRef>
          </c:val>
          <c:extLst>
            <c:ext xmlns:c16="http://schemas.microsoft.com/office/drawing/2014/chart" uri="{C3380CC4-5D6E-409C-BE32-E72D297353CC}">
              <c16:uniqueId val="{00000002-ECBF-45BC-AF3F-3A129ED0D59B}"/>
            </c:ext>
          </c:extLst>
        </c:ser>
        <c:dLbls>
          <c:showLegendKey val="0"/>
          <c:showVal val="0"/>
          <c:showCatName val="0"/>
          <c:showSerName val="0"/>
          <c:showPercent val="0"/>
          <c:showBubbleSize val="0"/>
        </c:dLbls>
        <c:gapWidth val="150"/>
        <c:axId val="179865472"/>
        <c:axId val="179867008"/>
      </c:barChart>
      <c:lineChart>
        <c:grouping val="standard"/>
        <c:varyColors val="0"/>
        <c:ser>
          <c:idx val="2"/>
          <c:order val="1"/>
          <c:tx>
            <c:strRef>
              <c:f>Sheet2!$C$1:$C$2</c:f>
              <c:strCache>
                <c:ptCount val="2"/>
                <c:pt idx="0">
                  <c:v>EU</c:v>
                </c:pt>
                <c:pt idx="1">
                  <c:v>Market share</c:v>
                </c:pt>
              </c:strCache>
            </c:strRef>
          </c:tx>
          <c:spPr>
            <a:ln w="28575" cap="rnd">
              <a:solidFill>
                <a:schemeClr val="accent3"/>
              </a:solidFill>
              <a:round/>
            </a:ln>
            <a:effectLst/>
          </c:spPr>
          <c:marker>
            <c:symbol val="none"/>
          </c:marker>
          <c:cat>
            <c:numRef>
              <c:f>Sheet2!$A$12:$A$33</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extLst/>
            </c:numRef>
          </c:cat>
          <c:val>
            <c:numRef>
              <c:f>Sheet2!$C$12:$C$33</c:f>
              <c:numCache>
                <c:formatCode>0.00%</c:formatCode>
                <c:ptCount val="22"/>
                <c:pt idx="0">
                  <c:v>1.5800000000000002E-2</c:v>
                </c:pt>
                <c:pt idx="1">
                  <c:v>1.54E-2</c:v>
                </c:pt>
                <c:pt idx="2">
                  <c:v>1.49E-2</c:v>
                </c:pt>
                <c:pt idx="3">
                  <c:v>1.5800000000000002E-2</c:v>
                </c:pt>
                <c:pt idx="4">
                  <c:v>1.4999999999999999E-2</c:v>
                </c:pt>
                <c:pt idx="5">
                  <c:v>1.6E-2</c:v>
                </c:pt>
                <c:pt idx="6">
                  <c:v>1.6E-2</c:v>
                </c:pt>
                <c:pt idx="7">
                  <c:v>1.5699999999999999E-2</c:v>
                </c:pt>
                <c:pt idx="8">
                  <c:v>1.6899999999999998E-2</c:v>
                </c:pt>
                <c:pt idx="9">
                  <c:v>1.54E-2</c:v>
                </c:pt>
                <c:pt idx="10">
                  <c:v>1.4200000000000001E-2</c:v>
                </c:pt>
                <c:pt idx="11">
                  <c:v>1.67E-2</c:v>
                </c:pt>
                <c:pt idx="12">
                  <c:v>1.8100000000000002E-2</c:v>
                </c:pt>
                <c:pt idx="13">
                  <c:v>1.8499999999999999E-2</c:v>
                </c:pt>
                <c:pt idx="14">
                  <c:v>1.8800000000000001E-2</c:v>
                </c:pt>
                <c:pt idx="15">
                  <c:v>1.9599999999999999E-2</c:v>
                </c:pt>
                <c:pt idx="16">
                  <c:v>2.0199999999999999E-2</c:v>
                </c:pt>
                <c:pt idx="17">
                  <c:v>1.9199999999999998E-2</c:v>
                </c:pt>
                <c:pt idx="18">
                  <c:v>1.95E-2</c:v>
                </c:pt>
                <c:pt idx="19">
                  <c:v>2.06E-2</c:v>
                </c:pt>
                <c:pt idx="20">
                  <c:v>2.1600000000000001E-2</c:v>
                </c:pt>
                <c:pt idx="21">
                  <c:v>2.4299999999999999E-2</c:v>
                </c:pt>
              </c:numCache>
              <c:extLst/>
            </c:numRef>
          </c:val>
          <c:smooth val="0"/>
          <c:extLst>
            <c:ext xmlns:c16="http://schemas.microsoft.com/office/drawing/2014/chart" uri="{C3380CC4-5D6E-409C-BE32-E72D297353CC}">
              <c16:uniqueId val="{00000003-ECBF-45BC-AF3F-3A129ED0D59B}"/>
            </c:ext>
          </c:extLst>
        </c:ser>
        <c:ser>
          <c:idx val="4"/>
          <c:order val="3"/>
          <c:tx>
            <c:strRef>
              <c:f>Sheet2!$E$1:$E$2</c:f>
              <c:strCache>
                <c:ptCount val="2"/>
                <c:pt idx="0">
                  <c:v>US</c:v>
                </c:pt>
                <c:pt idx="1">
                  <c:v>Market share</c:v>
                </c:pt>
              </c:strCache>
            </c:strRef>
          </c:tx>
          <c:spPr>
            <a:ln w="28575" cap="rnd">
              <a:solidFill>
                <a:schemeClr val="accent5"/>
              </a:solidFill>
              <a:round/>
            </a:ln>
            <a:effectLst/>
          </c:spPr>
          <c:marker>
            <c:symbol val="none"/>
          </c:marker>
          <c:cat>
            <c:strLit>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extLst>
                <c:ext xmlns:c15="http://schemas.microsoft.com/office/drawing/2012/chart" uri="{02D57815-91ED-43cb-92C2-25804820EDAC}">
                  <c15:autoCat val="1"/>
                </c:ext>
              </c:extLst>
            </c:strLit>
          </c:cat>
          <c:val>
            <c:numRef>
              <c:f>Sheet2!$E$12:$E$33</c:f>
              <c:numCache>
                <c:formatCode>0.00%</c:formatCode>
                <c:ptCount val="22"/>
                <c:pt idx="0">
                  <c:v>7.0000000000000001E-3</c:v>
                </c:pt>
                <c:pt idx="1">
                  <c:v>7.0000000000000001E-3</c:v>
                </c:pt>
                <c:pt idx="2">
                  <c:v>7.0000000000000001E-3</c:v>
                </c:pt>
                <c:pt idx="3">
                  <c:v>7.0000000000000001E-3</c:v>
                </c:pt>
                <c:pt idx="4">
                  <c:v>8.0999999999999996E-3</c:v>
                </c:pt>
                <c:pt idx="5">
                  <c:v>8.2000000000000007E-3</c:v>
                </c:pt>
                <c:pt idx="6">
                  <c:v>7.3000000000000001E-3</c:v>
                </c:pt>
                <c:pt idx="7">
                  <c:v>7.0000000000000001E-3</c:v>
                </c:pt>
                <c:pt idx="8">
                  <c:v>6.6E-3</c:v>
                </c:pt>
                <c:pt idx="9">
                  <c:v>5.4999999999999997E-3</c:v>
                </c:pt>
                <c:pt idx="10">
                  <c:v>5.8999999999999999E-3</c:v>
                </c:pt>
                <c:pt idx="11">
                  <c:v>4.7000000000000002E-3</c:v>
                </c:pt>
                <c:pt idx="12">
                  <c:v>5.3E-3</c:v>
                </c:pt>
                <c:pt idx="13">
                  <c:v>4.7000000000000002E-3</c:v>
                </c:pt>
                <c:pt idx="14">
                  <c:v>3.8999999999999998E-3</c:v>
                </c:pt>
                <c:pt idx="15">
                  <c:v>3.3999999999999998E-3</c:v>
                </c:pt>
                <c:pt idx="16">
                  <c:v>4.0000000000000001E-3</c:v>
                </c:pt>
                <c:pt idx="17">
                  <c:v>4.7000000000000002E-3</c:v>
                </c:pt>
                <c:pt idx="18">
                  <c:v>4.7000000000000002E-3</c:v>
                </c:pt>
                <c:pt idx="19">
                  <c:v>5.7000000000000002E-3</c:v>
                </c:pt>
                <c:pt idx="20">
                  <c:v>6.3E-3</c:v>
                </c:pt>
                <c:pt idx="21">
                  <c:v>7.6E-3</c:v>
                </c:pt>
              </c:numCache>
              <c:extLst/>
            </c:numRef>
          </c:val>
          <c:smooth val="0"/>
          <c:extLst>
            <c:ext xmlns:c16="http://schemas.microsoft.com/office/drawing/2014/chart" uri="{C3380CC4-5D6E-409C-BE32-E72D297353CC}">
              <c16:uniqueId val="{00000004-ECBF-45BC-AF3F-3A129ED0D59B}"/>
            </c:ext>
          </c:extLst>
        </c:ser>
        <c:ser>
          <c:idx val="6"/>
          <c:order val="5"/>
          <c:tx>
            <c:strRef>
              <c:f>Sheet2!$G$1:$G$2</c:f>
              <c:strCache>
                <c:ptCount val="2"/>
                <c:pt idx="0">
                  <c:v>CN</c:v>
                </c:pt>
                <c:pt idx="1">
                  <c:v>Market share</c:v>
                </c:pt>
              </c:strCache>
            </c:strRef>
          </c:tx>
          <c:spPr>
            <a:ln w="28575" cap="rnd">
              <a:solidFill>
                <a:schemeClr val="accent1">
                  <a:lumMod val="60000"/>
                </a:schemeClr>
              </a:solidFill>
              <a:round/>
            </a:ln>
            <a:effectLst/>
          </c:spPr>
          <c:marker>
            <c:symbol val="none"/>
          </c:marker>
          <c:cat>
            <c:strLit>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extLst>
                <c:ext xmlns:c15="http://schemas.microsoft.com/office/drawing/2012/chart" uri="{02D57815-91ED-43cb-92C2-25804820EDAC}">
                  <c15:autoCat val="1"/>
                </c:ext>
              </c:extLst>
            </c:strLit>
          </c:cat>
          <c:val>
            <c:numRef>
              <c:f>Sheet2!$G$12:$G$33</c:f>
              <c:numCache>
                <c:formatCode>General</c:formatCode>
                <c:ptCount val="22"/>
                <c:pt idx="7" formatCode="0.00%">
                  <c:v>8.0000000000000004E-4</c:v>
                </c:pt>
                <c:pt idx="8" formatCode="0.00%">
                  <c:v>1.1999999999999999E-3</c:v>
                </c:pt>
                <c:pt idx="9" formatCode="0.00%">
                  <c:v>1E-3</c:v>
                </c:pt>
                <c:pt idx="10" formatCode="0.00%">
                  <c:v>1.8E-3</c:v>
                </c:pt>
                <c:pt idx="11" formatCode="0.00%">
                  <c:v>1.5E-3</c:v>
                </c:pt>
                <c:pt idx="12" formatCode="0.00%">
                  <c:v>1.1999999999999999E-3</c:v>
                </c:pt>
                <c:pt idx="13" formatCode="0.00%">
                  <c:v>5.9999999999999995E-4</c:v>
                </c:pt>
                <c:pt idx="14" formatCode="0.00%">
                  <c:v>2.0000000000000001E-4</c:v>
                </c:pt>
                <c:pt idx="15" formatCode="0.00%">
                  <c:v>1E-3</c:v>
                </c:pt>
                <c:pt idx="16" formatCode="0.00%">
                  <c:v>3.3E-3</c:v>
                </c:pt>
                <c:pt idx="17" formatCode="0.00%">
                  <c:v>3.0000000000000001E-3</c:v>
                </c:pt>
                <c:pt idx="18" formatCode="0.00%">
                  <c:v>3.7000000000000002E-3</c:v>
                </c:pt>
                <c:pt idx="19" formatCode="0.00%">
                  <c:v>4.5999999999999999E-3</c:v>
                </c:pt>
                <c:pt idx="20" formatCode="0.00%">
                  <c:v>6.1999999999999998E-3</c:v>
                </c:pt>
                <c:pt idx="21" formatCode="0.00%">
                  <c:v>7.6E-3</c:v>
                </c:pt>
              </c:numCache>
              <c:extLst/>
            </c:numRef>
          </c:val>
          <c:smooth val="0"/>
          <c:extLst>
            <c:ext xmlns:c16="http://schemas.microsoft.com/office/drawing/2014/chart" uri="{C3380CC4-5D6E-409C-BE32-E72D297353CC}">
              <c16:uniqueId val="{00000005-ECBF-45BC-AF3F-3A129ED0D59B}"/>
            </c:ext>
          </c:extLst>
        </c:ser>
        <c:dLbls>
          <c:showLegendKey val="0"/>
          <c:showVal val="0"/>
          <c:showCatName val="0"/>
          <c:showSerName val="0"/>
          <c:showPercent val="0"/>
          <c:showBubbleSize val="0"/>
        </c:dLbls>
        <c:marker val="1"/>
        <c:smooth val="0"/>
        <c:axId val="179870336"/>
        <c:axId val="179868800"/>
      </c:lineChart>
      <c:catAx>
        <c:axId val="17986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867008"/>
        <c:crosses val="autoZero"/>
        <c:auto val="1"/>
        <c:lblAlgn val="ctr"/>
        <c:lblOffset val="100"/>
        <c:noMultiLvlLbl val="0"/>
      </c:catAx>
      <c:valAx>
        <c:axId val="179867008"/>
        <c:scaling>
          <c:orientation val="minMax"/>
          <c:max val="35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865472"/>
        <c:crosses val="autoZero"/>
        <c:crossBetween val="between"/>
      </c:valAx>
      <c:valAx>
        <c:axId val="179868800"/>
        <c:scaling>
          <c:orientation val="minMax"/>
          <c:max val="2.5000000000000005E-2"/>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870336"/>
        <c:crosses val="max"/>
        <c:crossBetween val="between"/>
      </c:valAx>
      <c:catAx>
        <c:axId val="179870336"/>
        <c:scaling>
          <c:orientation val="minMax"/>
        </c:scaling>
        <c:delete val="1"/>
        <c:axPos val="b"/>
        <c:numFmt formatCode="General" sourceLinked="1"/>
        <c:majorTickMark val="out"/>
        <c:minorTickMark val="none"/>
        <c:tickLblPos val="nextTo"/>
        <c:crossAx val="179868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6995</Words>
  <Characters>39877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Tina Minchella</cp:lastModifiedBy>
  <cp:revision>3</cp:revision>
  <dcterms:created xsi:type="dcterms:W3CDTF">2022-02-21T16:55:00Z</dcterms:created>
  <dcterms:modified xsi:type="dcterms:W3CDTF">2022-06-17T17:43:00Z</dcterms:modified>
</cp:coreProperties>
</file>