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F714" w14:textId="77777777" w:rsidR="00D23A94" w:rsidRDefault="00D23A94" w:rsidP="00D23A94">
      <w:pPr>
        <w:spacing w:line="480" w:lineRule="auto"/>
        <w:jc w:val="left"/>
        <w:rPr>
          <w:rFonts w:ascii="Times New Roman" w:hAnsi="Times New Roman"/>
          <w:b/>
          <w:bCs/>
          <w:sz w:val="24"/>
          <w:szCs w:val="24"/>
        </w:rPr>
      </w:pPr>
      <w:r>
        <w:rPr>
          <w:rFonts w:ascii="Times New Roman" w:hAnsi="Times New Roman"/>
          <w:b/>
          <w:bCs/>
          <w:sz w:val="24"/>
          <w:szCs w:val="24"/>
        </w:rPr>
        <w:t>APPENDIX I</w:t>
      </w:r>
    </w:p>
    <w:p w14:paraId="5F09B17A" w14:textId="77777777" w:rsidR="00D23A94" w:rsidRPr="00397A65" w:rsidRDefault="00D23A94" w:rsidP="00D23A94">
      <w:pPr>
        <w:spacing w:line="480" w:lineRule="auto"/>
        <w:jc w:val="left"/>
        <w:rPr>
          <w:rFonts w:ascii="Times New Roman" w:hAnsi="Times New Roman"/>
          <w:b/>
          <w:bCs/>
          <w:sz w:val="24"/>
          <w:szCs w:val="24"/>
        </w:rPr>
      </w:pPr>
      <w:r w:rsidRPr="0079584E">
        <w:rPr>
          <w:rFonts w:ascii="Times New Roman" w:hAnsi="Times New Roman"/>
          <w:b/>
          <w:color w:val="000000"/>
          <w:kern w:val="0"/>
          <w:sz w:val="24"/>
          <w:szCs w:val="24"/>
        </w:rPr>
        <w:t>Simple Slopes Tests</w:t>
      </w:r>
    </w:p>
    <w:p w14:paraId="11EA6EDD" w14:textId="77777777" w:rsidR="00D23A94" w:rsidRPr="0079584E" w:rsidRDefault="00D23A94" w:rsidP="00D23A94">
      <w:pPr>
        <w:widowControl/>
        <w:spacing w:line="480" w:lineRule="auto"/>
        <w:jc w:val="left"/>
        <w:rPr>
          <w:rFonts w:ascii="Times New Roman" w:hAnsi="Times New Roman"/>
          <w:sz w:val="24"/>
        </w:rPr>
      </w:pPr>
      <w:r w:rsidRPr="0079584E">
        <w:rPr>
          <w:rFonts w:ascii="Times New Roman" w:hAnsi="Times New Roman" w:hint="eastAsia"/>
          <w:sz w:val="24"/>
        </w:rPr>
        <w:t>To</w:t>
      </w:r>
      <w:r w:rsidRPr="0079584E">
        <w:rPr>
          <w:rFonts w:ascii="Times New Roman" w:hAnsi="Times New Roman"/>
          <w:sz w:val="24"/>
        </w:rPr>
        <w:t xml:space="preserve"> gain more insight into the interaction effects, we plotted the significant interactions-based Models 4 and 5 in Figures A1 and A2. We also followed Aiken, West, and Reno’s (1991) procedure and conducted simple slope tests for significant interactive terms. In separate equations, we split the sample into two groups</w:t>
      </w:r>
      <w:r>
        <w:rPr>
          <w:rFonts w:ascii="Times New Roman" w:hAnsi="Times New Roman"/>
          <w:sz w:val="24"/>
        </w:rPr>
        <w:t xml:space="preserve"> </w:t>
      </w:r>
      <w:r>
        <w:rPr>
          <w:rFonts w:ascii="Times New Roman" w:hAnsi="Times New Roman"/>
          <w:sz w:val="24"/>
          <w:szCs w:val="24"/>
        </w:rPr>
        <w:t xml:space="preserve">– </w:t>
      </w:r>
      <w:r w:rsidRPr="0079584E">
        <w:rPr>
          <w:rFonts w:ascii="Times New Roman" w:hAnsi="Times New Roman"/>
          <w:sz w:val="24"/>
        </w:rPr>
        <w:t>other industry and socially contested industry</w:t>
      </w:r>
      <w:r>
        <w:rPr>
          <w:rFonts w:ascii="Times New Roman" w:hAnsi="Times New Roman"/>
          <w:sz w:val="24"/>
        </w:rPr>
        <w:t xml:space="preserve"> </w:t>
      </w:r>
      <w:r>
        <w:rPr>
          <w:rFonts w:ascii="Times New Roman" w:hAnsi="Times New Roman"/>
          <w:sz w:val="24"/>
          <w:szCs w:val="24"/>
        </w:rPr>
        <w:t xml:space="preserve">– </w:t>
      </w:r>
      <w:r w:rsidRPr="0079584E">
        <w:rPr>
          <w:rFonts w:ascii="Times New Roman" w:hAnsi="Times New Roman"/>
          <w:sz w:val="24"/>
        </w:rPr>
        <w:t>and estimated the effects of private ownership and financial media coverage for different groups. We find that private ownership significantly predicts CSR scope conformity in the other industry group (</w:t>
      </w:r>
      <m:oMath>
        <m:sSub>
          <m:sSubPr>
            <m:ctrlPr>
              <w:rPr>
                <w:rFonts w:ascii="Cambria Math" w:hAnsi="Cambria Math"/>
                <w:sz w:val="24"/>
              </w:rPr>
            </m:ctrlPr>
          </m:sSubPr>
          <m:e>
            <m:r>
              <w:rPr>
                <w:rFonts w:ascii="Cambria Math" w:hAnsi="Cambria Math"/>
                <w:sz w:val="24"/>
              </w:rPr>
              <m:t>β</m:t>
            </m:r>
          </m:e>
          <m:sub>
            <m:r>
              <w:rPr>
                <w:rFonts w:ascii="Cambria Math" w:hAnsi="Cambria Math"/>
                <w:sz w:val="24"/>
              </w:rPr>
              <m:t>Private Ownership</m:t>
            </m:r>
          </m:sub>
        </m:sSub>
      </m:oMath>
      <w:r w:rsidRPr="0079584E">
        <w:rPr>
          <w:rFonts w:ascii="Times New Roman" w:hAnsi="Times New Roman"/>
          <w:sz w:val="24"/>
        </w:rPr>
        <w:t xml:space="preserve">= 0.145, </w:t>
      </w:r>
      <w:r w:rsidRPr="0079584E">
        <w:rPr>
          <w:rFonts w:ascii="Times New Roman" w:hAnsi="Times New Roman"/>
          <w:i/>
          <w:sz w:val="24"/>
        </w:rPr>
        <w:t xml:space="preserve">p </w:t>
      </w:r>
      <w:r w:rsidRPr="0079584E">
        <w:rPr>
          <w:rFonts w:ascii="Times New Roman" w:hAnsi="Times New Roman"/>
          <w:sz w:val="24"/>
        </w:rPr>
        <w:t>&lt; 0.01), but not in the socially contested industry group (</w:t>
      </w:r>
      <m:oMath>
        <m:sSub>
          <m:sSubPr>
            <m:ctrlPr>
              <w:rPr>
                <w:rFonts w:ascii="Cambria Math" w:hAnsi="Cambria Math"/>
                <w:sz w:val="24"/>
              </w:rPr>
            </m:ctrlPr>
          </m:sSubPr>
          <m:e>
            <m:r>
              <w:rPr>
                <w:rFonts w:ascii="Cambria Math" w:hAnsi="Cambria Math"/>
                <w:sz w:val="24"/>
              </w:rPr>
              <m:t>β</m:t>
            </m:r>
          </m:e>
          <m:sub>
            <m:r>
              <w:rPr>
                <w:rFonts w:ascii="Cambria Math" w:hAnsi="Cambria Math"/>
                <w:sz w:val="24"/>
              </w:rPr>
              <m:t>Private Ownership</m:t>
            </m:r>
          </m:sub>
        </m:sSub>
      </m:oMath>
      <w:r w:rsidRPr="0079584E">
        <w:rPr>
          <w:rFonts w:ascii="Times New Roman" w:hAnsi="Times New Roman"/>
          <w:sz w:val="24"/>
        </w:rPr>
        <w:t xml:space="preserve">= -0.115, </w:t>
      </w:r>
      <w:r w:rsidRPr="0079584E">
        <w:rPr>
          <w:rFonts w:ascii="Times New Roman" w:hAnsi="Times New Roman"/>
          <w:i/>
          <w:sz w:val="24"/>
        </w:rPr>
        <w:t xml:space="preserve">p </w:t>
      </w:r>
      <w:r w:rsidRPr="0079584E">
        <w:rPr>
          <w:rFonts w:ascii="Times New Roman" w:hAnsi="Times New Roman"/>
          <w:sz w:val="24"/>
        </w:rPr>
        <w:t>&gt; 0.10). And we find that financial media coverage significantly predicts CSR scope conformity in the socially contested industry group (</w:t>
      </w:r>
      <m:oMath>
        <m:sSub>
          <m:sSubPr>
            <m:ctrlPr>
              <w:rPr>
                <w:rFonts w:ascii="Cambria Math" w:hAnsi="Cambria Math"/>
                <w:sz w:val="24"/>
              </w:rPr>
            </m:ctrlPr>
          </m:sSubPr>
          <m:e>
            <m:r>
              <w:rPr>
                <w:rFonts w:ascii="Cambria Math" w:hAnsi="Cambria Math"/>
                <w:sz w:val="24"/>
              </w:rPr>
              <m:t>β</m:t>
            </m:r>
          </m:e>
          <m:sub>
            <m:r>
              <w:rPr>
                <w:rFonts w:ascii="Cambria Math" w:hAnsi="Cambria Math"/>
                <w:sz w:val="24"/>
              </w:rPr>
              <m:t>Financial Media Coverage</m:t>
            </m:r>
          </m:sub>
        </m:sSub>
      </m:oMath>
      <w:r w:rsidRPr="0079584E">
        <w:rPr>
          <w:rFonts w:ascii="Times New Roman" w:hAnsi="Times New Roman"/>
          <w:sz w:val="24"/>
        </w:rPr>
        <w:t xml:space="preserve">= 0.145, </w:t>
      </w:r>
      <w:r w:rsidRPr="0079584E">
        <w:rPr>
          <w:rFonts w:ascii="Times New Roman" w:hAnsi="Times New Roman"/>
          <w:i/>
          <w:sz w:val="24"/>
        </w:rPr>
        <w:t xml:space="preserve">p </w:t>
      </w:r>
      <w:r w:rsidRPr="0079584E">
        <w:rPr>
          <w:rFonts w:ascii="Times New Roman" w:hAnsi="Times New Roman"/>
          <w:sz w:val="24"/>
        </w:rPr>
        <w:t>&lt; 0.001), but not in the other industry group  (</w:t>
      </w:r>
      <m:oMath>
        <m:sSub>
          <m:sSubPr>
            <m:ctrlPr>
              <w:rPr>
                <w:rFonts w:ascii="Cambria Math" w:hAnsi="Cambria Math"/>
                <w:sz w:val="24"/>
              </w:rPr>
            </m:ctrlPr>
          </m:sSubPr>
          <m:e>
            <m:r>
              <w:rPr>
                <w:rFonts w:ascii="Cambria Math" w:hAnsi="Cambria Math"/>
                <w:sz w:val="24"/>
              </w:rPr>
              <m:t>β</m:t>
            </m:r>
          </m:e>
          <m:sub>
            <m:r>
              <w:rPr>
                <w:rFonts w:ascii="Cambria Math" w:hAnsi="Cambria Math"/>
                <w:sz w:val="24"/>
              </w:rPr>
              <m:t>Financial Media Coverage</m:t>
            </m:r>
          </m:sub>
        </m:sSub>
      </m:oMath>
      <w:r w:rsidRPr="0079584E">
        <w:rPr>
          <w:rFonts w:ascii="Times New Roman" w:hAnsi="Times New Roman"/>
          <w:sz w:val="24"/>
        </w:rPr>
        <w:t xml:space="preserve">= 0.016, </w:t>
      </w:r>
      <w:r w:rsidRPr="0079584E">
        <w:rPr>
          <w:rFonts w:ascii="Times New Roman" w:hAnsi="Times New Roman"/>
          <w:i/>
          <w:sz w:val="24"/>
        </w:rPr>
        <w:t xml:space="preserve">p </w:t>
      </w:r>
      <w:r w:rsidRPr="0079584E">
        <w:rPr>
          <w:rFonts w:ascii="Times New Roman" w:hAnsi="Times New Roman"/>
          <w:sz w:val="24"/>
        </w:rPr>
        <w:t>&gt; 0.10).</w:t>
      </w:r>
    </w:p>
    <w:p w14:paraId="69ABCA15" w14:textId="77777777" w:rsidR="00D23A94" w:rsidRDefault="00D23A94" w:rsidP="00D23A94">
      <w:pPr>
        <w:widowControl/>
        <w:spacing w:line="480" w:lineRule="auto"/>
        <w:ind w:firstLine="420"/>
        <w:jc w:val="left"/>
        <w:rPr>
          <w:rFonts w:ascii="Times New Roman" w:hAnsi="Times New Roman"/>
          <w:sz w:val="24"/>
        </w:rPr>
      </w:pPr>
      <w:r w:rsidRPr="0079584E">
        <w:rPr>
          <w:rFonts w:ascii="Times New Roman" w:hAnsi="Times New Roman" w:hint="eastAsia"/>
          <w:sz w:val="24"/>
        </w:rPr>
        <w:t>In</w:t>
      </w:r>
      <w:r w:rsidRPr="0079584E">
        <w:rPr>
          <w:rFonts w:ascii="Times New Roman" w:hAnsi="Times New Roman"/>
          <w:sz w:val="24"/>
        </w:rPr>
        <w:t xml:space="preserve"> Figures A3 and A4, we plot the significant interactions based on Models 8 and 9. We again ran a simple slopes test by splitting competitive intensity into a low (below the mean) and high (above the mean) group and estimating the effects of private ownership and financial media coverage on CSR emphasis differentiation in different groups. The results show that the effect of private ownership is significant in the low competitive intensity group (</w:t>
      </w:r>
      <m:oMath>
        <m:sSub>
          <m:sSubPr>
            <m:ctrlPr>
              <w:rPr>
                <w:rFonts w:ascii="Cambria Math" w:hAnsi="Cambria Math"/>
                <w:sz w:val="24"/>
              </w:rPr>
            </m:ctrlPr>
          </m:sSubPr>
          <m:e>
            <m:r>
              <w:rPr>
                <w:rFonts w:ascii="Cambria Math" w:hAnsi="Cambria Math"/>
                <w:sz w:val="24"/>
              </w:rPr>
              <m:t>β</m:t>
            </m:r>
          </m:e>
          <m:sub>
            <m:r>
              <w:rPr>
                <w:rFonts w:ascii="Cambria Math" w:hAnsi="Cambria Math"/>
                <w:sz w:val="24"/>
              </w:rPr>
              <m:t>Private Ownership</m:t>
            </m:r>
          </m:sub>
        </m:sSub>
      </m:oMath>
      <w:r w:rsidRPr="0079584E">
        <w:rPr>
          <w:rFonts w:ascii="Times New Roman" w:hAnsi="Times New Roman"/>
          <w:sz w:val="24"/>
        </w:rPr>
        <w:t xml:space="preserve">= 0.359, </w:t>
      </w:r>
      <w:r w:rsidRPr="0079584E">
        <w:rPr>
          <w:rFonts w:ascii="Times New Roman" w:hAnsi="Times New Roman"/>
          <w:i/>
          <w:sz w:val="24"/>
        </w:rPr>
        <w:t xml:space="preserve">p </w:t>
      </w:r>
      <w:r w:rsidRPr="0079584E">
        <w:rPr>
          <w:rFonts w:ascii="Times New Roman" w:hAnsi="Times New Roman"/>
          <w:sz w:val="24"/>
        </w:rPr>
        <w:t>&lt; 0.001), but not in the high competitive intensity group (</w:t>
      </w:r>
      <m:oMath>
        <m:sSub>
          <m:sSubPr>
            <m:ctrlPr>
              <w:rPr>
                <w:rFonts w:ascii="Cambria Math" w:hAnsi="Cambria Math"/>
                <w:sz w:val="24"/>
              </w:rPr>
            </m:ctrlPr>
          </m:sSubPr>
          <m:e>
            <m:r>
              <w:rPr>
                <w:rFonts w:ascii="Cambria Math" w:hAnsi="Cambria Math"/>
                <w:sz w:val="24"/>
              </w:rPr>
              <m:t>β</m:t>
            </m:r>
          </m:e>
          <m:sub>
            <m:r>
              <w:rPr>
                <w:rFonts w:ascii="Cambria Math" w:hAnsi="Cambria Math"/>
                <w:sz w:val="24"/>
              </w:rPr>
              <m:t>Private Ownership</m:t>
            </m:r>
          </m:sub>
        </m:sSub>
      </m:oMath>
      <w:r w:rsidRPr="0079584E">
        <w:rPr>
          <w:rFonts w:ascii="Times New Roman" w:hAnsi="Times New Roman"/>
          <w:sz w:val="24"/>
        </w:rPr>
        <w:t xml:space="preserve">= 0.063, </w:t>
      </w:r>
      <w:r w:rsidRPr="0079584E">
        <w:rPr>
          <w:rFonts w:ascii="Times New Roman" w:hAnsi="Times New Roman"/>
          <w:i/>
          <w:sz w:val="24"/>
        </w:rPr>
        <w:t xml:space="preserve">p </w:t>
      </w:r>
      <w:r w:rsidRPr="0079584E">
        <w:rPr>
          <w:rFonts w:ascii="Times New Roman" w:hAnsi="Times New Roman"/>
          <w:sz w:val="24"/>
        </w:rPr>
        <w:t>&gt; 0.10). And the results similarly indicate that the effect of financial media coverage is significant in the low competitive intensity group (</w:t>
      </w:r>
      <m:oMath>
        <m:sSub>
          <m:sSubPr>
            <m:ctrlPr>
              <w:rPr>
                <w:rFonts w:ascii="Cambria Math" w:hAnsi="Cambria Math"/>
                <w:sz w:val="24"/>
              </w:rPr>
            </m:ctrlPr>
          </m:sSubPr>
          <m:e>
            <m:r>
              <w:rPr>
                <w:rFonts w:ascii="Cambria Math" w:hAnsi="Cambria Math"/>
                <w:sz w:val="24"/>
              </w:rPr>
              <m:t>β</m:t>
            </m:r>
          </m:e>
          <m:sub>
            <m:r>
              <w:rPr>
                <w:rFonts w:ascii="Cambria Math" w:hAnsi="Cambria Math"/>
                <w:sz w:val="24"/>
              </w:rPr>
              <m:t>Financial Media Coverage</m:t>
            </m:r>
          </m:sub>
        </m:sSub>
      </m:oMath>
      <w:r w:rsidRPr="0079584E">
        <w:rPr>
          <w:rFonts w:ascii="Times New Roman" w:hAnsi="Times New Roman"/>
          <w:sz w:val="24"/>
        </w:rPr>
        <w:t xml:space="preserve">= 0.119, </w:t>
      </w:r>
      <w:r w:rsidRPr="0079584E">
        <w:rPr>
          <w:rFonts w:ascii="Times New Roman" w:hAnsi="Times New Roman"/>
          <w:i/>
          <w:sz w:val="24"/>
        </w:rPr>
        <w:t xml:space="preserve">p </w:t>
      </w:r>
      <w:r w:rsidRPr="0079584E">
        <w:rPr>
          <w:rFonts w:ascii="Times New Roman" w:hAnsi="Times New Roman"/>
          <w:sz w:val="24"/>
        </w:rPr>
        <w:t>&lt; 0.001), but not in the high competitive intensity group (</w:t>
      </w:r>
      <m:oMath>
        <m:sSub>
          <m:sSubPr>
            <m:ctrlPr>
              <w:rPr>
                <w:rFonts w:ascii="Cambria Math" w:hAnsi="Cambria Math"/>
                <w:sz w:val="24"/>
              </w:rPr>
            </m:ctrlPr>
          </m:sSubPr>
          <m:e>
            <m:r>
              <w:rPr>
                <w:rFonts w:ascii="Cambria Math" w:hAnsi="Cambria Math"/>
                <w:sz w:val="24"/>
              </w:rPr>
              <m:t>β</m:t>
            </m:r>
          </m:e>
          <m:sub>
            <m:r>
              <w:rPr>
                <w:rFonts w:ascii="Cambria Math" w:hAnsi="Cambria Math"/>
                <w:sz w:val="24"/>
              </w:rPr>
              <m:t>Financial Media Coverage</m:t>
            </m:r>
          </m:sub>
        </m:sSub>
      </m:oMath>
      <w:r w:rsidRPr="0079584E">
        <w:rPr>
          <w:rFonts w:ascii="Times New Roman" w:hAnsi="Times New Roman"/>
          <w:sz w:val="24"/>
        </w:rPr>
        <w:t xml:space="preserve">= -0.016, </w:t>
      </w:r>
      <w:r w:rsidRPr="0079584E">
        <w:rPr>
          <w:rFonts w:ascii="Times New Roman" w:hAnsi="Times New Roman"/>
          <w:i/>
          <w:sz w:val="24"/>
        </w:rPr>
        <w:t xml:space="preserve">p </w:t>
      </w:r>
      <w:r w:rsidRPr="0079584E">
        <w:rPr>
          <w:rFonts w:ascii="Times New Roman" w:hAnsi="Times New Roman"/>
          <w:sz w:val="24"/>
        </w:rPr>
        <w:t>&gt; 0.10).</w:t>
      </w:r>
    </w:p>
    <w:p w14:paraId="7E747180" w14:textId="77777777" w:rsidR="00D23A94" w:rsidRDefault="00D23A94" w:rsidP="00D23A94">
      <w:pPr>
        <w:widowControl/>
        <w:ind w:firstLine="420"/>
        <w:jc w:val="left"/>
        <w:rPr>
          <w:rFonts w:ascii="Times New Roman" w:hAnsi="Times New Roman"/>
          <w:sz w:val="24"/>
        </w:rPr>
      </w:pPr>
    </w:p>
    <w:p w14:paraId="54332E97" w14:textId="77777777" w:rsidR="00D23A94" w:rsidRPr="0079584E" w:rsidRDefault="00D23A94" w:rsidP="00D23A94">
      <w:pPr>
        <w:widowControl/>
        <w:ind w:firstLine="420"/>
        <w:jc w:val="left"/>
        <w:rPr>
          <w:rFonts w:ascii="Times New Roman" w:hAnsi="Times New Roman"/>
          <w:sz w:val="24"/>
        </w:rPr>
      </w:pPr>
    </w:p>
    <w:p w14:paraId="4A8F30B2" w14:textId="77777777" w:rsidR="00D23A94" w:rsidRDefault="00D23A94" w:rsidP="00D23A94">
      <w:pPr>
        <w:widowControl/>
        <w:jc w:val="left"/>
        <w:rPr>
          <w:rFonts w:ascii="Times New Roman" w:hAnsi="Times New Roman"/>
          <w:b/>
          <w:sz w:val="22"/>
        </w:rPr>
      </w:pPr>
    </w:p>
    <w:p w14:paraId="724BEE55" w14:textId="77777777" w:rsidR="00D23A94" w:rsidRPr="001B35F6" w:rsidRDefault="00D23A94" w:rsidP="00D23A94">
      <w:pPr>
        <w:widowControl/>
        <w:jc w:val="left"/>
        <w:rPr>
          <w:rFonts w:ascii="Times New Roman" w:hAnsi="Times New Roman"/>
          <w:b/>
          <w:sz w:val="22"/>
        </w:rPr>
      </w:pPr>
    </w:p>
    <w:p w14:paraId="660332A1" w14:textId="77777777" w:rsidR="00D23A94" w:rsidRPr="0079584E" w:rsidRDefault="00D23A94" w:rsidP="00D23A94">
      <w:pPr>
        <w:widowControl/>
        <w:jc w:val="center"/>
        <w:rPr>
          <w:rFonts w:ascii="Times New Roman" w:hAnsi="Times New Roman"/>
          <w:sz w:val="22"/>
        </w:rPr>
      </w:pPr>
      <w:r>
        <w:rPr>
          <w:noProof/>
        </w:rPr>
        <w:drawing>
          <wp:inline distT="0" distB="0" distL="0" distR="0" wp14:anchorId="6D27EC9F" wp14:editId="2FAD9223">
            <wp:extent cx="5163498" cy="3757613"/>
            <wp:effectExtent l="0" t="0" r="0" b="0"/>
            <wp:docPr id="2" name="图片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hart, line ch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9108" cy="3761695"/>
                    </a:xfrm>
                    <a:prstGeom prst="rect">
                      <a:avLst/>
                    </a:prstGeom>
                    <a:noFill/>
                    <a:ln>
                      <a:noFill/>
                    </a:ln>
                  </pic:spPr>
                </pic:pic>
              </a:graphicData>
            </a:graphic>
          </wp:inline>
        </w:drawing>
      </w:r>
    </w:p>
    <w:p w14:paraId="23BA3F27" w14:textId="77777777" w:rsidR="00D23A94" w:rsidRPr="0079584E" w:rsidRDefault="00D23A94" w:rsidP="00D23A94">
      <w:pPr>
        <w:widowControl/>
        <w:jc w:val="left"/>
        <w:rPr>
          <w:rFonts w:ascii="Times New Roman" w:hAnsi="Times New Roman"/>
          <w:b/>
          <w:sz w:val="22"/>
        </w:rPr>
      </w:pPr>
    </w:p>
    <w:p w14:paraId="3B158DE4" w14:textId="77777777" w:rsidR="00D23A94" w:rsidRPr="00D01B22" w:rsidRDefault="00D23A94" w:rsidP="00D23A94">
      <w:pPr>
        <w:widowControl/>
        <w:jc w:val="left"/>
        <w:rPr>
          <w:rFonts w:ascii="Times New Roman" w:hAnsi="Times New Roman"/>
          <w:bCs/>
          <w:sz w:val="22"/>
        </w:rPr>
      </w:pPr>
      <w:r w:rsidRPr="00D01B22">
        <w:rPr>
          <w:rFonts w:ascii="Times New Roman" w:hAnsi="Times New Roman"/>
          <w:bCs/>
          <w:sz w:val="22"/>
        </w:rPr>
        <w:t>Figure A1. Interaction between private ownership and socially contested industry</w:t>
      </w:r>
    </w:p>
    <w:p w14:paraId="44F12BAF" w14:textId="77777777" w:rsidR="00D23A94" w:rsidRDefault="00D23A94" w:rsidP="00D23A94">
      <w:pPr>
        <w:widowControl/>
        <w:jc w:val="left"/>
        <w:rPr>
          <w:rFonts w:ascii="Times New Roman" w:hAnsi="Times New Roman"/>
          <w:bCs/>
          <w:sz w:val="22"/>
        </w:rPr>
      </w:pPr>
    </w:p>
    <w:p w14:paraId="7325B9D4" w14:textId="77777777" w:rsidR="00D23A94" w:rsidRPr="0079584E" w:rsidRDefault="00D23A94" w:rsidP="00D23A94">
      <w:pPr>
        <w:widowControl/>
        <w:jc w:val="left"/>
        <w:rPr>
          <w:rFonts w:ascii="Times New Roman" w:hAnsi="Times New Roman"/>
          <w:b/>
          <w:sz w:val="22"/>
        </w:rPr>
      </w:pPr>
    </w:p>
    <w:p w14:paraId="0956F161" w14:textId="77777777" w:rsidR="00D23A94" w:rsidRPr="0079584E" w:rsidRDefault="00D23A94" w:rsidP="00D23A94">
      <w:pPr>
        <w:widowControl/>
        <w:jc w:val="center"/>
        <w:rPr>
          <w:rFonts w:ascii="Times New Roman" w:hAnsi="Times New Roman"/>
          <w:b/>
          <w:sz w:val="22"/>
        </w:rPr>
      </w:pPr>
      <w:r w:rsidRPr="0079584E">
        <w:rPr>
          <w:rFonts w:ascii="Times New Roman" w:hAnsi="Times New Roman"/>
          <w:b/>
          <w:noProof/>
          <w:sz w:val="22"/>
        </w:rPr>
        <w:lastRenderedPageBreak/>
        <w:drawing>
          <wp:inline distT="0" distB="0" distL="0" distR="0" wp14:anchorId="30CC24A7" wp14:editId="22A6EFA4">
            <wp:extent cx="4985014" cy="3624262"/>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2675" cy="3637102"/>
                    </a:xfrm>
                    <a:prstGeom prst="rect">
                      <a:avLst/>
                    </a:prstGeom>
                    <a:noFill/>
                    <a:ln>
                      <a:noFill/>
                    </a:ln>
                  </pic:spPr>
                </pic:pic>
              </a:graphicData>
            </a:graphic>
          </wp:inline>
        </w:drawing>
      </w:r>
    </w:p>
    <w:p w14:paraId="6776D759" w14:textId="77777777" w:rsidR="00D23A94" w:rsidRDefault="00D23A94" w:rsidP="00D23A94">
      <w:pPr>
        <w:widowControl/>
        <w:jc w:val="left"/>
        <w:rPr>
          <w:rFonts w:ascii="Times New Roman" w:hAnsi="Times New Roman"/>
          <w:b/>
          <w:sz w:val="22"/>
        </w:rPr>
      </w:pPr>
    </w:p>
    <w:p w14:paraId="55306B9D" w14:textId="77777777" w:rsidR="00D23A94" w:rsidRDefault="00D23A94" w:rsidP="00D23A94">
      <w:pPr>
        <w:widowControl/>
        <w:jc w:val="left"/>
        <w:rPr>
          <w:rFonts w:ascii="Times New Roman" w:hAnsi="Times New Roman"/>
          <w:b/>
          <w:sz w:val="22"/>
        </w:rPr>
      </w:pPr>
    </w:p>
    <w:p w14:paraId="3D9D50A9" w14:textId="77777777" w:rsidR="00D23A94" w:rsidRPr="00D01B22" w:rsidRDefault="00D23A94" w:rsidP="00D23A94">
      <w:pPr>
        <w:widowControl/>
        <w:jc w:val="left"/>
        <w:rPr>
          <w:rFonts w:ascii="Times New Roman" w:hAnsi="Times New Roman"/>
          <w:bCs/>
          <w:sz w:val="22"/>
        </w:rPr>
      </w:pPr>
      <w:r w:rsidRPr="00D01B22">
        <w:rPr>
          <w:rFonts w:ascii="Times New Roman" w:hAnsi="Times New Roman" w:hint="eastAsia"/>
          <w:bCs/>
          <w:sz w:val="22"/>
        </w:rPr>
        <w:t>F</w:t>
      </w:r>
      <w:r w:rsidRPr="00D01B22">
        <w:rPr>
          <w:rFonts w:ascii="Times New Roman" w:hAnsi="Times New Roman"/>
          <w:bCs/>
          <w:sz w:val="22"/>
        </w:rPr>
        <w:t>igure A2. Interaction between financial media coverage and socially contested industry</w:t>
      </w:r>
    </w:p>
    <w:p w14:paraId="572C2914" w14:textId="77777777" w:rsidR="00D23A94" w:rsidRDefault="00D23A94" w:rsidP="00D23A94">
      <w:pPr>
        <w:widowControl/>
        <w:jc w:val="left"/>
        <w:rPr>
          <w:rFonts w:ascii="Times New Roman" w:hAnsi="Times New Roman"/>
          <w:b/>
          <w:sz w:val="22"/>
        </w:rPr>
      </w:pPr>
    </w:p>
    <w:p w14:paraId="5430BB42" w14:textId="77777777" w:rsidR="00D23A94" w:rsidRPr="0079584E" w:rsidRDefault="00D23A94" w:rsidP="00D23A94">
      <w:pPr>
        <w:widowControl/>
        <w:jc w:val="left"/>
        <w:rPr>
          <w:rFonts w:ascii="Times New Roman" w:hAnsi="Times New Roman"/>
          <w:b/>
          <w:sz w:val="22"/>
        </w:rPr>
      </w:pPr>
    </w:p>
    <w:p w14:paraId="6C8CA864" w14:textId="77777777" w:rsidR="00D23A94" w:rsidRPr="0079584E" w:rsidRDefault="00D23A94" w:rsidP="00D23A94">
      <w:pPr>
        <w:widowControl/>
        <w:jc w:val="left"/>
        <w:rPr>
          <w:rFonts w:ascii="Times New Roman" w:hAnsi="Times New Roman"/>
          <w:b/>
          <w:sz w:val="22"/>
        </w:rPr>
      </w:pPr>
    </w:p>
    <w:p w14:paraId="6B25073A" w14:textId="77777777" w:rsidR="00D23A94" w:rsidRPr="0079584E" w:rsidRDefault="00D23A94" w:rsidP="00D23A94">
      <w:pPr>
        <w:widowControl/>
        <w:jc w:val="center"/>
        <w:rPr>
          <w:rFonts w:ascii="Times New Roman" w:hAnsi="Times New Roman"/>
          <w:b/>
          <w:sz w:val="22"/>
        </w:rPr>
      </w:pPr>
      <w:r>
        <w:rPr>
          <w:noProof/>
        </w:rPr>
        <w:lastRenderedPageBreak/>
        <w:drawing>
          <wp:inline distT="0" distB="0" distL="0" distR="0" wp14:anchorId="7944194D" wp14:editId="448B9E0D">
            <wp:extent cx="5027373" cy="3658552"/>
            <wp:effectExtent l="0" t="0" r="1905" b="0"/>
            <wp:docPr id="4" name="图片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hart, line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9137" cy="3667113"/>
                    </a:xfrm>
                    <a:prstGeom prst="rect">
                      <a:avLst/>
                    </a:prstGeom>
                    <a:noFill/>
                    <a:ln>
                      <a:noFill/>
                    </a:ln>
                  </pic:spPr>
                </pic:pic>
              </a:graphicData>
            </a:graphic>
          </wp:inline>
        </w:drawing>
      </w:r>
    </w:p>
    <w:p w14:paraId="06932280" w14:textId="77777777" w:rsidR="00D23A94" w:rsidRPr="0079584E" w:rsidRDefault="00D23A94" w:rsidP="00D23A94">
      <w:pPr>
        <w:widowControl/>
        <w:jc w:val="left"/>
        <w:rPr>
          <w:rFonts w:ascii="Times New Roman" w:hAnsi="Times New Roman"/>
          <w:b/>
          <w:sz w:val="22"/>
        </w:rPr>
      </w:pPr>
    </w:p>
    <w:p w14:paraId="559F47AA" w14:textId="77777777" w:rsidR="00D23A94" w:rsidRPr="00D01B22" w:rsidRDefault="00D23A94" w:rsidP="00D23A94">
      <w:pPr>
        <w:widowControl/>
        <w:jc w:val="left"/>
        <w:rPr>
          <w:rFonts w:ascii="Times New Roman" w:hAnsi="Times New Roman"/>
          <w:bCs/>
          <w:sz w:val="22"/>
        </w:rPr>
      </w:pPr>
      <w:r w:rsidRPr="00D01B22">
        <w:rPr>
          <w:rFonts w:ascii="Times New Roman" w:hAnsi="Times New Roman" w:hint="eastAsia"/>
          <w:bCs/>
          <w:sz w:val="22"/>
        </w:rPr>
        <w:t>F</w:t>
      </w:r>
      <w:r w:rsidRPr="00D01B22">
        <w:rPr>
          <w:rFonts w:ascii="Times New Roman" w:hAnsi="Times New Roman"/>
          <w:bCs/>
          <w:sz w:val="22"/>
        </w:rPr>
        <w:t>igure A3. Interaction between private ownership and competitive intensity</w:t>
      </w:r>
    </w:p>
    <w:p w14:paraId="5A8D2351" w14:textId="77777777" w:rsidR="00D23A94" w:rsidRDefault="00D23A94" w:rsidP="00D23A94">
      <w:pPr>
        <w:widowControl/>
        <w:jc w:val="left"/>
        <w:rPr>
          <w:rFonts w:ascii="Times New Roman" w:hAnsi="Times New Roman"/>
          <w:b/>
          <w:sz w:val="22"/>
        </w:rPr>
      </w:pPr>
    </w:p>
    <w:p w14:paraId="7390BD1B" w14:textId="77777777" w:rsidR="00D23A94" w:rsidRPr="0079584E" w:rsidRDefault="00D23A94" w:rsidP="00D23A94">
      <w:pPr>
        <w:widowControl/>
        <w:rPr>
          <w:rFonts w:ascii="Times New Roman" w:hAnsi="Times New Roman"/>
          <w:sz w:val="22"/>
        </w:rPr>
      </w:pPr>
    </w:p>
    <w:p w14:paraId="12B3971E" w14:textId="77777777" w:rsidR="00D23A94" w:rsidRDefault="00D23A94" w:rsidP="00D23A94">
      <w:pPr>
        <w:widowControl/>
        <w:jc w:val="center"/>
        <w:rPr>
          <w:rFonts w:ascii="Times New Roman" w:hAnsi="Times New Roman"/>
          <w:b/>
          <w:sz w:val="24"/>
        </w:rPr>
      </w:pPr>
      <w:r w:rsidRPr="0079584E">
        <w:rPr>
          <w:rFonts w:ascii="Times New Roman" w:hAnsi="Times New Roman"/>
          <w:noProof/>
          <w:sz w:val="22"/>
        </w:rPr>
        <w:drawing>
          <wp:inline distT="0" distB="0" distL="0" distR="0" wp14:anchorId="3B3B34F6" wp14:editId="696B8BD8">
            <wp:extent cx="5024755" cy="3653155"/>
            <wp:effectExtent l="0" t="0" r="4445"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4755" cy="3653155"/>
                    </a:xfrm>
                    <a:prstGeom prst="rect">
                      <a:avLst/>
                    </a:prstGeom>
                    <a:noFill/>
                    <a:ln>
                      <a:noFill/>
                    </a:ln>
                  </pic:spPr>
                </pic:pic>
              </a:graphicData>
            </a:graphic>
          </wp:inline>
        </w:drawing>
      </w:r>
    </w:p>
    <w:p w14:paraId="0EB9195E" w14:textId="77777777" w:rsidR="00D23A94" w:rsidRPr="00D01B22" w:rsidRDefault="00D23A94" w:rsidP="00D23A94">
      <w:pPr>
        <w:widowControl/>
        <w:jc w:val="left"/>
        <w:rPr>
          <w:rFonts w:ascii="Times New Roman" w:hAnsi="Times New Roman"/>
          <w:bCs/>
          <w:sz w:val="22"/>
        </w:rPr>
      </w:pPr>
      <w:r w:rsidRPr="00D01B22">
        <w:rPr>
          <w:rFonts w:ascii="Times New Roman" w:hAnsi="Times New Roman" w:hint="eastAsia"/>
          <w:bCs/>
          <w:sz w:val="22"/>
        </w:rPr>
        <w:t>F</w:t>
      </w:r>
      <w:r w:rsidRPr="00D01B22">
        <w:rPr>
          <w:rFonts w:ascii="Times New Roman" w:hAnsi="Times New Roman"/>
          <w:bCs/>
          <w:sz w:val="22"/>
        </w:rPr>
        <w:t>igure A4. Interaction between financial media coverage and competitive intensity</w:t>
      </w:r>
    </w:p>
    <w:p w14:paraId="6E0ED8DA" w14:textId="77777777" w:rsidR="00D23A94" w:rsidRDefault="00D23A94" w:rsidP="00D23A94">
      <w:pPr>
        <w:widowControl/>
        <w:jc w:val="center"/>
        <w:rPr>
          <w:rFonts w:ascii="Times New Roman" w:hAnsi="Times New Roman"/>
          <w:b/>
          <w:sz w:val="24"/>
        </w:rPr>
      </w:pPr>
    </w:p>
    <w:p w14:paraId="4AA21BC1" w14:textId="77777777" w:rsidR="00D23A94" w:rsidRDefault="00D23A94" w:rsidP="00D23A94">
      <w:pPr>
        <w:widowControl/>
        <w:jc w:val="left"/>
        <w:rPr>
          <w:rFonts w:ascii="Times New Roman" w:hAnsi="Times New Roman"/>
          <w:b/>
          <w:sz w:val="24"/>
        </w:rPr>
      </w:pPr>
    </w:p>
    <w:p w14:paraId="480F9EFE" w14:textId="77777777" w:rsidR="00D23A94" w:rsidRDefault="00D23A94" w:rsidP="00D23A94">
      <w:pPr>
        <w:widowControl/>
        <w:spacing w:line="480" w:lineRule="auto"/>
        <w:jc w:val="left"/>
        <w:rPr>
          <w:rFonts w:ascii="Times New Roman" w:hAnsi="Times New Roman"/>
          <w:b/>
          <w:sz w:val="24"/>
        </w:rPr>
      </w:pPr>
      <w:r w:rsidRPr="0079584E">
        <w:rPr>
          <w:rFonts w:ascii="Times New Roman" w:hAnsi="Times New Roman" w:hint="eastAsia"/>
          <w:b/>
          <w:sz w:val="24"/>
        </w:rPr>
        <w:t>A</w:t>
      </w:r>
      <w:r>
        <w:rPr>
          <w:rFonts w:ascii="Times New Roman" w:hAnsi="Times New Roman"/>
          <w:b/>
          <w:sz w:val="24"/>
        </w:rPr>
        <w:t>PPENDIX</w:t>
      </w:r>
      <w:r w:rsidRPr="0079584E">
        <w:rPr>
          <w:rFonts w:ascii="Times New Roman" w:hAnsi="Times New Roman"/>
          <w:b/>
          <w:sz w:val="24"/>
        </w:rPr>
        <w:t xml:space="preserve"> </w:t>
      </w:r>
      <w:r w:rsidRPr="0079584E">
        <w:rPr>
          <w:rFonts w:ascii="Times New Roman" w:hAnsi="Times New Roman" w:hint="eastAsia"/>
          <w:b/>
          <w:sz w:val="24"/>
        </w:rPr>
        <w:t>II</w:t>
      </w:r>
      <w:r w:rsidRPr="0079584E">
        <w:rPr>
          <w:rFonts w:ascii="Times New Roman" w:hAnsi="Times New Roman"/>
          <w:b/>
          <w:sz w:val="24"/>
        </w:rPr>
        <w:t xml:space="preserve"> </w:t>
      </w:r>
    </w:p>
    <w:p w14:paraId="1A5354FC" w14:textId="77777777" w:rsidR="00D23A94" w:rsidRPr="0079584E" w:rsidRDefault="00D23A94" w:rsidP="00D23A94">
      <w:pPr>
        <w:widowControl/>
        <w:spacing w:line="480" w:lineRule="auto"/>
        <w:jc w:val="left"/>
        <w:rPr>
          <w:rFonts w:ascii="Times New Roman" w:hAnsi="Times New Roman"/>
          <w:b/>
          <w:sz w:val="24"/>
        </w:rPr>
      </w:pPr>
      <w:r w:rsidRPr="0079584E">
        <w:rPr>
          <w:rFonts w:ascii="Times New Roman" w:hAnsi="Times New Roman"/>
          <w:b/>
          <w:sz w:val="24"/>
        </w:rPr>
        <w:t>Robustness Tests</w:t>
      </w:r>
    </w:p>
    <w:p w14:paraId="09F011CE" w14:textId="77777777" w:rsidR="00D23A94" w:rsidRPr="0079584E" w:rsidRDefault="00D23A94" w:rsidP="00D23A94">
      <w:pPr>
        <w:spacing w:line="480" w:lineRule="auto"/>
        <w:jc w:val="left"/>
        <w:rPr>
          <w:rFonts w:ascii="Times New Roman" w:hAnsi="Times New Roman"/>
          <w:sz w:val="24"/>
          <w:szCs w:val="24"/>
        </w:rPr>
      </w:pPr>
      <w:r w:rsidRPr="0079584E">
        <w:rPr>
          <w:rFonts w:ascii="Times New Roman" w:hAnsi="Times New Roman"/>
          <w:sz w:val="24"/>
          <w:szCs w:val="24"/>
        </w:rPr>
        <w:t>We conducted a series of robustness checks to further validate our findings. First, not all publicly listed firms in China choose to disclose their CSR practices. To account for the potential selection issues in CSR reporting, we estimated our models using a two-stage Heckman selection approach (Heckman, 1979). The first stage dependent variable was a dummy variable with value one indicating firms that have disclosed their CSR practices in the form of a stand-alone CSR report. We followed previous studies (</w:t>
      </w:r>
      <w:r w:rsidRPr="00FF34B6">
        <w:rPr>
          <w:rFonts w:ascii="Times New Roman" w:hAnsi="Times New Roman"/>
          <w:iCs/>
          <w:sz w:val="24"/>
          <w:szCs w:val="24"/>
        </w:rPr>
        <w:t>e.g.,</w:t>
      </w:r>
      <w:r w:rsidRPr="0079584E">
        <w:rPr>
          <w:rFonts w:ascii="Times New Roman" w:hAnsi="Times New Roman"/>
          <w:sz w:val="24"/>
          <w:szCs w:val="24"/>
        </w:rPr>
        <w:t xml:space="preserve"> Marquis &amp; Qian, 2014) and used </w:t>
      </w:r>
      <w:r w:rsidRPr="0079584E">
        <w:rPr>
          <w:rFonts w:ascii="Times New Roman" w:hAnsi="Times New Roman"/>
          <w:i/>
          <w:sz w:val="24"/>
          <w:szCs w:val="24"/>
        </w:rPr>
        <w:t>stock market exchange</w:t>
      </w:r>
      <w:r>
        <w:rPr>
          <w:rFonts w:ascii="Times New Roman" w:hAnsi="Times New Roman"/>
          <w:i/>
          <w:sz w:val="24"/>
          <w:szCs w:val="24"/>
        </w:rPr>
        <w:t xml:space="preserve"> </w:t>
      </w:r>
      <w:r>
        <w:rPr>
          <w:rFonts w:ascii="Times New Roman" w:hAnsi="Times New Roman"/>
          <w:sz w:val="24"/>
          <w:szCs w:val="24"/>
        </w:rPr>
        <w:t xml:space="preserve">– </w:t>
      </w:r>
      <w:r w:rsidRPr="0079584E">
        <w:rPr>
          <w:rFonts w:ascii="Times New Roman" w:hAnsi="Times New Roman"/>
          <w:sz w:val="24"/>
          <w:szCs w:val="24"/>
        </w:rPr>
        <w:t>a dummy variable indicating whether a firm is listed on the Shanghai (SH) or Shenzhen (SZ) Stock Exchange (coded as one if listed on SH and 0 if SZ)</w:t>
      </w:r>
      <w:r w:rsidRPr="00FF34B6">
        <w:rPr>
          <w:rFonts w:ascii="Times New Roman" w:hAnsi="Times New Roman"/>
          <w:sz w:val="24"/>
          <w:szCs w:val="24"/>
        </w:rPr>
        <w:t xml:space="preserve"> </w:t>
      </w:r>
      <w:r>
        <w:rPr>
          <w:rFonts w:ascii="Times New Roman" w:hAnsi="Times New Roman"/>
          <w:sz w:val="24"/>
          <w:szCs w:val="24"/>
        </w:rPr>
        <w:t xml:space="preserve">– </w:t>
      </w:r>
      <w:r w:rsidRPr="0079584E">
        <w:rPr>
          <w:rFonts w:ascii="Times New Roman" w:hAnsi="Times New Roman"/>
          <w:sz w:val="24"/>
          <w:szCs w:val="24"/>
        </w:rPr>
        <w:t>as the exclusion restriction. The stock market exchange serves as a valid restriction criterion here because the two stock exchanges stipulated their disclosure policies at different times, and the types of firms that are encouraged to report such information also vary in the two different markets. However, neither made specific standards regarding the actual information quality or preferences for certain CSR issues in their policy (Marquis &amp; Qian, 2014). Findings based on this correction of potential selection issues in reporting are consistent with our main results.</w:t>
      </w:r>
    </w:p>
    <w:p w14:paraId="59E7BF89" w14:textId="77777777" w:rsidR="00D23A94" w:rsidRPr="0079584E" w:rsidRDefault="00D23A94" w:rsidP="00D23A94">
      <w:pPr>
        <w:spacing w:line="480" w:lineRule="auto"/>
        <w:jc w:val="left"/>
        <w:rPr>
          <w:rFonts w:ascii="Times New Roman" w:hAnsi="Times New Roman"/>
          <w:sz w:val="24"/>
          <w:szCs w:val="24"/>
        </w:rPr>
      </w:pPr>
      <w:r w:rsidRPr="0079584E">
        <w:rPr>
          <w:rFonts w:ascii="Times New Roman" w:hAnsi="Times New Roman"/>
          <w:sz w:val="24"/>
          <w:szCs w:val="24"/>
        </w:rPr>
        <w:tab/>
        <w:t>Another valid concern is that the financial media coverage of a firm may be endogenous. Unobservable firm heterogeneity correlated with both financial media coverage and CSR practices could bias the results (</w:t>
      </w:r>
      <w:r w:rsidRPr="00FF34B6">
        <w:rPr>
          <w:rFonts w:ascii="Times New Roman" w:hAnsi="Times New Roman"/>
          <w:iCs/>
          <w:sz w:val="24"/>
          <w:szCs w:val="24"/>
        </w:rPr>
        <w:t>i.e.,</w:t>
      </w:r>
      <w:r w:rsidRPr="0079584E">
        <w:rPr>
          <w:rFonts w:ascii="Times New Roman" w:hAnsi="Times New Roman"/>
          <w:sz w:val="24"/>
          <w:szCs w:val="24"/>
        </w:rPr>
        <w:t xml:space="preserve"> the omitted variable concern), or firms with different CSR practices may variably attract financial media attention (</w:t>
      </w:r>
      <w:r w:rsidRPr="00FF34B6">
        <w:rPr>
          <w:rFonts w:ascii="Times New Roman" w:hAnsi="Times New Roman"/>
          <w:iCs/>
          <w:sz w:val="24"/>
          <w:szCs w:val="24"/>
        </w:rPr>
        <w:t>i.e.,</w:t>
      </w:r>
      <w:r w:rsidRPr="0079584E">
        <w:rPr>
          <w:rFonts w:ascii="Times New Roman" w:hAnsi="Times New Roman"/>
          <w:sz w:val="24"/>
          <w:szCs w:val="24"/>
        </w:rPr>
        <w:t xml:space="preserve"> the reverse causality concern). We constructed an instrument for financial media coverage and used the two-stage least squares (2SLS) approach to address these concerns. The ideal instrument should help capture variations </w:t>
      </w:r>
      <w:r w:rsidRPr="0079584E">
        <w:rPr>
          <w:rFonts w:ascii="Times New Roman" w:hAnsi="Times New Roman"/>
          <w:sz w:val="24"/>
          <w:szCs w:val="24"/>
        </w:rPr>
        <w:lastRenderedPageBreak/>
        <w:t xml:space="preserve">in financial media coverage yet is exogenous to firms’ CSR practices. The instrument we used was </w:t>
      </w:r>
      <w:r w:rsidRPr="0079584E">
        <w:rPr>
          <w:rFonts w:ascii="Times New Roman" w:hAnsi="Times New Roman"/>
          <w:i/>
          <w:sz w:val="24"/>
          <w:szCs w:val="24"/>
        </w:rPr>
        <w:t>expected financial media coverage</w:t>
      </w:r>
      <w:r w:rsidRPr="0079584E">
        <w:rPr>
          <w:rFonts w:ascii="Times New Roman" w:hAnsi="Times New Roman"/>
          <w:sz w:val="24"/>
          <w:szCs w:val="24"/>
        </w:rPr>
        <w:t>, which has been employed in prior studies investigating the causal relationship between financial media coverage and other organizational outcomes such as firm innovation (He &amp; Tian, 2013). This instrument reflects the change in press size (</w:t>
      </w:r>
      <w:r w:rsidRPr="00FF34B6">
        <w:rPr>
          <w:rFonts w:ascii="Times New Roman" w:hAnsi="Times New Roman"/>
          <w:iCs/>
          <w:sz w:val="24"/>
          <w:szCs w:val="24"/>
        </w:rPr>
        <w:t>i.e.,</w:t>
      </w:r>
      <w:r w:rsidRPr="0079584E">
        <w:rPr>
          <w:rFonts w:ascii="Times New Roman" w:hAnsi="Times New Roman"/>
          <w:sz w:val="24"/>
          <w:szCs w:val="24"/>
        </w:rPr>
        <w:t xml:space="preserve"> the number of reporters and editors in the press), which is usually dependent on the change in the press’s own revenue or profit and is unlikely to be related to the CSR profiles of certain firms that the press covers. Therefore, the change in coverage driven by the change in press size is an exogenous variation that helps us establish causality. We followed Yu (2008) to calculate the expected financial media coverage and used 2008, the beginning year of our sample, as the benchmark year. The validity of our findings was further confirmed by this instrumental variable approach. </w:t>
      </w:r>
    </w:p>
    <w:p w14:paraId="2AABD159" w14:textId="77777777" w:rsidR="00D23A94" w:rsidRPr="0079584E" w:rsidRDefault="00D23A94" w:rsidP="00D23A94">
      <w:pPr>
        <w:spacing w:line="480" w:lineRule="auto"/>
        <w:jc w:val="left"/>
        <w:rPr>
          <w:rFonts w:ascii="Times New Roman" w:hAnsi="Times New Roman"/>
          <w:sz w:val="24"/>
          <w:szCs w:val="24"/>
        </w:rPr>
      </w:pPr>
      <w:r w:rsidRPr="0079584E">
        <w:rPr>
          <w:rFonts w:ascii="Times New Roman" w:hAnsi="Times New Roman"/>
          <w:sz w:val="24"/>
          <w:szCs w:val="24"/>
        </w:rPr>
        <w:tab/>
        <w:t xml:space="preserve">We report the results on the instrument </w:t>
      </w:r>
      <w:r w:rsidRPr="0079584E">
        <w:rPr>
          <w:rFonts w:ascii="Times New Roman" w:hAnsi="Times New Roman"/>
          <w:i/>
          <w:sz w:val="24"/>
          <w:szCs w:val="24"/>
        </w:rPr>
        <w:t>expected financial media coverage</w:t>
      </w:r>
      <w:r w:rsidRPr="0079584E">
        <w:rPr>
          <w:rFonts w:ascii="Times New Roman" w:hAnsi="Times New Roman"/>
          <w:sz w:val="24"/>
          <w:szCs w:val="24"/>
        </w:rPr>
        <w:t xml:space="preserve"> in Table A1 (see the next page). Column 1 shows the first-stage regression results with </w:t>
      </w:r>
      <w:r w:rsidRPr="0079584E">
        <w:rPr>
          <w:rFonts w:ascii="Times New Roman" w:hAnsi="Times New Roman"/>
          <w:i/>
          <w:sz w:val="24"/>
          <w:szCs w:val="24"/>
        </w:rPr>
        <w:t>financial media coverage</w:t>
      </w:r>
      <w:r w:rsidRPr="0079584E">
        <w:rPr>
          <w:rFonts w:ascii="Times New Roman" w:hAnsi="Times New Roman"/>
          <w:sz w:val="24"/>
          <w:szCs w:val="24"/>
        </w:rPr>
        <w:t xml:space="preserve"> as the dependent variable to check the relevance of the instrument. All other variables are the same as those in the baseline model 3. We included firm- and year-fixed effects and suppressed the coefficients of these variables for the sake of simplicity. The coefficient of the instrument expected coverage is significantly and positively associated with our independent variable financial media coverage. Columns 2 and 3 report the results from the second-stage regressions on CSR scope conformity and emphasis differentiation with the main variable of interest replaced by the fitted value of financial media coverage from the first-stage regression. The results are consistent with our main findings: financial media coverage has a significant and positive impact on both CSR scope conformity and emphasis differentiation.</w:t>
      </w:r>
    </w:p>
    <w:p w14:paraId="1C8B105C" w14:textId="77777777" w:rsidR="00D23A94" w:rsidRPr="00FF34B6" w:rsidRDefault="00D23A94" w:rsidP="00D23A94">
      <w:pPr>
        <w:spacing w:line="480" w:lineRule="auto"/>
        <w:jc w:val="left"/>
        <w:rPr>
          <w:rFonts w:ascii="Times New Roman" w:hAnsi="Times New Roman"/>
          <w:sz w:val="24"/>
          <w:szCs w:val="24"/>
        </w:rPr>
      </w:pPr>
      <w:r w:rsidRPr="0079584E">
        <w:rPr>
          <w:rFonts w:ascii="Times New Roman" w:hAnsi="Times New Roman"/>
          <w:sz w:val="24"/>
          <w:szCs w:val="24"/>
        </w:rPr>
        <w:tab/>
        <w:t xml:space="preserve">Finally, we replaced the CEO power index with its components in our models, which </w:t>
      </w:r>
      <w:r w:rsidRPr="0079584E">
        <w:rPr>
          <w:rFonts w:ascii="Times New Roman" w:hAnsi="Times New Roman"/>
          <w:sz w:val="24"/>
          <w:szCs w:val="24"/>
        </w:rPr>
        <w:lastRenderedPageBreak/>
        <w:t xml:space="preserve">again generated results that are consistent with our main findings.  </w:t>
      </w:r>
    </w:p>
    <w:p w14:paraId="1DFF68C6" w14:textId="77777777" w:rsidR="00D23A94" w:rsidRDefault="00D23A94" w:rsidP="00D23A94">
      <w:pPr>
        <w:jc w:val="left"/>
        <w:rPr>
          <w:rFonts w:ascii="Times New Roman" w:hAnsi="Times New Roman"/>
          <w:b/>
          <w:color w:val="000000"/>
          <w:kern w:val="0"/>
          <w:sz w:val="24"/>
          <w:szCs w:val="24"/>
        </w:rPr>
      </w:pPr>
    </w:p>
    <w:p w14:paraId="6A63351D" w14:textId="77777777" w:rsidR="00D23A94" w:rsidRPr="00FF34B6" w:rsidRDefault="00D23A94" w:rsidP="00D23A94">
      <w:pPr>
        <w:jc w:val="left"/>
        <w:rPr>
          <w:rFonts w:ascii="Times New Roman" w:hAnsi="Times New Roman"/>
          <w:bCs/>
          <w:color w:val="000000"/>
          <w:kern w:val="0"/>
          <w:sz w:val="24"/>
          <w:szCs w:val="24"/>
        </w:rPr>
      </w:pPr>
      <w:r w:rsidRPr="00FF34B6">
        <w:rPr>
          <w:rFonts w:ascii="Times New Roman" w:hAnsi="Times New Roman"/>
          <w:bCs/>
          <w:color w:val="000000"/>
          <w:kern w:val="0"/>
          <w:sz w:val="24"/>
          <w:szCs w:val="24"/>
        </w:rPr>
        <w:t>Table A1. Two-stage least squares regressions with the instrument of expected financial media coverage</w:t>
      </w:r>
    </w:p>
    <w:p w14:paraId="7AF99AC8" w14:textId="77777777" w:rsidR="00D23A94" w:rsidRPr="0079584E" w:rsidRDefault="00D23A94" w:rsidP="00D23A94">
      <w:pPr>
        <w:jc w:val="left"/>
        <w:rPr>
          <w:rFonts w:ascii="Times New Roman" w:hAnsi="Times New Roman"/>
          <w:color w:val="000000"/>
          <w:kern w:val="0"/>
          <w:sz w:val="24"/>
          <w:szCs w:val="24"/>
        </w:rPr>
      </w:pPr>
    </w:p>
    <w:tbl>
      <w:tblPr>
        <w:tblW w:w="9039" w:type="dxa"/>
        <w:tblInd w:w="-105" w:type="dxa"/>
        <w:tblLayout w:type="fixed"/>
        <w:tblLook w:val="04A0" w:firstRow="1" w:lastRow="0" w:firstColumn="1" w:lastColumn="0" w:noHBand="0" w:noVBand="1"/>
      </w:tblPr>
      <w:tblGrid>
        <w:gridCol w:w="2618"/>
        <w:gridCol w:w="2449"/>
        <w:gridCol w:w="1831"/>
        <w:gridCol w:w="2141"/>
      </w:tblGrid>
      <w:tr w:rsidR="00D23A94" w:rsidRPr="0079584E" w14:paraId="1DE1A42B" w14:textId="77777777" w:rsidTr="008C519F">
        <w:trPr>
          <w:trHeight w:val="279"/>
        </w:trPr>
        <w:tc>
          <w:tcPr>
            <w:tcW w:w="2618" w:type="dxa"/>
            <w:tcBorders>
              <w:top w:val="single" w:sz="18" w:space="0" w:color="auto"/>
            </w:tcBorders>
            <w:shd w:val="clear" w:color="auto" w:fill="auto"/>
            <w:noWrap/>
            <w:vAlign w:val="bottom"/>
          </w:tcPr>
          <w:p w14:paraId="54B3F785" w14:textId="77777777" w:rsidR="00D23A94" w:rsidRPr="0079584E" w:rsidRDefault="00D23A94" w:rsidP="008C519F">
            <w:pPr>
              <w:widowControl/>
              <w:jc w:val="left"/>
              <w:rPr>
                <w:rFonts w:ascii="Times New Roman" w:hAnsi="Times New Roman"/>
                <w:color w:val="000000"/>
                <w:kern w:val="0"/>
                <w:sz w:val="24"/>
                <w:szCs w:val="24"/>
              </w:rPr>
            </w:pPr>
          </w:p>
        </w:tc>
        <w:tc>
          <w:tcPr>
            <w:tcW w:w="2449" w:type="dxa"/>
            <w:tcBorders>
              <w:top w:val="single" w:sz="18" w:space="0" w:color="auto"/>
            </w:tcBorders>
            <w:shd w:val="clear" w:color="auto" w:fill="auto"/>
            <w:noWrap/>
            <w:vAlign w:val="bottom"/>
          </w:tcPr>
          <w:p w14:paraId="172B95BE" w14:textId="77777777" w:rsidR="00D23A94" w:rsidRPr="0079584E" w:rsidRDefault="00D23A94" w:rsidP="008C519F">
            <w:pPr>
              <w:widowControl/>
              <w:tabs>
                <w:tab w:val="decimal" w:pos="222"/>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First-stage Regression</w:t>
            </w:r>
          </w:p>
        </w:tc>
        <w:tc>
          <w:tcPr>
            <w:tcW w:w="3972" w:type="dxa"/>
            <w:gridSpan w:val="2"/>
            <w:tcBorders>
              <w:top w:val="single" w:sz="18" w:space="0" w:color="auto"/>
              <w:left w:val="single" w:sz="8" w:space="0" w:color="auto"/>
            </w:tcBorders>
            <w:shd w:val="clear" w:color="auto" w:fill="auto"/>
            <w:noWrap/>
            <w:vAlign w:val="bottom"/>
          </w:tcPr>
          <w:p w14:paraId="7E1C4720" w14:textId="77777777" w:rsidR="00D23A94" w:rsidRPr="0079584E" w:rsidRDefault="00D23A94" w:rsidP="008C519F">
            <w:pPr>
              <w:widowControl/>
              <w:tabs>
                <w:tab w:val="decimal" w:pos="537"/>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Second-stage Regressions</w:t>
            </w:r>
          </w:p>
        </w:tc>
      </w:tr>
      <w:tr w:rsidR="00D23A94" w:rsidRPr="0079584E" w14:paraId="67CBA3FC" w14:textId="77777777" w:rsidTr="008C519F">
        <w:trPr>
          <w:trHeight w:val="279"/>
        </w:trPr>
        <w:tc>
          <w:tcPr>
            <w:tcW w:w="2618" w:type="dxa"/>
            <w:tcBorders>
              <w:top w:val="single" w:sz="8" w:space="0" w:color="auto"/>
            </w:tcBorders>
            <w:shd w:val="clear" w:color="auto" w:fill="auto"/>
            <w:noWrap/>
            <w:vAlign w:val="bottom"/>
          </w:tcPr>
          <w:p w14:paraId="7463BDBD" w14:textId="77777777" w:rsidR="00D23A94" w:rsidRPr="0079584E" w:rsidRDefault="00D23A94" w:rsidP="008C519F">
            <w:pPr>
              <w:widowControl/>
              <w:jc w:val="left"/>
              <w:rPr>
                <w:rFonts w:ascii="Times New Roman" w:hAnsi="Times New Roman"/>
                <w:color w:val="000000"/>
                <w:kern w:val="0"/>
                <w:sz w:val="24"/>
                <w:szCs w:val="24"/>
              </w:rPr>
            </w:pPr>
          </w:p>
        </w:tc>
        <w:tc>
          <w:tcPr>
            <w:tcW w:w="2449" w:type="dxa"/>
            <w:tcBorders>
              <w:top w:val="single" w:sz="8" w:space="0" w:color="auto"/>
            </w:tcBorders>
            <w:shd w:val="clear" w:color="auto" w:fill="auto"/>
            <w:noWrap/>
            <w:vAlign w:val="bottom"/>
          </w:tcPr>
          <w:p w14:paraId="3172FDBD" w14:textId="77777777" w:rsidR="00D23A94" w:rsidRPr="0079584E" w:rsidRDefault="00D23A94" w:rsidP="00D23A94">
            <w:pPr>
              <w:widowControl/>
              <w:numPr>
                <w:ilvl w:val="0"/>
                <w:numId w:val="1"/>
              </w:numPr>
              <w:tabs>
                <w:tab w:val="decimal" w:pos="222"/>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Financial Media Coverage</w:t>
            </w:r>
          </w:p>
        </w:tc>
        <w:tc>
          <w:tcPr>
            <w:tcW w:w="1831" w:type="dxa"/>
            <w:tcBorders>
              <w:top w:val="single" w:sz="8" w:space="0" w:color="auto"/>
              <w:left w:val="single" w:sz="8" w:space="0" w:color="auto"/>
            </w:tcBorders>
            <w:shd w:val="clear" w:color="auto" w:fill="auto"/>
            <w:noWrap/>
            <w:vAlign w:val="bottom"/>
          </w:tcPr>
          <w:p w14:paraId="237CFBBA" w14:textId="77777777" w:rsidR="00D23A94" w:rsidRPr="0079584E" w:rsidRDefault="00D23A94" w:rsidP="00D23A94">
            <w:pPr>
              <w:widowControl/>
              <w:numPr>
                <w:ilvl w:val="0"/>
                <w:numId w:val="1"/>
              </w:numPr>
              <w:tabs>
                <w:tab w:val="decimal" w:pos="252"/>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CSR Scope Conformity</w:t>
            </w:r>
          </w:p>
        </w:tc>
        <w:tc>
          <w:tcPr>
            <w:tcW w:w="2141" w:type="dxa"/>
            <w:tcBorders>
              <w:top w:val="single" w:sz="8" w:space="0" w:color="auto"/>
            </w:tcBorders>
            <w:shd w:val="clear" w:color="auto" w:fill="auto"/>
            <w:noWrap/>
            <w:vAlign w:val="center"/>
          </w:tcPr>
          <w:p w14:paraId="0CD1CDAA" w14:textId="77777777" w:rsidR="00D23A94" w:rsidRPr="0079584E" w:rsidRDefault="00D23A94" w:rsidP="00D23A94">
            <w:pPr>
              <w:widowControl/>
              <w:numPr>
                <w:ilvl w:val="0"/>
                <w:numId w:val="1"/>
              </w:numPr>
              <w:tabs>
                <w:tab w:val="decimal" w:pos="537"/>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CSR Emphasis Differentiation</w:t>
            </w:r>
          </w:p>
        </w:tc>
      </w:tr>
      <w:tr w:rsidR="00D23A94" w:rsidRPr="0079584E" w14:paraId="3FCAD31A" w14:textId="77777777" w:rsidTr="008C519F">
        <w:trPr>
          <w:trHeight w:val="279"/>
        </w:trPr>
        <w:tc>
          <w:tcPr>
            <w:tcW w:w="2618" w:type="dxa"/>
            <w:tcBorders>
              <w:top w:val="single" w:sz="8" w:space="0" w:color="auto"/>
            </w:tcBorders>
            <w:shd w:val="clear" w:color="auto" w:fill="auto"/>
            <w:noWrap/>
            <w:vAlign w:val="bottom"/>
          </w:tcPr>
          <w:p w14:paraId="0A5EE15A" w14:textId="77777777" w:rsidR="00D23A94" w:rsidRPr="0079584E" w:rsidRDefault="00D23A94" w:rsidP="008C519F">
            <w:pPr>
              <w:widowControl/>
              <w:jc w:val="left"/>
              <w:rPr>
                <w:rFonts w:ascii="Times New Roman" w:hAnsi="Times New Roman"/>
                <w:color w:val="000000"/>
                <w:kern w:val="0"/>
                <w:sz w:val="24"/>
                <w:szCs w:val="24"/>
              </w:rPr>
            </w:pPr>
            <w:r w:rsidRPr="0079584E">
              <w:rPr>
                <w:rFonts w:ascii="Times New Roman" w:hAnsi="Times New Roman"/>
                <w:color w:val="000000"/>
                <w:kern w:val="0"/>
                <w:sz w:val="24"/>
                <w:szCs w:val="24"/>
              </w:rPr>
              <w:t>Expected coverage</w:t>
            </w:r>
          </w:p>
        </w:tc>
        <w:tc>
          <w:tcPr>
            <w:tcW w:w="2449" w:type="dxa"/>
            <w:tcBorders>
              <w:top w:val="single" w:sz="8" w:space="0" w:color="auto"/>
            </w:tcBorders>
            <w:shd w:val="clear" w:color="auto" w:fill="auto"/>
            <w:noWrap/>
            <w:vAlign w:val="center"/>
          </w:tcPr>
          <w:p w14:paraId="74F7F543" w14:textId="77777777" w:rsidR="00D23A94" w:rsidRPr="0079584E" w:rsidRDefault="00D23A94" w:rsidP="00D23A94">
            <w:pPr>
              <w:widowControl/>
              <w:tabs>
                <w:tab w:val="decimal" w:pos="222"/>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0.195</w:t>
            </w:r>
          </w:p>
        </w:tc>
        <w:tc>
          <w:tcPr>
            <w:tcW w:w="1831" w:type="dxa"/>
            <w:tcBorders>
              <w:top w:val="single" w:sz="8" w:space="0" w:color="auto"/>
              <w:left w:val="single" w:sz="8" w:space="0" w:color="auto"/>
            </w:tcBorders>
            <w:shd w:val="clear" w:color="auto" w:fill="auto"/>
            <w:noWrap/>
            <w:vAlign w:val="center"/>
          </w:tcPr>
          <w:p w14:paraId="6788F4B0" w14:textId="77777777" w:rsidR="00D23A94" w:rsidRPr="0079584E" w:rsidRDefault="00D23A94" w:rsidP="008C519F">
            <w:pPr>
              <w:widowControl/>
              <w:tabs>
                <w:tab w:val="decimal" w:pos="252"/>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w:t>
            </w:r>
          </w:p>
        </w:tc>
        <w:tc>
          <w:tcPr>
            <w:tcW w:w="2141" w:type="dxa"/>
            <w:tcBorders>
              <w:top w:val="single" w:sz="8" w:space="0" w:color="auto"/>
            </w:tcBorders>
            <w:shd w:val="clear" w:color="auto" w:fill="auto"/>
            <w:noWrap/>
            <w:vAlign w:val="center"/>
          </w:tcPr>
          <w:p w14:paraId="0C1FECC4" w14:textId="77777777" w:rsidR="00D23A94" w:rsidRPr="0079584E" w:rsidRDefault="00D23A94" w:rsidP="008C519F">
            <w:pPr>
              <w:widowControl/>
              <w:tabs>
                <w:tab w:val="decimal" w:pos="537"/>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w:t>
            </w:r>
          </w:p>
        </w:tc>
      </w:tr>
      <w:tr w:rsidR="00D23A94" w:rsidRPr="0079584E" w14:paraId="33BA7F92" w14:textId="77777777" w:rsidTr="008C519F">
        <w:trPr>
          <w:trHeight w:val="65"/>
        </w:trPr>
        <w:tc>
          <w:tcPr>
            <w:tcW w:w="2618" w:type="dxa"/>
            <w:shd w:val="clear" w:color="auto" w:fill="auto"/>
            <w:noWrap/>
            <w:vAlign w:val="bottom"/>
          </w:tcPr>
          <w:p w14:paraId="63115340" w14:textId="77777777" w:rsidR="00D23A94" w:rsidRPr="0079584E" w:rsidRDefault="00D23A94" w:rsidP="008C519F">
            <w:pPr>
              <w:widowControl/>
              <w:jc w:val="left"/>
              <w:rPr>
                <w:rFonts w:ascii="Times New Roman" w:hAnsi="Times New Roman"/>
                <w:color w:val="000000"/>
                <w:kern w:val="0"/>
                <w:sz w:val="24"/>
                <w:szCs w:val="24"/>
              </w:rPr>
            </w:pPr>
          </w:p>
        </w:tc>
        <w:tc>
          <w:tcPr>
            <w:tcW w:w="2449" w:type="dxa"/>
            <w:shd w:val="clear" w:color="auto" w:fill="auto"/>
            <w:noWrap/>
            <w:vAlign w:val="center"/>
          </w:tcPr>
          <w:p w14:paraId="2AB3B10B" w14:textId="77777777" w:rsidR="00D23A94" w:rsidRPr="0079584E" w:rsidRDefault="00D23A94" w:rsidP="00D23A94">
            <w:pPr>
              <w:widowControl/>
              <w:tabs>
                <w:tab w:val="decimal" w:pos="222"/>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(0.012)</w:t>
            </w:r>
          </w:p>
        </w:tc>
        <w:tc>
          <w:tcPr>
            <w:tcW w:w="1831" w:type="dxa"/>
            <w:tcBorders>
              <w:left w:val="single" w:sz="8" w:space="0" w:color="auto"/>
            </w:tcBorders>
            <w:shd w:val="clear" w:color="auto" w:fill="auto"/>
            <w:noWrap/>
            <w:vAlign w:val="center"/>
          </w:tcPr>
          <w:p w14:paraId="4A9BB0F6" w14:textId="77777777" w:rsidR="00D23A94" w:rsidRPr="0079584E" w:rsidRDefault="00D23A94" w:rsidP="008C519F">
            <w:pPr>
              <w:widowControl/>
              <w:tabs>
                <w:tab w:val="decimal" w:pos="252"/>
              </w:tabs>
              <w:jc w:val="center"/>
              <w:rPr>
                <w:rFonts w:ascii="Times New Roman" w:hAnsi="Times New Roman"/>
                <w:color w:val="000000"/>
                <w:kern w:val="0"/>
                <w:sz w:val="24"/>
                <w:szCs w:val="24"/>
              </w:rPr>
            </w:pPr>
          </w:p>
        </w:tc>
        <w:tc>
          <w:tcPr>
            <w:tcW w:w="2141" w:type="dxa"/>
            <w:shd w:val="clear" w:color="auto" w:fill="auto"/>
            <w:noWrap/>
            <w:vAlign w:val="center"/>
          </w:tcPr>
          <w:p w14:paraId="51E0AF86" w14:textId="77777777" w:rsidR="00D23A94" w:rsidRPr="0079584E" w:rsidRDefault="00D23A94" w:rsidP="008C519F">
            <w:pPr>
              <w:widowControl/>
              <w:tabs>
                <w:tab w:val="decimal" w:pos="537"/>
              </w:tabs>
              <w:jc w:val="center"/>
              <w:rPr>
                <w:rFonts w:ascii="Times New Roman" w:hAnsi="Times New Roman"/>
                <w:color w:val="000000"/>
                <w:kern w:val="0"/>
                <w:sz w:val="24"/>
                <w:szCs w:val="24"/>
              </w:rPr>
            </w:pPr>
          </w:p>
        </w:tc>
      </w:tr>
      <w:tr w:rsidR="00D23A94" w:rsidRPr="0079584E" w14:paraId="2B26BD91" w14:textId="77777777" w:rsidTr="008C519F">
        <w:trPr>
          <w:trHeight w:val="129"/>
        </w:trPr>
        <w:tc>
          <w:tcPr>
            <w:tcW w:w="2618" w:type="dxa"/>
            <w:shd w:val="clear" w:color="auto" w:fill="auto"/>
            <w:noWrap/>
            <w:vAlign w:val="bottom"/>
            <w:hideMark/>
          </w:tcPr>
          <w:p w14:paraId="14BCE05B" w14:textId="77777777" w:rsidR="00D23A94" w:rsidRPr="0079584E" w:rsidRDefault="00D23A94" w:rsidP="008C519F">
            <w:pPr>
              <w:widowControl/>
              <w:jc w:val="left"/>
              <w:rPr>
                <w:rFonts w:ascii="Times New Roman" w:hAnsi="Times New Roman"/>
                <w:color w:val="000000"/>
                <w:kern w:val="0"/>
                <w:sz w:val="24"/>
                <w:szCs w:val="24"/>
              </w:rPr>
            </w:pPr>
            <w:r w:rsidRPr="0079584E">
              <w:rPr>
                <w:rFonts w:ascii="Times New Roman" w:hAnsi="Times New Roman"/>
                <w:color w:val="000000"/>
                <w:kern w:val="0"/>
                <w:sz w:val="24"/>
                <w:szCs w:val="24"/>
              </w:rPr>
              <w:t>Financial media coverage</w:t>
            </w:r>
          </w:p>
        </w:tc>
        <w:tc>
          <w:tcPr>
            <w:tcW w:w="2449" w:type="dxa"/>
            <w:shd w:val="clear" w:color="auto" w:fill="auto"/>
            <w:noWrap/>
            <w:vAlign w:val="center"/>
            <w:hideMark/>
          </w:tcPr>
          <w:p w14:paraId="2CF7AE25" w14:textId="77777777" w:rsidR="00D23A94" w:rsidRPr="0079584E" w:rsidRDefault="00D23A94" w:rsidP="00D23A94">
            <w:pPr>
              <w:widowControl/>
              <w:tabs>
                <w:tab w:val="decimal" w:pos="222"/>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w:t>
            </w:r>
          </w:p>
        </w:tc>
        <w:tc>
          <w:tcPr>
            <w:tcW w:w="1831" w:type="dxa"/>
            <w:tcBorders>
              <w:left w:val="single" w:sz="8" w:space="0" w:color="auto"/>
            </w:tcBorders>
            <w:shd w:val="clear" w:color="auto" w:fill="auto"/>
            <w:noWrap/>
            <w:vAlign w:val="center"/>
          </w:tcPr>
          <w:p w14:paraId="34E085ED" w14:textId="77777777" w:rsidR="00D23A94" w:rsidRPr="0079584E" w:rsidRDefault="00D23A94" w:rsidP="008C519F">
            <w:pPr>
              <w:widowControl/>
              <w:tabs>
                <w:tab w:val="decimal" w:pos="252"/>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0.143</w:t>
            </w:r>
          </w:p>
        </w:tc>
        <w:tc>
          <w:tcPr>
            <w:tcW w:w="2141" w:type="dxa"/>
            <w:shd w:val="clear" w:color="auto" w:fill="auto"/>
            <w:noWrap/>
            <w:vAlign w:val="center"/>
          </w:tcPr>
          <w:p w14:paraId="247EAFB0" w14:textId="77777777" w:rsidR="00D23A94" w:rsidRPr="0079584E" w:rsidRDefault="00D23A94" w:rsidP="008C519F">
            <w:pPr>
              <w:widowControl/>
              <w:tabs>
                <w:tab w:val="decimal" w:pos="537"/>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0.060</w:t>
            </w:r>
          </w:p>
        </w:tc>
      </w:tr>
      <w:tr w:rsidR="00D23A94" w:rsidRPr="0079584E" w14:paraId="1BD49F3B" w14:textId="77777777" w:rsidTr="008C519F">
        <w:trPr>
          <w:trHeight w:val="129"/>
        </w:trPr>
        <w:tc>
          <w:tcPr>
            <w:tcW w:w="2618" w:type="dxa"/>
            <w:shd w:val="clear" w:color="auto" w:fill="auto"/>
            <w:noWrap/>
            <w:vAlign w:val="bottom"/>
          </w:tcPr>
          <w:p w14:paraId="08433A39" w14:textId="77777777" w:rsidR="00D23A94" w:rsidRPr="0079584E" w:rsidRDefault="00D23A94" w:rsidP="008C519F">
            <w:pPr>
              <w:widowControl/>
              <w:jc w:val="left"/>
              <w:rPr>
                <w:rFonts w:ascii="Times New Roman" w:hAnsi="Times New Roman"/>
                <w:color w:val="000000"/>
                <w:kern w:val="0"/>
                <w:sz w:val="24"/>
                <w:szCs w:val="24"/>
              </w:rPr>
            </w:pPr>
            <w:r w:rsidRPr="0079584E">
              <w:rPr>
                <w:rFonts w:ascii="Times New Roman" w:hAnsi="Times New Roman"/>
                <w:color w:val="000000"/>
                <w:kern w:val="0"/>
                <w:sz w:val="24"/>
                <w:szCs w:val="24"/>
              </w:rPr>
              <w:t>(Instrumented)</w:t>
            </w:r>
          </w:p>
        </w:tc>
        <w:tc>
          <w:tcPr>
            <w:tcW w:w="2449" w:type="dxa"/>
            <w:shd w:val="clear" w:color="auto" w:fill="auto"/>
            <w:noWrap/>
            <w:vAlign w:val="center"/>
          </w:tcPr>
          <w:p w14:paraId="161D4851" w14:textId="77777777" w:rsidR="00D23A94" w:rsidRPr="0079584E" w:rsidRDefault="00D23A94" w:rsidP="00D23A94">
            <w:pPr>
              <w:widowControl/>
              <w:tabs>
                <w:tab w:val="decimal" w:pos="222"/>
              </w:tabs>
              <w:jc w:val="center"/>
              <w:rPr>
                <w:rFonts w:ascii="Times New Roman" w:hAnsi="Times New Roman"/>
                <w:color w:val="000000"/>
                <w:kern w:val="0"/>
                <w:sz w:val="24"/>
                <w:szCs w:val="24"/>
              </w:rPr>
            </w:pPr>
          </w:p>
        </w:tc>
        <w:tc>
          <w:tcPr>
            <w:tcW w:w="1831" w:type="dxa"/>
            <w:tcBorders>
              <w:left w:val="single" w:sz="8" w:space="0" w:color="auto"/>
            </w:tcBorders>
            <w:shd w:val="clear" w:color="auto" w:fill="auto"/>
            <w:noWrap/>
            <w:vAlign w:val="center"/>
          </w:tcPr>
          <w:p w14:paraId="7C6C1A52" w14:textId="77777777" w:rsidR="00D23A94" w:rsidRPr="0079584E" w:rsidRDefault="00D23A94" w:rsidP="008C519F">
            <w:pPr>
              <w:widowControl/>
              <w:tabs>
                <w:tab w:val="decimal" w:pos="252"/>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(0.028)</w:t>
            </w:r>
          </w:p>
        </w:tc>
        <w:tc>
          <w:tcPr>
            <w:tcW w:w="2141" w:type="dxa"/>
            <w:shd w:val="clear" w:color="auto" w:fill="auto"/>
            <w:noWrap/>
            <w:vAlign w:val="center"/>
          </w:tcPr>
          <w:p w14:paraId="5A3AC641" w14:textId="77777777" w:rsidR="00D23A94" w:rsidRPr="0079584E" w:rsidRDefault="00D23A94" w:rsidP="008C519F">
            <w:pPr>
              <w:widowControl/>
              <w:tabs>
                <w:tab w:val="decimal" w:pos="537"/>
              </w:tabs>
              <w:jc w:val="center"/>
              <w:rPr>
                <w:rFonts w:ascii="Times New Roman" w:hAnsi="Times New Roman"/>
                <w:color w:val="000000"/>
                <w:kern w:val="0"/>
                <w:sz w:val="24"/>
                <w:szCs w:val="24"/>
              </w:rPr>
            </w:pPr>
            <w:r w:rsidRPr="0079584E">
              <w:rPr>
                <w:rFonts w:ascii="Times New Roman" w:hAnsi="Times New Roman"/>
                <w:color w:val="000000"/>
                <w:kern w:val="0"/>
                <w:sz w:val="24"/>
                <w:szCs w:val="24"/>
              </w:rPr>
              <w:t>(0.025)</w:t>
            </w:r>
          </w:p>
        </w:tc>
      </w:tr>
      <w:tr w:rsidR="00D23A94" w:rsidRPr="0079584E" w14:paraId="255E9936" w14:textId="77777777" w:rsidTr="008C519F">
        <w:trPr>
          <w:trHeight w:val="129"/>
        </w:trPr>
        <w:tc>
          <w:tcPr>
            <w:tcW w:w="2618" w:type="dxa"/>
            <w:shd w:val="clear" w:color="auto" w:fill="auto"/>
            <w:noWrap/>
            <w:vAlign w:val="bottom"/>
            <w:hideMark/>
          </w:tcPr>
          <w:p w14:paraId="46ED5853" w14:textId="77777777" w:rsidR="00D23A94" w:rsidRPr="0079584E" w:rsidRDefault="00D23A94" w:rsidP="008C519F">
            <w:pPr>
              <w:widowControl/>
              <w:jc w:val="right"/>
              <w:rPr>
                <w:rFonts w:ascii="Times New Roman" w:hAnsi="Times New Roman"/>
                <w:color w:val="000000"/>
                <w:kern w:val="0"/>
                <w:sz w:val="24"/>
                <w:szCs w:val="24"/>
              </w:rPr>
            </w:pPr>
          </w:p>
        </w:tc>
        <w:tc>
          <w:tcPr>
            <w:tcW w:w="2449" w:type="dxa"/>
            <w:shd w:val="clear" w:color="auto" w:fill="auto"/>
            <w:noWrap/>
            <w:vAlign w:val="bottom"/>
            <w:hideMark/>
          </w:tcPr>
          <w:p w14:paraId="1A624358" w14:textId="77777777" w:rsidR="00D23A94" w:rsidRPr="0079584E" w:rsidRDefault="00D23A94" w:rsidP="00D23A94">
            <w:pPr>
              <w:widowControl/>
              <w:tabs>
                <w:tab w:val="decimal" w:pos="222"/>
              </w:tabs>
              <w:jc w:val="center"/>
              <w:rPr>
                <w:rFonts w:ascii="Times New Roman" w:eastAsia="Times New Roman" w:hAnsi="Times New Roman"/>
                <w:kern w:val="0"/>
                <w:sz w:val="24"/>
                <w:szCs w:val="24"/>
              </w:rPr>
            </w:pPr>
          </w:p>
        </w:tc>
        <w:tc>
          <w:tcPr>
            <w:tcW w:w="1831" w:type="dxa"/>
            <w:tcBorders>
              <w:left w:val="single" w:sz="8" w:space="0" w:color="auto"/>
            </w:tcBorders>
            <w:shd w:val="clear" w:color="auto" w:fill="auto"/>
            <w:noWrap/>
            <w:vAlign w:val="bottom"/>
            <w:hideMark/>
          </w:tcPr>
          <w:p w14:paraId="46BE3C9E" w14:textId="77777777" w:rsidR="00D23A94" w:rsidRPr="0079584E" w:rsidRDefault="00D23A94" w:rsidP="008C519F">
            <w:pPr>
              <w:widowControl/>
              <w:jc w:val="center"/>
              <w:rPr>
                <w:rFonts w:ascii="Times New Roman" w:eastAsia="Times New Roman" w:hAnsi="Times New Roman"/>
                <w:kern w:val="0"/>
                <w:sz w:val="24"/>
                <w:szCs w:val="24"/>
              </w:rPr>
            </w:pPr>
          </w:p>
        </w:tc>
        <w:tc>
          <w:tcPr>
            <w:tcW w:w="2141" w:type="dxa"/>
            <w:shd w:val="clear" w:color="auto" w:fill="auto"/>
            <w:noWrap/>
            <w:vAlign w:val="bottom"/>
            <w:hideMark/>
          </w:tcPr>
          <w:p w14:paraId="0B285557" w14:textId="77777777" w:rsidR="00D23A94" w:rsidRPr="0079584E" w:rsidRDefault="00D23A94" w:rsidP="008C519F">
            <w:pPr>
              <w:widowControl/>
              <w:jc w:val="center"/>
              <w:rPr>
                <w:rFonts w:ascii="Times New Roman" w:hAnsi="Times New Roman"/>
                <w:kern w:val="0"/>
                <w:sz w:val="24"/>
                <w:szCs w:val="24"/>
              </w:rPr>
            </w:pPr>
          </w:p>
        </w:tc>
      </w:tr>
      <w:tr w:rsidR="00D23A94" w:rsidRPr="0079584E" w14:paraId="575ABDAD" w14:textId="77777777" w:rsidTr="008C519F">
        <w:trPr>
          <w:trHeight w:val="129"/>
        </w:trPr>
        <w:tc>
          <w:tcPr>
            <w:tcW w:w="2618" w:type="dxa"/>
            <w:shd w:val="clear" w:color="auto" w:fill="auto"/>
            <w:noWrap/>
            <w:vAlign w:val="bottom"/>
            <w:hideMark/>
          </w:tcPr>
          <w:p w14:paraId="392885B5" w14:textId="77777777" w:rsidR="00D23A94" w:rsidRPr="0079584E" w:rsidRDefault="00D23A94" w:rsidP="008C519F">
            <w:pPr>
              <w:widowControl/>
              <w:jc w:val="left"/>
              <w:rPr>
                <w:rFonts w:ascii="Times New Roman" w:hAnsi="Times New Roman"/>
                <w:color w:val="000000"/>
                <w:kern w:val="0"/>
                <w:sz w:val="24"/>
                <w:szCs w:val="24"/>
              </w:rPr>
            </w:pPr>
            <w:r w:rsidRPr="0079584E">
              <w:rPr>
                <w:rFonts w:ascii="Times New Roman" w:hAnsi="Times New Roman"/>
                <w:color w:val="000000"/>
                <w:kern w:val="0"/>
                <w:sz w:val="24"/>
                <w:szCs w:val="24"/>
              </w:rPr>
              <w:t xml:space="preserve">Control variables </w:t>
            </w:r>
          </w:p>
        </w:tc>
        <w:tc>
          <w:tcPr>
            <w:tcW w:w="2449" w:type="dxa"/>
            <w:shd w:val="clear" w:color="auto" w:fill="auto"/>
            <w:noWrap/>
            <w:hideMark/>
          </w:tcPr>
          <w:p w14:paraId="629E4978" w14:textId="77777777" w:rsidR="00D23A94" w:rsidRPr="0079584E" w:rsidRDefault="00D23A94" w:rsidP="00D23A94">
            <w:pPr>
              <w:jc w:val="center"/>
              <w:rPr>
                <w:rFonts w:ascii="Times New Roman" w:hAnsi="Times New Roman"/>
                <w:sz w:val="24"/>
                <w:szCs w:val="24"/>
              </w:rPr>
            </w:pPr>
            <w:r w:rsidRPr="0079584E">
              <w:rPr>
                <w:rFonts w:ascii="Times New Roman" w:hAnsi="Times New Roman"/>
                <w:color w:val="000000"/>
                <w:kern w:val="0"/>
                <w:sz w:val="24"/>
                <w:szCs w:val="24"/>
              </w:rPr>
              <w:t>Yes</w:t>
            </w:r>
          </w:p>
        </w:tc>
        <w:tc>
          <w:tcPr>
            <w:tcW w:w="1831" w:type="dxa"/>
            <w:tcBorders>
              <w:left w:val="single" w:sz="8" w:space="0" w:color="auto"/>
            </w:tcBorders>
            <w:shd w:val="clear" w:color="auto" w:fill="auto"/>
            <w:noWrap/>
            <w:hideMark/>
          </w:tcPr>
          <w:p w14:paraId="6D755CD4" w14:textId="77777777" w:rsidR="00D23A94" w:rsidRPr="0079584E" w:rsidRDefault="00D23A94" w:rsidP="008C519F">
            <w:pPr>
              <w:jc w:val="center"/>
              <w:rPr>
                <w:rFonts w:ascii="Times New Roman" w:hAnsi="Times New Roman"/>
                <w:sz w:val="24"/>
                <w:szCs w:val="24"/>
              </w:rPr>
            </w:pPr>
            <w:r w:rsidRPr="0079584E">
              <w:rPr>
                <w:rFonts w:ascii="Times New Roman" w:hAnsi="Times New Roman"/>
                <w:color w:val="000000"/>
                <w:kern w:val="0"/>
                <w:sz w:val="24"/>
                <w:szCs w:val="24"/>
              </w:rPr>
              <w:t>Yes</w:t>
            </w:r>
          </w:p>
        </w:tc>
        <w:tc>
          <w:tcPr>
            <w:tcW w:w="2141" w:type="dxa"/>
            <w:shd w:val="clear" w:color="auto" w:fill="auto"/>
            <w:noWrap/>
            <w:hideMark/>
          </w:tcPr>
          <w:p w14:paraId="4A7721DB" w14:textId="77777777" w:rsidR="00D23A94" w:rsidRPr="0079584E" w:rsidRDefault="00D23A94" w:rsidP="008C519F">
            <w:pPr>
              <w:jc w:val="center"/>
              <w:rPr>
                <w:rFonts w:ascii="Times New Roman" w:hAnsi="Times New Roman"/>
                <w:sz w:val="24"/>
                <w:szCs w:val="24"/>
              </w:rPr>
            </w:pPr>
            <w:r w:rsidRPr="0079584E">
              <w:rPr>
                <w:rFonts w:ascii="Times New Roman" w:hAnsi="Times New Roman"/>
                <w:color w:val="000000"/>
                <w:kern w:val="0"/>
                <w:sz w:val="24"/>
                <w:szCs w:val="24"/>
              </w:rPr>
              <w:t>Yes</w:t>
            </w:r>
          </w:p>
        </w:tc>
      </w:tr>
      <w:tr w:rsidR="00D23A94" w:rsidRPr="0079584E" w14:paraId="7CBAFCDC" w14:textId="77777777" w:rsidTr="008C519F">
        <w:trPr>
          <w:trHeight w:val="129"/>
        </w:trPr>
        <w:tc>
          <w:tcPr>
            <w:tcW w:w="2618" w:type="dxa"/>
            <w:shd w:val="clear" w:color="auto" w:fill="auto"/>
            <w:noWrap/>
            <w:vAlign w:val="bottom"/>
            <w:hideMark/>
          </w:tcPr>
          <w:p w14:paraId="4F2B7DFF" w14:textId="77777777" w:rsidR="00D23A94" w:rsidRPr="0079584E" w:rsidRDefault="00D23A94" w:rsidP="008C519F">
            <w:pPr>
              <w:widowControl/>
              <w:jc w:val="left"/>
              <w:rPr>
                <w:rFonts w:ascii="Times New Roman" w:hAnsi="Times New Roman"/>
                <w:color w:val="000000"/>
                <w:kern w:val="0"/>
                <w:sz w:val="24"/>
                <w:szCs w:val="24"/>
              </w:rPr>
            </w:pPr>
            <w:r w:rsidRPr="0079584E">
              <w:rPr>
                <w:rFonts w:ascii="Times New Roman" w:hAnsi="Times New Roman"/>
                <w:color w:val="000000"/>
                <w:kern w:val="0"/>
                <w:sz w:val="24"/>
                <w:szCs w:val="24"/>
              </w:rPr>
              <w:t>Firm fixed effects</w:t>
            </w:r>
          </w:p>
        </w:tc>
        <w:tc>
          <w:tcPr>
            <w:tcW w:w="2449" w:type="dxa"/>
            <w:shd w:val="clear" w:color="auto" w:fill="auto"/>
            <w:noWrap/>
            <w:hideMark/>
          </w:tcPr>
          <w:p w14:paraId="528D8BE8" w14:textId="77777777" w:rsidR="00D23A94" w:rsidRPr="0079584E" w:rsidRDefault="00D23A94" w:rsidP="00D23A94">
            <w:pPr>
              <w:jc w:val="center"/>
              <w:rPr>
                <w:rFonts w:ascii="Times New Roman" w:hAnsi="Times New Roman"/>
                <w:sz w:val="24"/>
                <w:szCs w:val="24"/>
              </w:rPr>
            </w:pPr>
            <w:r w:rsidRPr="0079584E">
              <w:rPr>
                <w:rFonts w:ascii="Times New Roman" w:hAnsi="Times New Roman"/>
                <w:color w:val="000000"/>
                <w:kern w:val="0"/>
                <w:sz w:val="24"/>
                <w:szCs w:val="24"/>
              </w:rPr>
              <w:t>Yes</w:t>
            </w:r>
          </w:p>
        </w:tc>
        <w:tc>
          <w:tcPr>
            <w:tcW w:w="1831" w:type="dxa"/>
            <w:tcBorders>
              <w:left w:val="single" w:sz="8" w:space="0" w:color="auto"/>
            </w:tcBorders>
            <w:shd w:val="clear" w:color="auto" w:fill="auto"/>
            <w:noWrap/>
            <w:hideMark/>
          </w:tcPr>
          <w:p w14:paraId="1B3D2F2E" w14:textId="77777777" w:rsidR="00D23A94" w:rsidRPr="0079584E" w:rsidRDefault="00D23A94" w:rsidP="008C519F">
            <w:pPr>
              <w:jc w:val="center"/>
              <w:rPr>
                <w:rFonts w:ascii="Times New Roman" w:hAnsi="Times New Roman"/>
                <w:sz w:val="24"/>
                <w:szCs w:val="24"/>
              </w:rPr>
            </w:pPr>
            <w:r w:rsidRPr="0079584E">
              <w:rPr>
                <w:rFonts w:ascii="Times New Roman" w:hAnsi="Times New Roman"/>
                <w:color w:val="000000"/>
                <w:kern w:val="0"/>
                <w:sz w:val="24"/>
                <w:szCs w:val="24"/>
              </w:rPr>
              <w:t>Yes</w:t>
            </w:r>
          </w:p>
        </w:tc>
        <w:tc>
          <w:tcPr>
            <w:tcW w:w="2141" w:type="dxa"/>
            <w:shd w:val="clear" w:color="auto" w:fill="auto"/>
            <w:noWrap/>
            <w:hideMark/>
          </w:tcPr>
          <w:p w14:paraId="1547C0C5" w14:textId="77777777" w:rsidR="00D23A94" w:rsidRPr="0079584E" w:rsidRDefault="00D23A94" w:rsidP="008C519F">
            <w:pPr>
              <w:jc w:val="center"/>
              <w:rPr>
                <w:rFonts w:ascii="Times New Roman" w:hAnsi="Times New Roman"/>
                <w:sz w:val="24"/>
                <w:szCs w:val="24"/>
              </w:rPr>
            </w:pPr>
            <w:r w:rsidRPr="0079584E">
              <w:rPr>
                <w:rFonts w:ascii="Times New Roman" w:hAnsi="Times New Roman"/>
                <w:color w:val="000000"/>
                <w:kern w:val="0"/>
                <w:sz w:val="24"/>
                <w:szCs w:val="24"/>
              </w:rPr>
              <w:t>Yes</w:t>
            </w:r>
          </w:p>
        </w:tc>
      </w:tr>
      <w:tr w:rsidR="00D23A94" w:rsidRPr="0079584E" w14:paraId="257E3C9F" w14:textId="77777777" w:rsidTr="008C519F">
        <w:trPr>
          <w:trHeight w:val="129"/>
        </w:trPr>
        <w:tc>
          <w:tcPr>
            <w:tcW w:w="2618" w:type="dxa"/>
            <w:shd w:val="clear" w:color="auto" w:fill="auto"/>
            <w:noWrap/>
            <w:vAlign w:val="bottom"/>
            <w:hideMark/>
          </w:tcPr>
          <w:p w14:paraId="2C838613" w14:textId="77777777" w:rsidR="00D23A94" w:rsidRPr="0079584E" w:rsidRDefault="00D23A94" w:rsidP="008C519F">
            <w:pPr>
              <w:widowControl/>
              <w:jc w:val="left"/>
              <w:rPr>
                <w:rFonts w:ascii="Times New Roman" w:hAnsi="Times New Roman"/>
                <w:color w:val="000000"/>
                <w:kern w:val="0"/>
                <w:sz w:val="24"/>
                <w:szCs w:val="24"/>
              </w:rPr>
            </w:pPr>
            <w:r w:rsidRPr="0079584E">
              <w:rPr>
                <w:rFonts w:ascii="Times New Roman" w:hAnsi="Times New Roman"/>
                <w:color w:val="000000"/>
                <w:kern w:val="0"/>
                <w:sz w:val="24"/>
                <w:szCs w:val="24"/>
              </w:rPr>
              <w:t>Year fixed effects</w:t>
            </w:r>
          </w:p>
        </w:tc>
        <w:tc>
          <w:tcPr>
            <w:tcW w:w="2449" w:type="dxa"/>
            <w:shd w:val="clear" w:color="auto" w:fill="auto"/>
            <w:noWrap/>
            <w:hideMark/>
          </w:tcPr>
          <w:p w14:paraId="4CBB4E02" w14:textId="77777777" w:rsidR="00D23A94" w:rsidRPr="0079584E" w:rsidRDefault="00D23A94" w:rsidP="00D23A94">
            <w:pPr>
              <w:jc w:val="center"/>
              <w:rPr>
                <w:rFonts w:ascii="Times New Roman" w:hAnsi="Times New Roman"/>
                <w:sz w:val="24"/>
                <w:szCs w:val="24"/>
              </w:rPr>
            </w:pPr>
            <w:r w:rsidRPr="0079584E">
              <w:rPr>
                <w:rFonts w:ascii="Times New Roman" w:hAnsi="Times New Roman"/>
                <w:color w:val="000000"/>
                <w:kern w:val="0"/>
                <w:sz w:val="24"/>
                <w:szCs w:val="24"/>
              </w:rPr>
              <w:t>Yes</w:t>
            </w:r>
          </w:p>
        </w:tc>
        <w:tc>
          <w:tcPr>
            <w:tcW w:w="1831" w:type="dxa"/>
            <w:tcBorders>
              <w:left w:val="single" w:sz="8" w:space="0" w:color="auto"/>
            </w:tcBorders>
            <w:shd w:val="clear" w:color="auto" w:fill="auto"/>
            <w:noWrap/>
            <w:hideMark/>
          </w:tcPr>
          <w:p w14:paraId="48AC8B07" w14:textId="77777777" w:rsidR="00D23A94" w:rsidRPr="0079584E" w:rsidRDefault="00D23A94" w:rsidP="008C519F">
            <w:pPr>
              <w:jc w:val="center"/>
              <w:rPr>
                <w:rFonts w:ascii="Times New Roman" w:hAnsi="Times New Roman"/>
                <w:sz w:val="24"/>
                <w:szCs w:val="24"/>
              </w:rPr>
            </w:pPr>
            <w:r w:rsidRPr="0079584E">
              <w:rPr>
                <w:rFonts w:ascii="Times New Roman" w:hAnsi="Times New Roman"/>
                <w:color w:val="000000"/>
                <w:kern w:val="0"/>
                <w:sz w:val="24"/>
                <w:szCs w:val="24"/>
              </w:rPr>
              <w:t>Yes</w:t>
            </w:r>
          </w:p>
        </w:tc>
        <w:tc>
          <w:tcPr>
            <w:tcW w:w="2141" w:type="dxa"/>
            <w:shd w:val="clear" w:color="auto" w:fill="auto"/>
            <w:noWrap/>
            <w:hideMark/>
          </w:tcPr>
          <w:p w14:paraId="1E5E5F64" w14:textId="77777777" w:rsidR="00D23A94" w:rsidRPr="0079584E" w:rsidRDefault="00D23A94" w:rsidP="008C519F">
            <w:pPr>
              <w:jc w:val="center"/>
              <w:rPr>
                <w:rFonts w:ascii="Times New Roman" w:hAnsi="Times New Roman"/>
                <w:sz w:val="24"/>
                <w:szCs w:val="24"/>
              </w:rPr>
            </w:pPr>
            <w:r w:rsidRPr="0079584E">
              <w:rPr>
                <w:rFonts w:ascii="Times New Roman" w:hAnsi="Times New Roman"/>
                <w:color w:val="000000"/>
                <w:kern w:val="0"/>
                <w:sz w:val="24"/>
                <w:szCs w:val="24"/>
              </w:rPr>
              <w:t>Yes</w:t>
            </w:r>
          </w:p>
        </w:tc>
      </w:tr>
      <w:tr w:rsidR="00D23A94" w:rsidRPr="0079584E" w14:paraId="22D88276" w14:textId="77777777" w:rsidTr="008C519F">
        <w:trPr>
          <w:trHeight w:val="129"/>
        </w:trPr>
        <w:tc>
          <w:tcPr>
            <w:tcW w:w="2618" w:type="dxa"/>
            <w:shd w:val="clear" w:color="auto" w:fill="auto"/>
            <w:noWrap/>
            <w:vAlign w:val="bottom"/>
            <w:hideMark/>
          </w:tcPr>
          <w:p w14:paraId="76E86990" w14:textId="77777777" w:rsidR="00D23A94" w:rsidRPr="0079584E" w:rsidRDefault="00D23A94" w:rsidP="008C519F">
            <w:pPr>
              <w:widowControl/>
              <w:jc w:val="left"/>
              <w:rPr>
                <w:rFonts w:ascii="Times New Roman" w:eastAsia="Times New Roman" w:hAnsi="Times New Roman"/>
                <w:kern w:val="0"/>
                <w:sz w:val="24"/>
                <w:szCs w:val="24"/>
              </w:rPr>
            </w:pPr>
          </w:p>
        </w:tc>
        <w:tc>
          <w:tcPr>
            <w:tcW w:w="2449" w:type="dxa"/>
            <w:shd w:val="clear" w:color="auto" w:fill="auto"/>
            <w:noWrap/>
            <w:vAlign w:val="bottom"/>
            <w:hideMark/>
          </w:tcPr>
          <w:p w14:paraId="4D26B64B" w14:textId="77777777" w:rsidR="00D23A94" w:rsidRPr="0079584E" w:rsidRDefault="00D23A94" w:rsidP="00D23A94">
            <w:pPr>
              <w:widowControl/>
              <w:jc w:val="center"/>
              <w:rPr>
                <w:rFonts w:ascii="Times New Roman" w:eastAsia="Times New Roman" w:hAnsi="Times New Roman"/>
                <w:kern w:val="0"/>
                <w:sz w:val="24"/>
                <w:szCs w:val="24"/>
              </w:rPr>
            </w:pPr>
          </w:p>
        </w:tc>
        <w:tc>
          <w:tcPr>
            <w:tcW w:w="1831" w:type="dxa"/>
            <w:tcBorders>
              <w:left w:val="single" w:sz="8" w:space="0" w:color="auto"/>
            </w:tcBorders>
            <w:shd w:val="clear" w:color="auto" w:fill="auto"/>
            <w:noWrap/>
            <w:vAlign w:val="bottom"/>
            <w:hideMark/>
          </w:tcPr>
          <w:p w14:paraId="612C342F" w14:textId="77777777" w:rsidR="00D23A94" w:rsidRPr="0079584E" w:rsidRDefault="00D23A94" w:rsidP="008C519F">
            <w:pPr>
              <w:widowControl/>
              <w:jc w:val="left"/>
              <w:rPr>
                <w:rFonts w:ascii="Times New Roman" w:eastAsia="Times New Roman" w:hAnsi="Times New Roman"/>
                <w:kern w:val="0"/>
                <w:sz w:val="24"/>
                <w:szCs w:val="24"/>
              </w:rPr>
            </w:pPr>
          </w:p>
        </w:tc>
        <w:tc>
          <w:tcPr>
            <w:tcW w:w="2141" w:type="dxa"/>
            <w:shd w:val="clear" w:color="auto" w:fill="auto"/>
            <w:noWrap/>
            <w:vAlign w:val="bottom"/>
            <w:hideMark/>
          </w:tcPr>
          <w:p w14:paraId="77DAE036" w14:textId="77777777" w:rsidR="00D23A94" w:rsidRPr="0079584E" w:rsidRDefault="00D23A94" w:rsidP="008C519F">
            <w:pPr>
              <w:widowControl/>
              <w:jc w:val="left"/>
              <w:rPr>
                <w:rFonts w:ascii="Times New Roman" w:hAnsi="Times New Roman"/>
                <w:kern w:val="0"/>
                <w:sz w:val="24"/>
                <w:szCs w:val="24"/>
              </w:rPr>
            </w:pPr>
          </w:p>
        </w:tc>
      </w:tr>
      <w:tr w:rsidR="00D23A94" w:rsidRPr="0079584E" w14:paraId="09D70EA8" w14:textId="77777777" w:rsidTr="008C519F">
        <w:trPr>
          <w:trHeight w:val="129"/>
        </w:trPr>
        <w:tc>
          <w:tcPr>
            <w:tcW w:w="2618" w:type="dxa"/>
            <w:tcBorders>
              <w:bottom w:val="single" w:sz="18" w:space="0" w:color="auto"/>
            </w:tcBorders>
            <w:shd w:val="clear" w:color="auto" w:fill="auto"/>
            <w:noWrap/>
            <w:vAlign w:val="bottom"/>
            <w:hideMark/>
          </w:tcPr>
          <w:p w14:paraId="6711B2AB" w14:textId="77777777" w:rsidR="00D23A94" w:rsidRPr="0079584E" w:rsidRDefault="00D23A94" w:rsidP="008C519F">
            <w:pPr>
              <w:widowControl/>
              <w:jc w:val="left"/>
              <w:rPr>
                <w:rFonts w:ascii="Times New Roman" w:hAnsi="Times New Roman"/>
                <w:color w:val="000000"/>
                <w:kern w:val="0"/>
                <w:sz w:val="24"/>
                <w:szCs w:val="24"/>
              </w:rPr>
            </w:pPr>
            <w:r w:rsidRPr="0079584E">
              <w:rPr>
                <w:rFonts w:ascii="Times New Roman" w:hAnsi="Times New Roman"/>
                <w:color w:val="000000"/>
                <w:kern w:val="0"/>
                <w:sz w:val="24"/>
                <w:szCs w:val="24"/>
              </w:rPr>
              <w:t>N</w:t>
            </w:r>
          </w:p>
        </w:tc>
        <w:tc>
          <w:tcPr>
            <w:tcW w:w="2449" w:type="dxa"/>
            <w:tcBorders>
              <w:bottom w:val="single" w:sz="18" w:space="0" w:color="auto"/>
            </w:tcBorders>
            <w:shd w:val="clear" w:color="auto" w:fill="auto"/>
            <w:noWrap/>
            <w:vAlign w:val="bottom"/>
            <w:hideMark/>
          </w:tcPr>
          <w:p w14:paraId="2D00471A" w14:textId="77777777" w:rsidR="00D23A94" w:rsidRPr="0079584E" w:rsidRDefault="00D23A94" w:rsidP="00D23A94">
            <w:pPr>
              <w:widowControl/>
              <w:jc w:val="center"/>
              <w:rPr>
                <w:rFonts w:ascii="Times New Roman" w:hAnsi="Times New Roman"/>
                <w:color w:val="000000"/>
                <w:kern w:val="0"/>
                <w:sz w:val="24"/>
                <w:szCs w:val="24"/>
              </w:rPr>
            </w:pPr>
            <w:r w:rsidRPr="0079584E">
              <w:rPr>
                <w:rFonts w:ascii="Times New Roman" w:hAnsi="Times New Roman"/>
                <w:color w:val="000000"/>
                <w:kern w:val="0"/>
                <w:sz w:val="24"/>
                <w:szCs w:val="24"/>
              </w:rPr>
              <w:t>4885</w:t>
            </w:r>
          </w:p>
        </w:tc>
        <w:tc>
          <w:tcPr>
            <w:tcW w:w="1831" w:type="dxa"/>
            <w:tcBorders>
              <w:left w:val="single" w:sz="8" w:space="0" w:color="auto"/>
              <w:bottom w:val="single" w:sz="18" w:space="0" w:color="auto"/>
            </w:tcBorders>
            <w:shd w:val="clear" w:color="auto" w:fill="auto"/>
            <w:noWrap/>
            <w:vAlign w:val="bottom"/>
            <w:hideMark/>
          </w:tcPr>
          <w:p w14:paraId="7EB48962" w14:textId="77777777" w:rsidR="00D23A94" w:rsidRPr="0079584E" w:rsidRDefault="00D23A94" w:rsidP="008C519F">
            <w:pPr>
              <w:widowControl/>
              <w:jc w:val="center"/>
              <w:rPr>
                <w:rFonts w:ascii="Times New Roman" w:hAnsi="Times New Roman"/>
                <w:kern w:val="0"/>
                <w:sz w:val="24"/>
                <w:szCs w:val="24"/>
              </w:rPr>
            </w:pPr>
            <w:r w:rsidRPr="0079584E">
              <w:rPr>
                <w:rFonts w:ascii="Times New Roman" w:hAnsi="Times New Roman"/>
                <w:kern w:val="0"/>
                <w:sz w:val="24"/>
                <w:szCs w:val="24"/>
              </w:rPr>
              <w:t>4885</w:t>
            </w:r>
          </w:p>
        </w:tc>
        <w:tc>
          <w:tcPr>
            <w:tcW w:w="2141" w:type="dxa"/>
            <w:tcBorders>
              <w:bottom w:val="single" w:sz="18" w:space="0" w:color="auto"/>
            </w:tcBorders>
            <w:shd w:val="clear" w:color="auto" w:fill="auto"/>
            <w:noWrap/>
            <w:vAlign w:val="bottom"/>
            <w:hideMark/>
          </w:tcPr>
          <w:p w14:paraId="6F0765BE" w14:textId="77777777" w:rsidR="00D23A94" w:rsidRPr="0079584E" w:rsidRDefault="00D23A94" w:rsidP="008C519F">
            <w:pPr>
              <w:widowControl/>
              <w:jc w:val="center"/>
              <w:rPr>
                <w:rFonts w:ascii="Times New Roman" w:hAnsi="Times New Roman"/>
                <w:kern w:val="0"/>
                <w:sz w:val="24"/>
                <w:szCs w:val="24"/>
              </w:rPr>
            </w:pPr>
            <w:r w:rsidRPr="0079584E">
              <w:rPr>
                <w:rFonts w:ascii="Times New Roman" w:hAnsi="Times New Roman"/>
                <w:kern w:val="0"/>
                <w:sz w:val="24"/>
                <w:szCs w:val="24"/>
              </w:rPr>
              <w:t>4885</w:t>
            </w:r>
          </w:p>
        </w:tc>
      </w:tr>
    </w:tbl>
    <w:p w14:paraId="1A59F469" w14:textId="77777777" w:rsidR="00D23A94" w:rsidRPr="0079584E" w:rsidRDefault="00D23A94" w:rsidP="00D23A94">
      <w:pPr>
        <w:jc w:val="left"/>
        <w:rPr>
          <w:rFonts w:ascii="Times New Roman" w:hAnsi="Times New Roman"/>
          <w:sz w:val="24"/>
          <w:szCs w:val="24"/>
        </w:rPr>
      </w:pPr>
      <w:r w:rsidRPr="0079584E">
        <w:rPr>
          <w:rFonts w:ascii="Times New Roman" w:hAnsi="Times New Roman"/>
          <w:i/>
          <w:color w:val="000000"/>
          <w:kern w:val="0"/>
          <w:sz w:val="24"/>
          <w:szCs w:val="24"/>
        </w:rPr>
        <w:t>Note</w:t>
      </w:r>
      <w:r w:rsidRPr="0079584E">
        <w:rPr>
          <w:rFonts w:ascii="Times New Roman" w:hAnsi="Times New Roman"/>
          <w:color w:val="000000"/>
          <w:kern w:val="0"/>
          <w:sz w:val="24"/>
          <w:szCs w:val="24"/>
        </w:rPr>
        <w:t xml:space="preserve">: Standard errors in parentheses. </w:t>
      </w:r>
    </w:p>
    <w:p w14:paraId="08022E86" w14:textId="77777777" w:rsidR="00D23A94" w:rsidRPr="0079584E" w:rsidRDefault="00D23A94" w:rsidP="00D23A94">
      <w:pPr>
        <w:rPr>
          <w:rFonts w:ascii="Times New Roman" w:eastAsiaTheme="minorEastAsia" w:hAnsi="Times New Roman"/>
          <w:sz w:val="24"/>
          <w:szCs w:val="24"/>
        </w:rPr>
      </w:pPr>
    </w:p>
    <w:p w14:paraId="56BF7E01" w14:textId="77777777" w:rsidR="00D23A94" w:rsidRDefault="00D23A94" w:rsidP="00D23A94">
      <w:pPr>
        <w:widowControl/>
        <w:rPr>
          <w:rFonts w:ascii="Times New Roman" w:hAnsi="Times New Roman"/>
          <w:b/>
          <w:sz w:val="24"/>
        </w:rPr>
      </w:pPr>
    </w:p>
    <w:p w14:paraId="0B51D677" w14:textId="77777777" w:rsidR="00D23A94" w:rsidRPr="0079584E" w:rsidRDefault="00D23A94" w:rsidP="00D23A94">
      <w:pPr>
        <w:widowControl/>
        <w:rPr>
          <w:rFonts w:ascii="Times New Roman" w:hAnsi="Times New Roman"/>
          <w:b/>
          <w:sz w:val="24"/>
        </w:rPr>
      </w:pPr>
      <w:r>
        <w:rPr>
          <w:rFonts w:ascii="Times New Roman" w:hAnsi="Times New Roman"/>
          <w:b/>
          <w:sz w:val="24"/>
        </w:rPr>
        <w:t>REFERENCES</w:t>
      </w:r>
    </w:p>
    <w:p w14:paraId="5D9D4E7F" w14:textId="77777777" w:rsidR="00D23A94" w:rsidRPr="0079584E" w:rsidRDefault="00D23A94" w:rsidP="00D23A94">
      <w:pPr>
        <w:widowControl/>
        <w:rPr>
          <w:rFonts w:ascii="Times New Roman" w:hAnsi="Times New Roman"/>
          <w:b/>
          <w:sz w:val="24"/>
        </w:rPr>
      </w:pPr>
    </w:p>
    <w:p w14:paraId="76D951F9" w14:textId="77777777" w:rsidR="00D23A94" w:rsidRPr="00FF34B6" w:rsidRDefault="00D23A94" w:rsidP="00D23A94">
      <w:pPr>
        <w:ind w:left="720" w:hanging="720"/>
        <w:rPr>
          <w:rFonts w:ascii="Times New Roman" w:hAnsi="Times New Roman"/>
          <w:noProof/>
          <w:sz w:val="24"/>
          <w:szCs w:val="24"/>
        </w:rPr>
      </w:pPr>
      <w:r w:rsidRPr="00FF34B6">
        <w:rPr>
          <w:rFonts w:ascii="Times New Roman" w:hAnsi="Times New Roman"/>
          <w:noProof/>
          <w:sz w:val="24"/>
          <w:szCs w:val="24"/>
        </w:rPr>
        <w:t>Aiken, L. S., West, S. G.</w:t>
      </w:r>
      <w:r>
        <w:rPr>
          <w:rFonts w:ascii="Times New Roman" w:hAnsi="Times New Roman"/>
          <w:noProof/>
          <w:sz w:val="24"/>
          <w:szCs w:val="24"/>
        </w:rPr>
        <w:t>,</w:t>
      </w:r>
      <w:r w:rsidRPr="00FF34B6">
        <w:rPr>
          <w:rFonts w:ascii="Times New Roman" w:hAnsi="Times New Roman"/>
          <w:noProof/>
          <w:sz w:val="24"/>
          <w:szCs w:val="24"/>
        </w:rPr>
        <w:t xml:space="preserve"> &amp; Reno, R. R. 1991. </w:t>
      </w:r>
      <w:r w:rsidRPr="00FF34B6">
        <w:rPr>
          <w:rFonts w:ascii="Times New Roman" w:hAnsi="Times New Roman"/>
          <w:b/>
          <w:i/>
          <w:noProof/>
          <w:sz w:val="24"/>
          <w:szCs w:val="24"/>
        </w:rPr>
        <w:t>Multiple regression: Testing and interpreting interactions</w:t>
      </w:r>
      <w:r>
        <w:rPr>
          <w:rFonts w:ascii="Times New Roman" w:hAnsi="Times New Roman"/>
          <w:noProof/>
          <w:sz w:val="24"/>
          <w:szCs w:val="24"/>
        </w:rPr>
        <w:t>.</w:t>
      </w:r>
      <w:r w:rsidRPr="00FF34B6">
        <w:rPr>
          <w:rFonts w:ascii="Times New Roman" w:hAnsi="Times New Roman"/>
          <w:noProof/>
          <w:sz w:val="24"/>
          <w:szCs w:val="24"/>
        </w:rPr>
        <w:t xml:space="preserve"> </w:t>
      </w:r>
      <w:r>
        <w:rPr>
          <w:rFonts w:ascii="Times New Roman" w:hAnsi="Times New Roman"/>
          <w:noProof/>
          <w:sz w:val="24"/>
          <w:szCs w:val="24"/>
        </w:rPr>
        <w:t>Thousand Oaks: Sage</w:t>
      </w:r>
      <w:r w:rsidRPr="00FF34B6">
        <w:rPr>
          <w:rFonts w:ascii="Times New Roman" w:hAnsi="Times New Roman"/>
          <w:noProof/>
          <w:sz w:val="24"/>
          <w:szCs w:val="24"/>
        </w:rPr>
        <w:t>.</w:t>
      </w:r>
    </w:p>
    <w:p w14:paraId="0A2AB69F" w14:textId="77777777" w:rsidR="00D23A94" w:rsidRPr="00FF34B6" w:rsidRDefault="00D23A94" w:rsidP="00D23A94">
      <w:pPr>
        <w:ind w:left="720" w:hanging="720"/>
        <w:rPr>
          <w:rFonts w:ascii="Times New Roman" w:hAnsi="Times New Roman"/>
          <w:noProof/>
          <w:sz w:val="24"/>
          <w:szCs w:val="24"/>
        </w:rPr>
      </w:pPr>
      <w:r w:rsidRPr="00FF34B6">
        <w:rPr>
          <w:rFonts w:ascii="Times New Roman" w:hAnsi="Times New Roman"/>
          <w:noProof/>
          <w:sz w:val="24"/>
          <w:szCs w:val="24"/>
        </w:rPr>
        <w:t>He, J. J.</w:t>
      </w:r>
      <w:r>
        <w:rPr>
          <w:rFonts w:ascii="Times New Roman" w:hAnsi="Times New Roman"/>
          <w:noProof/>
          <w:sz w:val="24"/>
          <w:szCs w:val="24"/>
        </w:rPr>
        <w:t>,</w:t>
      </w:r>
      <w:r w:rsidRPr="00FF34B6">
        <w:rPr>
          <w:rFonts w:ascii="Times New Roman" w:hAnsi="Times New Roman"/>
          <w:noProof/>
          <w:sz w:val="24"/>
          <w:szCs w:val="24"/>
        </w:rPr>
        <w:t xml:space="preserve"> &amp; Tian, X. 2013. The dark side of analyst coverage: The case of innovation. </w:t>
      </w:r>
      <w:r w:rsidRPr="00FF34B6">
        <w:rPr>
          <w:rFonts w:ascii="Times New Roman" w:hAnsi="Times New Roman"/>
          <w:b/>
          <w:i/>
          <w:noProof/>
          <w:sz w:val="24"/>
          <w:szCs w:val="24"/>
        </w:rPr>
        <w:t>Journal of Financial Economics</w:t>
      </w:r>
      <w:r w:rsidRPr="00314D8F">
        <w:rPr>
          <w:rFonts w:ascii="Times New Roman" w:hAnsi="Times New Roman"/>
          <w:iCs/>
          <w:noProof/>
          <w:sz w:val="24"/>
          <w:szCs w:val="24"/>
        </w:rPr>
        <w:t>,</w:t>
      </w:r>
      <w:r w:rsidRPr="00FF34B6">
        <w:rPr>
          <w:rFonts w:ascii="Times New Roman" w:hAnsi="Times New Roman"/>
          <w:noProof/>
          <w:sz w:val="24"/>
          <w:szCs w:val="24"/>
        </w:rPr>
        <w:t xml:space="preserve"> 109(3): 856</w:t>
      </w:r>
      <w:r>
        <w:rPr>
          <w:rFonts w:ascii="Times New Roman" w:hAnsi="Times New Roman"/>
          <w:noProof/>
          <w:sz w:val="24"/>
          <w:szCs w:val="24"/>
        </w:rPr>
        <w:t>–</w:t>
      </w:r>
      <w:r w:rsidRPr="00FF34B6">
        <w:rPr>
          <w:rFonts w:ascii="Times New Roman" w:hAnsi="Times New Roman"/>
          <w:noProof/>
          <w:sz w:val="24"/>
          <w:szCs w:val="24"/>
        </w:rPr>
        <w:t>878.</w:t>
      </w:r>
    </w:p>
    <w:p w14:paraId="23AC9A4D" w14:textId="77777777" w:rsidR="00D23A94" w:rsidRPr="00FF34B6" w:rsidRDefault="00D23A94" w:rsidP="00D23A94">
      <w:pPr>
        <w:ind w:left="720" w:hanging="720"/>
        <w:rPr>
          <w:rFonts w:ascii="Times New Roman" w:hAnsi="Times New Roman"/>
          <w:noProof/>
          <w:sz w:val="24"/>
          <w:szCs w:val="24"/>
        </w:rPr>
      </w:pPr>
      <w:r w:rsidRPr="00FF34B6">
        <w:rPr>
          <w:rFonts w:ascii="Times New Roman" w:hAnsi="Times New Roman"/>
          <w:noProof/>
          <w:sz w:val="24"/>
          <w:szCs w:val="24"/>
        </w:rPr>
        <w:t xml:space="preserve">Heckman, J. J. 1979. Sample selection bias as a specification error. </w:t>
      </w:r>
      <w:r w:rsidRPr="00FF34B6">
        <w:rPr>
          <w:rFonts w:ascii="Times New Roman" w:hAnsi="Times New Roman"/>
          <w:b/>
          <w:i/>
          <w:noProof/>
          <w:sz w:val="24"/>
          <w:szCs w:val="24"/>
        </w:rPr>
        <w:t xml:space="preserve">Econometrica: Journal of the </w:t>
      </w:r>
      <w:r>
        <w:rPr>
          <w:rFonts w:ascii="Times New Roman" w:hAnsi="Times New Roman"/>
          <w:b/>
          <w:i/>
          <w:noProof/>
          <w:sz w:val="24"/>
          <w:szCs w:val="24"/>
        </w:rPr>
        <w:t>E</w:t>
      </w:r>
      <w:r w:rsidRPr="00FF34B6">
        <w:rPr>
          <w:rFonts w:ascii="Times New Roman" w:hAnsi="Times New Roman"/>
          <w:b/>
          <w:i/>
          <w:noProof/>
          <w:sz w:val="24"/>
          <w:szCs w:val="24"/>
        </w:rPr>
        <w:t xml:space="preserve">conometric </w:t>
      </w:r>
      <w:r>
        <w:rPr>
          <w:rFonts w:ascii="Times New Roman" w:hAnsi="Times New Roman"/>
          <w:b/>
          <w:i/>
          <w:noProof/>
          <w:sz w:val="24"/>
          <w:szCs w:val="24"/>
        </w:rPr>
        <w:t>S</w:t>
      </w:r>
      <w:r w:rsidRPr="00FF34B6">
        <w:rPr>
          <w:rFonts w:ascii="Times New Roman" w:hAnsi="Times New Roman"/>
          <w:b/>
          <w:i/>
          <w:noProof/>
          <w:sz w:val="24"/>
          <w:szCs w:val="24"/>
        </w:rPr>
        <w:t>ociet</w:t>
      </w:r>
      <w:r>
        <w:rPr>
          <w:rFonts w:ascii="Times New Roman" w:hAnsi="Times New Roman"/>
          <w:b/>
          <w:i/>
          <w:noProof/>
          <w:sz w:val="24"/>
          <w:szCs w:val="24"/>
        </w:rPr>
        <w:t>y</w:t>
      </w:r>
      <w:r>
        <w:rPr>
          <w:rFonts w:ascii="Times New Roman" w:hAnsi="Times New Roman"/>
          <w:noProof/>
          <w:sz w:val="24"/>
          <w:szCs w:val="24"/>
        </w:rPr>
        <w:t>:</w:t>
      </w:r>
      <w:r w:rsidRPr="00FF34B6">
        <w:rPr>
          <w:rFonts w:ascii="Times New Roman" w:hAnsi="Times New Roman"/>
          <w:noProof/>
          <w:sz w:val="24"/>
          <w:szCs w:val="24"/>
        </w:rPr>
        <w:t xml:space="preserve"> 153</w:t>
      </w:r>
      <w:r>
        <w:rPr>
          <w:rFonts w:ascii="Times New Roman" w:hAnsi="Times New Roman"/>
          <w:noProof/>
          <w:sz w:val="24"/>
          <w:szCs w:val="24"/>
        </w:rPr>
        <w:t>–</w:t>
      </w:r>
      <w:r w:rsidRPr="00FF34B6">
        <w:rPr>
          <w:rFonts w:ascii="Times New Roman" w:hAnsi="Times New Roman"/>
          <w:noProof/>
          <w:sz w:val="24"/>
          <w:szCs w:val="24"/>
        </w:rPr>
        <w:t>161.</w:t>
      </w:r>
    </w:p>
    <w:p w14:paraId="2FA839B7" w14:textId="77777777" w:rsidR="00D23A94" w:rsidRPr="00FF34B6" w:rsidRDefault="00D23A94" w:rsidP="00D23A94">
      <w:pPr>
        <w:ind w:left="720" w:hanging="720"/>
        <w:rPr>
          <w:rFonts w:ascii="Times New Roman" w:hAnsi="Times New Roman"/>
          <w:noProof/>
          <w:sz w:val="24"/>
          <w:szCs w:val="24"/>
        </w:rPr>
      </w:pPr>
      <w:r w:rsidRPr="00FF34B6">
        <w:rPr>
          <w:rFonts w:ascii="Times New Roman" w:hAnsi="Times New Roman"/>
          <w:noProof/>
          <w:sz w:val="24"/>
          <w:szCs w:val="24"/>
        </w:rPr>
        <w:t xml:space="preserve">Marquis, C. &amp; Qian, C. 2014. Corporate social responsibility reporting in China: Symbol or substance? </w:t>
      </w:r>
      <w:r w:rsidRPr="00FF34B6">
        <w:rPr>
          <w:rFonts w:ascii="Times New Roman" w:hAnsi="Times New Roman"/>
          <w:b/>
          <w:i/>
          <w:noProof/>
          <w:sz w:val="24"/>
          <w:szCs w:val="24"/>
        </w:rPr>
        <w:t>Organization Science</w:t>
      </w:r>
      <w:r w:rsidRPr="00314D8F">
        <w:rPr>
          <w:rFonts w:ascii="Times New Roman" w:hAnsi="Times New Roman"/>
          <w:iCs/>
          <w:noProof/>
          <w:sz w:val="24"/>
          <w:szCs w:val="24"/>
        </w:rPr>
        <w:t xml:space="preserve">, </w:t>
      </w:r>
      <w:r w:rsidRPr="00FF34B6">
        <w:rPr>
          <w:rFonts w:ascii="Times New Roman" w:hAnsi="Times New Roman"/>
          <w:noProof/>
          <w:sz w:val="24"/>
          <w:szCs w:val="24"/>
        </w:rPr>
        <w:t>25(1): 127</w:t>
      </w:r>
      <w:r>
        <w:rPr>
          <w:rFonts w:ascii="Times New Roman" w:hAnsi="Times New Roman"/>
          <w:noProof/>
          <w:sz w:val="24"/>
          <w:szCs w:val="24"/>
        </w:rPr>
        <w:t>–</w:t>
      </w:r>
      <w:r w:rsidRPr="00FF34B6">
        <w:rPr>
          <w:rFonts w:ascii="Times New Roman" w:hAnsi="Times New Roman"/>
          <w:noProof/>
          <w:sz w:val="24"/>
          <w:szCs w:val="24"/>
        </w:rPr>
        <w:t>148.</w:t>
      </w:r>
    </w:p>
    <w:p w14:paraId="63BAEEBB" w14:textId="77777777" w:rsidR="00D23A94" w:rsidRPr="00FF34B6" w:rsidRDefault="00D23A94" w:rsidP="00D23A94">
      <w:pPr>
        <w:ind w:left="720" w:hanging="720"/>
        <w:rPr>
          <w:rFonts w:ascii="Times New Roman" w:hAnsi="Times New Roman"/>
          <w:noProof/>
          <w:sz w:val="24"/>
          <w:szCs w:val="24"/>
        </w:rPr>
      </w:pPr>
      <w:r w:rsidRPr="00FF34B6">
        <w:rPr>
          <w:rFonts w:ascii="Times New Roman" w:hAnsi="Times New Roman"/>
          <w:noProof/>
          <w:sz w:val="24"/>
          <w:szCs w:val="24"/>
        </w:rPr>
        <w:t xml:space="preserve">Yu, F. F. 2008. Analyst coverage and earnings management. </w:t>
      </w:r>
      <w:r w:rsidRPr="00FF34B6">
        <w:rPr>
          <w:rFonts w:ascii="Times New Roman" w:hAnsi="Times New Roman"/>
          <w:b/>
          <w:i/>
          <w:noProof/>
          <w:sz w:val="24"/>
          <w:szCs w:val="24"/>
        </w:rPr>
        <w:t>Journal of Financial Economics</w:t>
      </w:r>
      <w:r w:rsidRPr="00314D8F">
        <w:rPr>
          <w:rFonts w:ascii="Times New Roman" w:hAnsi="Times New Roman"/>
          <w:iCs/>
          <w:noProof/>
          <w:sz w:val="24"/>
          <w:szCs w:val="24"/>
        </w:rPr>
        <w:t xml:space="preserve">, </w:t>
      </w:r>
      <w:r w:rsidRPr="00FF34B6">
        <w:rPr>
          <w:rFonts w:ascii="Times New Roman" w:hAnsi="Times New Roman"/>
          <w:noProof/>
          <w:sz w:val="24"/>
          <w:szCs w:val="24"/>
        </w:rPr>
        <w:t>88(2): 245</w:t>
      </w:r>
      <w:r>
        <w:rPr>
          <w:rFonts w:ascii="Times New Roman" w:hAnsi="Times New Roman"/>
          <w:noProof/>
          <w:sz w:val="24"/>
          <w:szCs w:val="24"/>
        </w:rPr>
        <w:t>–</w:t>
      </w:r>
      <w:r w:rsidRPr="00FF34B6">
        <w:rPr>
          <w:rFonts w:ascii="Times New Roman" w:hAnsi="Times New Roman"/>
          <w:noProof/>
          <w:sz w:val="24"/>
          <w:szCs w:val="24"/>
        </w:rPr>
        <w:t>271.</w:t>
      </w:r>
    </w:p>
    <w:p w14:paraId="15656031" w14:textId="77777777" w:rsidR="00D23A94" w:rsidRDefault="00D23A94" w:rsidP="00D23A94">
      <w:pPr>
        <w:rPr>
          <w:rFonts w:ascii="Times New Roman" w:eastAsiaTheme="minorEastAsia" w:hAnsi="Times New Roman"/>
          <w:sz w:val="24"/>
          <w:szCs w:val="24"/>
        </w:rPr>
      </w:pPr>
    </w:p>
    <w:p w14:paraId="07379C8E" w14:textId="77777777" w:rsidR="00D23A94" w:rsidRDefault="00D23A94"/>
    <w:sectPr w:rsidR="00D23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722C3"/>
    <w:multiLevelType w:val="hybridMultilevel"/>
    <w:tmpl w:val="C40EF8C2"/>
    <w:lvl w:ilvl="0" w:tplc="C56E816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840" w:hanging="420"/>
      </w:pPr>
      <w:rPr>
        <w:rFonts w:ascii="Times New Roman" w:hAnsi="Times New Roman" w:cs="Times New Roman"/>
      </w:rPr>
    </w:lvl>
    <w:lvl w:ilvl="2" w:tplc="0409001B">
      <w:start w:val="1"/>
      <w:numFmt w:val="lowerRoman"/>
      <w:lvlText w:val="%3."/>
      <w:lvlJc w:val="righ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9">
      <w:start w:val="1"/>
      <w:numFmt w:val="lowerLetter"/>
      <w:lvlText w:val="%5)"/>
      <w:lvlJc w:val="left"/>
      <w:pPr>
        <w:ind w:left="2100" w:hanging="420"/>
      </w:pPr>
      <w:rPr>
        <w:rFonts w:ascii="Times New Roman" w:hAnsi="Times New Roman" w:cs="Times New Roman"/>
      </w:rPr>
    </w:lvl>
    <w:lvl w:ilvl="5" w:tplc="0409001B">
      <w:start w:val="1"/>
      <w:numFmt w:val="lowerRoman"/>
      <w:lvlText w:val="%6."/>
      <w:lvlJc w:val="righ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9">
      <w:start w:val="1"/>
      <w:numFmt w:val="lowerLetter"/>
      <w:lvlText w:val="%8)"/>
      <w:lvlJc w:val="left"/>
      <w:pPr>
        <w:ind w:left="3360" w:hanging="420"/>
      </w:pPr>
      <w:rPr>
        <w:rFonts w:ascii="Times New Roman" w:hAnsi="Times New Roman" w:cs="Times New Roman"/>
      </w:rPr>
    </w:lvl>
    <w:lvl w:ilvl="8" w:tplc="0409001B">
      <w:start w:val="1"/>
      <w:numFmt w:val="lowerRoman"/>
      <w:lvlText w:val="%9."/>
      <w:lvlJc w:val="right"/>
      <w:pPr>
        <w:ind w:left="3780" w:hanging="420"/>
      </w:pPr>
      <w:rPr>
        <w:rFonts w:ascii="Times New Roman" w:hAnsi="Times New Roman" w:cs="Times New Roman"/>
      </w:rPr>
    </w:lvl>
  </w:abstractNum>
  <w:num w:numId="1" w16cid:durableId="157496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94"/>
    <w:rsid w:val="00D2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E8C0"/>
  <w15:chartTrackingRefBased/>
  <w15:docId w15:val="{3F46998B-FE97-4D23-AA77-4C1AE42E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A94"/>
    <w:pPr>
      <w:widowControl w:val="0"/>
      <w:spacing w:after="0" w:line="240" w:lineRule="auto"/>
      <w:jc w:val="both"/>
    </w:pPr>
    <w:rPr>
      <w:rFonts w:ascii="DengXian" w:eastAsia="DengXian" w:hAnsi="DengXi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1127</Words>
  <Characters>6430</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Minchella</dc:creator>
  <cp:keywords/>
  <dc:description/>
  <cp:lastModifiedBy>Tina Minchella</cp:lastModifiedBy>
  <cp:revision>1</cp:revision>
  <dcterms:created xsi:type="dcterms:W3CDTF">2022-04-15T23:23:00Z</dcterms:created>
  <dcterms:modified xsi:type="dcterms:W3CDTF">2022-04-15T23:24:00Z</dcterms:modified>
</cp:coreProperties>
</file>