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0B5E" w14:textId="359581C1" w:rsidR="00995F52" w:rsidRPr="00995F52" w:rsidRDefault="00995F52" w:rsidP="00995F52">
      <w:pPr>
        <w:widowControl w:val="0"/>
        <w:kinsoku w:val="0"/>
        <w:overflowPunct w:val="0"/>
        <w:adjustRightInd w:val="0"/>
        <w:snapToGrid w:val="0"/>
        <w:spacing w:after="0" w:line="480" w:lineRule="auto"/>
        <w:jc w:val="left"/>
        <w:rPr>
          <w:rFonts w:ascii="Times New Roman" w:eastAsia="Times New Roman" w:hAnsi="Times New Roman"/>
          <w:sz w:val="24"/>
        </w:rPr>
      </w:pPr>
      <w:r w:rsidRPr="00995F52">
        <w:rPr>
          <w:rFonts w:ascii="Times New Roman" w:eastAsia="Times New Roman" w:hAnsi="Times New Roman"/>
          <w:b/>
          <w:sz w:val="24"/>
        </w:rPr>
        <w:t xml:space="preserve">Appendix 1: Detailed account of </w:t>
      </w:r>
      <w:r w:rsidR="00231184">
        <w:rPr>
          <w:rFonts w:ascii="Times New Roman" w:eastAsia="Times New Roman" w:hAnsi="Times New Roman"/>
          <w:b/>
          <w:sz w:val="24"/>
        </w:rPr>
        <w:t xml:space="preserve">the </w:t>
      </w:r>
      <w:r w:rsidRPr="00995F52">
        <w:rPr>
          <w:rFonts w:ascii="Times New Roman" w:eastAsia="Times New Roman" w:hAnsi="Times New Roman"/>
          <w:b/>
          <w:sz w:val="24"/>
        </w:rPr>
        <w:t xml:space="preserve">AETR formulas for </w:t>
      </w:r>
      <w:r w:rsidRPr="00995F52">
        <w:rPr>
          <w:rFonts w:ascii="Times New Roman" w:eastAsia="Times New Roman" w:hAnsi="Times New Roman" w:hint="eastAsia"/>
          <w:b/>
          <w:sz w:val="24"/>
        </w:rPr>
        <w:t>wage income, SSCs, capital income</w:t>
      </w:r>
      <w:r w:rsidRPr="00995F52">
        <w:rPr>
          <w:rFonts w:ascii="Times New Roman" w:eastAsia="Times New Roman" w:hAnsi="Times New Roman"/>
          <w:b/>
          <w:sz w:val="24"/>
        </w:rPr>
        <w:t>, and consumption</w:t>
      </w:r>
    </w:p>
    <w:p w14:paraId="4BBAE433" w14:textId="77777777" w:rsidR="00995F52" w:rsidRPr="00995F52" w:rsidRDefault="00995F52" w:rsidP="00995F52">
      <w:pPr>
        <w:widowControl w:val="0"/>
        <w:kinsoku w:val="0"/>
        <w:overflowPunct w:val="0"/>
        <w:adjustRightInd w:val="0"/>
        <w:snapToGrid w:val="0"/>
        <w:spacing w:after="0" w:line="480" w:lineRule="auto"/>
        <w:ind w:firstLineChars="200" w:firstLine="480"/>
        <w:jc w:val="left"/>
        <w:rPr>
          <w:rFonts w:ascii="Times New Roman" w:hAnsi="Times New Roman"/>
          <w:sz w:val="24"/>
        </w:rPr>
      </w:pPr>
    </w:p>
    <w:p w14:paraId="5BD14434" w14:textId="0EF330C6" w:rsidR="00995F52" w:rsidRPr="00995F52" w:rsidRDefault="00995F52" w:rsidP="00995F52">
      <w:pPr>
        <w:widowControl w:val="0"/>
        <w:kinsoku w:val="0"/>
        <w:overflowPunct w:val="0"/>
        <w:adjustRightInd w:val="0"/>
        <w:snapToGrid w:val="0"/>
        <w:spacing w:after="0" w:line="480" w:lineRule="auto"/>
        <w:ind w:firstLineChars="200" w:firstLine="480"/>
        <w:jc w:val="left"/>
        <w:rPr>
          <w:rFonts w:ascii="Times New Roman" w:eastAsia="Times New Roman" w:hAnsi="Times New Roman"/>
          <w:sz w:val="24"/>
        </w:rPr>
      </w:pPr>
      <w:r w:rsidRPr="00995F52">
        <w:rPr>
          <w:rFonts w:ascii="Times New Roman" w:eastAsia="Times New Roman" w:hAnsi="Times New Roman"/>
          <w:sz w:val="24"/>
        </w:rPr>
        <w:t xml:space="preserve">Table A.1 introduces various AETR formulas developed by Mendoza et al. (1994), Carey and </w:t>
      </w:r>
      <w:proofErr w:type="spellStart"/>
      <w:r w:rsidRPr="00995F52">
        <w:rPr>
          <w:rFonts w:ascii="Times New Roman" w:eastAsia="Times New Roman" w:hAnsi="Times New Roman"/>
          <w:sz w:val="24"/>
        </w:rPr>
        <w:t>Tchilinguirian</w:t>
      </w:r>
      <w:proofErr w:type="spellEnd"/>
      <w:r w:rsidRPr="00995F52">
        <w:rPr>
          <w:rFonts w:ascii="Times New Roman" w:eastAsia="Times New Roman" w:hAnsi="Times New Roman"/>
          <w:sz w:val="24"/>
        </w:rPr>
        <w:t xml:space="preserve"> (2000), Carey and </w:t>
      </w:r>
      <w:proofErr w:type="spellStart"/>
      <w:r w:rsidRPr="00995F52">
        <w:rPr>
          <w:rFonts w:ascii="Times New Roman" w:eastAsia="Times New Roman" w:hAnsi="Times New Roman"/>
          <w:sz w:val="24"/>
        </w:rPr>
        <w:t>Rabesona</w:t>
      </w:r>
      <w:proofErr w:type="spellEnd"/>
      <w:r w:rsidRPr="00995F52">
        <w:rPr>
          <w:rFonts w:ascii="Times New Roman" w:eastAsia="Times New Roman" w:hAnsi="Times New Roman"/>
          <w:sz w:val="24"/>
        </w:rPr>
        <w:t xml:space="preserve"> (2003), </w:t>
      </w:r>
      <w:r w:rsidRPr="00154EB3">
        <w:rPr>
          <w:rFonts w:ascii="Times New Roman" w:eastAsia="Times New Roman" w:hAnsi="Times New Roman"/>
          <w:sz w:val="24"/>
        </w:rPr>
        <w:t xml:space="preserve">and </w:t>
      </w:r>
      <w:r w:rsidR="007032A7" w:rsidRPr="00154EB3">
        <w:rPr>
          <w:rFonts w:ascii="Times New Roman" w:eastAsia="Times New Roman" w:hAnsi="Times New Roman"/>
          <w:sz w:val="24"/>
        </w:rPr>
        <w:t xml:space="preserve">Author’s </w:t>
      </w:r>
      <w:bookmarkStart w:id="0" w:name="_GoBack"/>
      <w:bookmarkEnd w:id="0"/>
      <w:r w:rsidR="007032A7" w:rsidRPr="00154EB3">
        <w:rPr>
          <w:rFonts w:ascii="Times New Roman" w:eastAsia="Times New Roman" w:hAnsi="Times New Roman"/>
          <w:sz w:val="24"/>
        </w:rPr>
        <w:t>own</w:t>
      </w:r>
      <w:r w:rsidRPr="00154EB3">
        <w:rPr>
          <w:rFonts w:ascii="Times New Roman" w:eastAsia="Times New Roman" w:hAnsi="Times New Roman"/>
          <w:sz w:val="24"/>
        </w:rPr>
        <w:t xml:space="preserve"> (2020). The</w:t>
      </w:r>
      <w:r w:rsidRPr="00995F52">
        <w:rPr>
          <w:rFonts w:ascii="Times New Roman" w:eastAsia="Times New Roman" w:hAnsi="Times New Roman"/>
          <w:sz w:val="24"/>
        </w:rPr>
        <w:t xml:space="preserve"> first three works present the AETR formulas for labor income, capital income, and consumption. </w:t>
      </w:r>
      <w:r w:rsidR="007032A7">
        <w:rPr>
          <w:rFonts w:ascii="Times New Roman" w:eastAsia="Times New Roman" w:hAnsi="Times New Roman"/>
          <w:sz w:val="24"/>
        </w:rPr>
        <w:t>The author</w:t>
      </w:r>
      <w:r w:rsidRPr="00995F52">
        <w:rPr>
          <w:rFonts w:ascii="Times New Roman" w:eastAsia="Times New Roman" w:hAnsi="Times New Roman"/>
          <w:sz w:val="24"/>
        </w:rPr>
        <w:t xml:space="preserve"> further divides labor income into wage income and SSCs to calculate separate AETRs. This study follows </w:t>
      </w:r>
      <w:r w:rsidR="007032A7">
        <w:rPr>
          <w:rFonts w:ascii="Times New Roman" w:eastAsia="Times New Roman" w:hAnsi="Times New Roman"/>
          <w:sz w:val="24"/>
        </w:rPr>
        <w:t>the author</w:t>
      </w:r>
      <w:r w:rsidRPr="00995F52">
        <w:rPr>
          <w:rFonts w:ascii="Times New Roman" w:eastAsia="Times New Roman" w:hAnsi="Times New Roman"/>
          <w:sz w:val="24"/>
        </w:rPr>
        <w:t>’s approach, emphasizing that the two taxes represent different sources (progressive vs. proportional) of labor taxation.</w:t>
      </w:r>
    </w:p>
    <w:p w14:paraId="06326A44" w14:textId="77777777" w:rsidR="00995F52" w:rsidRPr="00995F52" w:rsidRDefault="00995F52" w:rsidP="00995F52">
      <w:pPr>
        <w:widowControl w:val="0"/>
        <w:kinsoku w:val="0"/>
        <w:overflowPunct w:val="0"/>
        <w:adjustRightInd w:val="0"/>
        <w:snapToGrid w:val="0"/>
        <w:spacing w:after="0" w:line="480" w:lineRule="auto"/>
        <w:ind w:firstLineChars="200" w:firstLine="480"/>
        <w:jc w:val="left"/>
        <w:rPr>
          <w:rFonts w:ascii="Times New Roman" w:hAnsi="Times New Roman"/>
          <w:sz w:val="24"/>
        </w:rPr>
      </w:pPr>
      <w:r w:rsidRPr="00995F52">
        <w:rPr>
          <w:rFonts w:ascii="Times New Roman" w:eastAsia="Times New Roman" w:hAnsi="Times New Roman"/>
          <w:sz w:val="24"/>
        </w:rPr>
        <w:t>While diverse in their specific details, all these formulas employ the same broad methodology for measurement. Namely, they calculate the tax burden by adding all relevant tax payments from OECD revenue statistics and dividing them by the respective tax bases drawn from OECD national account statistics (</w:t>
      </w:r>
      <w:hyperlink r:id="rId8" w:history="1">
        <w:r w:rsidRPr="00995F52">
          <w:rPr>
            <w:rFonts w:ascii="Times New Roman" w:eastAsia="Times New Roman" w:hAnsi="Times New Roman"/>
            <w:color w:val="0563C1" w:themeColor="hyperlink"/>
            <w:sz w:val="24"/>
            <w:u w:val="single"/>
          </w:rPr>
          <w:t>https://stats.oecd.org/</w:t>
        </w:r>
      </w:hyperlink>
      <w:r w:rsidRPr="00995F52">
        <w:rPr>
          <w:rFonts w:ascii="Times New Roman" w:eastAsia="Times New Roman" w:hAnsi="Times New Roman"/>
          <w:sz w:val="24"/>
        </w:rPr>
        <w:t xml:space="preserve">). All the tax, income, and consumption items used in these formulas are described in Table A.2, following OECD’s standard definitions (Carey and </w:t>
      </w:r>
      <w:proofErr w:type="spellStart"/>
      <w:r w:rsidRPr="00995F52">
        <w:rPr>
          <w:rFonts w:ascii="Times New Roman" w:eastAsia="Times New Roman" w:hAnsi="Times New Roman"/>
          <w:sz w:val="24"/>
        </w:rPr>
        <w:t>Rabesona</w:t>
      </w:r>
      <w:proofErr w:type="spellEnd"/>
      <w:r w:rsidRPr="00995F52">
        <w:rPr>
          <w:rFonts w:ascii="Times New Roman" w:eastAsia="Times New Roman" w:hAnsi="Times New Roman"/>
          <w:sz w:val="24"/>
        </w:rPr>
        <w:t xml:space="preserve"> 2003, 34; Carey and </w:t>
      </w:r>
      <w:proofErr w:type="spellStart"/>
      <w:r w:rsidRPr="00995F52">
        <w:rPr>
          <w:rFonts w:ascii="Times New Roman" w:eastAsia="Times New Roman" w:hAnsi="Times New Roman"/>
          <w:sz w:val="24"/>
        </w:rPr>
        <w:t>Tchilinguirian</w:t>
      </w:r>
      <w:proofErr w:type="spellEnd"/>
      <w:r w:rsidRPr="00995F52">
        <w:rPr>
          <w:rFonts w:ascii="Times New Roman" w:eastAsia="Times New Roman" w:hAnsi="Times New Roman"/>
          <w:sz w:val="24"/>
        </w:rPr>
        <w:t xml:space="preserve"> 2000, 8).</w:t>
      </w:r>
    </w:p>
    <w:p w14:paraId="57237158" w14:textId="77777777" w:rsidR="00995F52" w:rsidRPr="00995F52" w:rsidRDefault="00995F52" w:rsidP="00995F52">
      <w:pPr>
        <w:widowControl w:val="0"/>
        <w:kinsoku w:val="0"/>
        <w:overflowPunct w:val="0"/>
        <w:adjustRightInd w:val="0"/>
        <w:snapToGrid w:val="0"/>
        <w:spacing w:after="0" w:line="480" w:lineRule="auto"/>
        <w:ind w:firstLineChars="200" w:firstLine="480"/>
        <w:jc w:val="left"/>
        <w:rPr>
          <w:rFonts w:ascii="Times New Roman" w:eastAsia="Times New Roman" w:hAnsi="Times New Roman"/>
          <w:sz w:val="24"/>
        </w:rPr>
      </w:pPr>
      <w:r w:rsidRPr="00995F52">
        <w:rPr>
          <w:rFonts w:ascii="Times New Roman" w:eastAsia="Times New Roman" w:hAnsi="Times New Roman"/>
          <w:sz w:val="24"/>
        </w:rPr>
        <w:t xml:space="preserve">Mendoza and colleagues presented their AETR formulas in an influential study of tax burden in OECD countries (Mendoza et al. 1994). Their formula for aggregate labor income includes </w:t>
      </w:r>
      <w:r w:rsidRPr="00995F52">
        <w:rPr>
          <w:rFonts w:ascii="Times New Roman" w:eastAsia="Times New Roman" w:hAnsi="Times New Roman"/>
          <w:noProof/>
          <w:sz w:val="24"/>
        </w:rPr>
        <w:drawing>
          <wp:inline distT="0" distB="0" distL="0" distR="0" wp14:anchorId="6FC29AB3" wp14:editId="17B5ABAF">
            <wp:extent cx="87630" cy="116840"/>
            <wp:effectExtent l="0" t="0" r="0" b="0"/>
            <wp:docPr id="19" name="그림 %d 19"/>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5b.PNG"/>
                    <pic:cNvPicPr/>
                  </pic:nvPicPr>
                  <pic:blipFill>
                    <a:blip r:embed="rId9"/>
                    <a:stretch>
                      <a:fillRect/>
                    </a:stretch>
                  </pic:blipFill>
                  <pic:spPr>
                    <a:xfrm>
                      <a:off x="0" y="0"/>
                      <a:ext cx="87630" cy="116840"/>
                    </a:xfrm>
                    <a:prstGeom prst="rect">
                      <a:avLst/>
                    </a:prstGeom>
                    <a:effectLst/>
                  </pic:spPr>
                </pic:pic>
              </a:graphicData>
            </a:graphic>
          </wp:inline>
        </w:drawing>
      </w:r>
      <w:r w:rsidRPr="00995F52">
        <w:rPr>
          <w:rFonts w:ascii="Times New Roman" w:eastAsia="Times New Roman" w:hAnsi="Times New Roman"/>
          <w:sz w:val="24"/>
        </w:rPr>
        <w:t>*</w:t>
      </w:r>
      <w:r w:rsidRPr="00995F52">
        <w:rPr>
          <w:rFonts w:ascii="Times New Roman" w:eastAsia="Times New Roman" w:hAnsi="Times New Roman"/>
          <w:i/>
          <w:sz w:val="24"/>
        </w:rPr>
        <w:t>W</w:t>
      </w:r>
      <w:r w:rsidRPr="00995F52">
        <w:rPr>
          <w:rFonts w:ascii="Times New Roman" w:eastAsia="Times New Roman" w:hAnsi="Times New Roman"/>
          <w:sz w:val="24"/>
        </w:rPr>
        <w:t xml:space="preserve"> as the wage portion of the household income tax payments, along with items 2000 (total SSCs) and 3000 (other taxes on payroll and workforce). For the present study, these payments were separated into the wage and SSC parts, while being divided by the same income base of </w:t>
      </w:r>
      <w:r w:rsidRPr="00995F52">
        <w:rPr>
          <w:rFonts w:ascii="Times New Roman" w:eastAsia="Times New Roman" w:hAnsi="Times New Roman"/>
          <w:i/>
          <w:sz w:val="24"/>
        </w:rPr>
        <w:t xml:space="preserve">W </w:t>
      </w:r>
      <w:r w:rsidRPr="00995F52">
        <w:rPr>
          <w:rFonts w:ascii="Times New Roman" w:eastAsia="Times New Roman" w:hAnsi="Times New Roman"/>
          <w:sz w:val="24"/>
        </w:rPr>
        <w:t xml:space="preserve">and 2200 (SSCs paid by employers). The formula for capital income consists of </w:t>
      </w:r>
      <w:r w:rsidRPr="00995F52">
        <w:rPr>
          <w:rFonts w:ascii="Times New Roman" w:eastAsia="Times New Roman" w:hAnsi="Times New Roman"/>
          <w:noProof/>
          <w:sz w:val="24"/>
        </w:rPr>
        <w:drawing>
          <wp:inline distT="0" distB="0" distL="0" distR="0" wp14:anchorId="2F88065B" wp14:editId="1068AA3A">
            <wp:extent cx="87630" cy="116840"/>
            <wp:effectExtent l="0" t="0" r="0" b="0"/>
            <wp:docPr id="20" name="그림 %d 20"/>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5b.PNG"/>
                    <pic:cNvPicPr/>
                  </pic:nvPicPr>
                  <pic:blipFill>
                    <a:blip r:embed="rId9"/>
                    <a:stretch>
                      <a:fillRect/>
                    </a:stretch>
                  </pic:blipFill>
                  <pic:spPr>
                    <a:xfrm>
                      <a:off x="0" y="0"/>
                      <a:ext cx="87630" cy="116840"/>
                    </a:xfrm>
                    <a:prstGeom prst="rect">
                      <a:avLst/>
                    </a:prstGeom>
                    <a:effectLst/>
                  </pic:spPr>
                </pic:pic>
              </a:graphicData>
            </a:graphic>
          </wp:inline>
        </w:drawing>
      </w:r>
      <w:r w:rsidRPr="00995F52">
        <w:rPr>
          <w:rFonts w:ascii="Times New Roman" w:eastAsia="Times New Roman" w:hAnsi="Times New Roman"/>
          <w:sz w:val="24"/>
        </w:rPr>
        <w:t>*(</w:t>
      </w:r>
      <w:r w:rsidRPr="00995F52">
        <w:rPr>
          <w:rFonts w:ascii="Times New Roman" w:eastAsia="Times New Roman" w:hAnsi="Times New Roman"/>
          <w:i/>
          <w:sz w:val="24"/>
        </w:rPr>
        <w:t>OSPUE+PEI</w:t>
      </w:r>
      <w:r w:rsidRPr="00995F52">
        <w:rPr>
          <w:rFonts w:ascii="Times New Roman" w:eastAsia="Times New Roman" w:hAnsi="Times New Roman"/>
          <w:sz w:val="24"/>
        </w:rPr>
        <w:t xml:space="preserve">), the non-wage portion of the household income tax payments, as well as items 1200, 4100, 4400 that indicate corporate income taxes and other property taxes. These payments are divided by </w:t>
      </w:r>
      <w:r w:rsidRPr="00995F52">
        <w:rPr>
          <w:rFonts w:ascii="Times New Roman" w:eastAsia="Times New Roman" w:hAnsi="Times New Roman"/>
          <w:i/>
          <w:sz w:val="24"/>
        </w:rPr>
        <w:t xml:space="preserve">OS </w:t>
      </w:r>
      <w:r w:rsidRPr="00995F52">
        <w:rPr>
          <w:rFonts w:ascii="Times New Roman" w:eastAsia="Times New Roman" w:hAnsi="Times New Roman"/>
          <w:sz w:val="24"/>
        </w:rPr>
        <w:t xml:space="preserve">(net operating surplus) to produce the final estimate of capital tax burden. Finally, the AETR for consumption is calculated by dividing the sum of 5110 (general taxes on goods and services) and 5121 (excise taxes) by </w:t>
      </w:r>
      <w:r w:rsidRPr="00995F52">
        <w:rPr>
          <w:rFonts w:ascii="Times New Roman" w:eastAsia="Times New Roman" w:hAnsi="Times New Roman"/>
          <w:i/>
          <w:sz w:val="24"/>
        </w:rPr>
        <w:t>CP</w:t>
      </w:r>
      <w:r w:rsidRPr="00995F52">
        <w:rPr>
          <w:rFonts w:ascii="Times New Roman" w:eastAsia="Times New Roman" w:hAnsi="Times New Roman"/>
          <w:sz w:val="24"/>
        </w:rPr>
        <w:t xml:space="preserve"> (private final </w:t>
      </w:r>
      <w:r w:rsidRPr="00995F52">
        <w:rPr>
          <w:rFonts w:ascii="Times New Roman" w:eastAsia="Times New Roman" w:hAnsi="Times New Roman"/>
          <w:sz w:val="24"/>
        </w:rPr>
        <w:lastRenderedPageBreak/>
        <w:t xml:space="preserve">consumption) and </w:t>
      </w:r>
      <w:r w:rsidRPr="00995F52">
        <w:rPr>
          <w:rFonts w:ascii="Times New Roman" w:eastAsia="Times New Roman" w:hAnsi="Times New Roman"/>
          <w:i/>
          <w:sz w:val="24"/>
        </w:rPr>
        <w:t>CG-CGW</w:t>
      </w:r>
      <w:r w:rsidRPr="00995F52">
        <w:rPr>
          <w:rFonts w:ascii="Times New Roman" w:eastAsia="Times New Roman" w:hAnsi="Times New Roman"/>
          <w:sz w:val="24"/>
        </w:rPr>
        <w:t xml:space="preserve"> (government non-wage consumption), along with other minor adjustments to the denominator (Carey and </w:t>
      </w:r>
      <w:proofErr w:type="spellStart"/>
      <w:r w:rsidRPr="00995F52">
        <w:rPr>
          <w:rFonts w:ascii="Times New Roman" w:eastAsia="Times New Roman" w:hAnsi="Times New Roman"/>
          <w:sz w:val="24"/>
        </w:rPr>
        <w:t>Rabesona</w:t>
      </w:r>
      <w:proofErr w:type="spellEnd"/>
      <w:r w:rsidRPr="00995F52">
        <w:rPr>
          <w:rFonts w:ascii="Times New Roman" w:eastAsia="Times New Roman" w:hAnsi="Times New Roman"/>
          <w:sz w:val="24"/>
        </w:rPr>
        <w:t xml:space="preserve"> 2003).</w:t>
      </w:r>
    </w:p>
    <w:p w14:paraId="05C0111E" w14:textId="77777777" w:rsidR="00995F52" w:rsidRPr="00995F52" w:rsidRDefault="00995F52" w:rsidP="00995F52">
      <w:pPr>
        <w:widowControl w:val="0"/>
        <w:kinsoku w:val="0"/>
        <w:overflowPunct w:val="0"/>
        <w:adjustRightInd w:val="0"/>
        <w:snapToGrid w:val="0"/>
        <w:spacing w:after="0" w:line="480" w:lineRule="auto"/>
        <w:ind w:firstLineChars="200" w:firstLine="480"/>
        <w:jc w:val="left"/>
        <w:rPr>
          <w:rFonts w:ascii="Times New Roman" w:eastAsia="Times New Roman" w:hAnsi="Times New Roman"/>
          <w:sz w:val="24"/>
        </w:rPr>
      </w:pPr>
      <w:r w:rsidRPr="00995F52">
        <w:rPr>
          <w:rFonts w:ascii="Times New Roman" w:eastAsia="Times New Roman" w:hAnsi="Times New Roman"/>
          <w:sz w:val="24"/>
        </w:rPr>
        <w:t xml:space="preserve">Carey and </w:t>
      </w:r>
      <w:proofErr w:type="spellStart"/>
      <w:r w:rsidRPr="00995F52">
        <w:rPr>
          <w:rFonts w:ascii="Times New Roman" w:eastAsia="Times New Roman" w:hAnsi="Times New Roman"/>
          <w:sz w:val="24"/>
        </w:rPr>
        <w:t>Tchilinguirian</w:t>
      </w:r>
      <w:proofErr w:type="spellEnd"/>
      <w:r w:rsidRPr="00995F52">
        <w:rPr>
          <w:rFonts w:ascii="Times New Roman" w:eastAsia="Times New Roman" w:hAnsi="Times New Roman"/>
          <w:sz w:val="24"/>
        </w:rPr>
        <w:t xml:space="preserve"> (2000) presented alternative AETRs by modifying certain assumptions embedded in Mendoza et al.’s original formulas. </w:t>
      </w:r>
      <w:r w:rsidRPr="00995F52">
        <w:rPr>
          <w:rFonts w:ascii="Times New Roman" w:hAnsi="Times New Roman"/>
          <w:sz w:val="24"/>
        </w:rPr>
        <w:t xml:space="preserve">Their most significant revision relates to </w:t>
      </w:r>
      <w:r w:rsidRPr="00995F52">
        <w:rPr>
          <w:rFonts w:ascii="Times New Roman" w:eastAsia="Times New Roman" w:hAnsi="Times New Roman"/>
          <w:sz w:val="24"/>
        </w:rPr>
        <w:t>the assumption regarding self-employment income. Mendoza et al. considered this income to be part of household capital income (</w:t>
      </w:r>
      <w:r w:rsidRPr="00995F52">
        <w:rPr>
          <w:rFonts w:ascii="Times New Roman" w:eastAsia="Times New Roman" w:hAnsi="Times New Roman"/>
          <w:i/>
          <w:iCs/>
          <w:sz w:val="24"/>
        </w:rPr>
        <w:t>OSPUS+PEI</w:t>
      </w:r>
      <w:r w:rsidRPr="00995F52">
        <w:rPr>
          <w:rFonts w:ascii="Times New Roman" w:eastAsia="Times New Roman" w:hAnsi="Times New Roman"/>
          <w:sz w:val="24"/>
        </w:rPr>
        <w:t xml:space="preserve">), rather than household wage income. Carey and </w:t>
      </w:r>
      <w:proofErr w:type="spellStart"/>
      <w:r w:rsidRPr="00995F52">
        <w:rPr>
          <w:rFonts w:ascii="Times New Roman" w:eastAsia="Times New Roman" w:hAnsi="Times New Roman"/>
          <w:sz w:val="24"/>
        </w:rPr>
        <w:t>Tchilinguirian</w:t>
      </w:r>
      <w:proofErr w:type="spellEnd"/>
      <w:r w:rsidRPr="00995F52">
        <w:rPr>
          <w:rFonts w:ascii="Times New Roman" w:eastAsia="Times New Roman" w:hAnsi="Times New Roman"/>
          <w:sz w:val="24"/>
        </w:rPr>
        <w:t xml:space="preserve"> criticized the concept by asserting that the self-employed may pay at least some proportion of their income to themselves. The authors therefore devised a proxy for the self-employment wage payment (</w:t>
      </w:r>
      <w:r w:rsidRPr="00995F52">
        <w:rPr>
          <w:rFonts w:ascii="Times New Roman" w:eastAsia="Times New Roman" w:hAnsi="Times New Roman"/>
          <w:i/>
          <w:iCs/>
          <w:sz w:val="24"/>
        </w:rPr>
        <w:t>WSE</w:t>
      </w:r>
      <w:r w:rsidRPr="00995F52">
        <w:rPr>
          <w:rFonts w:ascii="Times New Roman" w:eastAsia="Times New Roman" w:hAnsi="Times New Roman"/>
          <w:sz w:val="24"/>
        </w:rPr>
        <w:t>), assuming that the self-employed pay themselves the average employee’s wages or salary, minus social security payments. This redefined portion of wage income as well as item 2300 (SSCs paid by the self-employed) appear in the AETR formulas for wage income and SSCs, as part of the income tax base (the denominator) and the realized tax payments (the numerator). By the same rationale, the two items drop off from the capital’s AETR formula because they belong to neither the capital income base nor the household capital tax payments.</w:t>
      </w:r>
      <w:r w:rsidRPr="00995F52">
        <w:rPr>
          <w:rFonts w:ascii="Times New Roman" w:hAnsi="Times New Roman" w:hint="eastAsia"/>
          <w:sz w:val="24"/>
        </w:rPr>
        <w:t xml:space="preserve"> </w:t>
      </w:r>
      <w:r w:rsidRPr="00995F52">
        <w:rPr>
          <w:rFonts w:ascii="Times New Roman" w:eastAsia="Times New Roman" w:hAnsi="Times New Roman"/>
          <w:sz w:val="24"/>
        </w:rPr>
        <w:t xml:space="preserve">Meanwhile, Carey and </w:t>
      </w:r>
      <w:proofErr w:type="spellStart"/>
      <w:r w:rsidRPr="00995F52">
        <w:rPr>
          <w:rFonts w:ascii="Times New Roman" w:eastAsia="Times New Roman" w:hAnsi="Times New Roman"/>
          <w:sz w:val="24"/>
        </w:rPr>
        <w:t>Rabesona</w:t>
      </w:r>
      <w:proofErr w:type="spellEnd"/>
      <w:r w:rsidRPr="00995F52">
        <w:rPr>
          <w:rFonts w:ascii="Times New Roman" w:eastAsia="Times New Roman" w:hAnsi="Times New Roman"/>
          <w:sz w:val="24"/>
        </w:rPr>
        <w:t xml:space="preserve"> (2003) introduced revised baseline AETR models by not breaking with Mendoza et al.’s assumption concerning self-employment. Their primary concern was that the introduction of </w:t>
      </w:r>
      <w:r w:rsidRPr="00995F52">
        <w:rPr>
          <w:rFonts w:ascii="Times New Roman" w:eastAsia="Times New Roman" w:hAnsi="Times New Roman"/>
          <w:i/>
          <w:iCs/>
          <w:sz w:val="24"/>
        </w:rPr>
        <w:t>WSE</w:t>
      </w:r>
      <w:r w:rsidRPr="00995F52">
        <w:rPr>
          <w:rFonts w:ascii="Times New Roman" w:eastAsia="Times New Roman" w:hAnsi="Times New Roman"/>
          <w:iCs/>
          <w:sz w:val="24"/>
        </w:rPr>
        <w:t>, while theoretically justified,</w:t>
      </w:r>
      <w:r w:rsidRPr="00995F52">
        <w:rPr>
          <w:rFonts w:ascii="Times New Roman" w:eastAsia="Times New Roman" w:hAnsi="Times New Roman"/>
          <w:i/>
          <w:iCs/>
          <w:sz w:val="24"/>
        </w:rPr>
        <w:t xml:space="preserve"> </w:t>
      </w:r>
      <w:r w:rsidRPr="00995F52">
        <w:rPr>
          <w:rFonts w:ascii="Times New Roman" w:eastAsia="Times New Roman" w:hAnsi="Times New Roman"/>
          <w:sz w:val="24"/>
        </w:rPr>
        <w:t xml:space="preserve">may create a serious empirical problem because </w:t>
      </w:r>
      <w:r w:rsidRPr="00995F52">
        <w:rPr>
          <w:rFonts w:ascii="Times New Roman" w:eastAsia="Times New Roman" w:hAnsi="Times New Roman"/>
          <w:i/>
          <w:sz w:val="24"/>
        </w:rPr>
        <w:t>WSE</w:t>
      </w:r>
      <w:r w:rsidRPr="00995F52">
        <w:rPr>
          <w:rFonts w:ascii="Times New Roman" w:eastAsia="Times New Roman" w:hAnsi="Times New Roman"/>
          <w:sz w:val="24"/>
        </w:rPr>
        <w:t xml:space="preserve"> is estimated based on an unrealistic assumption that the average income of the self-employed is equivalent to that of all dependent employees. This could further distort the tax data if the reported number of the self-employed is very high and also unreliable. Besides this major disagreement, Carey and </w:t>
      </w:r>
      <w:proofErr w:type="spellStart"/>
      <w:r w:rsidRPr="00995F52">
        <w:rPr>
          <w:rFonts w:ascii="Times New Roman" w:eastAsia="Times New Roman" w:hAnsi="Times New Roman"/>
          <w:sz w:val="24"/>
        </w:rPr>
        <w:t>Tchilinguirian</w:t>
      </w:r>
      <w:proofErr w:type="spellEnd"/>
      <w:r w:rsidRPr="00995F52">
        <w:rPr>
          <w:rFonts w:ascii="Times New Roman" w:eastAsia="Times New Roman" w:hAnsi="Times New Roman"/>
          <w:sz w:val="24"/>
        </w:rPr>
        <w:t xml:space="preserve"> (2000) and Carey and </w:t>
      </w:r>
      <w:proofErr w:type="spellStart"/>
      <w:r w:rsidRPr="00995F52">
        <w:rPr>
          <w:rFonts w:ascii="Times New Roman" w:eastAsia="Times New Roman" w:hAnsi="Times New Roman"/>
          <w:sz w:val="24"/>
        </w:rPr>
        <w:t>Rabesona</w:t>
      </w:r>
      <w:proofErr w:type="spellEnd"/>
      <w:r w:rsidRPr="00995F52">
        <w:rPr>
          <w:rFonts w:ascii="Times New Roman" w:eastAsia="Times New Roman" w:hAnsi="Times New Roman"/>
          <w:sz w:val="24"/>
        </w:rPr>
        <w:t xml:space="preserve"> (2003) added various revisions to Mendoza et al.’s formulas. Refer to their original works for further details of these changes.</w:t>
      </w:r>
    </w:p>
    <w:p w14:paraId="345D5EB3" w14:textId="140C5C1A" w:rsidR="00995F52" w:rsidRPr="00995F52" w:rsidRDefault="00995F52" w:rsidP="00995F52">
      <w:pPr>
        <w:widowControl w:val="0"/>
        <w:kinsoku w:val="0"/>
        <w:overflowPunct w:val="0"/>
        <w:adjustRightInd w:val="0"/>
        <w:snapToGrid w:val="0"/>
        <w:spacing w:after="0" w:line="480" w:lineRule="auto"/>
        <w:ind w:firstLineChars="200" w:firstLine="480"/>
        <w:jc w:val="left"/>
        <w:rPr>
          <w:rFonts w:ascii="Times New Roman" w:eastAsia="Times New Roman" w:hAnsi="Times New Roman"/>
          <w:sz w:val="24"/>
        </w:rPr>
      </w:pPr>
      <w:r w:rsidRPr="00995F52">
        <w:rPr>
          <w:rFonts w:ascii="Times New Roman" w:eastAsia="Times New Roman" w:hAnsi="Times New Roman"/>
          <w:sz w:val="24"/>
        </w:rPr>
        <w:t xml:space="preserve"> “</w:t>
      </w:r>
      <w:r w:rsidR="007032A7">
        <w:rPr>
          <w:rFonts w:ascii="Times New Roman" w:eastAsia="Times New Roman" w:hAnsi="Times New Roman"/>
          <w:sz w:val="24"/>
        </w:rPr>
        <w:t>Author</w:t>
      </w:r>
      <w:r w:rsidRPr="00995F52">
        <w:rPr>
          <w:rFonts w:ascii="Times New Roman" w:eastAsia="Times New Roman" w:hAnsi="Times New Roman"/>
          <w:sz w:val="24"/>
        </w:rPr>
        <w:t xml:space="preserve"> I” and “</w:t>
      </w:r>
      <w:r w:rsidR="007032A7">
        <w:rPr>
          <w:rFonts w:ascii="Times New Roman" w:eastAsia="Times New Roman" w:hAnsi="Times New Roman"/>
          <w:sz w:val="24"/>
        </w:rPr>
        <w:t>Author</w:t>
      </w:r>
      <w:r w:rsidRPr="00995F52">
        <w:rPr>
          <w:rFonts w:ascii="Times New Roman" w:eastAsia="Times New Roman" w:hAnsi="Times New Roman"/>
          <w:sz w:val="24"/>
        </w:rPr>
        <w:t xml:space="preserve"> II” presented another set of formulas for wage income, SSCs, and capital income that revised the work of Carey and </w:t>
      </w:r>
      <w:proofErr w:type="spellStart"/>
      <w:r w:rsidRPr="00995F52">
        <w:rPr>
          <w:rFonts w:ascii="Times New Roman" w:eastAsia="Times New Roman" w:hAnsi="Times New Roman"/>
          <w:sz w:val="24"/>
        </w:rPr>
        <w:t>Tchilinguirian</w:t>
      </w:r>
      <w:proofErr w:type="spellEnd"/>
      <w:r w:rsidRPr="00995F52">
        <w:rPr>
          <w:rFonts w:ascii="Times New Roman" w:eastAsia="Times New Roman" w:hAnsi="Times New Roman"/>
          <w:sz w:val="24"/>
        </w:rPr>
        <w:t xml:space="preserve"> (2000) and Carey and </w:t>
      </w:r>
      <w:proofErr w:type="spellStart"/>
      <w:r w:rsidRPr="00995F52">
        <w:rPr>
          <w:rFonts w:ascii="Times New Roman" w:eastAsia="Times New Roman" w:hAnsi="Times New Roman"/>
          <w:sz w:val="24"/>
        </w:rPr>
        <w:lastRenderedPageBreak/>
        <w:t>Rabesona</w:t>
      </w:r>
      <w:proofErr w:type="spellEnd"/>
      <w:r w:rsidRPr="00995F52">
        <w:rPr>
          <w:rFonts w:ascii="Times New Roman" w:eastAsia="Times New Roman" w:hAnsi="Times New Roman"/>
          <w:sz w:val="24"/>
        </w:rPr>
        <w:t xml:space="preserve"> (2003). While incorporating all major tax and income items that these formulas developed, </w:t>
      </w:r>
      <w:r w:rsidR="007032A7">
        <w:rPr>
          <w:rFonts w:ascii="Times New Roman" w:eastAsia="Times New Roman" w:hAnsi="Times New Roman"/>
          <w:sz w:val="24"/>
        </w:rPr>
        <w:t>Author</w:t>
      </w:r>
      <w:r w:rsidRPr="00995F52">
        <w:rPr>
          <w:rFonts w:ascii="Times New Roman" w:eastAsia="Times New Roman" w:hAnsi="Times New Roman"/>
          <w:sz w:val="24"/>
        </w:rPr>
        <w:t xml:space="preserve"> I followed Carey and </w:t>
      </w:r>
      <w:proofErr w:type="spellStart"/>
      <w:r w:rsidRPr="00995F52">
        <w:rPr>
          <w:rFonts w:ascii="Times New Roman" w:eastAsia="Times New Roman" w:hAnsi="Times New Roman"/>
          <w:sz w:val="24"/>
        </w:rPr>
        <w:t>Tchilinguirian’s</w:t>
      </w:r>
      <w:proofErr w:type="spellEnd"/>
      <w:r w:rsidRPr="00995F52">
        <w:rPr>
          <w:rFonts w:ascii="Times New Roman" w:eastAsia="Times New Roman" w:hAnsi="Times New Roman"/>
          <w:sz w:val="24"/>
        </w:rPr>
        <w:t xml:space="preserve"> assumption that self-employment income was part of the household wage income, while </w:t>
      </w:r>
      <w:r w:rsidR="007032A7">
        <w:rPr>
          <w:rFonts w:ascii="Times New Roman" w:eastAsia="Times New Roman" w:hAnsi="Times New Roman"/>
          <w:sz w:val="24"/>
        </w:rPr>
        <w:t>Author</w:t>
      </w:r>
      <w:r w:rsidRPr="00995F52">
        <w:rPr>
          <w:rFonts w:ascii="Times New Roman" w:eastAsia="Times New Roman" w:hAnsi="Times New Roman"/>
          <w:sz w:val="24"/>
        </w:rPr>
        <w:t xml:space="preserve"> II built on Carey and </w:t>
      </w:r>
      <w:proofErr w:type="spellStart"/>
      <w:r w:rsidRPr="00995F52">
        <w:rPr>
          <w:rFonts w:ascii="Times New Roman" w:eastAsia="Times New Roman" w:hAnsi="Times New Roman"/>
          <w:sz w:val="24"/>
        </w:rPr>
        <w:t>Rabesona’s</w:t>
      </w:r>
      <w:proofErr w:type="spellEnd"/>
      <w:r w:rsidRPr="00995F52">
        <w:rPr>
          <w:rFonts w:ascii="Times New Roman" w:eastAsia="Times New Roman" w:hAnsi="Times New Roman"/>
          <w:sz w:val="24"/>
        </w:rPr>
        <w:t xml:space="preserve"> assumption that it was still part of the household capital income. In addition, both of </w:t>
      </w:r>
      <w:r w:rsidR="007032A7">
        <w:rPr>
          <w:rFonts w:ascii="Times New Roman" w:eastAsia="Times New Roman" w:hAnsi="Times New Roman"/>
          <w:sz w:val="24"/>
        </w:rPr>
        <w:t>Author</w:t>
      </w:r>
      <w:r w:rsidRPr="00995F52">
        <w:rPr>
          <w:rFonts w:ascii="Times New Roman" w:eastAsia="Times New Roman" w:hAnsi="Times New Roman"/>
          <w:sz w:val="24"/>
        </w:rPr>
        <w:t xml:space="preserve">’s formulas expanded the capital tax base by adding </w:t>
      </w:r>
      <w:r w:rsidRPr="00995F52">
        <w:rPr>
          <w:rFonts w:ascii="Times New Roman" w:eastAsia="Times New Roman" w:hAnsi="Times New Roman"/>
          <w:i/>
          <w:iCs/>
          <w:sz w:val="24"/>
        </w:rPr>
        <w:t xml:space="preserve">OSPUE </w:t>
      </w:r>
      <w:r w:rsidRPr="00995F52">
        <w:rPr>
          <w:rFonts w:ascii="Times New Roman" w:eastAsia="Times New Roman" w:hAnsi="Times New Roman"/>
          <w:sz w:val="24"/>
        </w:rPr>
        <w:t xml:space="preserve">and </w:t>
      </w:r>
      <w:r w:rsidRPr="00995F52">
        <w:rPr>
          <w:rFonts w:ascii="Times New Roman" w:eastAsia="Times New Roman" w:hAnsi="Times New Roman"/>
          <w:i/>
          <w:iCs/>
          <w:sz w:val="24"/>
        </w:rPr>
        <w:t xml:space="preserve">PEI </w:t>
      </w:r>
      <w:r w:rsidRPr="00995F52">
        <w:rPr>
          <w:rFonts w:ascii="Times New Roman" w:eastAsia="Times New Roman" w:hAnsi="Times New Roman"/>
          <w:sz w:val="24"/>
        </w:rPr>
        <w:t xml:space="preserve">to the denominator of the capital AETR. This addressed the problem of asymmetry observed in all previous capital formulas: while the numerator covers all capital tax payments from incorporated enterprises to unincorporated household businesses, the denominator covers only the incomes from incorporated enterprises (as expressed by </w:t>
      </w:r>
      <w:r w:rsidRPr="00995F52">
        <w:rPr>
          <w:rFonts w:ascii="Times New Roman" w:eastAsia="Times New Roman" w:hAnsi="Times New Roman"/>
          <w:i/>
          <w:iCs/>
          <w:sz w:val="24"/>
        </w:rPr>
        <w:t>OS</w:t>
      </w:r>
      <w:r w:rsidRPr="00995F52">
        <w:rPr>
          <w:rFonts w:ascii="Times New Roman" w:eastAsia="Times New Roman" w:hAnsi="Times New Roman"/>
          <w:sz w:val="24"/>
        </w:rPr>
        <w:t xml:space="preserve">). By introducing </w:t>
      </w:r>
      <w:r w:rsidRPr="00995F52">
        <w:rPr>
          <w:rFonts w:ascii="Times New Roman" w:eastAsia="Times New Roman" w:hAnsi="Times New Roman"/>
          <w:i/>
          <w:iCs/>
          <w:sz w:val="24"/>
        </w:rPr>
        <w:t xml:space="preserve">OSPUE </w:t>
      </w:r>
      <w:r w:rsidRPr="00995F52">
        <w:rPr>
          <w:rFonts w:ascii="Times New Roman" w:eastAsia="Times New Roman" w:hAnsi="Times New Roman"/>
          <w:sz w:val="24"/>
        </w:rPr>
        <w:t xml:space="preserve">and </w:t>
      </w:r>
      <w:r w:rsidRPr="00995F52">
        <w:rPr>
          <w:rFonts w:ascii="Times New Roman" w:eastAsia="Times New Roman" w:hAnsi="Times New Roman"/>
          <w:i/>
          <w:iCs/>
          <w:sz w:val="24"/>
        </w:rPr>
        <w:t xml:space="preserve">PEI </w:t>
      </w:r>
      <w:r w:rsidRPr="00995F52">
        <w:rPr>
          <w:rFonts w:ascii="Times New Roman" w:eastAsia="Times New Roman" w:hAnsi="Times New Roman"/>
          <w:sz w:val="24"/>
        </w:rPr>
        <w:t xml:space="preserve">into the denominator, </w:t>
      </w:r>
      <w:r w:rsidR="007032A7">
        <w:rPr>
          <w:rFonts w:ascii="Times New Roman" w:eastAsia="Times New Roman" w:hAnsi="Times New Roman"/>
          <w:sz w:val="24"/>
        </w:rPr>
        <w:t>Author</w:t>
      </w:r>
      <w:r w:rsidRPr="00995F52">
        <w:rPr>
          <w:rFonts w:ascii="Times New Roman" w:eastAsia="Times New Roman" w:hAnsi="Times New Roman"/>
          <w:sz w:val="24"/>
        </w:rPr>
        <w:t xml:space="preserve"> made the capital tax base more symmetric to the actual payments.</w:t>
      </w:r>
    </w:p>
    <w:p w14:paraId="7D06D8B5" w14:textId="22A2E044" w:rsidR="00995F52" w:rsidRPr="00995F52" w:rsidRDefault="00995F52" w:rsidP="00995F52">
      <w:pPr>
        <w:widowControl w:val="0"/>
        <w:kinsoku w:val="0"/>
        <w:overflowPunct w:val="0"/>
        <w:adjustRightInd w:val="0"/>
        <w:snapToGrid w:val="0"/>
        <w:spacing w:after="0" w:line="480" w:lineRule="auto"/>
        <w:ind w:firstLineChars="200" w:firstLine="480"/>
        <w:jc w:val="left"/>
        <w:rPr>
          <w:rFonts w:ascii="Times New Roman" w:hAnsi="Times New Roman"/>
          <w:sz w:val="24"/>
        </w:rPr>
      </w:pPr>
      <w:r w:rsidRPr="00995F52">
        <w:rPr>
          <w:rFonts w:ascii="Times New Roman" w:eastAsia="Times New Roman" w:hAnsi="Times New Roman"/>
          <w:sz w:val="24"/>
        </w:rPr>
        <w:t xml:space="preserve">Moreover, notice that all the wage, SSCs, and capital formulas listed in Table A.1 specify “net” effective tax rates by using net income data (such as </w:t>
      </w:r>
      <w:r w:rsidRPr="00995F52">
        <w:rPr>
          <w:rFonts w:ascii="Times New Roman" w:eastAsia="Times New Roman" w:hAnsi="Times New Roman"/>
          <w:i/>
          <w:sz w:val="24"/>
        </w:rPr>
        <w:t>OSPUE</w:t>
      </w:r>
      <w:r w:rsidRPr="00995F52">
        <w:rPr>
          <w:rFonts w:ascii="Times New Roman" w:eastAsia="Times New Roman" w:hAnsi="Times New Roman"/>
          <w:sz w:val="24"/>
        </w:rPr>
        <w:t xml:space="preserve"> and </w:t>
      </w:r>
      <w:r w:rsidRPr="00995F52">
        <w:rPr>
          <w:rFonts w:ascii="Times New Roman" w:eastAsia="Times New Roman" w:hAnsi="Times New Roman"/>
          <w:i/>
          <w:sz w:val="24"/>
        </w:rPr>
        <w:t>OS</w:t>
      </w:r>
      <w:r w:rsidRPr="00995F52">
        <w:rPr>
          <w:rFonts w:ascii="Times New Roman" w:eastAsia="Times New Roman" w:hAnsi="Times New Roman"/>
          <w:sz w:val="24"/>
        </w:rPr>
        <w:t xml:space="preserve">) and other items (such as </w:t>
      </w:r>
      <w:r w:rsidRPr="00995F52">
        <w:rPr>
          <w:rFonts w:ascii="Times New Roman" w:eastAsia="Times New Roman" w:hAnsi="Times New Roman"/>
          <w:i/>
          <w:sz w:val="24"/>
        </w:rPr>
        <w:t xml:space="preserve">α, β, </w:t>
      </w:r>
      <w:r w:rsidRPr="00995F52">
        <w:rPr>
          <w:rFonts w:ascii="Times New Roman" w:eastAsia="Times New Roman" w:hAnsi="Times New Roman"/>
          <w:noProof/>
          <w:sz w:val="24"/>
        </w:rPr>
        <w:drawing>
          <wp:inline distT="0" distB="0" distL="0" distR="0" wp14:anchorId="1A572C65" wp14:editId="1D4ED072">
            <wp:extent cx="115062" cy="153416"/>
            <wp:effectExtent l="0" t="0" r="0" b="0"/>
            <wp:docPr id="2" name="그림 %d 18"/>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5b.PNG"/>
                    <pic:cNvPicPr/>
                  </pic:nvPicPr>
                  <pic:blipFill>
                    <a:blip r:embed="rId9"/>
                    <a:stretch>
                      <a:fillRect/>
                    </a:stretch>
                  </pic:blipFill>
                  <pic:spPr>
                    <a:xfrm>
                      <a:off x="0" y="0"/>
                      <a:ext cx="115062" cy="153416"/>
                    </a:xfrm>
                    <a:prstGeom prst="rect">
                      <a:avLst/>
                    </a:prstGeom>
                    <a:effectLst/>
                  </pic:spPr>
                </pic:pic>
              </a:graphicData>
            </a:graphic>
          </wp:inline>
        </w:drawing>
      </w:r>
      <w:r w:rsidRPr="00995F52">
        <w:rPr>
          <w:rFonts w:ascii="Times New Roman" w:hAnsi="Times New Roman" w:hint="eastAsia"/>
          <w:sz w:val="24"/>
        </w:rPr>
        <w:t>)</w:t>
      </w:r>
      <w:r w:rsidRPr="00995F52">
        <w:rPr>
          <w:rFonts w:ascii="Times New Roman" w:hAnsi="Times New Roman"/>
          <w:sz w:val="24"/>
        </w:rPr>
        <w:t xml:space="preserve"> that are derived from the net data.</w:t>
      </w:r>
      <w:r w:rsidRPr="00995F52">
        <w:rPr>
          <w:rFonts w:ascii="Times New Roman" w:hAnsi="Times New Roman" w:hint="eastAsia"/>
          <w:sz w:val="24"/>
        </w:rPr>
        <w:t xml:space="preserve"> </w:t>
      </w:r>
      <w:r w:rsidRPr="00995F52">
        <w:rPr>
          <w:rFonts w:ascii="Times New Roman" w:eastAsia="Times New Roman" w:hAnsi="Times New Roman"/>
          <w:sz w:val="24"/>
        </w:rPr>
        <w:t xml:space="preserve">Empirical studies, however, have found that nominal data tend to produce more reliable results than net data in cross-country tax research (Carey and </w:t>
      </w:r>
      <w:proofErr w:type="spellStart"/>
      <w:r w:rsidRPr="00995F52">
        <w:rPr>
          <w:rFonts w:ascii="Times New Roman" w:eastAsia="Times New Roman" w:hAnsi="Times New Roman"/>
          <w:sz w:val="24"/>
        </w:rPr>
        <w:t>Rabesona</w:t>
      </w:r>
      <w:proofErr w:type="spellEnd"/>
      <w:r w:rsidRPr="00995F52">
        <w:rPr>
          <w:rFonts w:ascii="Times New Roman" w:eastAsia="Times New Roman" w:hAnsi="Times New Roman"/>
          <w:sz w:val="24"/>
        </w:rPr>
        <w:t xml:space="preserve"> 2003, 132; Carey and </w:t>
      </w:r>
      <w:proofErr w:type="spellStart"/>
      <w:r w:rsidRPr="00995F52">
        <w:rPr>
          <w:rFonts w:ascii="Times New Roman" w:eastAsia="Times New Roman" w:hAnsi="Times New Roman"/>
          <w:sz w:val="24"/>
        </w:rPr>
        <w:t>Tchilinguirian</w:t>
      </w:r>
      <w:proofErr w:type="spellEnd"/>
      <w:r w:rsidRPr="00995F52">
        <w:rPr>
          <w:rFonts w:ascii="Times New Roman" w:eastAsia="Times New Roman" w:hAnsi="Times New Roman"/>
          <w:sz w:val="24"/>
        </w:rPr>
        <w:t xml:space="preserve"> 2000, 10–11). Following this guidance, </w:t>
      </w:r>
      <w:r w:rsidR="007032A7">
        <w:rPr>
          <w:rFonts w:ascii="Times New Roman" w:eastAsia="Times New Roman" w:hAnsi="Times New Roman"/>
          <w:sz w:val="24"/>
        </w:rPr>
        <w:t>Author</w:t>
      </w:r>
      <w:r w:rsidRPr="00995F52">
        <w:rPr>
          <w:rFonts w:ascii="Times New Roman" w:eastAsia="Times New Roman" w:hAnsi="Times New Roman"/>
          <w:sz w:val="24"/>
        </w:rPr>
        <w:t xml:space="preserve"> I and </w:t>
      </w:r>
      <w:r w:rsidR="007032A7">
        <w:rPr>
          <w:rFonts w:ascii="Times New Roman" w:eastAsia="Times New Roman" w:hAnsi="Times New Roman"/>
          <w:sz w:val="24"/>
        </w:rPr>
        <w:t>Author</w:t>
      </w:r>
      <w:r w:rsidRPr="00995F52">
        <w:rPr>
          <w:rFonts w:ascii="Times New Roman" w:eastAsia="Times New Roman" w:hAnsi="Times New Roman"/>
          <w:sz w:val="24"/>
        </w:rPr>
        <w:t xml:space="preserve"> II produced nominal AETRs by replacing all the aforementioned income and tax items with their gross versions (</w:t>
      </w:r>
      <w:r w:rsidR="007032A7">
        <w:rPr>
          <w:rFonts w:ascii="Times New Roman" w:eastAsia="Times New Roman" w:hAnsi="Times New Roman"/>
          <w:sz w:val="24"/>
        </w:rPr>
        <w:t>Author’s own</w:t>
      </w:r>
      <w:r w:rsidRPr="00995F52">
        <w:rPr>
          <w:rFonts w:ascii="Times New Roman" w:eastAsia="Times New Roman" w:hAnsi="Times New Roman"/>
          <w:sz w:val="24"/>
        </w:rPr>
        <w:t xml:space="preserve"> 2020). It is true that Mendoza et al., Carey and </w:t>
      </w:r>
      <w:proofErr w:type="spellStart"/>
      <w:r w:rsidRPr="00995F52">
        <w:rPr>
          <w:rFonts w:ascii="Times New Roman" w:eastAsia="Times New Roman" w:hAnsi="Times New Roman"/>
          <w:sz w:val="24"/>
        </w:rPr>
        <w:t>Tchilinguirian</w:t>
      </w:r>
      <w:proofErr w:type="spellEnd"/>
      <w:r w:rsidRPr="00995F52">
        <w:rPr>
          <w:rFonts w:ascii="Times New Roman" w:eastAsia="Times New Roman" w:hAnsi="Times New Roman"/>
          <w:sz w:val="24"/>
        </w:rPr>
        <w:t xml:space="preserve">, and Carey and </w:t>
      </w:r>
      <w:proofErr w:type="spellStart"/>
      <w:r w:rsidRPr="00995F52">
        <w:rPr>
          <w:rFonts w:ascii="Times New Roman" w:eastAsia="Times New Roman" w:hAnsi="Times New Roman"/>
          <w:sz w:val="24"/>
        </w:rPr>
        <w:t>Rabesona</w:t>
      </w:r>
      <w:proofErr w:type="spellEnd"/>
      <w:r w:rsidRPr="00995F52">
        <w:rPr>
          <w:rFonts w:ascii="Times New Roman" w:eastAsia="Times New Roman" w:hAnsi="Times New Roman"/>
          <w:sz w:val="24"/>
        </w:rPr>
        <w:t xml:space="preserve"> presented nominal versions of their capital formulas. However, their approach was simply to replace </w:t>
      </w:r>
      <w:r w:rsidRPr="00995F52">
        <w:rPr>
          <w:rFonts w:ascii="Times New Roman" w:eastAsia="Times New Roman" w:hAnsi="Times New Roman"/>
          <w:i/>
          <w:sz w:val="24"/>
        </w:rPr>
        <w:t>OS</w:t>
      </w:r>
      <w:r w:rsidRPr="00995F52">
        <w:rPr>
          <w:rFonts w:ascii="Times New Roman" w:eastAsia="Times New Roman" w:hAnsi="Times New Roman"/>
          <w:sz w:val="24"/>
        </w:rPr>
        <w:t xml:space="preserve"> with </w:t>
      </w:r>
      <w:r w:rsidRPr="00995F52">
        <w:rPr>
          <w:rFonts w:ascii="Times New Roman" w:eastAsia="Times New Roman" w:hAnsi="Times New Roman"/>
          <w:i/>
          <w:sz w:val="24"/>
        </w:rPr>
        <w:t>GOS</w:t>
      </w:r>
      <w:r w:rsidRPr="00995F52">
        <w:rPr>
          <w:rFonts w:ascii="Times New Roman" w:eastAsia="Times New Roman" w:hAnsi="Times New Roman"/>
          <w:sz w:val="24"/>
        </w:rPr>
        <w:t xml:space="preserve"> (gross operating surplus), thereby leaving </w:t>
      </w:r>
      <w:r w:rsidRPr="00995F52">
        <w:rPr>
          <w:rFonts w:ascii="Times New Roman" w:eastAsia="Times New Roman" w:hAnsi="Times New Roman"/>
          <w:i/>
          <w:sz w:val="24"/>
        </w:rPr>
        <w:t>OSPUE, β,</w:t>
      </w:r>
      <w:r w:rsidRPr="00995F52">
        <w:rPr>
          <w:rFonts w:ascii="Times New Roman" w:eastAsia="Times New Roman" w:hAnsi="Times New Roman"/>
          <w:sz w:val="24"/>
        </w:rPr>
        <w:t xml:space="preserve"> and</w:t>
      </w:r>
      <w:r w:rsidRPr="00995F52">
        <w:rPr>
          <w:rFonts w:ascii="Times New Roman" w:eastAsia="Times New Roman" w:hAnsi="Times New Roman"/>
          <w:i/>
          <w:sz w:val="24"/>
        </w:rPr>
        <w:t xml:space="preserve"> </w:t>
      </w:r>
      <w:r w:rsidRPr="00995F52">
        <w:rPr>
          <w:rFonts w:ascii="Times New Roman" w:eastAsia="Times New Roman" w:hAnsi="Times New Roman"/>
          <w:noProof/>
          <w:sz w:val="24"/>
        </w:rPr>
        <w:drawing>
          <wp:inline distT="0" distB="0" distL="0" distR="0" wp14:anchorId="739F7044" wp14:editId="46A2CC26">
            <wp:extent cx="115062" cy="153416"/>
            <wp:effectExtent l="0" t="0" r="0" b="0"/>
            <wp:docPr id="3" name="그림 %d 18"/>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5b.PNG"/>
                    <pic:cNvPicPr/>
                  </pic:nvPicPr>
                  <pic:blipFill>
                    <a:blip r:embed="rId9"/>
                    <a:stretch>
                      <a:fillRect/>
                    </a:stretch>
                  </pic:blipFill>
                  <pic:spPr>
                    <a:xfrm>
                      <a:off x="0" y="0"/>
                      <a:ext cx="115062" cy="153416"/>
                    </a:xfrm>
                    <a:prstGeom prst="rect">
                      <a:avLst/>
                    </a:prstGeom>
                    <a:effectLst/>
                  </pic:spPr>
                </pic:pic>
              </a:graphicData>
            </a:graphic>
          </wp:inline>
        </w:drawing>
      </w:r>
      <w:r w:rsidRPr="00995F52">
        <w:rPr>
          <w:rFonts w:ascii="Times New Roman" w:hAnsi="Times New Roman" w:hint="eastAsia"/>
          <w:sz w:val="24"/>
        </w:rPr>
        <w:t xml:space="preserve"> in their net versions. </w:t>
      </w:r>
      <w:r w:rsidRPr="00995F52">
        <w:rPr>
          <w:rFonts w:ascii="Times New Roman" w:eastAsia="Times New Roman" w:hAnsi="Times New Roman"/>
          <w:sz w:val="24"/>
        </w:rPr>
        <w:t>With respect to the labor income formulas, they did not provide any gross versions at all.</w:t>
      </w:r>
    </w:p>
    <w:p w14:paraId="0AB4963D" w14:textId="2F737EB0" w:rsidR="00995F52" w:rsidRPr="00995F52" w:rsidRDefault="00995F52" w:rsidP="00995F52">
      <w:pPr>
        <w:widowControl w:val="0"/>
        <w:kinsoku w:val="0"/>
        <w:overflowPunct w:val="0"/>
        <w:adjustRightInd w:val="0"/>
        <w:snapToGrid w:val="0"/>
        <w:spacing w:after="0" w:line="480" w:lineRule="auto"/>
        <w:ind w:firstLineChars="200" w:firstLine="480"/>
        <w:jc w:val="left"/>
        <w:rPr>
          <w:rFonts w:ascii="Times New Roman" w:hAnsi="Times New Roman"/>
          <w:sz w:val="24"/>
        </w:rPr>
        <w:sectPr w:rsidR="00995F52" w:rsidRPr="00995F52" w:rsidSect="00995F52">
          <w:footerReference w:type="default" r:id="rId10"/>
          <w:endnotePr>
            <w:numFmt w:val="decimal"/>
          </w:endnotePr>
          <w:pgSz w:w="11906" w:h="16838"/>
          <w:pgMar w:top="1134" w:right="1440" w:bottom="1134" w:left="1440" w:header="1134" w:footer="851" w:gutter="0"/>
          <w:cols w:space="0"/>
        </w:sectPr>
      </w:pPr>
      <w:r w:rsidRPr="00995F52">
        <w:rPr>
          <w:rFonts w:ascii="Times New Roman" w:hAnsi="Times New Roman"/>
          <w:sz w:val="24"/>
        </w:rPr>
        <w:t>Regardless of these</w:t>
      </w:r>
      <w:r w:rsidRPr="00995F52">
        <w:rPr>
          <w:rFonts w:ascii="Times New Roman" w:hAnsi="Times New Roman" w:hint="eastAsia"/>
          <w:sz w:val="24"/>
        </w:rPr>
        <w:t xml:space="preserve"> advantages and shortcomings associated with existing AETR formulas, </w:t>
      </w:r>
      <w:r w:rsidRPr="00995F52">
        <w:rPr>
          <w:rFonts w:ascii="Times New Roman" w:hAnsi="Times New Roman"/>
          <w:sz w:val="24"/>
        </w:rPr>
        <w:t xml:space="preserve">it is important to note that </w:t>
      </w:r>
      <w:r w:rsidRPr="00995F52">
        <w:rPr>
          <w:rFonts w:ascii="Times New Roman" w:eastAsia="Times New Roman" w:hAnsi="Times New Roman"/>
          <w:sz w:val="24"/>
        </w:rPr>
        <w:t xml:space="preserve">no comprehensive empirical analysis has yet been conducted to evaluate their actual performance in empirical estimation. It is therefore reasonable to utilize all the formulas when gauging the degree of tax burden across different </w:t>
      </w:r>
      <w:r w:rsidRPr="00995F52">
        <w:rPr>
          <w:rFonts w:ascii="Times New Roman" w:eastAsia="Times New Roman" w:hAnsi="Times New Roman"/>
          <w:sz w:val="24"/>
        </w:rPr>
        <w:lastRenderedPageBreak/>
        <w:t xml:space="preserve">tax categories. More specifically, in this study, I produced composite tax burden measures by averaging out all the AETR figures in unweighted forms. In so doing, it was generally preferred to use nominal rather than net versions of the AETRs. In case some formulas provide only net versions, these formulas were used along with other nominal formulas for the same tax category. This way, the AETRs for wage income and SSCs are calculated by using the five net formulas from Table A.1 and the two nominal formulas presented by </w:t>
      </w:r>
      <w:r w:rsidR="007032A7">
        <w:rPr>
          <w:rFonts w:ascii="Times New Roman" w:eastAsia="Times New Roman" w:hAnsi="Times New Roman"/>
          <w:sz w:val="24"/>
        </w:rPr>
        <w:t>Author</w:t>
      </w:r>
      <w:r w:rsidRPr="00995F52">
        <w:rPr>
          <w:rFonts w:ascii="Times New Roman" w:eastAsia="Times New Roman" w:hAnsi="Times New Roman"/>
          <w:sz w:val="24"/>
        </w:rPr>
        <w:t xml:space="preserve"> I and </w:t>
      </w:r>
      <w:r w:rsidR="007032A7">
        <w:rPr>
          <w:rFonts w:ascii="Times New Roman" w:eastAsia="Times New Roman" w:hAnsi="Times New Roman"/>
          <w:sz w:val="24"/>
        </w:rPr>
        <w:t>Author</w:t>
      </w:r>
      <w:r w:rsidRPr="00995F52">
        <w:rPr>
          <w:rFonts w:ascii="Times New Roman" w:eastAsia="Times New Roman" w:hAnsi="Times New Roman"/>
          <w:sz w:val="24"/>
        </w:rPr>
        <w:t xml:space="preserve"> II. Capital tax burdens were calculated using the nominal versions of the five formulas in Table A.1. In addition, items 5125, 5212, and 6100 in Carey and </w:t>
      </w:r>
      <w:proofErr w:type="spellStart"/>
      <w:r w:rsidRPr="00995F52">
        <w:rPr>
          <w:rFonts w:ascii="Times New Roman" w:eastAsia="Times New Roman" w:hAnsi="Times New Roman"/>
          <w:sz w:val="24"/>
        </w:rPr>
        <w:t>Rabesona’s</w:t>
      </w:r>
      <w:proofErr w:type="spellEnd"/>
      <w:r w:rsidRPr="00995F52">
        <w:rPr>
          <w:rFonts w:ascii="Times New Roman" w:eastAsia="Times New Roman" w:hAnsi="Times New Roman"/>
          <w:sz w:val="24"/>
        </w:rPr>
        <w:t xml:space="preserve"> capital AETR formula were all dropped because they constituted only fractions of the capital tax payments and yet produced too many missing data across the sample countries. Finally, consumption tax burdens were calculated using the three formulas drawn from Mendoza et al., Carey and </w:t>
      </w:r>
      <w:proofErr w:type="spellStart"/>
      <w:r w:rsidRPr="00995F52">
        <w:rPr>
          <w:rFonts w:ascii="Times New Roman" w:eastAsia="Times New Roman" w:hAnsi="Times New Roman"/>
          <w:sz w:val="24"/>
        </w:rPr>
        <w:t>Tchilinguirian</w:t>
      </w:r>
      <w:proofErr w:type="spellEnd"/>
      <w:r w:rsidRPr="00995F52">
        <w:rPr>
          <w:rFonts w:ascii="Times New Roman" w:eastAsia="Times New Roman" w:hAnsi="Times New Roman"/>
          <w:sz w:val="24"/>
        </w:rPr>
        <w:t xml:space="preserve">, and Carey and </w:t>
      </w:r>
      <w:proofErr w:type="spellStart"/>
      <w:r w:rsidRPr="00995F52">
        <w:rPr>
          <w:rFonts w:ascii="Times New Roman" w:eastAsia="Times New Roman" w:hAnsi="Times New Roman"/>
          <w:sz w:val="24"/>
        </w:rPr>
        <w:t>Rabesona</w:t>
      </w:r>
      <w:proofErr w:type="spellEnd"/>
      <w:r w:rsidRPr="00995F52">
        <w:rPr>
          <w:rFonts w:ascii="Times New Roman" w:hAnsi="Times New Roman"/>
          <w:sz w:val="24"/>
        </w:rPr>
        <w:t xml:space="preserve">. Here again, Item 5212 from Carey and </w:t>
      </w:r>
      <w:proofErr w:type="spellStart"/>
      <w:r w:rsidRPr="00995F52">
        <w:rPr>
          <w:rFonts w:ascii="Times New Roman" w:hAnsi="Times New Roman"/>
          <w:sz w:val="24"/>
        </w:rPr>
        <w:t>Rabesona’s</w:t>
      </w:r>
      <w:proofErr w:type="spellEnd"/>
      <w:r w:rsidRPr="00995F52">
        <w:rPr>
          <w:rFonts w:ascii="Times New Roman" w:hAnsi="Times New Roman"/>
          <w:sz w:val="24"/>
        </w:rPr>
        <w:t xml:space="preserve"> formula was dropped because it constituted only a fraction of the consumption tax payments and yet produced all missing data for Japan and Korea.</w:t>
      </w:r>
    </w:p>
    <w:p w14:paraId="4CF446A6"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sz w:val="24"/>
        </w:rPr>
      </w:pPr>
      <w:r w:rsidRPr="00995F52">
        <w:rPr>
          <w:rFonts w:ascii="Times New Roman" w:eastAsia="Times New Roman" w:hAnsi="Times New Roman"/>
          <w:sz w:val="24"/>
        </w:rPr>
        <w:lastRenderedPageBreak/>
        <w:t>Table A.1: AETR Formulas</w:t>
      </w:r>
    </w:p>
    <w:tbl>
      <w:tblPr>
        <w:tblOverlap w:val="never"/>
        <w:tblW w:w="1332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837"/>
        <w:gridCol w:w="2881"/>
        <w:gridCol w:w="8604"/>
      </w:tblGrid>
      <w:tr w:rsidR="00995F52" w:rsidRPr="00995F52" w14:paraId="627A8BF9" w14:textId="77777777" w:rsidTr="00995F52">
        <w:trPr>
          <w:trHeight w:val="256"/>
        </w:trPr>
        <w:tc>
          <w:tcPr>
            <w:tcW w:w="1837" w:type="dxa"/>
            <w:tcBorders>
              <w:top w:val="single" w:sz="3" w:space="0" w:color="000000"/>
              <w:left w:val="none" w:sz="3" w:space="0" w:color="000000"/>
              <w:bottom w:val="double" w:sz="4" w:space="0" w:color="000000"/>
              <w:right w:val="none" w:sz="3" w:space="0" w:color="000000"/>
            </w:tcBorders>
            <w:vAlign w:val="center"/>
          </w:tcPr>
          <w:p w14:paraId="524739C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AETR</w:t>
            </w:r>
          </w:p>
        </w:tc>
        <w:tc>
          <w:tcPr>
            <w:tcW w:w="2881" w:type="dxa"/>
            <w:tcBorders>
              <w:top w:val="single" w:sz="3" w:space="0" w:color="000000"/>
              <w:left w:val="none" w:sz="3" w:space="0" w:color="000000"/>
              <w:bottom w:val="double" w:sz="4" w:space="0" w:color="000000"/>
              <w:right w:val="none" w:sz="3" w:space="0" w:color="000000"/>
            </w:tcBorders>
            <w:vAlign w:val="center"/>
          </w:tcPr>
          <w:p w14:paraId="117F66BA"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Tax Categories</w:t>
            </w:r>
          </w:p>
        </w:tc>
        <w:tc>
          <w:tcPr>
            <w:tcW w:w="8604" w:type="dxa"/>
            <w:tcBorders>
              <w:top w:val="single" w:sz="3" w:space="0" w:color="000000"/>
              <w:left w:val="none" w:sz="3" w:space="0" w:color="000000"/>
              <w:bottom w:val="double" w:sz="4" w:space="0" w:color="000000"/>
              <w:right w:val="none" w:sz="3" w:space="0" w:color="000000"/>
            </w:tcBorders>
            <w:vAlign w:val="center"/>
          </w:tcPr>
          <w:p w14:paraId="5F94973B"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Formulas</w:t>
            </w:r>
          </w:p>
        </w:tc>
      </w:tr>
      <w:tr w:rsidR="00995F52" w:rsidRPr="00995F52" w14:paraId="760DA05E" w14:textId="77777777" w:rsidTr="00995F52">
        <w:trPr>
          <w:trHeight w:val="472"/>
        </w:trPr>
        <w:tc>
          <w:tcPr>
            <w:tcW w:w="1837" w:type="dxa"/>
            <w:vMerge w:val="restart"/>
            <w:tcBorders>
              <w:top w:val="double" w:sz="4" w:space="0" w:color="000000"/>
              <w:left w:val="none" w:sz="3" w:space="0" w:color="000000"/>
              <w:bottom w:val="single" w:sz="3" w:space="0" w:color="000000"/>
              <w:right w:val="none" w:sz="3" w:space="0" w:color="000000"/>
            </w:tcBorders>
            <w:vAlign w:val="center"/>
          </w:tcPr>
          <w:p w14:paraId="1258AB9F"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Mendoza et al. (1994)</w:t>
            </w:r>
          </w:p>
        </w:tc>
        <w:tc>
          <w:tcPr>
            <w:tcW w:w="2881" w:type="dxa"/>
            <w:tcBorders>
              <w:top w:val="double" w:sz="4" w:space="0" w:color="000000"/>
              <w:left w:val="none" w:sz="3" w:space="0" w:color="000000"/>
              <w:bottom w:val="none" w:sz="3" w:space="0" w:color="000000"/>
              <w:right w:val="none" w:sz="3" w:space="0" w:color="000000"/>
            </w:tcBorders>
            <w:vAlign w:val="center"/>
          </w:tcPr>
          <w:p w14:paraId="6EBCB645"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Wage Income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w</m:t>
                  </m:r>
                </m:sub>
              </m:sSub>
            </m:oMath>
            <w:r w:rsidRPr="00995F52">
              <w:rPr>
                <w:rFonts w:ascii="Times New Roman" w:hAnsi="Times New Roman" w:cs="Times New Roman" w:hint="eastAsia"/>
                <w:sz w:val="24"/>
              </w:rPr>
              <w:t>)</w:t>
            </w:r>
            <w:r w:rsidRPr="00995F52">
              <w:rPr>
                <w:rFonts w:ascii="Times New Roman" w:eastAsia="Times New Roman" w:hAnsi="Times New Roman" w:cs="Times New Roman"/>
              </w:rPr>
              <w:t>, SSCs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s</m:t>
                  </m:r>
                </m:sub>
              </m:sSub>
            </m:oMath>
            <w:r w:rsidRPr="00995F52">
              <w:rPr>
                <w:rFonts w:ascii="Times New Roman" w:hAnsi="Times New Roman" w:cs="Times New Roman" w:hint="eastAsia"/>
                <w:sz w:val="24"/>
              </w:rPr>
              <w:t>)</w:t>
            </w:r>
          </w:p>
        </w:tc>
        <w:tc>
          <w:tcPr>
            <w:tcW w:w="8604" w:type="dxa"/>
            <w:tcBorders>
              <w:top w:val="double" w:sz="4" w:space="0" w:color="000000"/>
              <w:left w:val="none" w:sz="3" w:space="0" w:color="000000"/>
              <w:bottom w:val="none" w:sz="3" w:space="0" w:color="000000"/>
              <w:right w:val="none" w:sz="3" w:space="0" w:color="000000"/>
            </w:tcBorders>
            <w:vAlign w:val="center"/>
          </w:tcPr>
          <w:p w14:paraId="58A96828" w14:textId="77777777" w:rsidR="00995F52" w:rsidRPr="00995F52" w:rsidRDefault="000C3DD4" w:rsidP="00995F52">
            <w:pPr>
              <w:widowControl w:val="0"/>
              <w:kinsoku w:val="0"/>
              <w:overflowPunct w:val="0"/>
              <w:adjustRightInd w:val="0"/>
              <w:snapToGrid w:val="0"/>
              <w:spacing w:after="0" w:line="240" w:lineRule="auto"/>
              <w:jc w:val="left"/>
              <w:rPr>
                <w:rFonts w:ascii="Times New Roman" w:hAnsi="Times New Roman" w:cs="Times New Roman"/>
              </w:rPr>
            </w:pP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w</m:t>
                  </m:r>
                </m:sub>
              </m:sSub>
              <m:r>
                <w:rPr>
                  <w:rFonts w:ascii="Cambria Math" w:eastAsia="Times New Roman" w:hAnsi="Cambria Math"/>
                  <w:sz w:val="24"/>
                </w:rPr>
                <m:t>=</m:t>
              </m:r>
              <m:f>
                <m:fPr>
                  <m:ctrlPr>
                    <w:rPr>
                      <w:rFonts w:ascii="Cambria Math" w:eastAsia="Times New Roman" w:hAnsi="Cambria Math"/>
                      <w:i/>
                      <w:sz w:val="24"/>
                    </w:rPr>
                  </m:ctrlPr>
                </m:fPr>
                <m:num>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h</m:t>
                      </m:r>
                    </m:sub>
                  </m:sSub>
                  <m:r>
                    <w:rPr>
                      <w:rFonts w:ascii="Cambria Math" w:eastAsia="Times New Roman" w:hAnsi="Cambria Math"/>
                      <w:sz w:val="24"/>
                    </w:rPr>
                    <m:t>*W</m:t>
                  </m:r>
                </m:num>
                <m:den>
                  <m:r>
                    <w:rPr>
                      <w:rFonts w:ascii="Cambria Math" w:eastAsia="Times New Roman" w:hAnsi="Cambria Math"/>
                      <w:sz w:val="24"/>
                    </w:rPr>
                    <m:t>W+2200</m:t>
                  </m:r>
                </m:den>
              </m:f>
            </m:oMath>
            <w:r w:rsidR="00995F52" w:rsidRPr="00995F52">
              <w:rPr>
                <w:rFonts w:ascii="Times New Roman" w:hAnsi="Times New Roman" w:cs="Times New Roman" w:hint="eastAsia"/>
                <w:sz w:val="24"/>
              </w:rPr>
              <w:t xml:space="preserve">,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s</m:t>
                  </m:r>
                </m:sub>
              </m:sSub>
              <m:r>
                <w:rPr>
                  <w:rFonts w:ascii="Cambria Math" w:eastAsia="Times New Roman" w:hAnsi="Cambria Math"/>
                  <w:sz w:val="24"/>
                </w:rPr>
                <m:t>=</m:t>
              </m:r>
              <m:f>
                <m:fPr>
                  <m:ctrlPr>
                    <w:rPr>
                      <w:rFonts w:ascii="Cambria Math" w:eastAsia="Times New Roman" w:hAnsi="Cambria Math"/>
                      <w:i/>
                      <w:sz w:val="24"/>
                    </w:rPr>
                  </m:ctrlPr>
                </m:fPr>
                <m:num>
                  <m:r>
                    <w:rPr>
                      <w:rFonts w:ascii="Cambria Math" w:eastAsia="Times New Roman" w:hAnsi="Cambria Math"/>
                      <w:sz w:val="24"/>
                    </w:rPr>
                    <m:t>2000+3000</m:t>
                  </m:r>
                </m:num>
                <m:den>
                  <m:r>
                    <w:rPr>
                      <w:rFonts w:ascii="Cambria Math" w:eastAsia="Times New Roman" w:hAnsi="Cambria Math"/>
                      <w:sz w:val="24"/>
                    </w:rPr>
                    <m:t>W+2200</m:t>
                  </m:r>
                </m:den>
              </m:f>
            </m:oMath>
          </w:p>
        </w:tc>
      </w:tr>
      <w:tr w:rsidR="00995F52" w:rsidRPr="00995F52" w14:paraId="7CE74909" w14:textId="77777777" w:rsidTr="00995F52">
        <w:trPr>
          <w:trHeight w:val="506"/>
        </w:trPr>
        <w:tc>
          <w:tcPr>
            <w:tcW w:w="1837" w:type="dxa"/>
            <w:vMerge/>
            <w:tcBorders>
              <w:top w:val="double" w:sz="4" w:space="0" w:color="000000"/>
              <w:left w:val="none" w:sz="3" w:space="0" w:color="000000"/>
              <w:bottom w:val="single" w:sz="3" w:space="0" w:color="000000"/>
              <w:right w:val="none" w:sz="3" w:space="0" w:color="000000"/>
            </w:tcBorders>
          </w:tcPr>
          <w:p w14:paraId="03CE2E3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p>
        </w:tc>
        <w:tc>
          <w:tcPr>
            <w:tcW w:w="2881" w:type="dxa"/>
            <w:tcBorders>
              <w:top w:val="none" w:sz="3" w:space="0" w:color="000000"/>
              <w:left w:val="none" w:sz="3" w:space="0" w:color="000000"/>
              <w:bottom w:val="none" w:sz="3" w:space="0" w:color="000000"/>
              <w:right w:val="none" w:sz="3" w:space="0" w:color="000000"/>
            </w:tcBorders>
            <w:vAlign w:val="center"/>
          </w:tcPr>
          <w:p w14:paraId="17CE9A9E"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 xml:space="preserve">Capital </w:t>
            </w:r>
            <w:r w:rsidRPr="00995F52">
              <w:rPr>
                <w:rFonts w:ascii="Times New Roman" w:hAnsi="Times New Roman" w:cs="Times New Roman" w:hint="eastAsia"/>
              </w:rPr>
              <w:t>(</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k</m:t>
                  </m:r>
                </m:sub>
              </m:sSub>
            </m:oMath>
            <w:r w:rsidRPr="00995F52">
              <w:rPr>
                <w:rFonts w:ascii="Times New Roman" w:hAnsi="Times New Roman" w:cs="Times New Roman" w:hint="eastAsia"/>
                <w:sz w:val="24"/>
              </w:rPr>
              <w:t>)</w:t>
            </w:r>
          </w:p>
        </w:tc>
        <w:tc>
          <w:tcPr>
            <w:tcW w:w="8604" w:type="dxa"/>
            <w:tcBorders>
              <w:top w:val="none" w:sz="3" w:space="0" w:color="000000"/>
              <w:left w:val="none" w:sz="3" w:space="0" w:color="000000"/>
              <w:bottom w:val="none" w:sz="3" w:space="0" w:color="000000"/>
              <w:right w:val="none" w:sz="3" w:space="0" w:color="000000"/>
            </w:tcBorders>
            <w:vAlign w:val="center"/>
          </w:tcPr>
          <w:p w14:paraId="6C0E5532"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noProof/>
              </w:rPr>
              <w:drawing>
                <wp:inline distT="0" distB="0" distL="0" distR="0" wp14:anchorId="6E7EB9EC" wp14:editId="0EAF9710">
                  <wp:extent cx="2705989" cy="285242"/>
                  <wp:effectExtent l="0" t="0" r="0" b="0"/>
                  <wp:docPr id="6" name="그림 %d 6"/>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5f.PNG"/>
                          <pic:cNvPicPr/>
                        </pic:nvPicPr>
                        <pic:blipFill>
                          <a:blip r:embed="rId11"/>
                          <a:stretch>
                            <a:fillRect/>
                          </a:stretch>
                        </pic:blipFill>
                        <pic:spPr>
                          <a:xfrm>
                            <a:off x="0" y="0"/>
                            <a:ext cx="2705989" cy="285242"/>
                          </a:xfrm>
                          <a:prstGeom prst="rect">
                            <a:avLst/>
                          </a:prstGeom>
                          <a:effectLst/>
                        </pic:spPr>
                      </pic:pic>
                    </a:graphicData>
                  </a:graphic>
                </wp:inline>
              </w:drawing>
            </w:r>
          </w:p>
        </w:tc>
      </w:tr>
      <w:tr w:rsidR="00995F52" w:rsidRPr="00995F52" w14:paraId="55B00292" w14:textId="77777777" w:rsidTr="00995F52">
        <w:trPr>
          <w:trHeight w:val="491"/>
        </w:trPr>
        <w:tc>
          <w:tcPr>
            <w:tcW w:w="1837" w:type="dxa"/>
            <w:vMerge/>
            <w:tcBorders>
              <w:top w:val="double" w:sz="4" w:space="0" w:color="000000"/>
              <w:left w:val="none" w:sz="3" w:space="0" w:color="000000"/>
              <w:bottom w:val="single" w:sz="3" w:space="0" w:color="000000"/>
              <w:right w:val="none" w:sz="3" w:space="0" w:color="000000"/>
            </w:tcBorders>
          </w:tcPr>
          <w:p w14:paraId="4FE9D16F"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p>
        </w:tc>
        <w:tc>
          <w:tcPr>
            <w:tcW w:w="2881" w:type="dxa"/>
            <w:tcBorders>
              <w:top w:val="none" w:sz="3" w:space="0" w:color="000000"/>
              <w:left w:val="none" w:sz="3" w:space="0" w:color="000000"/>
              <w:bottom w:val="single" w:sz="8" w:space="0" w:color="auto"/>
              <w:right w:val="none" w:sz="3" w:space="0" w:color="000000"/>
            </w:tcBorders>
            <w:vAlign w:val="center"/>
          </w:tcPr>
          <w:p w14:paraId="58147035"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 xml:space="preserve">Consumption </w:t>
            </w:r>
            <w:r w:rsidRPr="00995F52">
              <w:rPr>
                <w:rFonts w:ascii="Times New Roman" w:hAnsi="Times New Roman" w:cs="Times New Roman" w:hint="eastAsia"/>
              </w:rPr>
              <w:t>(</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C</m:t>
                  </m:r>
                </m:sub>
              </m:sSub>
            </m:oMath>
            <w:r w:rsidRPr="00995F52">
              <w:rPr>
                <w:rFonts w:ascii="Times New Roman" w:hAnsi="Times New Roman" w:cs="Times New Roman" w:hint="eastAsia"/>
                <w:sz w:val="24"/>
              </w:rPr>
              <w:t>)</w:t>
            </w:r>
          </w:p>
        </w:tc>
        <w:tc>
          <w:tcPr>
            <w:tcW w:w="8604" w:type="dxa"/>
            <w:tcBorders>
              <w:top w:val="none" w:sz="3" w:space="0" w:color="000000"/>
              <w:left w:val="none" w:sz="3" w:space="0" w:color="000000"/>
              <w:bottom w:val="single" w:sz="3" w:space="0" w:color="000000"/>
              <w:right w:val="none" w:sz="3" w:space="0" w:color="000000"/>
            </w:tcBorders>
            <w:vAlign w:val="center"/>
          </w:tcPr>
          <w:p w14:paraId="232175C6"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noProof/>
              </w:rPr>
              <w:drawing>
                <wp:inline distT="0" distB="0" distL="0" distR="0" wp14:anchorId="0142EBE7" wp14:editId="7F609B09">
                  <wp:extent cx="1920875" cy="274447"/>
                  <wp:effectExtent l="0" t="0" r="0" b="0"/>
                  <wp:docPr id="7" name="그림 %d 7"/>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60.PNG"/>
                          <pic:cNvPicPr/>
                        </pic:nvPicPr>
                        <pic:blipFill>
                          <a:blip r:embed="rId12"/>
                          <a:stretch>
                            <a:fillRect/>
                          </a:stretch>
                        </pic:blipFill>
                        <pic:spPr>
                          <a:xfrm>
                            <a:off x="0" y="0"/>
                            <a:ext cx="1920875" cy="274447"/>
                          </a:xfrm>
                          <a:prstGeom prst="rect">
                            <a:avLst/>
                          </a:prstGeom>
                          <a:effectLst/>
                        </pic:spPr>
                      </pic:pic>
                    </a:graphicData>
                  </a:graphic>
                </wp:inline>
              </w:drawing>
            </w:r>
          </w:p>
        </w:tc>
      </w:tr>
      <w:tr w:rsidR="00995F52" w:rsidRPr="00995F52" w14:paraId="27B3FBDE" w14:textId="77777777" w:rsidTr="00995F52">
        <w:trPr>
          <w:trHeight w:val="524"/>
        </w:trPr>
        <w:tc>
          <w:tcPr>
            <w:tcW w:w="1837" w:type="dxa"/>
            <w:vMerge w:val="restart"/>
            <w:tcBorders>
              <w:top w:val="single" w:sz="3" w:space="0" w:color="000000"/>
              <w:left w:val="none" w:sz="3" w:space="0" w:color="000000"/>
              <w:bottom w:val="single" w:sz="3" w:space="0" w:color="000000"/>
              <w:right w:val="nil"/>
            </w:tcBorders>
            <w:vAlign w:val="center"/>
          </w:tcPr>
          <w:p w14:paraId="5C5F8C7B"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 xml:space="preserve">Carey and </w:t>
            </w:r>
            <w:proofErr w:type="spellStart"/>
            <w:r w:rsidRPr="00995F52">
              <w:rPr>
                <w:rFonts w:ascii="Times New Roman" w:eastAsia="Times New Roman" w:hAnsi="Times New Roman" w:cs="Times New Roman"/>
              </w:rPr>
              <w:t>Tchilinguirian</w:t>
            </w:r>
            <w:proofErr w:type="spellEnd"/>
            <w:r w:rsidRPr="00995F52">
              <w:rPr>
                <w:rFonts w:ascii="Times New Roman" w:eastAsia="Times New Roman" w:hAnsi="Times New Roman" w:cs="Times New Roman"/>
              </w:rPr>
              <w:t xml:space="preserve"> (2000)</w:t>
            </w:r>
          </w:p>
        </w:tc>
        <w:tc>
          <w:tcPr>
            <w:tcW w:w="2881" w:type="dxa"/>
            <w:tcBorders>
              <w:top w:val="single" w:sz="8" w:space="0" w:color="auto"/>
              <w:left w:val="nil"/>
              <w:bottom w:val="nil"/>
              <w:right w:val="nil"/>
            </w:tcBorders>
            <w:vAlign w:val="center"/>
          </w:tcPr>
          <w:p w14:paraId="589D24AC"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Wage Income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w</m:t>
                  </m:r>
                </m:sub>
              </m:sSub>
            </m:oMath>
            <w:r w:rsidRPr="00995F52">
              <w:rPr>
                <w:rFonts w:ascii="Times New Roman" w:hAnsi="Times New Roman" w:cs="Times New Roman" w:hint="eastAsia"/>
                <w:sz w:val="24"/>
              </w:rPr>
              <w:t>)</w:t>
            </w:r>
            <w:r w:rsidRPr="00995F52">
              <w:rPr>
                <w:rFonts w:ascii="Times New Roman" w:eastAsia="Times New Roman" w:hAnsi="Times New Roman" w:cs="Times New Roman"/>
              </w:rPr>
              <w:t>, SSCs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s</m:t>
                  </m:r>
                </m:sub>
              </m:sSub>
            </m:oMath>
            <w:r w:rsidRPr="00995F52">
              <w:rPr>
                <w:rFonts w:ascii="Times New Roman" w:hAnsi="Times New Roman" w:cs="Times New Roman" w:hint="eastAsia"/>
                <w:sz w:val="24"/>
              </w:rPr>
              <w:t>)</w:t>
            </w:r>
          </w:p>
        </w:tc>
        <w:tc>
          <w:tcPr>
            <w:tcW w:w="8604" w:type="dxa"/>
            <w:tcBorders>
              <w:top w:val="single" w:sz="3" w:space="0" w:color="000000"/>
              <w:left w:val="nil"/>
              <w:bottom w:val="none" w:sz="3" w:space="0" w:color="000000"/>
              <w:right w:val="none" w:sz="3" w:space="0" w:color="000000"/>
            </w:tcBorders>
            <w:vAlign w:val="center"/>
          </w:tcPr>
          <w:p w14:paraId="1F94BA18" w14:textId="77777777" w:rsidR="00995F52" w:rsidRPr="00995F52" w:rsidRDefault="000C3DD4" w:rsidP="00995F52">
            <w:pPr>
              <w:widowControl w:val="0"/>
              <w:kinsoku w:val="0"/>
              <w:overflowPunct w:val="0"/>
              <w:adjustRightInd w:val="0"/>
              <w:snapToGrid w:val="0"/>
              <w:spacing w:after="0" w:line="240" w:lineRule="auto"/>
              <w:jc w:val="left"/>
              <w:rPr>
                <w:rFonts w:ascii="Times New Roman" w:hAnsi="Times New Roman" w:cs="Times New Roman"/>
                <w:sz w:val="24"/>
              </w:rPr>
            </w:pP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w</m:t>
                  </m:r>
                </m:sub>
              </m:sSub>
              <m:r>
                <w:rPr>
                  <w:rFonts w:ascii="Cambria Math" w:eastAsia="Times New Roman" w:hAnsi="Cambria Math"/>
                  <w:sz w:val="24"/>
                </w:rPr>
                <m:t>=</m:t>
              </m:r>
              <m:f>
                <m:fPr>
                  <m:ctrlPr>
                    <w:rPr>
                      <w:rFonts w:ascii="Cambria Math" w:eastAsia="Times New Roman" w:hAnsi="Cambria Math"/>
                      <w:i/>
                      <w:sz w:val="24"/>
                    </w:rPr>
                  </m:ctrlPr>
                </m:fPr>
                <m:num>
                  <m:d>
                    <m:dPr>
                      <m:begChr m:val=""/>
                      <m:endChr m:val=""/>
                      <m:ctrlPr>
                        <w:rPr>
                          <w:rFonts w:ascii="Cambria Math" w:eastAsia="Times New Roman" w:hAnsi="Cambria Math"/>
                          <w:i/>
                          <w:sz w:val="24"/>
                        </w:rPr>
                      </m:ctrlPr>
                    </m:dPr>
                    <m:e>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h</m:t>
                          </m:r>
                        </m:sub>
                      </m:sSub>
                      <m:r>
                        <w:rPr>
                          <w:rFonts w:ascii="Cambria Math" w:eastAsia="Times New Roman" w:hAnsi="Cambria Math"/>
                          <w:sz w:val="24"/>
                        </w:rPr>
                        <m:t>*</m:t>
                      </m:r>
                      <m:d>
                        <m:dPr>
                          <m:ctrlPr>
                            <w:rPr>
                              <w:rFonts w:ascii="Cambria Math" w:eastAsia="Times New Roman" w:hAnsi="Cambria Math"/>
                              <w:i/>
                              <w:sz w:val="24"/>
                            </w:rPr>
                          </m:ctrlPr>
                        </m:dPr>
                        <m:e>
                          <m:r>
                            <w:rPr>
                              <w:rFonts w:ascii="Cambria Math" w:eastAsia="Times New Roman" w:hAnsi="Cambria Math"/>
                              <w:sz w:val="24"/>
                            </w:rPr>
                            <m:t>W-2100+WSE-α2400</m:t>
                          </m:r>
                        </m:e>
                      </m:d>
                    </m:e>
                  </m:d>
                </m:num>
                <m:den>
                  <m:r>
                    <w:rPr>
                      <w:rFonts w:ascii="Cambria Math" w:eastAsia="Times New Roman" w:hAnsi="Cambria Math"/>
                      <w:sz w:val="24"/>
                    </w:rPr>
                    <m:t>WSSS+WSE+2300</m:t>
                  </m:r>
                </m:den>
              </m:f>
            </m:oMath>
            <w:r w:rsidR="00995F52" w:rsidRPr="00995F52">
              <w:rPr>
                <w:rFonts w:ascii="Times New Roman" w:hAnsi="Times New Roman" w:cs="Times New Roman" w:hint="eastAsia"/>
                <w:sz w:val="24"/>
              </w:rPr>
              <w:t>,</w:t>
            </w:r>
            <w:r w:rsidR="00995F52" w:rsidRPr="00995F52">
              <w:rPr>
                <w:rFonts w:ascii="Times New Roman" w:hAnsi="Times New Roman" w:cs="Times New Roman"/>
                <w:sz w:val="24"/>
              </w:rPr>
              <w:t xml:space="preserve">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s</m:t>
                  </m:r>
                </m:sub>
              </m:sSub>
              <m:r>
                <w:rPr>
                  <w:rFonts w:ascii="Cambria Math" w:eastAsia="Times New Roman" w:hAnsi="Cambria Math"/>
                  <w:sz w:val="24"/>
                </w:rPr>
                <m:t>=</m:t>
              </m:r>
              <m:f>
                <m:fPr>
                  <m:ctrlPr>
                    <w:rPr>
                      <w:rFonts w:ascii="Cambria Math" w:eastAsia="Times New Roman" w:hAnsi="Cambria Math"/>
                      <w:i/>
                      <w:sz w:val="24"/>
                    </w:rPr>
                  </m:ctrlPr>
                </m:fPr>
                <m:num>
                  <m:d>
                    <m:dPr>
                      <m:begChr m:val=""/>
                      <m:endChr m:val=""/>
                      <m:ctrlPr>
                        <w:rPr>
                          <w:rFonts w:ascii="Cambria Math" w:eastAsia="Times New Roman" w:hAnsi="Cambria Math"/>
                          <w:i/>
                          <w:sz w:val="24"/>
                        </w:rPr>
                      </m:ctrlPr>
                    </m:dPr>
                    <m:e>
                      <m:r>
                        <w:rPr>
                          <w:rFonts w:ascii="Cambria Math" w:eastAsia="Times New Roman" w:hAnsi="Cambria Math"/>
                          <w:sz w:val="24"/>
                        </w:rPr>
                        <m:t>2100+2200+2300+α2400+3000</m:t>
                      </m:r>
                    </m:e>
                  </m:d>
                </m:num>
                <m:den>
                  <m:r>
                    <w:rPr>
                      <w:rFonts w:ascii="Cambria Math" w:eastAsia="Times New Roman" w:hAnsi="Cambria Math"/>
                      <w:sz w:val="24"/>
                    </w:rPr>
                    <m:t>WSSS+WSE+2300</m:t>
                  </m:r>
                </m:den>
              </m:f>
            </m:oMath>
          </w:p>
        </w:tc>
      </w:tr>
      <w:tr w:rsidR="00995F52" w:rsidRPr="00995F52" w14:paraId="389FF9A4" w14:textId="77777777" w:rsidTr="00995F52">
        <w:trPr>
          <w:trHeight w:val="491"/>
        </w:trPr>
        <w:tc>
          <w:tcPr>
            <w:tcW w:w="1837" w:type="dxa"/>
            <w:vMerge/>
            <w:tcBorders>
              <w:top w:val="single" w:sz="3" w:space="0" w:color="000000"/>
              <w:left w:val="none" w:sz="3" w:space="0" w:color="000000"/>
              <w:bottom w:val="single" w:sz="3" w:space="0" w:color="000000"/>
              <w:right w:val="nil"/>
            </w:tcBorders>
          </w:tcPr>
          <w:p w14:paraId="3ED242A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p>
        </w:tc>
        <w:tc>
          <w:tcPr>
            <w:tcW w:w="2881" w:type="dxa"/>
            <w:tcBorders>
              <w:top w:val="nil"/>
              <w:left w:val="nil"/>
              <w:bottom w:val="nil"/>
              <w:right w:val="nil"/>
            </w:tcBorders>
            <w:vAlign w:val="center"/>
          </w:tcPr>
          <w:p w14:paraId="2352B8D6"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 xml:space="preserve">Capital </w:t>
            </w:r>
            <w:r w:rsidRPr="00995F52">
              <w:rPr>
                <w:rFonts w:ascii="Times New Roman" w:hAnsi="Times New Roman" w:cs="Times New Roman" w:hint="eastAsia"/>
              </w:rPr>
              <w:t>(</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k</m:t>
                  </m:r>
                </m:sub>
              </m:sSub>
            </m:oMath>
            <w:r w:rsidRPr="00995F52">
              <w:rPr>
                <w:rFonts w:ascii="Times New Roman" w:hAnsi="Times New Roman" w:cs="Times New Roman" w:hint="eastAsia"/>
                <w:sz w:val="24"/>
              </w:rPr>
              <w:t>)</w:t>
            </w:r>
          </w:p>
        </w:tc>
        <w:tc>
          <w:tcPr>
            <w:tcW w:w="8604" w:type="dxa"/>
            <w:tcBorders>
              <w:top w:val="none" w:sz="3" w:space="0" w:color="000000"/>
              <w:left w:val="nil"/>
              <w:bottom w:val="none" w:sz="3" w:space="0" w:color="000000"/>
              <w:right w:val="none" w:sz="3" w:space="0" w:color="000000"/>
            </w:tcBorders>
            <w:vAlign w:val="center"/>
          </w:tcPr>
          <w:p w14:paraId="3789B2DF"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noProof/>
              </w:rPr>
              <w:drawing>
                <wp:inline distT="0" distB="0" distL="0" distR="0" wp14:anchorId="3828A939" wp14:editId="0AF0C5F4">
                  <wp:extent cx="3490976" cy="275971"/>
                  <wp:effectExtent l="0" t="0" r="0" b="0"/>
                  <wp:docPr id="9" name="그림 %d 9"/>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62.PNG"/>
                          <pic:cNvPicPr/>
                        </pic:nvPicPr>
                        <pic:blipFill>
                          <a:blip r:embed="rId13"/>
                          <a:stretch>
                            <a:fillRect/>
                          </a:stretch>
                        </pic:blipFill>
                        <pic:spPr>
                          <a:xfrm>
                            <a:off x="0" y="0"/>
                            <a:ext cx="3490976" cy="275971"/>
                          </a:xfrm>
                          <a:prstGeom prst="rect">
                            <a:avLst/>
                          </a:prstGeom>
                          <a:effectLst/>
                        </pic:spPr>
                      </pic:pic>
                    </a:graphicData>
                  </a:graphic>
                </wp:inline>
              </w:drawing>
            </w:r>
          </w:p>
        </w:tc>
      </w:tr>
      <w:tr w:rsidR="00995F52" w:rsidRPr="00995F52" w14:paraId="26BC09AF" w14:textId="77777777" w:rsidTr="00995F52">
        <w:trPr>
          <w:trHeight w:val="501"/>
        </w:trPr>
        <w:tc>
          <w:tcPr>
            <w:tcW w:w="1837" w:type="dxa"/>
            <w:vMerge/>
            <w:tcBorders>
              <w:top w:val="single" w:sz="3" w:space="0" w:color="000000"/>
              <w:left w:val="none" w:sz="3" w:space="0" w:color="000000"/>
              <w:bottom w:val="single" w:sz="3" w:space="0" w:color="000000"/>
              <w:right w:val="nil"/>
            </w:tcBorders>
          </w:tcPr>
          <w:p w14:paraId="6C38E03E"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p>
        </w:tc>
        <w:tc>
          <w:tcPr>
            <w:tcW w:w="2881" w:type="dxa"/>
            <w:tcBorders>
              <w:top w:val="nil"/>
              <w:left w:val="nil"/>
              <w:bottom w:val="single" w:sz="8" w:space="0" w:color="auto"/>
              <w:right w:val="nil"/>
            </w:tcBorders>
            <w:vAlign w:val="center"/>
          </w:tcPr>
          <w:p w14:paraId="5CFF984B"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 xml:space="preserve">Consumption </w:t>
            </w:r>
            <w:r w:rsidRPr="00995F52">
              <w:rPr>
                <w:rFonts w:ascii="Times New Roman" w:hAnsi="Times New Roman" w:cs="Times New Roman" w:hint="eastAsia"/>
              </w:rPr>
              <w:t>(</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C</m:t>
                  </m:r>
                </m:sub>
              </m:sSub>
            </m:oMath>
            <w:r w:rsidRPr="00995F52">
              <w:rPr>
                <w:rFonts w:ascii="Times New Roman" w:hAnsi="Times New Roman" w:cs="Times New Roman" w:hint="eastAsia"/>
                <w:sz w:val="24"/>
              </w:rPr>
              <w:t>)</w:t>
            </w:r>
          </w:p>
        </w:tc>
        <w:tc>
          <w:tcPr>
            <w:tcW w:w="8604" w:type="dxa"/>
            <w:tcBorders>
              <w:top w:val="none" w:sz="3" w:space="0" w:color="000000"/>
              <w:left w:val="nil"/>
              <w:bottom w:val="single" w:sz="3" w:space="0" w:color="000000"/>
              <w:right w:val="none" w:sz="3" w:space="0" w:color="000000"/>
            </w:tcBorders>
            <w:vAlign w:val="center"/>
          </w:tcPr>
          <w:p w14:paraId="54825321"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noProof/>
              </w:rPr>
              <w:drawing>
                <wp:inline distT="0" distB="0" distL="0" distR="0" wp14:anchorId="51E6D7BD" wp14:editId="1FEF4D0C">
                  <wp:extent cx="3045333" cy="282448"/>
                  <wp:effectExtent l="0" t="0" r="0" b="0"/>
                  <wp:docPr id="10" name="그림 %d 10"/>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63.PNG"/>
                          <pic:cNvPicPr/>
                        </pic:nvPicPr>
                        <pic:blipFill>
                          <a:blip r:embed="rId14"/>
                          <a:stretch>
                            <a:fillRect/>
                          </a:stretch>
                        </pic:blipFill>
                        <pic:spPr>
                          <a:xfrm>
                            <a:off x="0" y="0"/>
                            <a:ext cx="3045333" cy="282448"/>
                          </a:xfrm>
                          <a:prstGeom prst="rect">
                            <a:avLst/>
                          </a:prstGeom>
                          <a:effectLst/>
                        </pic:spPr>
                      </pic:pic>
                    </a:graphicData>
                  </a:graphic>
                </wp:inline>
              </w:drawing>
            </w:r>
          </w:p>
        </w:tc>
      </w:tr>
      <w:tr w:rsidR="00995F52" w:rsidRPr="00995F52" w14:paraId="619D29BC" w14:textId="77777777" w:rsidTr="00995F52">
        <w:trPr>
          <w:trHeight w:val="520"/>
        </w:trPr>
        <w:tc>
          <w:tcPr>
            <w:tcW w:w="1837" w:type="dxa"/>
            <w:vMerge w:val="restart"/>
            <w:tcBorders>
              <w:top w:val="single" w:sz="3" w:space="0" w:color="000000"/>
              <w:left w:val="none" w:sz="3" w:space="0" w:color="000000"/>
              <w:bottom w:val="single" w:sz="3" w:space="0" w:color="000000"/>
              <w:right w:val="none" w:sz="3" w:space="0" w:color="000000"/>
            </w:tcBorders>
            <w:vAlign w:val="center"/>
          </w:tcPr>
          <w:p w14:paraId="16CC393F"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 xml:space="preserve">Carey and </w:t>
            </w:r>
            <w:proofErr w:type="spellStart"/>
            <w:r w:rsidRPr="00995F52">
              <w:rPr>
                <w:rFonts w:ascii="Times New Roman" w:eastAsia="Times New Roman" w:hAnsi="Times New Roman" w:cs="Times New Roman"/>
              </w:rPr>
              <w:t>Rabesona</w:t>
            </w:r>
            <w:proofErr w:type="spellEnd"/>
            <w:r w:rsidRPr="00995F52">
              <w:rPr>
                <w:rFonts w:ascii="Times New Roman" w:eastAsia="Times New Roman" w:hAnsi="Times New Roman" w:cs="Times New Roman"/>
              </w:rPr>
              <w:t xml:space="preserve"> </w:t>
            </w:r>
          </w:p>
          <w:p w14:paraId="33BCE1FB"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(2003)</w:t>
            </w:r>
          </w:p>
        </w:tc>
        <w:tc>
          <w:tcPr>
            <w:tcW w:w="2881" w:type="dxa"/>
            <w:tcBorders>
              <w:top w:val="single" w:sz="8" w:space="0" w:color="auto"/>
              <w:left w:val="none" w:sz="3" w:space="0" w:color="000000"/>
              <w:bottom w:val="none" w:sz="3" w:space="0" w:color="000000"/>
              <w:right w:val="none" w:sz="3" w:space="0" w:color="000000"/>
            </w:tcBorders>
            <w:vAlign w:val="center"/>
          </w:tcPr>
          <w:p w14:paraId="70362795"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Wage Income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w</m:t>
                  </m:r>
                </m:sub>
              </m:sSub>
            </m:oMath>
            <w:r w:rsidRPr="00995F52">
              <w:rPr>
                <w:rFonts w:ascii="Times New Roman" w:hAnsi="Times New Roman" w:cs="Times New Roman" w:hint="eastAsia"/>
                <w:sz w:val="24"/>
              </w:rPr>
              <w:t>)</w:t>
            </w:r>
            <w:r w:rsidRPr="00995F52">
              <w:rPr>
                <w:rFonts w:ascii="Times New Roman" w:eastAsia="Times New Roman" w:hAnsi="Times New Roman" w:cs="Times New Roman"/>
              </w:rPr>
              <w:t>, SSCs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s</m:t>
                  </m:r>
                </m:sub>
              </m:sSub>
            </m:oMath>
            <w:r w:rsidRPr="00995F52">
              <w:rPr>
                <w:rFonts w:ascii="Times New Roman" w:hAnsi="Times New Roman" w:cs="Times New Roman" w:hint="eastAsia"/>
                <w:sz w:val="24"/>
              </w:rPr>
              <w:t>)</w:t>
            </w:r>
          </w:p>
        </w:tc>
        <w:tc>
          <w:tcPr>
            <w:tcW w:w="8604" w:type="dxa"/>
            <w:tcBorders>
              <w:top w:val="single" w:sz="3" w:space="0" w:color="000000"/>
              <w:left w:val="none" w:sz="3" w:space="0" w:color="000000"/>
              <w:bottom w:val="none" w:sz="3" w:space="0" w:color="000000"/>
              <w:right w:val="none" w:sz="3" w:space="0" w:color="000000"/>
            </w:tcBorders>
            <w:vAlign w:val="center"/>
          </w:tcPr>
          <w:p w14:paraId="68997151" w14:textId="77777777" w:rsidR="00995F52" w:rsidRPr="00995F52" w:rsidRDefault="000C3DD4"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w</m:t>
                  </m:r>
                </m:sub>
              </m:sSub>
              <m:r>
                <w:rPr>
                  <w:rFonts w:ascii="Cambria Math" w:eastAsia="Times New Roman" w:hAnsi="Cambria Math"/>
                  <w:sz w:val="24"/>
                </w:rPr>
                <m:t>=</m:t>
              </m:r>
              <m:f>
                <m:fPr>
                  <m:ctrlPr>
                    <w:rPr>
                      <w:rFonts w:ascii="Cambria Math" w:eastAsia="Times New Roman" w:hAnsi="Cambria Math"/>
                      <w:i/>
                      <w:sz w:val="24"/>
                    </w:rPr>
                  </m:ctrlPr>
                </m:fPr>
                <m:num>
                  <m:d>
                    <m:dPr>
                      <m:begChr m:val=""/>
                      <m:endChr m:val=""/>
                      <m:ctrlPr>
                        <w:rPr>
                          <w:rFonts w:ascii="Cambria Math" w:eastAsia="Times New Roman" w:hAnsi="Cambria Math"/>
                          <w:i/>
                          <w:sz w:val="24"/>
                        </w:rPr>
                      </m:ctrlPr>
                    </m:dPr>
                    <m:e>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h</m:t>
                          </m:r>
                        </m:sub>
                      </m:sSub>
                      <m:r>
                        <w:rPr>
                          <w:rFonts w:ascii="Cambria Math" w:eastAsia="Times New Roman" w:hAnsi="Cambria Math"/>
                          <w:sz w:val="24"/>
                        </w:rPr>
                        <m:t>*</m:t>
                      </m:r>
                      <m:d>
                        <m:dPr>
                          <m:ctrlPr>
                            <w:rPr>
                              <w:rFonts w:ascii="Cambria Math" w:eastAsia="Times New Roman" w:hAnsi="Cambria Math"/>
                              <w:i/>
                              <w:sz w:val="24"/>
                            </w:rPr>
                          </m:ctrlPr>
                        </m:dPr>
                        <m:e>
                          <m:r>
                            <w:rPr>
                              <w:rFonts w:ascii="Cambria Math" w:eastAsia="Times New Roman" w:hAnsi="Cambria Math"/>
                              <w:sz w:val="24"/>
                            </w:rPr>
                            <m:t>W-2100-α2400</m:t>
                          </m:r>
                        </m:e>
                      </m:d>
                    </m:e>
                  </m:d>
                </m:num>
                <m:den>
                  <m:r>
                    <w:rPr>
                      <w:rFonts w:ascii="Cambria Math" w:eastAsia="Times New Roman" w:hAnsi="Cambria Math"/>
                      <w:sz w:val="24"/>
                    </w:rPr>
                    <m:t>WSSS+3000</m:t>
                  </m:r>
                </m:den>
              </m:f>
            </m:oMath>
            <w:r w:rsidR="00995F52" w:rsidRPr="00995F52">
              <w:rPr>
                <w:rFonts w:ascii="Times New Roman" w:hAnsi="Times New Roman" w:cs="Times New Roman" w:hint="eastAsia"/>
                <w:sz w:val="24"/>
              </w:rPr>
              <w:t xml:space="preserve">,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s</m:t>
                  </m:r>
                </m:sub>
              </m:sSub>
              <m:r>
                <w:rPr>
                  <w:rFonts w:ascii="Cambria Math" w:eastAsia="Times New Roman" w:hAnsi="Cambria Math"/>
                  <w:sz w:val="24"/>
                </w:rPr>
                <m:t>=</m:t>
              </m:r>
              <m:f>
                <m:fPr>
                  <m:ctrlPr>
                    <w:rPr>
                      <w:rFonts w:ascii="Cambria Math" w:eastAsia="Times New Roman" w:hAnsi="Cambria Math"/>
                      <w:i/>
                      <w:sz w:val="24"/>
                    </w:rPr>
                  </m:ctrlPr>
                </m:fPr>
                <m:num>
                  <m:d>
                    <m:dPr>
                      <m:begChr m:val=""/>
                      <m:endChr m:val=""/>
                      <m:ctrlPr>
                        <w:rPr>
                          <w:rFonts w:ascii="Cambria Math" w:eastAsia="Times New Roman" w:hAnsi="Cambria Math"/>
                          <w:i/>
                          <w:sz w:val="24"/>
                        </w:rPr>
                      </m:ctrlPr>
                    </m:dPr>
                    <m:e>
                      <m:r>
                        <w:rPr>
                          <w:rFonts w:ascii="Cambria Math" w:eastAsia="Times New Roman" w:hAnsi="Cambria Math"/>
                          <w:sz w:val="24"/>
                        </w:rPr>
                        <m:t>2100+2200+α2400+3000</m:t>
                      </m:r>
                    </m:e>
                  </m:d>
                </m:num>
                <m:den>
                  <m:r>
                    <w:rPr>
                      <w:rFonts w:ascii="Cambria Math" w:eastAsia="Times New Roman" w:hAnsi="Cambria Math"/>
                      <w:sz w:val="24"/>
                    </w:rPr>
                    <m:t>WSSS+3000</m:t>
                  </m:r>
                </m:den>
              </m:f>
            </m:oMath>
            <w:r w:rsidR="00995F52" w:rsidRPr="00995F52">
              <w:rPr>
                <w:rFonts w:ascii="Times New Roman" w:eastAsia="Times New Roman" w:hAnsi="Times New Roman" w:cs="Times New Roman"/>
              </w:rPr>
              <w:t xml:space="preserve"> </w:t>
            </w:r>
          </w:p>
        </w:tc>
      </w:tr>
      <w:tr w:rsidR="00995F52" w:rsidRPr="00995F52" w14:paraId="2B0C6331" w14:textId="77777777" w:rsidTr="00995F52">
        <w:trPr>
          <w:trHeight w:val="471"/>
        </w:trPr>
        <w:tc>
          <w:tcPr>
            <w:tcW w:w="1837" w:type="dxa"/>
            <w:vMerge/>
            <w:tcBorders>
              <w:top w:val="single" w:sz="3" w:space="0" w:color="000000"/>
              <w:left w:val="none" w:sz="3" w:space="0" w:color="000000"/>
              <w:bottom w:val="single" w:sz="3" w:space="0" w:color="000000"/>
              <w:right w:val="none" w:sz="3" w:space="0" w:color="000000"/>
            </w:tcBorders>
          </w:tcPr>
          <w:p w14:paraId="6556EE0E"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p>
        </w:tc>
        <w:tc>
          <w:tcPr>
            <w:tcW w:w="2881" w:type="dxa"/>
            <w:tcBorders>
              <w:top w:val="none" w:sz="3" w:space="0" w:color="000000"/>
              <w:left w:val="none" w:sz="3" w:space="0" w:color="000000"/>
              <w:bottom w:val="none" w:sz="3" w:space="0" w:color="000000"/>
              <w:right w:val="none" w:sz="3" w:space="0" w:color="000000"/>
            </w:tcBorders>
            <w:vAlign w:val="center"/>
          </w:tcPr>
          <w:p w14:paraId="52F78A58"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 xml:space="preserve">Capital </w:t>
            </w:r>
            <w:r w:rsidRPr="00995F52">
              <w:rPr>
                <w:rFonts w:ascii="Times New Roman" w:hAnsi="Times New Roman" w:cs="Times New Roman" w:hint="eastAsia"/>
              </w:rPr>
              <w:t>(</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k</m:t>
                  </m:r>
                </m:sub>
              </m:sSub>
            </m:oMath>
            <w:r w:rsidRPr="00995F52">
              <w:rPr>
                <w:rFonts w:ascii="Times New Roman" w:hAnsi="Times New Roman" w:cs="Times New Roman" w:hint="eastAsia"/>
                <w:sz w:val="24"/>
              </w:rPr>
              <w:t>)</w:t>
            </w:r>
          </w:p>
        </w:tc>
        <w:tc>
          <w:tcPr>
            <w:tcW w:w="8604" w:type="dxa"/>
            <w:tcBorders>
              <w:top w:val="none" w:sz="3" w:space="0" w:color="000000"/>
              <w:left w:val="none" w:sz="3" w:space="0" w:color="000000"/>
              <w:bottom w:val="none" w:sz="3" w:space="0" w:color="000000"/>
              <w:right w:val="none" w:sz="3" w:space="0" w:color="000000"/>
            </w:tcBorders>
            <w:vAlign w:val="center"/>
          </w:tcPr>
          <w:p w14:paraId="7D832416"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noProof/>
              </w:rPr>
              <w:drawing>
                <wp:inline distT="0" distB="0" distL="0" distR="0" wp14:anchorId="3A6B819A" wp14:editId="4957CC48">
                  <wp:extent cx="4940300" cy="263525"/>
                  <wp:effectExtent l="0" t="0" r="0" b="0"/>
                  <wp:docPr id="12" name="그림 %d 12"/>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64.PNG"/>
                          <pic:cNvPicPr/>
                        </pic:nvPicPr>
                        <pic:blipFill>
                          <a:blip r:embed="rId15"/>
                          <a:stretch>
                            <a:fillRect/>
                          </a:stretch>
                        </pic:blipFill>
                        <pic:spPr>
                          <a:xfrm>
                            <a:off x="0" y="0"/>
                            <a:ext cx="4940300" cy="263525"/>
                          </a:xfrm>
                          <a:prstGeom prst="rect">
                            <a:avLst/>
                          </a:prstGeom>
                          <a:effectLst/>
                        </pic:spPr>
                      </pic:pic>
                    </a:graphicData>
                  </a:graphic>
                </wp:inline>
              </w:drawing>
            </w:r>
          </w:p>
        </w:tc>
      </w:tr>
      <w:tr w:rsidR="00995F52" w:rsidRPr="00995F52" w14:paraId="1BD0EC7C" w14:textId="77777777" w:rsidTr="00995F52">
        <w:trPr>
          <w:trHeight w:val="510"/>
        </w:trPr>
        <w:tc>
          <w:tcPr>
            <w:tcW w:w="1837" w:type="dxa"/>
            <w:vMerge/>
            <w:tcBorders>
              <w:top w:val="single" w:sz="3" w:space="0" w:color="000000"/>
              <w:left w:val="none" w:sz="3" w:space="0" w:color="000000"/>
              <w:bottom w:val="single" w:sz="3" w:space="0" w:color="000000"/>
              <w:right w:val="none" w:sz="3" w:space="0" w:color="000000"/>
            </w:tcBorders>
          </w:tcPr>
          <w:p w14:paraId="15462ABE"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p>
        </w:tc>
        <w:tc>
          <w:tcPr>
            <w:tcW w:w="2881" w:type="dxa"/>
            <w:tcBorders>
              <w:top w:val="none" w:sz="3" w:space="0" w:color="000000"/>
              <w:left w:val="none" w:sz="3" w:space="0" w:color="000000"/>
              <w:bottom w:val="single" w:sz="8" w:space="0" w:color="auto"/>
              <w:right w:val="none" w:sz="3" w:space="0" w:color="000000"/>
            </w:tcBorders>
            <w:vAlign w:val="center"/>
          </w:tcPr>
          <w:p w14:paraId="3FE269A1"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 xml:space="preserve">Consumption </w:t>
            </w:r>
            <w:r w:rsidRPr="00995F52">
              <w:rPr>
                <w:rFonts w:ascii="Times New Roman" w:hAnsi="Times New Roman" w:cs="Times New Roman" w:hint="eastAsia"/>
              </w:rPr>
              <w:t>(</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C</m:t>
                  </m:r>
                </m:sub>
              </m:sSub>
            </m:oMath>
            <w:r w:rsidRPr="00995F52">
              <w:rPr>
                <w:rFonts w:ascii="Times New Roman" w:hAnsi="Times New Roman" w:cs="Times New Roman" w:hint="eastAsia"/>
                <w:sz w:val="24"/>
              </w:rPr>
              <w:t>)</w:t>
            </w:r>
          </w:p>
        </w:tc>
        <w:tc>
          <w:tcPr>
            <w:tcW w:w="8604" w:type="dxa"/>
            <w:tcBorders>
              <w:top w:val="none" w:sz="3" w:space="0" w:color="000000"/>
              <w:left w:val="none" w:sz="3" w:space="0" w:color="000000"/>
              <w:bottom w:val="single" w:sz="3" w:space="0" w:color="000000"/>
              <w:right w:val="none" w:sz="3" w:space="0" w:color="000000"/>
            </w:tcBorders>
            <w:vAlign w:val="center"/>
          </w:tcPr>
          <w:p w14:paraId="6BFB1E93"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noProof/>
              </w:rPr>
              <w:drawing>
                <wp:inline distT="0" distB="0" distL="0" distR="0" wp14:anchorId="4844D01B" wp14:editId="12F06F82">
                  <wp:extent cx="3528441" cy="288163"/>
                  <wp:effectExtent l="0" t="0" r="0" b="0"/>
                  <wp:docPr id="13" name="그림 %d 13"/>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65.PNG"/>
                          <pic:cNvPicPr/>
                        </pic:nvPicPr>
                        <pic:blipFill>
                          <a:blip r:embed="rId16"/>
                          <a:stretch>
                            <a:fillRect/>
                          </a:stretch>
                        </pic:blipFill>
                        <pic:spPr>
                          <a:xfrm>
                            <a:off x="0" y="0"/>
                            <a:ext cx="3528441" cy="288163"/>
                          </a:xfrm>
                          <a:prstGeom prst="rect">
                            <a:avLst/>
                          </a:prstGeom>
                          <a:effectLst/>
                        </pic:spPr>
                      </pic:pic>
                    </a:graphicData>
                  </a:graphic>
                </wp:inline>
              </w:drawing>
            </w:r>
          </w:p>
        </w:tc>
      </w:tr>
      <w:tr w:rsidR="00995F52" w:rsidRPr="00995F52" w14:paraId="0AF308B6" w14:textId="77777777" w:rsidTr="00995F52">
        <w:trPr>
          <w:trHeight w:val="522"/>
        </w:trPr>
        <w:tc>
          <w:tcPr>
            <w:tcW w:w="1837" w:type="dxa"/>
            <w:vMerge w:val="restart"/>
            <w:tcBorders>
              <w:top w:val="single" w:sz="3" w:space="0" w:color="000000"/>
              <w:left w:val="none" w:sz="3" w:space="0" w:color="000000"/>
              <w:bottom w:val="single" w:sz="3" w:space="0" w:color="000000"/>
              <w:right w:val="nil"/>
            </w:tcBorders>
            <w:vAlign w:val="center"/>
          </w:tcPr>
          <w:p w14:paraId="390D06EC" w14:textId="3AD7F9A2" w:rsidR="00995F52" w:rsidRPr="00995F52" w:rsidRDefault="007032A7"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Pr>
                <w:rFonts w:ascii="Times New Roman" w:eastAsia="Times New Roman" w:hAnsi="Times New Roman" w:cs="Times New Roman"/>
              </w:rPr>
              <w:t>Author</w:t>
            </w:r>
            <w:r w:rsidR="00995F52" w:rsidRPr="00995F52">
              <w:rPr>
                <w:rFonts w:ascii="Times New Roman" w:eastAsia="Times New Roman" w:hAnsi="Times New Roman" w:cs="Times New Roman"/>
              </w:rPr>
              <w:t xml:space="preserve"> I (2020)</w:t>
            </w:r>
          </w:p>
        </w:tc>
        <w:tc>
          <w:tcPr>
            <w:tcW w:w="2881" w:type="dxa"/>
            <w:tcBorders>
              <w:top w:val="single" w:sz="8" w:space="0" w:color="auto"/>
              <w:left w:val="nil"/>
              <w:bottom w:val="nil"/>
              <w:right w:val="nil"/>
            </w:tcBorders>
            <w:vAlign w:val="center"/>
          </w:tcPr>
          <w:p w14:paraId="43CF5637"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Wage Income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w</m:t>
                  </m:r>
                </m:sub>
              </m:sSub>
            </m:oMath>
            <w:r w:rsidRPr="00995F52">
              <w:rPr>
                <w:rFonts w:ascii="Times New Roman" w:hAnsi="Times New Roman" w:cs="Times New Roman" w:hint="eastAsia"/>
                <w:sz w:val="24"/>
              </w:rPr>
              <w:t>)</w:t>
            </w:r>
            <w:r w:rsidRPr="00995F52">
              <w:rPr>
                <w:rFonts w:ascii="Times New Roman" w:eastAsia="Times New Roman" w:hAnsi="Times New Roman" w:cs="Times New Roman"/>
              </w:rPr>
              <w:t>, SSCs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s</m:t>
                  </m:r>
                </m:sub>
              </m:sSub>
            </m:oMath>
            <w:r w:rsidRPr="00995F52">
              <w:rPr>
                <w:rFonts w:ascii="Times New Roman" w:hAnsi="Times New Roman" w:cs="Times New Roman" w:hint="eastAsia"/>
                <w:sz w:val="24"/>
              </w:rPr>
              <w:t>)</w:t>
            </w:r>
          </w:p>
        </w:tc>
        <w:tc>
          <w:tcPr>
            <w:tcW w:w="8604" w:type="dxa"/>
            <w:tcBorders>
              <w:top w:val="single" w:sz="3" w:space="0" w:color="000000"/>
              <w:left w:val="nil"/>
              <w:bottom w:val="none" w:sz="3" w:space="0" w:color="000000"/>
              <w:right w:val="none" w:sz="3" w:space="0" w:color="000000"/>
            </w:tcBorders>
            <w:vAlign w:val="center"/>
          </w:tcPr>
          <w:p w14:paraId="042B4497" w14:textId="77777777" w:rsidR="00995F52" w:rsidRPr="00995F52" w:rsidRDefault="000C3DD4"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w</m:t>
                  </m:r>
                </m:sub>
              </m:sSub>
              <m:r>
                <w:rPr>
                  <w:rFonts w:ascii="Cambria Math" w:eastAsia="Times New Roman" w:hAnsi="Cambria Math"/>
                  <w:sz w:val="24"/>
                </w:rPr>
                <m:t>=</m:t>
              </m:r>
              <m:f>
                <m:fPr>
                  <m:ctrlPr>
                    <w:rPr>
                      <w:rFonts w:ascii="Cambria Math" w:eastAsia="Times New Roman" w:hAnsi="Cambria Math"/>
                      <w:i/>
                      <w:sz w:val="24"/>
                    </w:rPr>
                  </m:ctrlPr>
                </m:fPr>
                <m:num>
                  <m:d>
                    <m:dPr>
                      <m:begChr m:val=""/>
                      <m:endChr m:val=""/>
                      <m:ctrlPr>
                        <w:rPr>
                          <w:rFonts w:ascii="Cambria Math" w:eastAsia="Times New Roman" w:hAnsi="Cambria Math"/>
                          <w:i/>
                          <w:sz w:val="24"/>
                        </w:rPr>
                      </m:ctrlPr>
                    </m:dPr>
                    <m:e>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h</m:t>
                          </m:r>
                        </m:sub>
                      </m:sSub>
                      <m:r>
                        <w:rPr>
                          <w:rFonts w:ascii="Cambria Math" w:eastAsia="Times New Roman" w:hAnsi="Cambria Math"/>
                          <w:sz w:val="24"/>
                        </w:rPr>
                        <m:t>*</m:t>
                      </m:r>
                      <m:d>
                        <m:dPr>
                          <m:ctrlPr>
                            <w:rPr>
                              <w:rFonts w:ascii="Cambria Math" w:eastAsia="Times New Roman" w:hAnsi="Cambria Math"/>
                              <w:i/>
                              <w:sz w:val="24"/>
                            </w:rPr>
                          </m:ctrlPr>
                        </m:dPr>
                        <m:e>
                          <m:r>
                            <w:rPr>
                              <w:rFonts w:ascii="Cambria Math" w:eastAsia="Times New Roman" w:hAnsi="Cambria Math"/>
                              <w:sz w:val="24"/>
                            </w:rPr>
                            <m:t>W-2100+WSE-α2400</m:t>
                          </m:r>
                        </m:e>
                      </m:d>
                    </m:e>
                  </m:d>
                </m:num>
                <m:den>
                  <m:r>
                    <w:rPr>
                      <w:rFonts w:ascii="Cambria Math" w:eastAsia="Times New Roman" w:hAnsi="Cambria Math"/>
                      <w:sz w:val="24"/>
                    </w:rPr>
                    <m:t>WSSS+WSE+2300+3000</m:t>
                  </m:r>
                </m:den>
              </m:f>
            </m:oMath>
            <w:r w:rsidR="00995F52" w:rsidRPr="00995F52">
              <w:rPr>
                <w:rFonts w:ascii="Times New Roman" w:hAnsi="Times New Roman" w:cs="Times New Roman" w:hint="eastAsia"/>
                <w:sz w:val="24"/>
              </w:rPr>
              <w:t xml:space="preserve">,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s</m:t>
                  </m:r>
                </m:sub>
              </m:sSub>
              <m:r>
                <w:rPr>
                  <w:rFonts w:ascii="Cambria Math" w:eastAsia="Times New Roman" w:hAnsi="Cambria Math"/>
                  <w:sz w:val="24"/>
                </w:rPr>
                <m:t>=</m:t>
              </m:r>
              <m:f>
                <m:fPr>
                  <m:ctrlPr>
                    <w:rPr>
                      <w:rFonts w:ascii="Cambria Math" w:eastAsia="Times New Roman" w:hAnsi="Cambria Math"/>
                      <w:i/>
                      <w:sz w:val="24"/>
                    </w:rPr>
                  </m:ctrlPr>
                </m:fPr>
                <m:num>
                  <m:d>
                    <m:dPr>
                      <m:begChr m:val=""/>
                      <m:endChr m:val=""/>
                      <m:ctrlPr>
                        <w:rPr>
                          <w:rFonts w:ascii="Cambria Math" w:eastAsia="Times New Roman" w:hAnsi="Cambria Math"/>
                          <w:i/>
                          <w:sz w:val="24"/>
                        </w:rPr>
                      </m:ctrlPr>
                    </m:dPr>
                    <m:e>
                      <m:r>
                        <w:rPr>
                          <w:rFonts w:ascii="Cambria Math" w:eastAsia="Times New Roman" w:hAnsi="Cambria Math"/>
                          <w:sz w:val="24"/>
                        </w:rPr>
                        <m:t>2100+2200+2300+α2400+3000</m:t>
                      </m:r>
                    </m:e>
                  </m:d>
                </m:num>
                <m:den>
                  <m:r>
                    <w:rPr>
                      <w:rFonts w:ascii="Cambria Math" w:eastAsia="Times New Roman" w:hAnsi="Cambria Math"/>
                      <w:sz w:val="24"/>
                    </w:rPr>
                    <m:t>WSSS+WSE+2300+3000</m:t>
                  </m:r>
                </m:den>
              </m:f>
            </m:oMath>
            <w:r w:rsidR="00995F52" w:rsidRPr="00995F52">
              <w:rPr>
                <w:rFonts w:ascii="Times New Roman" w:eastAsia="Times New Roman" w:hAnsi="Times New Roman" w:cs="Times New Roman"/>
              </w:rPr>
              <w:t xml:space="preserve"> </w:t>
            </w:r>
          </w:p>
        </w:tc>
      </w:tr>
      <w:tr w:rsidR="00995F52" w:rsidRPr="00995F52" w14:paraId="275C83F0" w14:textId="77777777" w:rsidTr="00995F52">
        <w:trPr>
          <w:trHeight w:val="520"/>
        </w:trPr>
        <w:tc>
          <w:tcPr>
            <w:tcW w:w="1837" w:type="dxa"/>
            <w:vMerge/>
            <w:tcBorders>
              <w:top w:val="single" w:sz="3" w:space="0" w:color="000000"/>
              <w:left w:val="none" w:sz="3" w:space="0" w:color="000000"/>
              <w:bottom w:val="single" w:sz="3" w:space="0" w:color="000000"/>
              <w:right w:val="nil"/>
            </w:tcBorders>
          </w:tcPr>
          <w:p w14:paraId="28A1D5E8"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p>
        </w:tc>
        <w:tc>
          <w:tcPr>
            <w:tcW w:w="2881" w:type="dxa"/>
            <w:tcBorders>
              <w:top w:val="nil"/>
              <w:left w:val="nil"/>
              <w:bottom w:val="single" w:sz="8" w:space="0" w:color="auto"/>
              <w:right w:val="nil"/>
            </w:tcBorders>
            <w:vAlign w:val="center"/>
          </w:tcPr>
          <w:p w14:paraId="6397EA10"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 xml:space="preserve">Capital </w:t>
            </w:r>
            <w:r w:rsidRPr="00995F52">
              <w:rPr>
                <w:rFonts w:ascii="Times New Roman" w:hAnsi="Times New Roman" w:cs="Times New Roman" w:hint="eastAsia"/>
              </w:rPr>
              <w:t>(</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k</m:t>
                  </m:r>
                </m:sub>
              </m:sSub>
            </m:oMath>
            <w:r w:rsidRPr="00995F52">
              <w:rPr>
                <w:rFonts w:ascii="Times New Roman" w:hAnsi="Times New Roman" w:cs="Times New Roman" w:hint="eastAsia"/>
                <w:sz w:val="24"/>
              </w:rPr>
              <w:t>)</w:t>
            </w:r>
          </w:p>
        </w:tc>
        <w:tc>
          <w:tcPr>
            <w:tcW w:w="8604" w:type="dxa"/>
            <w:tcBorders>
              <w:top w:val="none" w:sz="3" w:space="0" w:color="000000"/>
              <w:left w:val="nil"/>
              <w:bottom w:val="single" w:sz="3" w:space="0" w:color="000000"/>
              <w:right w:val="none" w:sz="3" w:space="0" w:color="000000"/>
            </w:tcBorders>
            <w:vAlign w:val="center"/>
          </w:tcPr>
          <w:p w14:paraId="55FB5E46"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noProof/>
              </w:rPr>
              <w:drawing>
                <wp:inline distT="0" distB="0" distL="0" distR="0" wp14:anchorId="2CF27D95" wp14:editId="6DC88F2C">
                  <wp:extent cx="4120769" cy="294386"/>
                  <wp:effectExtent l="0" t="0" r="0" b="0"/>
                  <wp:docPr id="15" name="그림 %d 15"/>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67.PNG"/>
                          <pic:cNvPicPr/>
                        </pic:nvPicPr>
                        <pic:blipFill>
                          <a:blip r:embed="rId17"/>
                          <a:stretch>
                            <a:fillRect/>
                          </a:stretch>
                        </pic:blipFill>
                        <pic:spPr>
                          <a:xfrm>
                            <a:off x="0" y="0"/>
                            <a:ext cx="4120769" cy="294386"/>
                          </a:xfrm>
                          <a:prstGeom prst="rect">
                            <a:avLst/>
                          </a:prstGeom>
                          <a:effectLst/>
                        </pic:spPr>
                      </pic:pic>
                    </a:graphicData>
                  </a:graphic>
                </wp:inline>
              </w:drawing>
            </w:r>
          </w:p>
        </w:tc>
      </w:tr>
      <w:tr w:rsidR="00995F52" w:rsidRPr="00995F52" w14:paraId="0A4836E0" w14:textId="77777777" w:rsidTr="00995F52">
        <w:trPr>
          <w:trHeight w:val="507"/>
        </w:trPr>
        <w:tc>
          <w:tcPr>
            <w:tcW w:w="1837" w:type="dxa"/>
            <w:vMerge w:val="restart"/>
            <w:tcBorders>
              <w:top w:val="single" w:sz="3" w:space="0" w:color="000000"/>
              <w:left w:val="none" w:sz="3" w:space="0" w:color="000000"/>
              <w:bottom w:val="single" w:sz="3" w:space="0" w:color="000000"/>
              <w:right w:val="nil"/>
            </w:tcBorders>
            <w:vAlign w:val="center"/>
          </w:tcPr>
          <w:p w14:paraId="233E663B" w14:textId="440A8C93" w:rsidR="00995F52" w:rsidRPr="00995F52" w:rsidRDefault="007032A7"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Pr>
                <w:rFonts w:ascii="Times New Roman" w:eastAsia="Times New Roman" w:hAnsi="Times New Roman" w:cs="Times New Roman"/>
              </w:rPr>
              <w:t>Author</w:t>
            </w:r>
            <w:r w:rsidR="00995F52" w:rsidRPr="00995F52">
              <w:rPr>
                <w:rFonts w:ascii="Times New Roman" w:eastAsia="Times New Roman" w:hAnsi="Times New Roman" w:cs="Times New Roman"/>
              </w:rPr>
              <w:t xml:space="preserve"> II (2020)</w:t>
            </w:r>
          </w:p>
        </w:tc>
        <w:tc>
          <w:tcPr>
            <w:tcW w:w="2881" w:type="dxa"/>
            <w:tcBorders>
              <w:top w:val="single" w:sz="8" w:space="0" w:color="auto"/>
              <w:left w:val="nil"/>
              <w:bottom w:val="nil"/>
              <w:right w:val="nil"/>
            </w:tcBorders>
            <w:vAlign w:val="center"/>
          </w:tcPr>
          <w:p w14:paraId="2BE4A952"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Wage Income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w</m:t>
                  </m:r>
                </m:sub>
              </m:sSub>
            </m:oMath>
            <w:r w:rsidRPr="00995F52">
              <w:rPr>
                <w:rFonts w:ascii="Times New Roman" w:hAnsi="Times New Roman" w:cs="Times New Roman" w:hint="eastAsia"/>
                <w:sz w:val="24"/>
              </w:rPr>
              <w:t>)</w:t>
            </w:r>
            <w:r w:rsidRPr="00995F52">
              <w:rPr>
                <w:rFonts w:ascii="Times New Roman" w:eastAsia="Times New Roman" w:hAnsi="Times New Roman" w:cs="Times New Roman"/>
              </w:rPr>
              <w:t>, SSCs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s</m:t>
                  </m:r>
                </m:sub>
              </m:sSub>
            </m:oMath>
            <w:r w:rsidRPr="00995F52">
              <w:rPr>
                <w:rFonts w:ascii="Times New Roman" w:hAnsi="Times New Roman" w:cs="Times New Roman" w:hint="eastAsia"/>
                <w:sz w:val="24"/>
              </w:rPr>
              <w:t>)</w:t>
            </w:r>
          </w:p>
        </w:tc>
        <w:tc>
          <w:tcPr>
            <w:tcW w:w="8604" w:type="dxa"/>
            <w:tcBorders>
              <w:top w:val="single" w:sz="3" w:space="0" w:color="000000"/>
              <w:left w:val="nil"/>
              <w:bottom w:val="none" w:sz="3" w:space="0" w:color="000000"/>
              <w:right w:val="none" w:sz="3" w:space="0" w:color="000000"/>
            </w:tcBorders>
            <w:vAlign w:val="center"/>
          </w:tcPr>
          <w:p w14:paraId="7E4077FE" w14:textId="77777777" w:rsidR="00995F52" w:rsidRPr="00995F52" w:rsidRDefault="000C3DD4" w:rsidP="00995F52">
            <w:pPr>
              <w:widowControl w:val="0"/>
              <w:kinsoku w:val="0"/>
              <w:overflowPunct w:val="0"/>
              <w:adjustRightInd w:val="0"/>
              <w:snapToGrid w:val="0"/>
              <w:spacing w:after="0" w:line="240" w:lineRule="auto"/>
              <w:jc w:val="left"/>
              <w:rPr>
                <w:rFonts w:ascii="Times New Roman" w:hAnsi="Times New Roman" w:cs="Times New Roman"/>
              </w:rPr>
            </w:pP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w</m:t>
                  </m:r>
                </m:sub>
              </m:sSub>
              <m:r>
                <w:rPr>
                  <w:rFonts w:ascii="Cambria Math" w:eastAsia="Times New Roman" w:hAnsi="Cambria Math"/>
                  <w:sz w:val="24"/>
                </w:rPr>
                <m:t>=</m:t>
              </m:r>
              <m:f>
                <m:fPr>
                  <m:ctrlPr>
                    <w:rPr>
                      <w:rFonts w:ascii="Cambria Math" w:eastAsia="Times New Roman" w:hAnsi="Cambria Math"/>
                      <w:i/>
                      <w:sz w:val="24"/>
                    </w:rPr>
                  </m:ctrlPr>
                </m:fPr>
                <m:num>
                  <m:d>
                    <m:dPr>
                      <m:begChr m:val=""/>
                      <m:endChr m:val=""/>
                      <m:ctrlPr>
                        <w:rPr>
                          <w:rFonts w:ascii="Cambria Math" w:eastAsia="Times New Roman" w:hAnsi="Cambria Math"/>
                          <w:i/>
                          <w:sz w:val="24"/>
                        </w:rPr>
                      </m:ctrlPr>
                    </m:dPr>
                    <m:e>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h</m:t>
                          </m:r>
                        </m:sub>
                      </m:sSub>
                      <m:r>
                        <w:rPr>
                          <w:rFonts w:ascii="Cambria Math" w:eastAsia="Times New Roman" w:hAnsi="Cambria Math"/>
                          <w:sz w:val="24"/>
                        </w:rPr>
                        <m:t>*</m:t>
                      </m:r>
                      <m:d>
                        <m:dPr>
                          <m:ctrlPr>
                            <w:rPr>
                              <w:rFonts w:ascii="Cambria Math" w:eastAsia="Times New Roman" w:hAnsi="Cambria Math"/>
                              <w:i/>
                              <w:sz w:val="24"/>
                            </w:rPr>
                          </m:ctrlPr>
                        </m:dPr>
                        <m:e>
                          <m:r>
                            <w:rPr>
                              <w:rFonts w:ascii="Cambria Math" w:eastAsia="Times New Roman" w:hAnsi="Cambria Math"/>
                              <w:sz w:val="24"/>
                            </w:rPr>
                            <m:t>W-2100-α2400</m:t>
                          </m:r>
                        </m:e>
                      </m:d>
                    </m:e>
                  </m:d>
                </m:num>
                <m:den>
                  <m:r>
                    <w:rPr>
                      <w:rFonts w:ascii="Cambria Math" w:eastAsia="Times New Roman" w:hAnsi="Cambria Math"/>
                      <w:sz w:val="24"/>
                    </w:rPr>
                    <m:t>WSSS+3000</m:t>
                  </m:r>
                </m:den>
              </m:f>
            </m:oMath>
            <w:r w:rsidR="00995F52" w:rsidRPr="00995F52">
              <w:rPr>
                <w:rFonts w:ascii="Times New Roman" w:hAnsi="Times New Roman" w:cs="Times New Roman" w:hint="eastAsia"/>
                <w:sz w:val="24"/>
              </w:rPr>
              <w:t>,</w:t>
            </w:r>
            <w:r w:rsidR="00995F52" w:rsidRPr="00995F52">
              <w:rPr>
                <w:rFonts w:ascii="Times New Roman" w:hAnsi="Times New Roman" w:cs="Times New Roman"/>
              </w:rPr>
              <w:t xml:space="preserve"> </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s</m:t>
                  </m:r>
                </m:sub>
              </m:sSub>
              <m:r>
                <w:rPr>
                  <w:rFonts w:ascii="Cambria Math" w:eastAsia="Times New Roman" w:hAnsi="Cambria Math"/>
                  <w:sz w:val="24"/>
                </w:rPr>
                <m:t>=</m:t>
              </m:r>
              <m:f>
                <m:fPr>
                  <m:ctrlPr>
                    <w:rPr>
                      <w:rFonts w:ascii="Cambria Math" w:eastAsia="Times New Roman" w:hAnsi="Cambria Math"/>
                      <w:i/>
                      <w:sz w:val="24"/>
                    </w:rPr>
                  </m:ctrlPr>
                </m:fPr>
                <m:num>
                  <m:d>
                    <m:dPr>
                      <m:begChr m:val=""/>
                      <m:endChr m:val=""/>
                      <m:ctrlPr>
                        <w:rPr>
                          <w:rFonts w:ascii="Cambria Math" w:eastAsia="Times New Roman" w:hAnsi="Cambria Math"/>
                          <w:i/>
                          <w:sz w:val="24"/>
                        </w:rPr>
                      </m:ctrlPr>
                    </m:dPr>
                    <m:e>
                      <m:r>
                        <w:rPr>
                          <w:rFonts w:ascii="Cambria Math" w:eastAsia="Times New Roman" w:hAnsi="Cambria Math"/>
                          <w:sz w:val="24"/>
                        </w:rPr>
                        <m:t>2100+2200+α2400+3000</m:t>
                      </m:r>
                    </m:e>
                  </m:d>
                </m:num>
                <m:den>
                  <m:r>
                    <w:rPr>
                      <w:rFonts w:ascii="Cambria Math" w:eastAsia="Times New Roman" w:hAnsi="Cambria Math"/>
                      <w:sz w:val="24"/>
                    </w:rPr>
                    <m:t>WSSS+3000</m:t>
                  </m:r>
                </m:den>
              </m:f>
            </m:oMath>
          </w:p>
        </w:tc>
      </w:tr>
      <w:tr w:rsidR="00995F52" w:rsidRPr="00995F52" w14:paraId="1930A8D4" w14:textId="77777777" w:rsidTr="00995F52">
        <w:trPr>
          <w:trHeight w:val="495"/>
        </w:trPr>
        <w:tc>
          <w:tcPr>
            <w:tcW w:w="1837" w:type="dxa"/>
            <w:vMerge/>
            <w:tcBorders>
              <w:top w:val="single" w:sz="3" w:space="0" w:color="000000"/>
              <w:left w:val="none" w:sz="3" w:space="0" w:color="000000"/>
              <w:bottom w:val="single" w:sz="3" w:space="0" w:color="000000"/>
              <w:right w:val="nil"/>
            </w:tcBorders>
          </w:tcPr>
          <w:p w14:paraId="0F6DDC8F"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p>
        </w:tc>
        <w:tc>
          <w:tcPr>
            <w:tcW w:w="2881" w:type="dxa"/>
            <w:tcBorders>
              <w:top w:val="nil"/>
              <w:left w:val="nil"/>
              <w:bottom w:val="single" w:sz="8" w:space="0" w:color="auto"/>
              <w:right w:val="nil"/>
            </w:tcBorders>
            <w:vAlign w:val="center"/>
          </w:tcPr>
          <w:p w14:paraId="04B321BC" w14:textId="77777777" w:rsidR="00995F52" w:rsidRPr="00995F52" w:rsidRDefault="00995F52" w:rsidP="00995F52">
            <w:pPr>
              <w:widowControl w:val="0"/>
              <w:kinsoku w:val="0"/>
              <w:overflowPunct w:val="0"/>
              <w:adjustRightInd w:val="0"/>
              <w:snapToGrid w:val="0"/>
              <w:spacing w:after="0" w:line="240" w:lineRule="auto"/>
              <w:jc w:val="left"/>
              <w:rPr>
                <w:rFonts w:ascii="Times New Roman" w:hAnsi="Times New Roman" w:cs="Times New Roman"/>
              </w:rPr>
            </w:pPr>
            <w:r w:rsidRPr="00995F52">
              <w:rPr>
                <w:rFonts w:ascii="Times New Roman" w:eastAsia="Times New Roman" w:hAnsi="Times New Roman" w:cs="Times New Roman"/>
              </w:rPr>
              <w:t xml:space="preserve">Capital </w:t>
            </w:r>
            <w:r w:rsidRPr="00995F52">
              <w:rPr>
                <w:rFonts w:ascii="Times New Roman" w:hAnsi="Times New Roman" w:cs="Times New Roman" w:hint="eastAsia"/>
              </w:rPr>
              <w:t>(</w:t>
            </w:r>
            <m:oMath>
              <m:sSub>
                <m:sSubPr>
                  <m:ctrlPr>
                    <w:rPr>
                      <w:rFonts w:ascii="Cambria Math" w:eastAsia="Times New Roman" w:hAnsi="Cambria Math"/>
                      <w:sz w:val="24"/>
                    </w:rPr>
                  </m:ctrlPr>
                </m:sSubPr>
                <m:e>
                  <m:r>
                    <w:rPr>
                      <w:rFonts w:ascii="Cambria Math" w:eastAsia="Times New Roman" w:hAnsi="Cambria Math"/>
                      <w:sz w:val="24"/>
                    </w:rPr>
                    <m:t>τ</m:t>
                  </m:r>
                </m:e>
                <m:sub>
                  <m:r>
                    <w:rPr>
                      <w:rFonts w:ascii="Cambria Math" w:eastAsia="Times New Roman" w:hAnsi="Cambria Math"/>
                      <w:sz w:val="24"/>
                    </w:rPr>
                    <m:t>k</m:t>
                  </m:r>
                </m:sub>
              </m:sSub>
            </m:oMath>
            <w:r w:rsidRPr="00995F52">
              <w:rPr>
                <w:rFonts w:ascii="Times New Roman" w:hAnsi="Times New Roman" w:cs="Times New Roman" w:hint="eastAsia"/>
                <w:sz w:val="24"/>
              </w:rPr>
              <w:t>)</w:t>
            </w:r>
          </w:p>
        </w:tc>
        <w:tc>
          <w:tcPr>
            <w:tcW w:w="8604" w:type="dxa"/>
            <w:tcBorders>
              <w:top w:val="none" w:sz="3" w:space="0" w:color="000000"/>
              <w:left w:val="nil"/>
              <w:bottom w:val="single" w:sz="3" w:space="0" w:color="000000"/>
              <w:right w:val="none" w:sz="3" w:space="0" w:color="000000"/>
            </w:tcBorders>
            <w:vAlign w:val="center"/>
          </w:tcPr>
          <w:p w14:paraId="6721DD38"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noProof/>
              </w:rPr>
              <w:drawing>
                <wp:inline distT="0" distB="0" distL="0" distR="0" wp14:anchorId="42298737" wp14:editId="4E35291D">
                  <wp:extent cx="3905123" cy="278384"/>
                  <wp:effectExtent l="0" t="0" r="0" b="0"/>
                  <wp:docPr id="17" name="그림 %d 17"/>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5d.PNG"/>
                          <pic:cNvPicPr/>
                        </pic:nvPicPr>
                        <pic:blipFill>
                          <a:blip r:embed="rId18"/>
                          <a:stretch>
                            <a:fillRect/>
                          </a:stretch>
                        </pic:blipFill>
                        <pic:spPr>
                          <a:xfrm>
                            <a:off x="0" y="0"/>
                            <a:ext cx="3905123" cy="278384"/>
                          </a:xfrm>
                          <a:prstGeom prst="rect">
                            <a:avLst/>
                          </a:prstGeom>
                          <a:effectLst/>
                        </pic:spPr>
                      </pic:pic>
                    </a:graphicData>
                  </a:graphic>
                </wp:inline>
              </w:drawing>
            </w:r>
          </w:p>
        </w:tc>
      </w:tr>
    </w:tbl>
    <w:p w14:paraId="7AC98DAD"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맑은 고딕" w:hAnsi="Times New Roman"/>
          <w:sz w:val="24"/>
        </w:rPr>
        <w:sectPr w:rsidR="00995F52" w:rsidRPr="00995F52">
          <w:endnotePr>
            <w:numFmt w:val="decimal"/>
          </w:endnotePr>
          <w:pgSz w:w="16838" w:h="11906" w:orient="landscape"/>
          <w:pgMar w:top="1984" w:right="1701" w:bottom="1701" w:left="1701" w:header="1134" w:footer="850" w:gutter="0"/>
          <w:cols w:space="0"/>
        </w:sectPr>
      </w:pPr>
    </w:p>
    <w:p w14:paraId="214D1CB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sz w:val="24"/>
        </w:rPr>
      </w:pPr>
      <w:r w:rsidRPr="00995F52">
        <w:rPr>
          <w:rFonts w:ascii="Times New Roman" w:eastAsia="Times New Roman" w:hAnsi="Times New Roman"/>
          <w:sz w:val="24"/>
        </w:rPr>
        <w:lastRenderedPageBreak/>
        <w:t>Table A.2: Tax and Income/Consumption Items used in the AETR Formulas</w:t>
      </w:r>
    </w:p>
    <w:tbl>
      <w:tblPr>
        <w:tblOverlap w:val="never"/>
        <w:tblW w:w="1332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3"/>
        <w:gridCol w:w="5991"/>
        <w:gridCol w:w="1180"/>
        <w:gridCol w:w="5198"/>
      </w:tblGrid>
      <w:tr w:rsidR="00995F52" w:rsidRPr="00995F52" w14:paraId="36E2BE79" w14:textId="77777777" w:rsidTr="00995F52">
        <w:trPr>
          <w:trHeight w:val="56"/>
        </w:trPr>
        <w:tc>
          <w:tcPr>
            <w:tcW w:w="953" w:type="dxa"/>
            <w:tcBorders>
              <w:top w:val="single" w:sz="3" w:space="0" w:color="000000"/>
              <w:left w:val="none" w:sz="3" w:space="0" w:color="000000"/>
              <w:bottom w:val="double" w:sz="4" w:space="0" w:color="000000"/>
              <w:right w:val="single" w:sz="3" w:space="0" w:color="000000"/>
            </w:tcBorders>
            <w:vAlign w:val="center"/>
          </w:tcPr>
          <w:p w14:paraId="265242B6"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바탕" w:hAnsi="Times New Roman" w:cs="Times New Roman"/>
              </w:rPr>
              <w:t>Items</w:t>
            </w:r>
          </w:p>
        </w:tc>
        <w:tc>
          <w:tcPr>
            <w:tcW w:w="5991" w:type="dxa"/>
            <w:tcBorders>
              <w:top w:val="single" w:sz="3" w:space="0" w:color="000000"/>
              <w:left w:val="single" w:sz="3" w:space="0" w:color="000000"/>
              <w:bottom w:val="double" w:sz="4" w:space="0" w:color="000000"/>
              <w:right w:val="single" w:sz="3" w:space="0" w:color="000000"/>
            </w:tcBorders>
            <w:vAlign w:val="center"/>
          </w:tcPr>
          <w:p w14:paraId="3CD6117D"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바탕" w:hAnsi="Times New Roman" w:cs="Times New Roman"/>
              </w:rPr>
              <w:t>Descriptions</w:t>
            </w:r>
          </w:p>
        </w:tc>
        <w:tc>
          <w:tcPr>
            <w:tcW w:w="1180" w:type="dxa"/>
            <w:tcBorders>
              <w:top w:val="single" w:sz="3" w:space="0" w:color="000000"/>
              <w:left w:val="single" w:sz="3" w:space="0" w:color="000000"/>
              <w:bottom w:val="double" w:sz="4" w:space="0" w:color="000000"/>
              <w:right w:val="single" w:sz="3" w:space="0" w:color="000000"/>
            </w:tcBorders>
            <w:vAlign w:val="center"/>
          </w:tcPr>
          <w:p w14:paraId="7B69CC49"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바탕" w:hAnsi="Times New Roman" w:cs="Times New Roman"/>
              </w:rPr>
              <w:t>Items</w:t>
            </w:r>
          </w:p>
        </w:tc>
        <w:tc>
          <w:tcPr>
            <w:tcW w:w="5198" w:type="dxa"/>
            <w:tcBorders>
              <w:top w:val="single" w:sz="3" w:space="0" w:color="000000"/>
              <w:left w:val="single" w:sz="3" w:space="0" w:color="000000"/>
              <w:bottom w:val="double" w:sz="4" w:space="0" w:color="000000"/>
              <w:right w:val="none" w:sz="3" w:space="0" w:color="000000"/>
            </w:tcBorders>
            <w:vAlign w:val="center"/>
          </w:tcPr>
          <w:p w14:paraId="24CF1198"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바탕" w:hAnsi="Times New Roman" w:cs="Times New Roman"/>
              </w:rPr>
              <w:t>Descriptions</w:t>
            </w:r>
          </w:p>
        </w:tc>
      </w:tr>
      <w:tr w:rsidR="00995F52" w:rsidRPr="00995F52" w14:paraId="46C3606D" w14:textId="77777777" w:rsidTr="00995F52">
        <w:trPr>
          <w:trHeight w:val="56"/>
        </w:trPr>
        <w:tc>
          <w:tcPr>
            <w:tcW w:w="953" w:type="dxa"/>
            <w:tcBorders>
              <w:top w:val="double" w:sz="4" w:space="0" w:color="000000"/>
              <w:left w:val="none" w:sz="3" w:space="0" w:color="000000"/>
              <w:bottom w:val="none" w:sz="3" w:space="0" w:color="000000"/>
              <w:right w:val="single" w:sz="3" w:space="0" w:color="000000"/>
            </w:tcBorders>
            <w:vAlign w:val="center"/>
          </w:tcPr>
          <w:p w14:paraId="33B20206"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i/>
              </w:rPr>
              <w:t>α</w:t>
            </w:r>
          </w:p>
        </w:tc>
        <w:tc>
          <w:tcPr>
            <w:tcW w:w="5991" w:type="dxa"/>
            <w:tcBorders>
              <w:top w:val="double" w:sz="4" w:space="0" w:color="000000"/>
              <w:left w:val="single" w:sz="3" w:space="0" w:color="000000"/>
              <w:bottom w:val="none" w:sz="3" w:space="0" w:color="000000"/>
              <w:right w:val="single" w:sz="3" w:space="0" w:color="000000"/>
            </w:tcBorders>
            <w:vAlign w:val="center"/>
          </w:tcPr>
          <w:p w14:paraId="4F046065"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The share of wage-related income in personal income</w:t>
            </w:r>
          </w:p>
        </w:tc>
        <w:tc>
          <w:tcPr>
            <w:tcW w:w="1180" w:type="dxa"/>
            <w:tcBorders>
              <w:top w:val="double" w:sz="4" w:space="0" w:color="000000"/>
              <w:left w:val="single" w:sz="3" w:space="0" w:color="000000"/>
              <w:bottom w:val="none" w:sz="3" w:space="0" w:color="000000"/>
              <w:right w:val="single" w:sz="3" w:space="0" w:color="000000"/>
            </w:tcBorders>
            <w:vAlign w:val="center"/>
          </w:tcPr>
          <w:p w14:paraId="75F2CFB7"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2300</w:t>
            </w:r>
          </w:p>
        </w:tc>
        <w:tc>
          <w:tcPr>
            <w:tcW w:w="5198" w:type="dxa"/>
            <w:tcBorders>
              <w:top w:val="double" w:sz="4" w:space="0" w:color="000000"/>
              <w:left w:val="single" w:sz="3" w:space="0" w:color="000000"/>
              <w:bottom w:val="none" w:sz="3" w:space="0" w:color="000000"/>
              <w:right w:val="none" w:sz="3" w:space="0" w:color="000000"/>
            </w:tcBorders>
            <w:vAlign w:val="center"/>
          </w:tcPr>
          <w:p w14:paraId="7F17953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SSC paid by the self-employed</w:t>
            </w:r>
          </w:p>
        </w:tc>
      </w:tr>
      <w:tr w:rsidR="00995F52" w:rsidRPr="00995F52" w14:paraId="3078D4FD"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50571787"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i/>
              </w:rPr>
              <w:t>β</w:t>
            </w:r>
          </w:p>
        </w:tc>
        <w:tc>
          <w:tcPr>
            <w:tcW w:w="5991" w:type="dxa"/>
            <w:tcBorders>
              <w:top w:val="none" w:sz="3" w:space="0" w:color="000000"/>
              <w:left w:val="single" w:sz="3" w:space="0" w:color="000000"/>
              <w:bottom w:val="none" w:sz="3" w:space="0" w:color="000000"/>
              <w:right w:val="single" w:sz="3" w:space="0" w:color="000000"/>
            </w:tcBorders>
            <w:vAlign w:val="center"/>
          </w:tcPr>
          <w:p w14:paraId="382E7F65"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The share of non-wage income in personal income</w:t>
            </w:r>
          </w:p>
        </w:tc>
        <w:tc>
          <w:tcPr>
            <w:tcW w:w="1180" w:type="dxa"/>
            <w:tcBorders>
              <w:top w:val="none" w:sz="3" w:space="0" w:color="000000"/>
              <w:left w:val="single" w:sz="3" w:space="0" w:color="000000"/>
              <w:bottom w:val="none" w:sz="3" w:space="0" w:color="000000"/>
              <w:right w:val="single" w:sz="3" w:space="0" w:color="000000"/>
            </w:tcBorders>
            <w:vAlign w:val="center"/>
          </w:tcPr>
          <w:p w14:paraId="6ADA080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2400</w:t>
            </w:r>
          </w:p>
        </w:tc>
        <w:tc>
          <w:tcPr>
            <w:tcW w:w="5198" w:type="dxa"/>
            <w:tcBorders>
              <w:top w:val="none" w:sz="3" w:space="0" w:color="000000"/>
              <w:left w:val="single" w:sz="3" w:space="0" w:color="000000"/>
              <w:bottom w:val="none" w:sz="3" w:space="0" w:color="000000"/>
              <w:right w:val="none" w:sz="3" w:space="0" w:color="000000"/>
            </w:tcBorders>
            <w:vAlign w:val="center"/>
          </w:tcPr>
          <w:p w14:paraId="4971DEB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SSC, unallocated</w:t>
            </w:r>
          </w:p>
        </w:tc>
      </w:tr>
      <w:tr w:rsidR="00995F52" w:rsidRPr="00995F52" w14:paraId="6855A1B5"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268FB997"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i/>
              </w:rPr>
              <w:t>CG</w:t>
            </w:r>
          </w:p>
        </w:tc>
        <w:tc>
          <w:tcPr>
            <w:tcW w:w="5991" w:type="dxa"/>
            <w:tcBorders>
              <w:top w:val="none" w:sz="3" w:space="0" w:color="000000"/>
              <w:left w:val="single" w:sz="3" w:space="0" w:color="000000"/>
              <w:bottom w:val="none" w:sz="3" w:space="0" w:color="000000"/>
              <w:right w:val="single" w:sz="3" w:space="0" w:color="000000"/>
            </w:tcBorders>
            <w:vAlign w:val="center"/>
          </w:tcPr>
          <w:p w14:paraId="72CF9ADD"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Government final consumption</w:t>
            </w:r>
          </w:p>
        </w:tc>
        <w:tc>
          <w:tcPr>
            <w:tcW w:w="1180" w:type="dxa"/>
            <w:tcBorders>
              <w:top w:val="none" w:sz="3" w:space="0" w:color="000000"/>
              <w:left w:val="single" w:sz="3" w:space="0" w:color="000000"/>
              <w:bottom w:val="none" w:sz="3" w:space="0" w:color="000000"/>
              <w:right w:val="single" w:sz="3" w:space="0" w:color="000000"/>
            </w:tcBorders>
            <w:vAlign w:val="center"/>
          </w:tcPr>
          <w:p w14:paraId="2174F54A"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3000</w:t>
            </w:r>
          </w:p>
        </w:tc>
        <w:tc>
          <w:tcPr>
            <w:tcW w:w="5198" w:type="dxa"/>
            <w:tcBorders>
              <w:top w:val="none" w:sz="3" w:space="0" w:color="000000"/>
              <w:left w:val="single" w:sz="3" w:space="0" w:color="000000"/>
              <w:bottom w:val="none" w:sz="3" w:space="0" w:color="000000"/>
              <w:right w:val="none" w:sz="3" w:space="0" w:color="000000"/>
            </w:tcBorders>
            <w:vAlign w:val="center"/>
          </w:tcPr>
          <w:p w14:paraId="1EF2EC08"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Taxes on payroll and workforce</w:t>
            </w:r>
          </w:p>
        </w:tc>
      </w:tr>
      <w:tr w:rsidR="00995F52" w:rsidRPr="00995F52" w14:paraId="0CE6E794"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38297C7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i/>
              </w:rPr>
              <w:t>CGW</w:t>
            </w:r>
          </w:p>
        </w:tc>
        <w:tc>
          <w:tcPr>
            <w:tcW w:w="5991" w:type="dxa"/>
            <w:tcBorders>
              <w:top w:val="none" w:sz="3" w:space="0" w:color="000000"/>
              <w:left w:val="single" w:sz="3" w:space="0" w:color="000000"/>
              <w:bottom w:val="none" w:sz="3" w:space="0" w:color="000000"/>
              <w:right w:val="single" w:sz="3" w:space="0" w:color="000000"/>
            </w:tcBorders>
            <w:vAlign w:val="center"/>
          </w:tcPr>
          <w:p w14:paraId="2A97ACCE"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Government final wage consumption</w:t>
            </w:r>
          </w:p>
        </w:tc>
        <w:tc>
          <w:tcPr>
            <w:tcW w:w="1180" w:type="dxa"/>
            <w:tcBorders>
              <w:top w:val="none" w:sz="3" w:space="0" w:color="000000"/>
              <w:left w:val="single" w:sz="3" w:space="0" w:color="000000"/>
              <w:bottom w:val="none" w:sz="3" w:space="0" w:color="000000"/>
              <w:right w:val="single" w:sz="3" w:space="0" w:color="000000"/>
            </w:tcBorders>
            <w:vAlign w:val="center"/>
          </w:tcPr>
          <w:p w14:paraId="17CD25B1"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4000</w:t>
            </w:r>
          </w:p>
        </w:tc>
        <w:tc>
          <w:tcPr>
            <w:tcW w:w="5198" w:type="dxa"/>
            <w:tcBorders>
              <w:top w:val="none" w:sz="3" w:space="0" w:color="000000"/>
              <w:left w:val="single" w:sz="3" w:space="0" w:color="000000"/>
              <w:bottom w:val="none" w:sz="3" w:space="0" w:color="000000"/>
              <w:right w:val="none" w:sz="3" w:space="0" w:color="000000"/>
            </w:tcBorders>
            <w:vAlign w:val="center"/>
          </w:tcPr>
          <w:p w14:paraId="342BBC63"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Total property tax</w:t>
            </w:r>
          </w:p>
        </w:tc>
      </w:tr>
      <w:tr w:rsidR="00995F52" w:rsidRPr="00995F52" w14:paraId="0847C9FB"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114EC26E"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i/>
              </w:rPr>
              <w:t>CP</w:t>
            </w:r>
          </w:p>
        </w:tc>
        <w:tc>
          <w:tcPr>
            <w:tcW w:w="5991" w:type="dxa"/>
            <w:tcBorders>
              <w:top w:val="none" w:sz="3" w:space="0" w:color="000000"/>
              <w:left w:val="single" w:sz="3" w:space="0" w:color="000000"/>
              <w:bottom w:val="none" w:sz="3" w:space="0" w:color="000000"/>
              <w:right w:val="single" w:sz="3" w:space="0" w:color="000000"/>
            </w:tcBorders>
            <w:vAlign w:val="center"/>
          </w:tcPr>
          <w:p w14:paraId="1585A924"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Private final consumption</w:t>
            </w:r>
          </w:p>
        </w:tc>
        <w:tc>
          <w:tcPr>
            <w:tcW w:w="1180" w:type="dxa"/>
            <w:tcBorders>
              <w:top w:val="none" w:sz="3" w:space="0" w:color="000000"/>
              <w:left w:val="single" w:sz="3" w:space="0" w:color="000000"/>
              <w:bottom w:val="none" w:sz="3" w:space="0" w:color="000000"/>
              <w:right w:val="single" w:sz="3" w:space="0" w:color="000000"/>
            </w:tcBorders>
            <w:vAlign w:val="center"/>
          </w:tcPr>
          <w:p w14:paraId="43B67FE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4100</w:t>
            </w:r>
          </w:p>
        </w:tc>
        <w:tc>
          <w:tcPr>
            <w:tcW w:w="5198" w:type="dxa"/>
            <w:tcBorders>
              <w:top w:val="none" w:sz="3" w:space="0" w:color="000000"/>
              <w:left w:val="single" w:sz="3" w:space="0" w:color="000000"/>
              <w:bottom w:val="none" w:sz="3" w:space="0" w:color="000000"/>
              <w:right w:val="none" w:sz="3" w:space="0" w:color="000000"/>
            </w:tcBorders>
            <w:vAlign w:val="center"/>
          </w:tcPr>
          <w:p w14:paraId="4B549E4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Recurrent taxes on immovable property</w:t>
            </w:r>
          </w:p>
        </w:tc>
      </w:tr>
      <w:tr w:rsidR="00995F52" w:rsidRPr="00995F52" w14:paraId="54901C8A"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451C55A9"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i/>
              </w:rPr>
              <w:t>OS</w:t>
            </w:r>
          </w:p>
        </w:tc>
        <w:tc>
          <w:tcPr>
            <w:tcW w:w="5991" w:type="dxa"/>
            <w:tcBorders>
              <w:top w:val="none" w:sz="3" w:space="0" w:color="000000"/>
              <w:left w:val="single" w:sz="3" w:space="0" w:color="000000"/>
              <w:bottom w:val="none" w:sz="3" w:space="0" w:color="000000"/>
              <w:right w:val="single" w:sz="3" w:space="0" w:color="000000"/>
            </w:tcBorders>
            <w:vAlign w:val="center"/>
          </w:tcPr>
          <w:p w14:paraId="6B0F061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Net operating surplus</w:t>
            </w:r>
          </w:p>
        </w:tc>
        <w:tc>
          <w:tcPr>
            <w:tcW w:w="1180" w:type="dxa"/>
            <w:tcBorders>
              <w:top w:val="none" w:sz="3" w:space="0" w:color="000000"/>
              <w:left w:val="single" w:sz="3" w:space="0" w:color="000000"/>
              <w:bottom w:val="none" w:sz="3" w:space="0" w:color="000000"/>
              <w:right w:val="single" w:sz="3" w:space="0" w:color="000000"/>
            </w:tcBorders>
            <w:vAlign w:val="center"/>
          </w:tcPr>
          <w:p w14:paraId="3A689391"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4400</w:t>
            </w:r>
          </w:p>
        </w:tc>
        <w:tc>
          <w:tcPr>
            <w:tcW w:w="5198" w:type="dxa"/>
            <w:tcBorders>
              <w:top w:val="none" w:sz="3" w:space="0" w:color="000000"/>
              <w:left w:val="single" w:sz="3" w:space="0" w:color="000000"/>
              <w:bottom w:val="none" w:sz="3" w:space="0" w:color="000000"/>
              <w:right w:val="none" w:sz="3" w:space="0" w:color="000000"/>
            </w:tcBorders>
            <w:vAlign w:val="center"/>
          </w:tcPr>
          <w:p w14:paraId="58F1EFFA"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Taxes on financial and capital transactions</w:t>
            </w:r>
          </w:p>
        </w:tc>
      </w:tr>
      <w:tr w:rsidR="00995F52" w:rsidRPr="00995F52" w14:paraId="48E84059"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37A3C85A"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i/>
              </w:rPr>
              <w:t>OSPUE</w:t>
            </w:r>
          </w:p>
        </w:tc>
        <w:tc>
          <w:tcPr>
            <w:tcW w:w="5991" w:type="dxa"/>
            <w:tcBorders>
              <w:top w:val="none" w:sz="3" w:space="0" w:color="000000"/>
              <w:left w:val="single" w:sz="3" w:space="0" w:color="000000"/>
              <w:bottom w:val="none" w:sz="3" w:space="0" w:color="000000"/>
              <w:right w:val="single" w:sz="3" w:space="0" w:color="000000"/>
            </w:tcBorders>
            <w:vAlign w:val="center"/>
          </w:tcPr>
          <w:p w14:paraId="214A05F4"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Unincorporated business net income (net mixed income)</w:t>
            </w:r>
          </w:p>
        </w:tc>
        <w:tc>
          <w:tcPr>
            <w:tcW w:w="1180" w:type="dxa"/>
            <w:tcBorders>
              <w:top w:val="none" w:sz="3" w:space="0" w:color="000000"/>
              <w:left w:val="single" w:sz="3" w:space="0" w:color="000000"/>
              <w:bottom w:val="none" w:sz="3" w:space="0" w:color="000000"/>
              <w:right w:val="single" w:sz="3" w:space="0" w:color="000000"/>
            </w:tcBorders>
            <w:vAlign w:val="center"/>
          </w:tcPr>
          <w:p w14:paraId="2FD332A4"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5110</w:t>
            </w:r>
          </w:p>
        </w:tc>
        <w:tc>
          <w:tcPr>
            <w:tcW w:w="5198" w:type="dxa"/>
            <w:tcBorders>
              <w:top w:val="none" w:sz="3" w:space="0" w:color="000000"/>
              <w:left w:val="single" w:sz="3" w:space="0" w:color="000000"/>
              <w:bottom w:val="none" w:sz="3" w:space="0" w:color="000000"/>
              <w:right w:val="none" w:sz="3" w:space="0" w:color="000000"/>
            </w:tcBorders>
            <w:vAlign w:val="center"/>
          </w:tcPr>
          <w:p w14:paraId="544A7E9D"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General taxes on goods and services</w:t>
            </w:r>
          </w:p>
        </w:tc>
      </w:tr>
      <w:tr w:rsidR="00995F52" w:rsidRPr="00995F52" w14:paraId="4CE54E92"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10F98514"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i/>
              </w:rPr>
              <w:t>PEI</w:t>
            </w:r>
          </w:p>
        </w:tc>
        <w:tc>
          <w:tcPr>
            <w:tcW w:w="5991" w:type="dxa"/>
            <w:tcBorders>
              <w:top w:val="none" w:sz="3" w:space="0" w:color="000000"/>
              <w:left w:val="single" w:sz="3" w:space="0" w:color="000000"/>
              <w:bottom w:val="none" w:sz="3" w:space="0" w:color="000000"/>
              <w:right w:val="single" w:sz="3" w:space="0" w:color="000000"/>
            </w:tcBorders>
            <w:vAlign w:val="center"/>
          </w:tcPr>
          <w:p w14:paraId="4F731593"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Interest, dividends, and investment receipts</w:t>
            </w:r>
          </w:p>
        </w:tc>
        <w:tc>
          <w:tcPr>
            <w:tcW w:w="1180" w:type="dxa"/>
            <w:tcBorders>
              <w:top w:val="none" w:sz="3" w:space="0" w:color="000000"/>
              <w:left w:val="single" w:sz="3" w:space="0" w:color="000000"/>
              <w:bottom w:val="none" w:sz="3" w:space="0" w:color="000000"/>
              <w:right w:val="single" w:sz="3" w:space="0" w:color="000000"/>
            </w:tcBorders>
            <w:vAlign w:val="center"/>
          </w:tcPr>
          <w:p w14:paraId="0D0F82EB"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5121</w:t>
            </w:r>
          </w:p>
        </w:tc>
        <w:tc>
          <w:tcPr>
            <w:tcW w:w="5198" w:type="dxa"/>
            <w:tcBorders>
              <w:top w:val="none" w:sz="3" w:space="0" w:color="000000"/>
              <w:left w:val="single" w:sz="3" w:space="0" w:color="000000"/>
              <w:bottom w:val="none" w:sz="3" w:space="0" w:color="000000"/>
              <w:right w:val="none" w:sz="3" w:space="0" w:color="000000"/>
            </w:tcBorders>
            <w:vAlign w:val="center"/>
          </w:tcPr>
          <w:p w14:paraId="271E3508"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Excise taxes</w:t>
            </w:r>
          </w:p>
        </w:tc>
      </w:tr>
      <w:tr w:rsidR="00995F52" w:rsidRPr="00995F52" w14:paraId="65F6F2AB"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140408A4"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i/>
              </w:rPr>
              <w:t>WSE</w:t>
            </w:r>
          </w:p>
        </w:tc>
        <w:tc>
          <w:tcPr>
            <w:tcW w:w="5991" w:type="dxa"/>
            <w:tcBorders>
              <w:top w:val="none" w:sz="3" w:space="0" w:color="000000"/>
              <w:left w:val="single" w:sz="3" w:space="0" w:color="000000"/>
              <w:bottom w:val="none" w:sz="3" w:space="0" w:color="000000"/>
              <w:right w:val="single" w:sz="3" w:space="0" w:color="000000"/>
            </w:tcBorders>
            <w:vAlign w:val="center"/>
          </w:tcPr>
          <w:p w14:paraId="79CC27A2"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Proxy for the wages for the self-employed</w:t>
            </w:r>
          </w:p>
        </w:tc>
        <w:tc>
          <w:tcPr>
            <w:tcW w:w="1180" w:type="dxa"/>
            <w:tcBorders>
              <w:top w:val="none" w:sz="3" w:space="0" w:color="000000"/>
              <w:left w:val="single" w:sz="3" w:space="0" w:color="000000"/>
              <w:bottom w:val="none" w:sz="3" w:space="0" w:color="000000"/>
              <w:right w:val="single" w:sz="3" w:space="0" w:color="000000"/>
            </w:tcBorders>
            <w:vAlign w:val="center"/>
          </w:tcPr>
          <w:p w14:paraId="28196A9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5122</w:t>
            </w:r>
          </w:p>
        </w:tc>
        <w:tc>
          <w:tcPr>
            <w:tcW w:w="5198" w:type="dxa"/>
            <w:tcBorders>
              <w:top w:val="none" w:sz="3" w:space="0" w:color="000000"/>
              <w:left w:val="single" w:sz="3" w:space="0" w:color="000000"/>
              <w:bottom w:val="none" w:sz="3" w:space="0" w:color="000000"/>
              <w:right w:val="none" w:sz="3" w:space="0" w:color="000000"/>
            </w:tcBorders>
            <w:vAlign w:val="center"/>
          </w:tcPr>
          <w:p w14:paraId="7219E1C3"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Taxes on profits from fiscal monopolies</w:t>
            </w:r>
          </w:p>
        </w:tc>
      </w:tr>
      <w:tr w:rsidR="00995F52" w:rsidRPr="00995F52" w14:paraId="796FBD22"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4DC87BA3"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i/>
              </w:rPr>
              <w:t>WSSS</w:t>
            </w:r>
          </w:p>
        </w:tc>
        <w:tc>
          <w:tcPr>
            <w:tcW w:w="5991" w:type="dxa"/>
            <w:tcBorders>
              <w:top w:val="none" w:sz="3" w:space="0" w:color="000000"/>
              <w:left w:val="single" w:sz="3" w:space="0" w:color="000000"/>
              <w:bottom w:val="none" w:sz="3" w:space="0" w:color="000000"/>
              <w:right w:val="single" w:sz="3" w:space="0" w:color="000000"/>
            </w:tcBorders>
            <w:vAlign w:val="center"/>
          </w:tcPr>
          <w:p w14:paraId="1F3BFD2D"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Total compensation of employees (including employers’ contributions to social security and to pension funds)</w:t>
            </w:r>
          </w:p>
        </w:tc>
        <w:tc>
          <w:tcPr>
            <w:tcW w:w="1180" w:type="dxa"/>
            <w:tcBorders>
              <w:top w:val="none" w:sz="3" w:space="0" w:color="000000"/>
              <w:left w:val="single" w:sz="3" w:space="0" w:color="000000"/>
              <w:bottom w:val="none" w:sz="3" w:space="0" w:color="000000"/>
              <w:right w:val="single" w:sz="3" w:space="0" w:color="000000"/>
            </w:tcBorders>
            <w:vAlign w:val="center"/>
          </w:tcPr>
          <w:p w14:paraId="5B6C5C78"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5123</w:t>
            </w:r>
          </w:p>
        </w:tc>
        <w:tc>
          <w:tcPr>
            <w:tcW w:w="5198" w:type="dxa"/>
            <w:tcBorders>
              <w:top w:val="none" w:sz="3" w:space="0" w:color="000000"/>
              <w:left w:val="single" w:sz="3" w:space="0" w:color="000000"/>
              <w:bottom w:val="none" w:sz="3" w:space="0" w:color="000000"/>
              <w:right w:val="none" w:sz="3" w:space="0" w:color="000000"/>
            </w:tcBorders>
            <w:vAlign w:val="center"/>
          </w:tcPr>
          <w:p w14:paraId="67245F7A"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Customs and import duties</w:t>
            </w:r>
          </w:p>
        </w:tc>
      </w:tr>
      <w:tr w:rsidR="00995F52" w:rsidRPr="00995F52" w14:paraId="7851FA2B"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4EB7BE2E"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noProof/>
              </w:rPr>
              <w:drawing>
                <wp:inline distT="0" distB="0" distL="0" distR="0" wp14:anchorId="68771918" wp14:editId="3C0AAC93">
                  <wp:extent cx="115062" cy="153416"/>
                  <wp:effectExtent l="0" t="0" r="0" b="0"/>
                  <wp:docPr id="18" name="그림 %d 18"/>
                  <wp:cNvGraphicFramePr/>
                  <a:graphic xmlns:a="http://schemas.openxmlformats.org/drawingml/2006/main">
                    <a:graphicData uri="http://schemas.openxmlformats.org/drawingml/2006/picture">
                      <pic:pic xmlns:pic="http://schemas.openxmlformats.org/drawingml/2006/picture">
                        <pic:nvPicPr>
                          <pic:cNvPr id="0" name="C:\Users\shpark\AppData\Local\Temp\Hnc\BinData\EMB000051648b5b.PNG"/>
                          <pic:cNvPicPr/>
                        </pic:nvPicPr>
                        <pic:blipFill>
                          <a:blip r:embed="rId9"/>
                          <a:stretch>
                            <a:fillRect/>
                          </a:stretch>
                        </pic:blipFill>
                        <pic:spPr>
                          <a:xfrm>
                            <a:off x="0" y="0"/>
                            <a:ext cx="115062" cy="153416"/>
                          </a:xfrm>
                          <a:prstGeom prst="rect">
                            <a:avLst/>
                          </a:prstGeom>
                          <a:effectLst/>
                        </pic:spPr>
                      </pic:pic>
                    </a:graphicData>
                  </a:graphic>
                </wp:inline>
              </w:drawing>
            </w:r>
          </w:p>
        </w:tc>
        <w:tc>
          <w:tcPr>
            <w:tcW w:w="5991" w:type="dxa"/>
            <w:tcBorders>
              <w:top w:val="none" w:sz="3" w:space="0" w:color="000000"/>
              <w:left w:val="single" w:sz="3" w:space="0" w:color="000000"/>
              <w:bottom w:val="none" w:sz="3" w:space="0" w:color="000000"/>
              <w:right w:val="single" w:sz="3" w:space="0" w:color="000000"/>
            </w:tcBorders>
            <w:vAlign w:val="center"/>
          </w:tcPr>
          <w:p w14:paraId="7A07DC39"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AETR for personal income</w:t>
            </w:r>
          </w:p>
        </w:tc>
        <w:tc>
          <w:tcPr>
            <w:tcW w:w="1180" w:type="dxa"/>
            <w:tcBorders>
              <w:top w:val="none" w:sz="3" w:space="0" w:color="000000"/>
              <w:left w:val="single" w:sz="3" w:space="0" w:color="000000"/>
              <w:bottom w:val="none" w:sz="3" w:space="0" w:color="000000"/>
              <w:right w:val="single" w:sz="3" w:space="0" w:color="000000"/>
            </w:tcBorders>
            <w:vAlign w:val="center"/>
          </w:tcPr>
          <w:p w14:paraId="1A987E08"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5125</w:t>
            </w:r>
          </w:p>
        </w:tc>
        <w:tc>
          <w:tcPr>
            <w:tcW w:w="5198" w:type="dxa"/>
            <w:tcBorders>
              <w:top w:val="none" w:sz="3" w:space="0" w:color="000000"/>
              <w:left w:val="single" w:sz="3" w:space="0" w:color="000000"/>
              <w:bottom w:val="none" w:sz="3" w:space="0" w:color="000000"/>
              <w:right w:val="none" w:sz="3" w:space="0" w:color="000000"/>
            </w:tcBorders>
            <w:vAlign w:val="center"/>
          </w:tcPr>
          <w:p w14:paraId="6727AE2E"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Taxes on investment goods</w:t>
            </w:r>
          </w:p>
        </w:tc>
      </w:tr>
      <w:tr w:rsidR="00995F52" w:rsidRPr="00995F52" w14:paraId="1D313B9E"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7BF72D31"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i/>
              </w:rPr>
              <w:t>W</w:t>
            </w:r>
          </w:p>
        </w:tc>
        <w:tc>
          <w:tcPr>
            <w:tcW w:w="5991" w:type="dxa"/>
            <w:tcBorders>
              <w:top w:val="none" w:sz="3" w:space="0" w:color="000000"/>
              <w:left w:val="single" w:sz="3" w:space="0" w:color="000000"/>
              <w:bottom w:val="none" w:sz="3" w:space="0" w:color="000000"/>
              <w:right w:val="single" w:sz="3" w:space="0" w:color="000000"/>
            </w:tcBorders>
            <w:vAlign w:val="center"/>
          </w:tcPr>
          <w:p w14:paraId="548DAE74"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Wages and salaries for employees</w:t>
            </w:r>
          </w:p>
        </w:tc>
        <w:tc>
          <w:tcPr>
            <w:tcW w:w="1180" w:type="dxa"/>
            <w:tcBorders>
              <w:top w:val="none" w:sz="3" w:space="0" w:color="000000"/>
              <w:left w:val="single" w:sz="3" w:space="0" w:color="000000"/>
              <w:bottom w:val="none" w:sz="3" w:space="0" w:color="000000"/>
              <w:right w:val="single" w:sz="3" w:space="0" w:color="000000"/>
            </w:tcBorders>
            <w:vAlign w:val="center"/>
          </w:tcPr>
          <w:p w14:paraId="5A6A8981"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5126</w:t>
            </w:r>
          </w:p>
        </w:tc>
        <w:tc>
          <w:tcPr>
            <w:tcW w:w="5198" w:type="dxa"/>
            <w:tcBorders>
              <w:top w:val="none" w:sz="3" w:space="0" w:color="000000"/>
              <w:left w:val="single" w:sz="3" w:space="0" w:color="000000"/>
              <w:bottom w:val="none" w:sz="3" w:space="0" w:color="000000"/>
              <w:right w:val="none" w:sz="3" w:space="0" w:color="000000"/>
            </w:tcBorders>
            <w:vAlign w:val="center"/>
          </w:tcPr>
          <w:p w14:paraId="442A133F"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Taxes on specific services</w:t>
            </w:r>
          </w:p>
        </w:tc>
      </w:tr>
      <w:tr w:rsidR="00995F52" w:rsidRPr="00995F52" w14:paraId="5F9215D9"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04C8ED2D"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1200</w:t>
            </w:r>
          </w:p>
        </w:tc>
        <w:tc>
          <w:tcPr>
            <w:tcW w:w="5991" w:type="dxa"/>
            <w:tcBorders>
              <w:top w:val="none" w:sz="3" w:space="0" w:color="000000"/>
              <w:left w:val="single" w:sz="3" w:space="0" w:color="000000"/>
              <w:bottom w:val="none" w:sz="3" w:space="0" w:color="000000"/>
              <w:right w:val="single" w:sz="3" w:space="0" w:color="000000"/>
            </w:tcBorders>
            <w:vAlign w:val="center"/>
          </w:tcPr>
          <w:p w14:paraId="2B3F837B"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Corporate income tax</w:t>
            </w:r>
          </w:p>
        </w:tc>
        <w:tc>
          <w:tcPr>
            <w:tcW w:w="1180" w:type="dxa"/>
            <w:tcBorders>
              <w:top w:val="none" w:sz="3" w:space="0" w:color="000000"/>
              <w:left w:val="single" w:sz="3" w:space="0" w:color="000000"/>
              <w:bottom w:val="none" w:sz="3" w:space="0" w:color="000000"/>
              <w:right w:val="single" w:sz="3" w:space="0" w:color="000000"/>
            </w:tcBorders>
            <w:vAlign w:val="center"/>
          </w:tcPr>
          <w:p w14:paraId="3EA3DF0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5128</w:t>
            </w:r>
          </w:p>
        </w:tc>
        <w:tc>
          <w:tcPr>
            <w:tcW w:w="5198" w:type="dxa"/>
            <w:tcBorders>
              <w:top w:val="none" w:sz="3" w:space="0" w:color="000000"/>
              <w:left w:val="single" w:sz="3" w:space="0" w:color="000000"/>
              <w:bottom w:val="none" w:sz="3" w:space="0" w:color="000000"/>
              <w:right w:val="none" w:sz="3" w:space="0" w:color="000000"/>
            </w:tcBorders>
            <w:vAlign w:val="center"/>
          </w:tcPr>
          <w:p w14:paraId="2FAECA42"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Other consumption-related taxes</w:t>
            </w:r>
          </w:p>
        </w:tc>
      </w:tr>
      <w:tr w:rsidR="00995F52" w:rsidRPr="00995F52" w14:paraId="3E609B3C"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025D17CD"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2000</w:t>
            </w:r>
          </w:p>
        </w:tc>
        <w:tc>
          <w:tcPr>
            <w:tcW w:w="5991" w:type="dxa"/>
            <w:tcBorders>
              <w:top w:val="none" w:sz="3" w:space="0" w:color="000000"/>
              <w:left w:val="single" w:sz="3" w:space="0" w:color="000000"/>
              <w:bottom w:val="none" w:sz="3" w:space="0" w:color="000000"/>
              <w:right w:val="single" w:sz="3" w:space="0" w:color="000000"/>
            </w:tcBorders>
            <w:vAlign w:val="center"/>
          </w:tcPr>
          <w:p w14:paraId="4866D183"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Total social security contributions (SSC)</w:t>
            </w:r>
          </w:p>
        </w:tc>
        <w:tc>
          <w:tcPr>
            <w:tcW w:w="1180" w:type="dxa"/>
            <w:tcBorders>
              <w:top w:val="none" w:sz="3" w:space="0" w:color="000000"/>
              <w:left w:val="single" w:sz="3" w:space="0" w:color="000000"/>
              <w:bottom w:val="none" w:sz="3" w:space="0" w:color="000000"/>
              <w:right w:val="single" w:sz="3" w:space="0" w:color="000000"/>
            </w:tcBorders>
            <w:vAlign w:val="center"/>
          </w:tcPr>
          <w:p w14:paraId="2B8077B8"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5200</w:t>
            </w:r>
          </w:p>
        </w:tc>
        <w:tc>
          <w:tcPr>
            <w:tcW w:w="5198" w:type="dxa"/>
            <w:tcBorders>
              <w:top w:val="none" w:sz="3" w:space="0" w:color="000000"/>
              <w:left w:val="single" w:sz="3" w:space="0" w:color="000000"/>
              <w:bottom w:val="none" w:sz="3" w:space="0" w:color="000000"/>
              <w:right w:val="none" w:sz="3" w:space="0" w:color="000000"/>
            </w:tcBorders>
            <w:vAlign w:val="center"/>
          </w:tcPr>
          <w:p w14:paraId="7A7D9240"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Taxes on use of goods and performances</w:t>
            </w:r>
          </w:p>
        </w:tc>
      </w:tr>
      <w:tr w:rsidR="00995F52" w:rsidRPr="00995F52" w14:paraId="4B12EC29" w14:textId="77777777" w:rsidTr="00995F52">
        <w:trPr>
          <w:trHeight w:val="56"/>
        </w:trPr>
        <w:tc>
          <w:tcPr>
            <w:tcW w:w="953" w:type="dxa"/>
            <w:tcBorders>
              <w:top w:val="none" w:sz="3" w:space="0" w:color="000000"/>
              <w:left w:val="none" w:sz="3" w:space="0" w:color="000000"/>
              <w:bottom w:val="none" w:sz="3" w:space="0" w:color="000000"/>
              <w:right w:val="single" w:sz="3" w:space="0" w:color="000000"/>
            </w:tcBorders>
            <w:vAlign w:val="center"/>
          </w:tcPr>
          <w:p w14:paraId="1B301B8D"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2100</w:t>
            </w:r>
          </w:p>
        </w:tc>
        <w:tc>
          <w:tcPr>
            <w:tcW w:w="5991" w:type="dxa"/>
            <w:tcBorders>
              <w:top w:val="none" w:sz="3" w:space="0" w:color="000000"/>
              <w:left w:val="single" w:sz="3" w:space="0" w:color="000000"/>
              <w:bottom w:val="none" w:sz="3" w:space="0" w:color="000000"/>
              <w:right w:val="single" w:sz="3" w:space="0" w:color="000000"/>
            </w:tcBorders>
            <w:vAlign w:val="center"/>
          </w:tcPr>
          <w:p w14:paraId="1F9DA007"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SSC paid by employees</w:t>
            </w:r>
          </w:p>
        </w:tc>
        <w:tc>
          <w:tcPr>
            <w:tcW w:w="1180" w:type="dxa"/>
            <w:tcBorders>
              <w:top w:val="none" w:sz="3" w:space="0" w:color="000000"/>
              <w:left w:val="single" w:sz="3" w:space="0" w:color="000000"/>
              <w:bottom w:val="none" w:sz="3" w:space="0" w:color="000000"/>
              <w:right w:val="single" w:sz="3" w:space="0" w:color="000000"/>
            </w:tcBorders>
            <w:vAlign w:val="center"/>
          </w:tcPr>
          <w:p w14:paraId="7D110208"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5212</w:t>
            </w:r>
          </w:p>
        </w:tc>
        <w:tc>
          <w:tcPr>
            <w:tcW w:w="5198" w:type="dxa"/>
            <w:tcBorders>
              <w:top w:val="none" w:sz="3" w:space="0" w:color="000000"/>
              <w:left w:val="single" w:sz="3" w:space="0" w:color="000000"/>
              <w:bottom w:val="none" w:sz="3" w:space="0" w:color="000000"/>
              <w:right w:val="none" w:sz="3" w:space="0" w:color="000000"/>
            </w:tcBorders>
            <w:vAlign w:val="center"/>
          </w:tcPr>
          <w:p w14:paraId="1087F6C7"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Taxes on moto vehicles paid by others</w:t>
            </w:r>
          </w:p>
        </w:tc>
      </w:tr>
      <w:tr w:rsidR="00995F52" w:rsidRPr="00995F52" w14:paraId="3EC0C3FB" w14:textId="77777777" w:rsidTr="00995F52">
        <w:trPr>
          <w:trHeight w:val="56"/>
        </w:trPr>
        <w:tc>
          <w:tcPr>
            <w:tcW w:w="953" w:type="dxa"/>
            <w:tcBorders>
              <w:top w:val="none" w:sz="3" w:space="0" w:color="000000"/>
              <w:left w:val="none" w:sz="3" w:space="0" w:color="000000"/>
              <w:bottom w:val="single" w:sz="3" w:space="0" w:color="000000"/>
              <w:right w:val="single" w:sz="3" w:space="0" w:color="000000"/>
            </w:tcBorders>
            <w:vAlign w:val="center"/>
          </w:tcPr>
          <w:p w14:paraId="2FFABFC1"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2200</w:t>
            </w:r>
          </w:p>
        </w:tc>
        <w:tc>
          <w:tcPr>
            <w:tcW w:w="5991" w:type="dxa"/>
            <w:tcBorders>
              <w:top w:val="none" w:sz="3" w:space="0" w:color="000000"/>
              <w:left w:val="single" w:sz="3" w:space="0" w:color="000000"/>
              <w:bottom w:val="single" w:sz="3" w:space="0" w:color="000000"/>
              <w:right w:val="single" w:sz="3" w:space="0" w:color="000000"/>
            </w:tcBorders>
            <w:vAlign w:val="center"/>
          </w:tcPr>
          <w:p w14:paraId="419B274E"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r w:rsidRPr="00995F52">
              <w:rPr>
                <w:rFonts w:ascii="Times New Roman" w:eastAsia="Times New Roman" w:hAnsi="Times New Roman" w:cs="Times New Roman"/>
              </w:rPr>
              <w:t>SSC paid by employers</w:t>
            </w:r>
          </w:p>
        </w:tc>
        <w:tc>
          <w:tcPr>
            <w:tcW w:w="1180" w:type="dxa"/>
            <w:tcBorders>
              <w:top w:val="none" w:sz="3" w:space="0" w:color="000000"/>
              <w:left w:val="single" w:sz="3" w:space="0" w:color="000000"/>
              <w:bottom w:val="single" w:sz="3" w:space="0" w:color="000000"/>
              <w:right w:val="single" w:sz="3" w:space="0" w:color="000000"/>
            </w:tcBorders>
            <w:vAlign w:val="center"/>
          </w:tcPr>
          <w:p w14:paraId="783FAD28"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p>
        </w:tc>
        <w:tc>
          <w:tcPr>
            <w:tcW w:w="5198" w:type="dxa"/>
            <w:tcBorders>
              <w:top w:val="none" w:sz="3" w:space="0" w:color="000000"/>
              <w:left w:val="single" w:sz="3" w:space="0" w:color="000000"/>
              <w:bottom w:val="single" w:sz="3" w:space="0" w:color="000000"/>
              <w:right w:val="none" w:sz="3" w:space="0" w:color="000000"/>
            </w:tcBorders>
            <w:vAlign w:val="center"/>
          </w:tcPr>
          <w:p w14:paraId="3DE2BEDC"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Times New Roman" w:hAnsi="Times New Roman" w:cs="Times New Roman"/>
              </w:rPr>
            </w:pPr>
          </w:p>
        </w:tc>
      </w:tr>
    </w:tbl>
    <w:p w14:paraId="042B47A8" w14:textId="77777777" w:rsidR="00995F52" w:rsidRPr="00995F52" w:rsidRDefault="00995F52" w:rsidP="00995F52">
      <w:pPr>
        <w:widowControl w:val="0"/>
        <w:kinsoku w:val="0"/>
        <w:overflowPunct w:val="0"/>
        <w:adjustRightInd w:val="0"/>
        <w:snapToGrid w:val="0"/>
        <w:spacing w:after="0" w:line="240" w:lineRule="auto"/>
        <w:jc w:val="left"/>
        <w:rPr>
          <w:rFonts w:ascii="Times New Roman" w:eastAsia="맑은 고딕" w:hAnsi="Times New Roman"/>
          <w:sz w:val="24"/>
        </w:rPr>
        <w:sectPr w:rsidR="00995F52" w:rsidRPr="00995F52">
          <w:endnotePr>
            <w:numFmt w:val="decimal"/>
          </w:endnotePr>
          <w:pgSz w:w="16837" w:h="11906" w:orient="landscape"/>
          <w:pgMar w:top="1984" w:right="1701" w:bottom="1701" w:left="1701" w:header="1134" w:footer="850" w:gutter="0"/>
          <w:cols w:space="0"/>
        </w:sectPr>
      </w:pPr>
    </w:p>
    <w:p w14:paraId="0B68B8D9" w14:textId="77777777" w:rsidR="00995F52" w:rsidRPr="00995F52" w:rsidRDefault="00995F52" w:rsidP="00995F52">
      <w:pPr>
        <w:widowControl w:val="0"/>
        <w:kinsoku w:val="0"/>
        <w:overflowPunct w:val="0"/>
        <w:adjustRightInd w:val="0"/>
        <w:snapToGrid w:val="0"/>
        <w:spacing w:after="0" w:line="480" w:lineRule="auto"/>
        <w:jc w:val="left"/>
        <w:rPr>
          <w:rFonts w:ascii="Times New Roman" w:eastAsia="Times New Roman" w:hAnsi="Times New Roman"/>
          <w:sz w:val="24"/>
        </w:rPr>
      </w:pPr>
      <w:r w:rsidRPr="00995F52">
        <w:rPr>
          <w:rFonts w:ascii="Times New Roman" w:eastAsia="Times New Roman" w:hAnsi="Times New Roman"/>
          <w:b/>
          <w:sz w:val="24"/>
        </w:rPr>
        <w:lastRenderedPageBreak/>
        <w:t>Appendix 2: Cases, the coverage, and the data sources</w:t>
      </w:r>
    </w:p>
    <w:p w14:paraId="4B8814E1" w14:textId="77777777" w:rsidR="00995F52" w:rsidRPr="00995F52" w:rsidRDefault="00995F52" w:rsidP="00995F52">
      <w:pPr>
        <w:widowControl w:val="0"/>
        <w:kinsoku w:val="0"/>
        <w:overflowPunct w:val="0"/>
        <w:adjustRightInd w:val="0"/>
        <w:snapToGrid w:val="0"/>
        <w:spacing w:after="0" w:line="480" w:lineRule="auto"/>
        <w:ind w:firstLineChars="300" w:firstLine="698"/>
        <w:jc w:val="left"/>
        <w:rPr>
          <w:rFonts w:ascii="Times New Roman" w:eastAsia="함초롬바탕" w:hAnsi="Times New Roman"/>
          <w:sz w:val="24"/>
        </w:rPr>
      </w:pPr>
    </w:p>
    <w:p w14:paraId="3E95D07C" w14:textId="77777777" w:rsidR="00995F52" w:rsidRPr="00995F52" w:rsidRDefault="00995F52" w:rsidP="00995F52">
      <w:pPr>
        <w:widowControl w:val="0"/>
        <w:kinsoku w:val="0"/>
        <w:overflowPunct w:val="0"/>
        <w:adjustRightInd w:val="0"/>
        <w:snapToGrid w:val="0"/>
        <w:spacing w:after="0" w:line="480" w:lineRule="auto"/>
        <w:jc w:val="left"/>
        <w:rPr>
          <w:rFonts w:ascii="Times New Roman" w:hAnsi="Times New Roman"/>
          <w:sz w:val="24"/>
          <w:u w:val="single"/>
        </w:rPr>
      </w:pPr>
      <w:r w:rsidRPr="00995F52">
        <w:rPr>
          <w:rFonts w:ascii="Times New Roman" w:eastAsia="Times New Roman" w:hAnsi="Times New Roman"/>
          <w:sz w:val="24"/>
          <w:u w:val="single"/>
        </w:rPr>
        <w:t>1. Cases: 21 countries</w:t>
      </w:r>
    </w:p>
    <w:p w14:paraId="146BE93C" w14:textId="77777777" w:rsidR="00995F52" w:rsidRPr="00995F52" w:rsidRDefault="00995F52" w:rsidP="00995F5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Japan, Korea, and 19 OECD countries (Australia, Austria, Belgium, Canada, Denmark, Finland, France, Germany, Greece, Ireland, Italy, the Netherlands, Norway, Portugal, Spain, Sweden, Switzerland, the UK, and the US)</w:t>
      </w:r>
    </w:p>
    <w:p w14:paraId="0ADF6184" w14:textId="77777777" w:rsidR="00995F52" w:rsidRPr="00995F52" w:rsidRDefault="00995F52" w:rsidP="00995F52">
      <w:pPr>
        <w:widowControl w:val="0"/>
        <w:kinsoku w:val="0"/>
        <w:overflowPunct w:val="0"/>
        <w:adjustRightInd w:val="0"/>
        <w:snapToGrid w:val="0"/>
        <w:spacing w:after="0" w:line="480" w:lineRule="auto"/>
        <w:jc w:val="left"/>
        <w:rPr>
          <w:rFonts w:ascii="Times New Roman" w:eastAsia="Times New Roman" w:hAnsi="Times New Roman"/>
          <w:sz w:val="24"/>
          <w:u w:val="single"/>
        </w:rPr>
      </w:pPr>
      <w:r w:rsidRPr="00995F52">
        <w:rPr>
          <w:rFonts w:ascii="Times New Roman" w:eastAsia="Times New Roman" w:hAnsi="Times New Roman"/>
          <w:sz w:val="24"/>
          <w:u w:val="single"/>
        </w:rPr>
        <w:t>2. Coverage: 1995-2018</w:t>
      </w:r>
    </w:p>
    <w:p w14:paraId="36ACB9B4" w14:textId="77777777" w:rsidR="00995F52" w:rsidRPr="00995F52" w:rsidRDefault="00995F52" w:rsidP="00995F5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For Japan and Korea, some data extended to cover earlier years back in1980.</w:t>
      </w:r>
    </w:p>
    <w:p w14:paraId="1B5D0370" w14:textId="77777777" w:rsidR="00995F52" w:rsidRPr="00995F52" w:rsidRDefault="00995F52" w:rsidP="00995F52">
      <w:pPr>
        <w:widowControl w:val="0"/>
        <w:kinsoku w:val="0"/>
        <w:overflowPunct w:val="0"/>
        <w:adjustRightInd w:val="0"/>
        <w:snapToGrid w:val="0"/>
        <w:spacing w:after="0" w:line="480" w:lineRule="auto"/>
        <w:jc w:val="left"/>
        <w:rPr>
          <w:rFonts w:ascii="Times New Roman" w:eastAsia="Times New Roman" w:hAnsi="Times New Roman"/>
          <w:sz w:val="24"/>
          <w:u w:val="single"/>
        </w:rPr>
      </w:pPr>
      <w:r w:rsidRPr="00995F52">
        <w:rPr>
          <w:rFonts w:ascii="Times New Roman" w:eastAsia="Times New Roman" w:hAnsi="Times New Roman"/>
          <w:sz w:val="24"/>
          <w:u w:val="single"/>
        </w:rPr>
        <w:t>3. Data sources</w:t>
      </w:r>
    </w:p>
    <w:p w14:paraId="5A599962" w14:textId="77777777" w:rsidR="00995F52" w:rsidRPr="00995F52" w:rsidRDefault="00995F52" w:rsidP="00995F5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1&gt; Total taxation as % of GDP: OECD database (</w:t>
      </w:r>
      <w:hyperlink r:id="rId19" w:history="1">
        <w:r w:rsidRPr="00995F52">
          <w:rPr>
            <w:rFonts w:ascii="Times New Roman" w:eastAsia="Times New Roman" w:hAnsi="Times New Roman"/>
            <w:color w:val="0563C1" w:themeColor="hyperlink"/>
            <w:sz w:val="24"/>
            <w:u w:val="single"/>
          </w:rPr>
          <w:t>https://stats.oecd.org/</w:t>
        </w:r>
      </w:hyperlink>
      <w:r w:rsidRPr="00995F52">
        <w:rPr>
          <w:rFonts w:ascii="Times New Roman" w:eastAsia="Times New Roman" w:hAnsi="Times New Roman"/>
          <w:sz w:val="24"/>
        </w:rPr>
        <w:t>).</w:t>
      </w:r>
    </w:p>
    <w:p w14:paraId="3A5E1932" w14:textId="77777777" w:rsidR="00995F52" w:rsidRPr="00995F52" w:rsidRDefault="00995F52" w:rsidP="00995F5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2&gt; Top statutory tax rates for personal and corporate income: OECD database (</w:t>
      </w:r>
      <w:hyperlink r:id="rId20" w:history="1">
        <w:r w:rsidRPr="00995F52">
          <w:rPr>
            <w:rFonts w:ascii="Times New Roman" w:eastAsia="Times New Roman" w:hAnsi="Times New Roman"/>
            <w:color w:val="0563C1" w:themeColor="hyperlink"/>
            <w:sz w:val="24"/>
            <w:u w:val="single"/>
          </w:rPr>
          <w:t>https://stats.oecd.org/</w:t>
        </w:r>
      </w:hyperlink>
      <w:r w:rsidRPr="00995F52">
        <w:rPr>
          <w:rFonts w:ascii="Times New Roman" w:eastAsia="Times New Roman" w:hAnsi="Times New Roman"/>
          <w:sz w:val="24"/>
        </w:rPr>
        <w:t>). The historical data for Korea were collected from the tax rate clauses of the Corporate Tax Acts of Korea and the Income Tax Acts of Korea, available online from the government website (http://www.law. go.kr/). The historical data for Japan were collected from Ishi (2001, pp. 82, 173).</w:t>
      </w:r>
    </w:p>
    <w:p w14:paraId="46F96FC6" w14:textId="2763A1D4" w:rsidR="00995F52" w:rsidRPr="00907FB2" w:rsidRDefault="00995F52" w:rsidP="00907FB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 xml:space="preserve">3&gt; VAT: OECD. 2018. </w:t>
      </w:r>
      <w:r w:rsidRPr="00995F52">
        <w:rPr>
          <w:rFonts w:ascii="Times New Roman" w:eastAsia="Times New Roman" w:hAnsi="Times New Roman"/>
          <w:i/>
          <w:sz w:val="24"/>
        </w:rPr>
        <w:t>Consumption Tax Trend 2018</w:t>
      </w:r>
      <w:r w:rsidRPr="00995F52">
        <w:rPr>
          <w:rFonts w:ascii="Times New Roman" w:eastAsia="Times New Roman" w:hAnsi="Times New Roman"/>
          <w:sz w:val="24"/>
        </w:rPr>
        <w:t xml:space="preserve">. Paris: OECD. The historical data for Korea were collected from Na (1997, pp.180-182), and those for Japan were collected from Cabinet Office (2018, p.67), Ishi (2001, pp.324-339), and </w:t>
      </w:r>
      <w:r w:rsidRPr="00995F52">
        <w:rPr>
          <w:rFonts w:ascii="Times New Roman" w:eastAsia="Times New Roman" w:hAnsi="Times New Roman" w:hint="eastAsia"/>
          <w:i/>
          <w:sz w:val="24"/>
        </w:rPr>
        <w:t>Nippon Times</w:t>
      </w:r>
      <w:r w:rsidRPr="00995F52">
        <w:rPr>
          <w:rFonts w:ascii="Times New Roman" w:eastAsia="Times New Roman" w:hAnsi="Times New Roman" w:hint="eastAsia"/>
          <w:sz w:val="24"/>
        </w:rPr>
        <w:t xml:space="preserve"> </w:t>
      </w:r>
      <w:r w:rsidRPr="00995F52">
        <w:rPr>
          <w:rFonts w:ascii="Times New Roman" w:eastAsia="Times New Roman" w:hAnsi="Times New Roman"/>
          <w:sz w:val="24"/>
        </w:rPr>
        <w:t>(</w:t>
      </w:r>
      <w:r w:rsidRPr="00995F52">
        <w:rPr>
          <w:rFonts w:ascii="Times New Roman" w:eastAsia="Times New Roman" w:hAnsi="Times New Roman" w:hint="eastAsia"/>
          <w:sz w:val="24"/>
        </w:rPr>
        <w:t>Oct.</w:t>
      </w:r>
      <w:r w:rsidRPr="00995F52">
        <w:rPr>
          <w:rFonts w:ascii="Times New Roman" w:eastAsia="Times New Roman" w:hAnsi="Times New Roman"/>
          <w:sz w:val="24"/>
        </w:rPr>
        <w:t xml:space="preserve"> 8 2019</w:t>
      </w:r>
      <w:r w:rsidRPr="00995F52">
        <w:rPr>
          <w:rFonts w:ascii="Times New Roman" w:eastAsia="Times New Roman" w:hAnsi="Times New Roman" w:hint="eastAsia"/>
          <w:sz w:val="24"/>
        </w:rPr>
        <w:t>)</w:t>
      </w:r>
      <w:r w:rsidRPr="00995F52">
        <w:rPr>
          <w:rFonts w:ascii="Times New Roman" w:eastAsia="Times New Roman" w:hAnsi="Times New Roman"/>
          <w:sz w:val="24"/>
        </w:rPr>
        <w:t>.</w:t>
      </w:r>
      <w:r w:rsidR="00907FB2">
        <w:rPr>
          <w:rFonts w:ascii="Times New Roman" w:eastAsia="Times New Roman" w:hAnsi="Times New Roman"/>
          <w:sz w:val="24"/>
        </w:rPr>
        <w:t xml:space="preserve"> The US data was calculated by averaging out all state-level VAT rates provided by Tax Policy Center (</w:t>
      </w:r>
      <w:r w:rsidR="00907FB2" w:rsidRPr="00907FB2">
        <w:rPr>
          <w:rFonts w:ascii="Times New Roman" w:eastAsia="Times New Roman" w:hAnsi="Times New Roman"/>
          <w:sz w:val="24"/>
        </w:rPr>
        <w:t>https://www.taxpolicycenter.org/statistics/state-sales-tax-rates</w:t>
      </w:r>
      <w:r w:rsidR="00907FB2">
        <w:rPr>
          <w:rFonts w:ascii="Times New Roman" w:eastAsia="Times New Roman" w:hAnsi="Times New Roman"/>
          <w:sz w:val="24"/>
        </w:rPr>
        <w:t>).</w:t>
      </w:r>
    </w:p>
    <w:p w14:paraId="6A41EC3F" w14:textId="77777777" w:rsidR="00995F52" w:rsidRPr="00995F52" w:rsidRDefault="00995F52" w:rsidP="00995F5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4&gt; The marginal effective tax rates of for one-earner and two-earner families with 167% and 67% of the average gross wage earnings: OECD database (</w:t>
      </w:r>
      <w:hyperlink r:id="rId21" w:history="1">
        <w:r w:rsidRPr="00995F52">
          <w:rPr>
            <w:rFonts w:ascii="Times New Roman" w:eastAsia="Times New Roman" w:hAnsi="Times New Roman"/>
            <w:color w:val="0563C1" w:themeColor="hyperlink"/>
            <w:sz w:val="24"/>
            <w:u w:val="single"/>
          </w:rPr>
          <w:t>https://stats.oecd.org/</w:t>
        </w:r>
      </w:hyperlink>
      <w:r w:rsidRPr="00995F52">
        <w:rPr>
          <w:rFonts w:ascii="Times New Roman" w:eastAsia="Times New Roman" w:hAnsi="Times New Roman"/>
          <w:sz w:val="24"/>
        </w:rPr>
        <w:t>).</w:t>
      </w:r>
    </w:p>
    <w:p w14:paraId="7E112D9C" w14:textId="77777777" w:rsidR="00995F52" w:rsidRPr="00995F52" w:rsidRDefault="00995F52" w:rsidP="00995F5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5&gt; The tax burden as measured with AETRs and the GDP ratios: The tax and income/consumption data used to calculate these figures were directly collected from OECD Revenue Statistics and OECD National Accounts Statistics (</w:t>
      </w:r>
      <w:hyperlink r:id="rId22" w:history="1">
        <w:r w:rsidRPr="00995F52">
          <w:rPr>
            <w:rFonts w:ascii="Times New Roman" w:eastAsia="Times New Roman" w:hAnsi="Times New Roman"/>
            <w:color w:val="0563C1" w:themeColor="hyperlink"/>
            <w:sz w:val="24"/>
            <w:u w:val="single"/>
          </w:rPr>
          <w:t>https://stats.oecd.org/</w:t>
        </w:r>
      </w:hyperlink>
      <w:r w:rsidRPr="00995F52">
        <w:rPr>
          <w:rFonts w:ascii="Times New Roman" w:eastAsia="Times New Roman" w:hAnsi="Times New Roman"/>
          <w:sz w:val="24"/>
        </w:rPr>
        <w:t>), except for the following cases.</w:t>
      </w:r>
    </w:p>
    <w:p w14:paraId="740FBC1F" w14:textId="77777777"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Times New Roman" w:hAnsi="Times New Roman"/>
          <w:sz w:val="24"/>
        </w:rPr>
      </w:pPr>
      <w:r w:rsidRPr="00995F52">
        <w:rPr>
          <w:rFonts w:ascii="Times New Roman" w:eastAsia="Times New Roman" w:hAnsi="Times New Roman"/>
          <w:i/>
          <w:sz w:val="24"/>
        </w:rPr>
        <w:lastRenderedPageBreak/>
        <w:t>OSPUE</w:t>
      </w:r>
      <w:r w:rsidRPr="00995F52">
        <w:rPr>
          <w:rFonts w:ascii="Times New Roman" w:eastAsia="Times New Roman" w:hAnsi="Times New Roman"/>
          <w:sz w:val="24"/>
        </w:rPr>
        <w:t xml:space="preserve"> (unincorporated business net income): This item was calculated by subtracting gross mixed income (</w:t>
      </w:r>
      <w:r w:rsidRPr="00995F52">
        <w:rPr>
          <w:rFonts w:ascii="Times New Roman" w:eastAsia="Times New Roman" w:hAnsi="Times New Roman"/>
          <w:i/>
          <w:sz w:val="24"/>
        </w:rPr>
        <w:t>GMI</w:t>
      </w:r>
      <w:r w:rsidRPr="00995F52">
        <w:rPr>
          <w:rFonts w:ascii="Times New Roman" w:eastAsia="Times New Roman" w:hAnsi="Times New Roman"/>
          <w:sz w:val="24"/>
        </w:rPr>
        <w:t>) by consumption of fixed capital (</w:t>
      </w:r>
      <w:r w:rsidRPr="00995F52">
        <w:rPr>
          <w:rFonts w:ascii="Times New Roman" w:eastAsia="Times New Roman" w:hAnsi="Times New Roman"/>
          <w:i/>
          <w:sz w:val="24"/>
        </w:rPr>
        <w:t>CFC</w:t>
      </w:r>
      <w:r w:rsidRPr="00995F52">
        <w:rPr>
          <w:rFonts w:ascii="Times New Roman" w:eastAsia="Times New Roman" w:hAnsi="Times New Roman"/>
          <w:sz w:val="24"/>
        </w:rPr>
        <w:t xml:space="preserve">) at the household level. For Australia, Canada, Germany, and Ireland where the household-level data were missing, alternative data were drawn from the household and non-profit institutions (NPI) level. Also notice that the OECD database did not provide the </w:t>
      </w:r>
      <w:r w:rsidRPr="00995F52">
        <w:rPr>
          <w:rFonts w:ascii="Times New Roman" w:eastAsia="Times New Roman" w:hAnsi="Times New Roman"/>
          <w:i/>
          <w:sz w:val="24"/>
        </w:rPr>
        <w:t>GMI</w:t>
      </w:r>
      <w:r w:rsidRPr="00995F52">
        <w:rPr>
          <w:rFonts w:ascii="Times New Roman" w:eastAsia="Times New Roman" w:hAnsi="Times New Roman"/>
          <w:sz w:val="24"/>
        </w:rPr>
        <w:t xml:space="preserve"> and </w:t>
      </w:r>
      <w:r w:rsidRPr="00995F52">
        <w:rPr>
          <w:rFonts w:ascii="Times New Roman" w:eastAsia="Times New Roman" w:hAnsi="Times New Roman"/>
          <w:i/>
          <w:sz w:val="24"/>
        </w:rPr>
        <w:t>CFC</w:t>
      </w:r>
      <w:r w:rsidRPr="00995F52">
        <w:rPr>
          <w:rFonts w:ascii="Times New Roman" w:eastAsia="Times New Roman" w:hAnsi="Times New Roman"/>
          <w:sz w:val="24"/>
        </w:rPr>
        <w:t xml:space="preserve"> data for Korea. These data were therefore collected from an alternative source, KOSIS (</w:t>
      </w:r>
      <w:hyperlink r:id="rId23" w:history="1">
        <w:r w:rsidRPr="00995F52">
          <w:rPr>
            <w:rFonts w:ascii="Times New Roman" w:eastAsia="Times New Roman" w:hAnsi="Times New Roman"/>
            <w:color w:val="0563C1" w:themeColor="hyperlink"/>
            <w:sz w:val="24"/>
            <w:u w:val="single"/>
          </w:rPr>
          <w:t>https://kosis.kr/index/index.do</w:t>
        </w:r>
      </w:hyperlink>
      <w:r w:rsidRPr="00995F52">
        <w:rPr>
          <w:rFonts w:ascii="Times New Roman" w:eastAsia="Times New Roman" w:hAnsi="Times New Roman"/>
          <w:sz w:val="24"/>
        </w:rPr>
        <w:t xml:space="preserve">), run by the Korean government. </w:t>
      </w:r>
    </w:p>
    <w:p w14:paraId="1AB0D43F" w14:textId="77777777"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함초롬바탕" w:hAnsi="Times New Roman"/>
          <w:sz w:val="24"/>
        </w:rPr>
      </w:pPr>
      <w:r w:rsidRPr="00995F52">
        <w:rPr>
          <w:rFonts w:ascii="Times New Roman" w:eastAsia="Times New Roman" w:hAnsi="Times New Roman"/>
          <w:i/>
          <w:sz w:val="24"/>
        </w:rPr>
        <w:t>PEI</w:t>
      </w:r>
      <w:r w:rsidRPr="00995F52">
        <w:rPr>
          <w:rFonts w:ascii="Times New Roman" w:eastAsia="Times New Roman" w:hAnsi="Times New Roman"/>
          <w:sz w:val="24"/>
        </w:rPr>
        <w:t xml:space="preserve"> (interest, dividends, and investment receipts): The OECD database did not provide the household-level data for Australia, Austria, Canada, Germany, Ireland, and Switzerland. These data were replaced by the household and NPI level data. Meanwhile, the </w:t>
      </w:r>
      <w:r w:rsidRPr="00995F52">
        <w:rPr>
          <w:rFonts w:ascii="Times New Roman" w:eastAsia="Times New Roman" w:hAnsi="Times New Roman"/>
          <w:i/>
          <w:sz w:val="24"/>
        </w:rPr>
        <w:t xml:space="preserve">PEI </w:t>
      </w:r>
      <w:r w:rsidRPr="00995F52">
        <w:rPr>
          <w:rFonts w:ascii="Times New Roman" w:eastAsia="Times New Roman" w:hAnsi="Times New Roman"/>
          <w:sz w:val="24"/>
        </w:rPr>
        <w:t>data for Korea were all missing. These data were substituted with those from KOSIS (</w:t>
      </w:r>
      <w:hyperlink r:id="rId24" w:history="1">
        <w:r w:rsidRPr="00995F52">
          <w:rPr>
            <w:rFonts w:ascii="Times New Roman" w:eastAsia="Times New Roman" w:hAnsi="Times New Roman"/>
            <w:color w:val="0563C1" w:themeColor="hyperlink"/>
            <w:sz w:val="24"/>
            <w:u w:val="single"/>
          </w:rPr>
          <w:t>https://kosis.kr/index/index.do</w:t>
        </w:r>
      </w:hyperlink>
      <w:r w:rsidRPr="00995F52">
        <w:rPr>
          <w:rFonts w:ascii="Times New Roman" w:eastAsia="Times New Roman" w:hAnsi="Times New Roman"/>
          <w:sz w:val="24"/>
        </w:rPr>
        <w:t>).</w:t>
      </w:r>
    </w:p>
    <w:p w14:paraId="0CCB266B" w14:textId="77777777"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함초롬바탕" w:hAnsi="Times New Roman"/>
          <w:sz w:val="24"/>
        </w:rPr>
      </w:pPr>
      <w:r w:rsidRPr="00995F52">
        <w:rPr>
          <w:rFonts w:ascii="Times New Roman" w:eastAsia="함초롬바탕" w:hAnsi="Times New Roman" w:hint="eastAsia"/>
          <w:i/>
          <w:sz w:val="24"/>
        </w:rPr>
        <w:t>W</w:t>
      </w:r>
      <w:r w:rsidRPr="00995F52">
        <w:rPr>
          <w:rFonts w:ascii="Times New Roman" w:eastAsia="함초롬바탕" w:hAnsi="Times New Roman" w:hint="eastAsia"/>
          <w:sz w:val="24"/>
        </w:rPr>
        <w:t xml:space="preserve"> (</w:t>
      </w:r>
      <w:r w:rsidRPr="00995F52">
        <w:rPr>
          <w:rFonts w:ascii="Times New Roman" w:eastAsia="함초롬바탕" w:hAnsi="Times New Roman"/>
          <w:sz w:val="24"/>
        </w:rPr>
        <w:t xml:space="preserve">wages and salaries for employees), </w:t>
      </w:r>
      <w:r w:rsidRPr="00995F52">
        <w:rPr>
          <w:rFonts w:ascii="Times New Roman" w:eastAsia="함초롬바탕" w:hAnsi="Times New Roman"/>
          <w:i/>
          <w:sz w:val="24"/>
        </w:rPr>
        <w:t>WSSS</w:t>
      </w:r>
      <w:r w:rsidRPr="00995F52">
        <w:rPr>
          <w:rFonts w:ascii="Times New Roman" w:eastAsia="함초롬바탕" w:hAnsi="Times New Roman"/>
          <w:sz w:val="24"/>
        </w:rPr>
        <w:t xml:space="preserve"> (total compensation of employees (including employers’ contributions to social security and to pension funds), </w:t>
      </w:r>
      <w:r w:rsidRPr="00995F52">
        <w:rPr>
          <w:rFonts w:ascii="Times New Roman" w:eastAsia="함초롬바탕" w:hAnsi="Times New Roman"/>
          <w:i/>
          <w:sz w:val="24"/>
        </w:rPr>
        <w:t>OS</w:t>
      </w:r>
      <w:r w:rsidRPr="00995F52">
        <w:rPr>
          <w:rFonts w:ascii="Times New Roman" w:eastAsia="함초롬바탕" w:hAnsi="Times New Roman"/>
          <w:sz w:val="24"/>
        </w:rPr>
        <w:t xml:space="preserve"> (operating surplus), and </w:t>
      </w:r>
      <w:r w:rsidRPr="00995F52">
        <w:rPr>
          <w:rFonts w:ascii="Times New Roman" w:eastAsia="함초롬바탕" w:hAnsi="Times New Roman"/>
          <w:i/>
          <w:sz w:val="24"/>
        </w:rPr>
        <w:t>GOS</w:t>
      </w:r>
      <w:r w:rsidRPr="00995F52">
        <w:rPr>
          <w:rFonts w:ascii="Times New Roman" w:eastAsia="함초롬바탕" w:hAnsi="Times New Roman"/>
          <w:sz w:val="24"/>
        </w:rPr>
        <w:t xml:space="preserve"> (gross operating surplus) were all missing for Korea. These data were substituted with those from the KOSIS.</w:t>
      </w:r>
    </w:p>
    <w:p w14:paraId="688D8CD1" w14:textId="77777777"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함초롬바탕" w:hAnsi="Times New Roman"/>
          <w:sz w:val="24"/>
        </w:rPr>
      </w:pPr>
      <w:r w:rsidRPr="00995F52">
        <w:rPr>
          <w:rFonts w:ascii="Times New Roman" w:eastAsia="함초롬바탕" w:hAnsi="Times New Roman"/>
          <w:sz w:val="24"/>
        </w:rPr>
        <w:t>All historical data for Japan, which were not covered by the OECD database, were collected from National Account for household (2003) from the Cabinet Office</w:t>
      </w:r>
      <w:r w:rsidRPr="00995F52">
        <w:rPr>
          <w:rFonts w:ascii="Times New Roman" w:eastAsia="Times New Roman" w:hAnsi="Times New Roman"/>
          <w:sz w:val="24"/>
        </w:rPr>
        <w:t xml:space="preserve"> (</w:t>
      </w:r>
      <w:hyperlink r:id="rId25" w:history="1">
        <w:r w:rsidRPr="00995F52">
          <w:rPr>
            <w:rFonts w:ascii="Times New Roman" w:eastAsia="함초롬바탕" w:hAnsi="Times New Roman"/>
            <w:color w:val="0563C1" w:themeColor="hyperlink"/>
            <w:sz w:val="24"/>
            <w:u w:val="single"/>
          </w:rPr>
          <w:t>https://www.esri.cao.go.jp/en/sna/data/kakuhou/files/2003/17annual_report_e.html</w:t>
        </w:r>
      </w:hyperlink>
      <w:r w:rsidRPr="00995F52">
        <w:rPr>
          <w:rFonts w:ascii="Times New Roman" w:eastAsia="함초롬바탕" w:hAnsi="Times New Roman"/>
          <w:sz w:val="24"/>
        </w:rPr>
        <w:t>). Those for Korea were drawn from KOSIS.</w:t>
      </w:r>
    </w:p>
    <w:p w14:paraId="196025BD" w14:textId="77777777" w:rsidR="00995F52" w:rsidRPr="00995F52" w:rsidRDefault="00995F52" w:rsidP="00995F52">
      <w:pPr>
        <w:widowControl w:val="0"/>
        <w:kinsoku w:val="0"/>
        <w:overflowPunct w:val="0"/>
        <w:adjustRightInd w:val="0"/>
        <w:snapToGrid w:val="0"/>
        <w:spacing w:after="0" w:line="480" w:lineRule="auto"/>
        <w:jc w:val="left"/>
        <w:rPr>
          <w:rFonts w:ascii="Times New Roman" w:eastAsia="Times New Roman" w:hAnsi="Times New Roman"/>
          <w:sz w:val="24"/>
          <w:u w:val="single"/>
        </w:rPr>
      </w:pPr>
      <w:r w:rsidRPr="00995F52">
        <w:rPr>
          <w:rFonts w:ascii="Times New Roman" w:eastAsia="Times New Roman" w:hAnsi="Times New Roman"/>
          <w:sz w:val="24"/>
          <w:u w:val="single"/>
        </w:rPr>
        <w:t>4. Missing data</w:t>
      </w:r>
    </w:p>
    <w:p w14:paraId="18948826" w14:textId="77777777" w:rsidR="00995F52" w:rsidRPr="00995F52" w:rsidRDefault="00995F52" w:rsidP="00995F5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1&gt; Total taxation as the percentage of GDP: The data for Australia in 2018 was missing.</w:t>
      </w:r>
    </w:p>
    <w:p w14:paraId="1537CE08" w14:textId="77777777" w:rsidR="00995F52" w:rsidRPr="00995F52" w:rsidRDefault="00995F52" w:rsidP="00995F5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2&gt; Top statutory rates for personal and corporate income: The personal income data for the 1995-1999 period were missing in all countries except for Japan and Korea.</w:t>
      </w:r>
    </w:p>
    <w:p w14:paraId="18E7D38A" w14:textId="6C434504" w:rsidR="00995F52" w:rsidRPr="00995F52" w:rsidRDefault="00995F52" w:rsidP="00995F5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 xml:space="preserve">3&gt; VAT: The Australian data for 1995-1999, 2001-2004, and 2006 were missing. The US data </w:t>
      </w:r>
      <w:r w:rsidR="00907FB2">
        <w:rPr>
          <w:rFonts w:ascii="Times New Roman" w:eastAsia="Times New Roman" w:hAnsi="Times New Roman"/>
          <w:sz w:val="24"/>
        </w:rPr>
        <w:t>were also missing for 1995-2000</w:t>
      </w:r>
      <w:r w:rsidRPr="00995F52">
        <w:rPr>
          <w:rFonts w:ascii="Times New Roman" w:eastAsia="Times New Roman" w:hAnsi="Times New Roman"/>
          <w:sz w:val="24"/>
        </w:rPr>
        <w:t xml:space="preserve">. For all other countries, the VAT data for 1996-2004 </w:t>
      </w:r>
      <w:r w:rsidRPr="00995F52">
        <w:rPr>
          <w:rFonts w:ascii="Times New Roman" w:eastAsia="Times New Roman" w:hAnsi="Times New Roman"/>
          <w:sz w:val="24"/>
        </w:rPr>
        <w:lastRenderedPageBreak/>
        <w:t>and 2006 were missing</w:t>
      </w:r>
      <w:r w:rsidR="00A27ABC">
        <w:rPr>
          <w:rFonts w:ascii="Times New Roman" w:eastAsia="Times New Roman" w:hAnsi="Times New Roman"/>
          <w:sz w:val="24"/>
        </w:rPr>
        <w:t>,</w:t>
      </w:r>
      <w:r w:rsidRPr="00995F52">
        <w:rPr>
          <w:rFonts w:ascii="Times New Roman" w:eastAsia="Times New Roman" w:hAnsi="Times New Roman"/>
          <w:sz w:val="24"/>
        </w:rPr>
        <w:t xml:space="preserve"> except for Japan and Korea</w:t>
      </w:r>
      <w:r w:rsidR="00A27ABC">
        <w:rPr>
          <w:rFonts w:ascii="Times New Roman" w:eastAsia="Times New Roman" w:hAnsi="Times New Roman"/>
          <w:sz w:val="24"/>
        </w:rPr>
        <w:t xml:space="preserve"> which reported no missing data</w:t>
      </w:r>
      <w:r w:rsidRPr="00995F52">
        <w:rPr>
          <w:rFonts w:ascii="Times New Roman" w:eastAsia="Times New Roman" w:hAnsi="Times New Roman"/>
          <w:sz w:val="24"/>
        </w:rPr>
        <w:t>.</w:t>
      </w:r>
    </w:p>
    <w:p w14:paraId="10AB0551" w14:textId="77777777" w:rsidR="00995F52" w:rsidRPr="00995F52" w:rsidRDefault="00995F52" w:rsidP="00995F5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4&gt; The marginal effective tax rates of for one-earner and two-earner families with 167% and 67% of the average gross wage earnings: The data for 1995-1999 were missing for all countries.</w:t>
      </w:r>
    </w:p>
    <w:p w14:paraId="0BF7A00A" w14:textId="77777777" w:rsidR="00995F52" w:rsidRPr="00995F52" w:rsidRDefault="00995F52" w:rsidP="00995F52">
      <w:pPr>
        <w:widowControl w:val="0"/>
        <w:kinsoku w:val="0"/>
        <w:overflowPunct w:val="0"/>
        <w:adjustRightInd w:val="0"/>
        <w:snapToGrid w:val="0"/>
        <w:spacing w:after="0" w:line="480" w:lineRule="auto"/>
        <w:ind w:firstLineChars="100" w:firstLine="240"/>
        <w:jc w:val="left"/>
        <w:rPr>
          <w:rFonts w:ascii="Times New Roman" w:eastAsia="Times New Roman" w:hAnsi="Times New Roman"/>
          <w:sz w:val="24"/>
        </w:rPr>
      </w:pPr>
      <w:r w:rsidRPr="00995F52">
        <w:rPr>
          <w:rFonts w:ascii="Times New Roman" w:eastAsia="Times New Roman" w:hAnsi="Times New Roman"/>
          <w:sz w:val="24"/>
        </w:rPr>
        <w:t>5&gt; Tax burden as measured with AETRs and the GDP ratios:</w:t>
      </w:r>
    </w:p>
    <w:p w14:paraId="35C3482C" w14:textId="77777777"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Times New Roman" w:hAnsi="Times New Roman"/>
          <w:sz w:val="24"/>
        </w:rPr>
      </w:pPr>
      <w:r w:rsidRPr="00995F52">
        <w:rPr>
          <w:rFonts w:ascii="Times New Roman" w:eastAsia="Times New Roman" w:hAnsi="Times New Roman"/>
          <w:sz w:val="24"/>
        </w:rPr>
        <w:t>Australia: The AETR data for consumption were missing for 1995-1997. All data were missing for 2018.</w:t>
      </w:r>
    </w:p>
    <w:p w14:paraId="1FB47DBA" w14:textId="77777777"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Times New Roman" w:hAnsi="Times New Roman"/>
          <w:sz w:val="24"/>
        </w:rPr>
      </w:pPr>
      <w:r w:rsidRPr="00995F52">
        <w:rPr>
          <w:rFonts w:ascii="Times New Roman" w:eastAsia="Times New Roman" w:hAnsi="Times New Roman"/>
          <w:sz w:val="24"/>
        </w:rPr>
        <w:t>Austria: All wage, SSCs, and capital income data were missing for 1995-1998.</w:t>
      </w:r>
    </w:p>
    <w:p w14:paraId="6A4815D2" w14:textId="49976D45"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Times New Roman" w:hAnsi="Times New Roman"/>
          <w:sz w:val="24"/>
        </w:rPr>
      </w:pPr>
      <w:r w:rsidRPr="00995F52">
        <w:rPr>
          <w:rFonts w:ascii="Times New Roman" w:eastAsia="Times New Roman" w:hAnsi="Times New Roman"/>
          <w:sz w:val="24"/>
        </w:rPr>
        <w:t xml:space="preserve">Canada: All AETR data for consumption were missing. All </w:t>
      </w:r>
      <w:r w:rsidR="00967F7C">
        <w:rPr>
          <w:rFonts w:ascii="Times New Roman" w:eastAsia="Times New Roman" w:hAnsi="Times New Roman"/>
          <w:sz w:val="24"/>
        </w:rPr>
        <w:t xml:space="preserve">other </w:t>
      </w:r>
      <w:r w:rsidRPr="00995F52">
        <w:rPr>
          <w:rFonts w:ascii="Times New Roman" w:eastAsia="Times New Roman" w:hAnsi="Times New Roman"/>
          <w:sz w:val="24"/>
        </w:rPr>
        <w:t>data, except for the GDP-ratio for consumption, were missing for 2016-2018.</w:t>
      </w:r>
    </w:p>
    <w:p w14:paraId="6A79FD8A" w14:textId="77777777"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Times New Roman" w:hAnsi="Times New Roman"/>
          <w:sz w:val="24"/>
        </w:rPr>
      </w:pPr>
      <w:r w:rsidRPr="00995F52">
        <w:rPr>
          <w:rFonts w:ascii="Times New Roman" w:hAnsi="Times New Roman" w:hint="eastAsia"/>
          <w:sz w:val="24"/>
        </w:rPr>
        <w:t xml:space="preserve">Greece: All data </w:t>
      </w:r>
      <w:r w:rsidRPr="00995F52">
        <w:rPr>
          <w:rFonts w:ascii="Times New Roman" w:hAnsi="Times New Roman"/>
          <w:sz w:val="24"/>
        </w:rPr>
        <w:t>were</w:t>
      </w:r>
      <w:r w:rsidRPr="00995F52">
        <w:rPr>
          <w:rFonts w:ascii="Times New Roman" w:hAnsi="Times New Roman" w:hint="eastAsia"/>
          <w:sz w:val="24"/>
        </w:rPr>
        <w:t xml:space="preserve"> missing for 2018.</w:t>
      </w:r>
    </w:p>
    <w:p w14:paraId="650098AF" w14:textId="77777777"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Times New Roman" w:hAnsi="Times New Roman"/>
          <w:sz w:val="24"/>
        </w:rPr>
      </w:pPr>
      <w:r w:rsidRPr="00995F52">
        <w:rPr>
          <w:rFonts w:ascii="Times New Roman" w:hAnsi="Times New Roman" w:hint="eastAsia"/>
          <w:sz w:val="24"/>
        </w:rPr>
        <w:t xml:space="preserve">Japan: </w:t>
      </w:r>
      <w:r w:rsidRPr="00995F52">
        <w:rPr>
          <w:rFonts w:ascii="Times New Roman" w:hAnsi="Times New Roman"/>
          <w:sz w:val="24"/>
        </w:rPr>
        <w:t>All data, except for the GDP-ratio for consumption, were missing for 2018.</w:t>
      </w:r>
    </w:p>
    <w:p w14:paraId="62EE4D96" w14:textId="77777777"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Times New Roman" w:hAnsi="Times New Roman"/>
          <w:sz w:val="24"/>
        </w:rPr>
      </w:pPr>
      <w:r w:rsidRPr="00995F52">
        <w:rPr>
          <w:rFonts w:ascii="Times New Roman" w:hAnsi="Times New Roman" w:hint="eastAsia"/>
          <w:sz w:val="24"/>
        </w:rPr>
        <w:t xml:space="preserve">Korea: The </w:t>
      </w:r>
      <w:r w:rsidRPr="00995F52">
        <w:rPr>
          <w:rFonts w:ascii="Times New Roman" w:hAnsi="Times New Roman"/>
          <w:sz w:val="24"/>
        </w:rPr>
        <w:t>AETR data for consumption was missing for 2018.</w:t>
      </w:r>
    </w:p>
    <w:p w14:paraId="6B234F6D" w14:textId="77777777"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Times New Roman" w:hAnsi="Times New Roman"/>
          <w:sz w:val="24"/>
        </w:rPr>
      </w:pPr>
      <w:r w:rsidRPr="00995F52">
        <w:rPr>
          <w:rFonts w:ascii="Times New Roman" w:hAnsi="Times New Roman"/>
          <w:sz w:val="24"/>
        </w:rPr>
        <w:t>Spain: All data, except for the consumption data, were missing for 1995-1997.</w:t>
      </w:r>
    </w:p>
    <w:p w14:paraId="44AB03EE" w14:textId="77777777" w:rsidR="00995F52" w:rsidRPr="00995F52" w:rsidRDefault="00995F52" w:rsidP="00995F52">
      <w:pPr>
        <w:widowControl w:val="0"/>
        <w:numPr>
          <w:ilvl w:val="0"/>
          <w:numId w:val="1"/>
        </w:numPr>
        <w:kinsoku w:val="0"/>
        <w:overflowPunct w:val="0"/>
        <w:adjustRightInd w:val="0"/>
        <w:snapToGrid w:val="0"/>
        <w:spacing w:after="0" w:line="480" w:lineRule="auto"/>
        <w:jc w:val="left"/>
        <w:rPr>
          <w:rFonts w:ascii="Times New Roman" w:eastAsia="Times New Roman" w:hAnsi="Times New Roman"/>
          <w:sz w:val="24"/>
        </w:rPr>
      </w:pPr>
      <w:r w:rsidRPr="00995F52">
        <w:rPr>
          <w:rFonts w:ascii="Times New Roman" w:hAnsi="Times New Roman" w:hint="eastAsia"/>
          <w:sz w:val="24"/>
        </w:rPr>
        <w:t xml:space="preserve">Switzerland: All data, except for the consumption data, </w:t>
      </w:r>
      <w:r w:rsidRPr="00995F52">
        <w:rPr>
          <w:rFonts w:ascii="Times New Roman" w:hAnsi="Times New Roman"/>
          <w:sz w:val="24"/>
        </w:rPr>
        <w:t>were</w:t>
      </w:r>
      <w:r w:rsidRPr="00995F52">
        <w:rPr>
          <w:rFonts w:ascii="Times New Roman" w:hAnsi="Times New Roman" w:hint="eastAsia"/>
          <w:sz w:val="24"/>
        </w:rPr>
        <w:t xml:space="preserve"> missing for 1995.</w:t>
      </w:r>
    </w:p>
    <w:sectPr w:rsidR="00995F52" w:rsidRPr="00995F52" w:rsidSect="00995F52">
      <w:pgSz w:w="11906" w:h="16838"/>
      <w:pgMar w:top="1134" w:right="1440" w:bottom="1134"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2238" w14:textId="77777777" w:rsidR="000C3DD4" w:rsidRDefault="000C3DD4" w:rsidP="006016BA">
      <w:pPr>
        <w:spacing w:after="0" w:line="240" w:lineRule="auto"/>
      </w:pPr>
      <w:r>
        <w:separator/>
      </w:r>
    </w:p>
  </w:endnote>
  <w:endnote w:type="continuationSeparator" w:id="0">
    <w:p w14:paraId="49DAD47D" w14:textId="77777777" w:rsidR="000C3DD4" w:rsidRDefault="000C3DD4" w:rsidP="0060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altName w:val="Batang"/>
    <w:panose1 w:val="020B0804000101010101"/>
    <w:charset w:val="81"/>
    <w:family w:val="roman"/>
    <w:pitch w:val="variable"/>
    <w:sig w:usb0="F7002EFF" w:usb1="19DFFFFF" w:usb2="001BFDD7" w:usb3="00000000" w:csb0="001F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5D91" w14:textId="3EDAC695" w:rsidR="00AC3FD0" w:rsidRDefault="00AC3FD0" w:rsidP="008C3D16">
    <w:pPr>
      <w:pStyle w:val="a5"/>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7479C" w14:textId="77777777" w:rsidR="000C3DD4" w:rsidRDefault="000C3DD4" w:rsidP="006016BA">
      <w:pPr>
        <w:spacing w:after="0" w:line="240" w:lineRule="auto"/>
      </w:pPr>
      <w:r>
        <w:separator/>
      </w:r>
    </w:p>
  </w:footnote>
  <w:footnote w:type="continuationSeparator" w:id="0">
    <w:p w14:paraId="1D15781C" w14:textId="77777777" w:rsidR="000C3DD4" w:rsidRDefault="000C3DD4" w:rsidP="00601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7875"/>
    <w:multiLevelType w:val="hybridMultilevel"/>
    <w:tmpl w:val="739A54EA"/>
    <w:lvl w:ilvl="0" w:tplc="2B3051FA">
      <w:start w:val="3"/>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E7"/>
    <w:rsid w:val="0000018D"/>
    <w:rsid w:val="000010AB"/>
    <w:rsid w:val="00001321"/>
    <w:rsid w:val="00001771"/>
    <w:rsid w:val="00003319"/>
    <w:rsid w:val="00003617"/>
    <w:rsid w:val="00003B32"/>
    <w:rsid w:val="00004681"/>
    <w:rsid w:val="000048EB"/>
    <w:rsid w:val="00005E40"/>
    <w:rsid w:val="0000682A"/>
    <w:rsid w:val="00007424"/>
    <w:rsid w:val="00007D53"/>
    <w:rsid w:val="00010F30"/>
    <w:rsid w:val="0001175A"/>
    <w:rsid w:val="00012CD5"/>
    <w:rsid w:val="00013801"/>
    <w:rsid w:val="00015B00"/>
    <w:rsid w:val="00016C26"/>
    <w:rsid w:val="000171F1"/>
    <w:rsid w:val="00017255"/>
    <w:rsid w:val="00017B5D"/>
    <w:rsid w:val="00020645"/>
    <w:rsid w:val="00021B6B"/>
    <w:rsid w:val="00021B87"/>
    <w:rsid w:val="00024FCA"/>
    <w:rsid w:val="00025BB1"/>
    <w:rsid w:val="00026EFE"/>
    <w:rsid w:val="00027CF7"/>
    <w:rsid w:val="00030AFB"/>
    <w:rsid w:val="00031B06"/>
    <w:rsid w:val="000327EC"/>
    <w:rsid w:val="00032C55"/>
    <w:rsid w:val="000342E7"/>
    <w:rsid w:val="000360C4"/>
    <w:rsid w:val="0003734C"/>
    <w:rsid w:val="00037B13"/>
    <w:rsid w:val="00037F06"/>
    <w:rsid w:val="000403F3"/>
    <w:rsid w:val="00040862"/>
    <w:rsid w:val="00040FA0"/>
    <w:rsid w:val="00041573"/>
    <w:rsid w:val="00041639"/>
    <w:rsid w:val="000430A4"/>
    <w:rsid w:val="000431DA"/>
    <w:rsid w:val="00043445"/>
    <w:rsid w:val="000450F7"/>
    <w:rsid w:val="000461F9"/>
    <w:rsid w:val="00046A90"/>
    <w:rsid w:val="00051235"/>
    <w:rsid w:val="000515E6"/>
    <w:rsid w:val="000518E1"/>
    <w:rsid w:val="00051E56"/>
    <w:rsid w:val="00053105"/>
    <w:rsid w:val="00053616"/>
    <w:rsid w:val="00053748"/>
    <w:rsid w:val="00053BD1"/>
    <w:rsid w:val="00053DB4"/>
    <w:rsid w:val="00054BFE"/>
    <w:rsid w:val="00054E0C"/>
    <w:rsid w:val="00055D30"/>
    <w:rsid w:val="000570C5"/>
    <w:rsid w:val="00057811"/>
    <w:rsid w:val="000602C7"/>
    <w:rsid w:val="00060520"/>
    <w:rsid w:val="000606F3"/>
    <w:rsid w:val="00061E37"/>
    <w:rsid w:val="00062393"/>
    <w:rsid w:val="0006282B"/>
    <w:rsid w:val="00062CBA"/>
    <w:rsid w:val="00062D4B"/>
    <w:rsid w:val="00063737"/>
    <w:rsid w:val="0006381D"/>
    <w:rsid w:val="00063BCD"/>
    <w:rsid w:val="000640C0"/>
    <w:rsid w:val="00065136"/>
    <w:rsid w:val="00067840"/>
    <w:rsid w:val="00067ED8"/>
    <w:rsid w:val="000705D7"/>
    <w:rsid w:val="00070E8F"/>
    <w:rsid w:val="00071B5A"/>
    <w:rsid w:val="00071FF3"/>
    <w:rsid w:val="0007278B"/>
    <w:rsid w:val="00072A35"/>
    <w:rsid w:val="00073239"/>
    <w:rsid w:val="00073893"/>
    <w:rsid w:val="0008014E"/>
    <w:rsid w:val="0008048A"/>
    <w:rsid w:val="00080B9F"/>
    <w:rsid w:val="00081666"/>
    <w:rsid w:val="00081828"/>
    <w:rsid w:val="00081B8C"/>
    <w:rsid w:val="0008286F"/>
    <w:rsid w:val="000835FA"/>
    <w:rsid w:val="00083AA2"/>
    <w:rsid w:val="00083E3F"/>
    <w:rsid w:val="000856A8"/>
    <w:rsid w:val="000871E4"/>
    <w:rsid w:val="0009002B"/>
    <w:rsid w:val="00090686"/>
    <w:rsid w:val="000941B9"/>
    <w:rsid w:val="00095861"/>
    <w:rsid w:val="0009689A"/>
    <w:rsid w:val="00096DC7"/>
    <w:rsid w:val="00097328"/>
    <w:rsid w:val="000978EB"/>
    <w:rsid w:val="000A09BF"/>
    <w:rsid w:val="000A1B7A"/>
    <w:rsid w:val="000A2391"/>
    <w:rsid w:val="000A2992"/>
    <w:rsid w:val="000A3251"/>
    <w:rsid w:val="000A65AF"/>
    <w:rsid w:val="000A695B"/>
    <w:rsid w:val="000A7868"/>
    <w:rsid w:val="000A7AF6"/>
    <w:rsid w:val="000B217E"/>
    <w:rsid w:val="000B57D3"/>
    <w:rsid w:val="000B5D44"/>
    <w:rsid w:val="000B61C1"/>
    <w:rsid w:val="000B7BB0"/>
    <w:rsid w:val="000C052F"/>
    <w:rsid w:val="000C25AE"/>
    <w:rsid w:val="000C3077"/>
    <w:rsid w:val="000C3B48"/>
    <w:rsid w:val="000C3D79"/>
    <w:rsid w:val="000C3DD4"/>
    <w:rsid w:val="000C4124"/>
    <w:rsid w:val="000C4268"/>
    <w:rsid w:val="000C42C1"/>
    <w:rsid w:val="000C50AE"/>
    <w:rsid w:val="000C632D"/>
    <w:rsid w:val="000C6BC7"/>
    <w:rsid w:val="000D1391"/>
    <w:rsid w:val="000D1591"/>
    <w:rsid w:val="000D34F7"/>
    <w:rsid w:val="000D5134"/>
    <w:rsid w:val="000D5B86"/>
    <w:rsid w:val="000D5CB1"/>
    <w:rsid w:val="000D6238"/>
    <w:rsid w:val="000D7C20"/>
    <w:rsid w:val="000E15C0"/>
    <w:rsid w:val="000E16AD"/>
    <w:rsid w:val="000E2D8D"/>
    <w:rsid w:val="000E3188"/>
    <w:rsid w:val="000E36FC"/>
    <w:rsid w:val="000E4101"/>
    <w:rsid w:val="000E6340"/>
    <w:rsid w:val="000E6AEC"/>
    <w:rsid w:val="000E6BF7"/>
    <w:rsid w:val="000F0B3F"/>
    <w:rsid w:val="000F515A"/>
    <w:rsid w:val="000F51CA"/>
    <w:rsid w:val="000F6AFE"/>
    <w:rsid w:val="000F6FB3"/>
    <w:rsid w:val="000F7214"/>
    <w:rsid w:val="000F7BC8"/>
    <w:rsid w:val="001006DA"/>
    <w:rsid w:val="00102398"/>
    <w:rsid w:val="00102C06"/>
    <w:rsid w:val="001036CC"/>
    <w:rsid w:val="00104239"/>
    <w:rsid w:val="00106EB3"/>
    <w:rsid w:val="00106EB9"/>
    <w:rsid w:val="001070E2"/>
    <w:rsid w:val="00110DD1"/>
    <w:rsid w:val="00111699"/>
    <w:rsid w:val="00111A7C"/>
    <w:rsid w:val="00111CEE"/>
    <w:rsid w:val="0011292B"/>
    <w:rsid w:val="00112C07"/>
    <w:rsid w:val="0011307E"/>
    <w:rsid w:val="001136FE"/>
    <w:rsid w:val="00114053"/>
    <w:rsid w:val="001149D1"/>
    <w:rsid w:val="00114D9F"/>
    <w:rsid w:val="00115840"/>
    <w:rsid w:val="00115E9D"/>
    <w:rsid w:val="00117E81"/>
    <w:rsid w:val="001208EC"/>
    <w:rsid w:val="00120FBE"/>
    <w:rsid w:val="00121D4C"/>
    <w:rsid w:val="00121E2B"/>
    <w:rsid w:val="00122477"/>
    <w:rsid w:val="00122DFD"/>
    <w:rsid w:val="001244E3"/>
    <w:rsid w:val="0012458F"/>
    <w:rsid w:val="00124BE5"/>
    <w:rsid w:val="0012546C"/>
    <w:rsid w:val="00130BA4"/>
    <w:rsid w:val="00131C07"/>
    <w:rsid w:val="00131F8D"/>
    <w:rsid w:val="001330E2"/>
    <w:rsid w:val="0013312B"/>
    <w:rsid w:val="00133F0E"/>
    <w:rsid w:val="00134286"/>
    <w:rsid w:val="00137C1D"/>
    <w:rsid w:val="0014080E"/>
    <w:rsid w:val="0014145C"/>
    <w:rsid w:val="00142C7D"/>
    <w:rsid w:val="001432A3"/>
    <w:rsid w:val="00143F85"/>
    <w:rsid w:val="00145922"/>
    <w:rsid w:val="00145B77"/>
    <w:rsid w:val="0014719D"/>
    <w:rsid w:val="00147724"/>
    <w:rsid w:val="00150275"/>
    <w:rsid w:val="00150826"/>
    <w:rsid w:val="00151BCD"/>
    <w:rsid w:val="00152D84"/>
    <w:rsid w:val="001532D0"/>
    <w:rsid w:val="0015362F"/>
    <w:rsid w:val="00153B2E"/>
    <w:rsid w:val="00154EB3"/>
    <w:rsid w:val="00155CD3"/>
    <w:rsid w:val="00156AD6"/>
    <w:rsid w:val="0015706D"/>
    <w:rsid w:val="0015791C"/>
    <w:rsid w:val="00157E57"/>
    <w:rsid w:val="0016015E"/>
    <w:rsid w:val="001605DC"/>
    <w:rsid w:val="00163218"/>
    <w:rsid w:val="001639B9"/>
    <w:rsid w:val="00164674"/>
    <w:rsid w:val="00167015"/>
    <w:rsid w:val="001678EF"/>
    <w:rsid w:val="0017019F"/>
    <w:rsid w:val="00170811"/>
    <w:rsid w:val="0017234C"/>
    <w:rsid w:val="001738C7"/>
    <w:rsid w:val="00174214"/>
    <w:rsid w:val="00174389"/>
    <w:rsid w:val="00175561"/>
    <w:rsid w:val="001755CC"/>
    <w:rsid w:val="00176338"/>
    <w:rsid w:val="00176B1F"/>
    <w:rsid w:val="0017741F"/>
    <w:rsid w:val="001775F4"/>
    <w:rsid w:val="001816E8"/>
    <w:rsid w:val="00183866"/>
    <w:rsid w:val="0018421F"/>
    <w:rsid w:val="0018453E"/>
    <w:rsid w:val="00185764"/>
    <w:rsid w:val="00186141"/>
    <w:rsid w:val="001864B0"/>
    <w:rsid w:val="00187356"/>
    <w:rsid w:val="00191A2B"/>
    <w:rsid w:val="001923A3"/>
    <w:rsid w:val="0019287C"/>
    <w:rsid w:val="0019313B"/>
    <w:rsid w:val="0019372E"/>
    <w:rsid w:val="0019420B"/>
    <w:rsid w:val="00194355"/>
    <w:rsid w:val="00195656"/>
    <w:rsid w:val="0019565B"/>
    <w:rsid w:val="00195909"/>
    <w:rsid w:val="00195EE7"/>
    <w:rsid w:val="00196B17"/>
    <w:rsid w:val="001970B4"/>
    <w:rsid w:val="001A048A"/>
    <w:rsid w:val="001A090B"/>
    <w:rsid w:val="001A4226"/>
    <w:rsid w:val="001A4A6D"/>
    <w:rsid w:val="001A4A79"/>
    <w:rsid w:val="001A6467"/>
    <w:rsid w:val="001A6C7A"/>
    <w:rsid w:val="001A6D14"/>
    <w:rsid w:val="001A6E94"/>
    <w:rsid w:val="001A70FD"/>
    <w:rsid w:val="001A77FD"/>
    <w:rsid w:val="001A7931"/>
    <w:rsid w:val="001B08E9"/>
    <w:rsid w:val="001B0E87"/>
    <w:rsid w:val="001B1D24"/>
    <w:rsid w:val="001B22F6"/>
    <w:rsid w:val="001B2C2F"/>
    <w:rsid w:val="001B41EC"/>
    <w:rsid w:val="001B4DF6"/>
    <w:rsid w:val="001B7792"/>
    <w:rsid w:val="001C09B4"/>
    <w:rsid w:val="001C2417"/>
    <w:rsid w:val="001C2E14"/>
    <w:rsid w:val="001C3C28"/>
    <w:rsid w:val="001C56E3"/>
    <w:rsid w:val="001C6B5F"/>
    <w:rsid w:val="001C7FC5"/>
    <w:rsid w:val="001D00C6"/>
    <w:rsid w:val="001D1075"/>
    <w:rsid w:val="001D134E"/>
    <w:rsid w:val="001D1812"/>
    <w:rsid w:val="001D249D"/>
    <w:rsid w:val="001D3036"/>
    <w:rsid w:val="001D3104"/>
    <w:rsid w:val="001D44CD"/>
    <w:rsid w:val="001D4C1B"/>
    <w:rsid w:val="001D5DAC"/>
    <w:rsid w:val="001D5FE6"/>
    <w:rsid w:val="001D6119"/>
    <w:rsid w:val="001D711F"/>
    <w:rsid w:val="001D7D41"/>
    <w:rsid w:val="001E43B1"/>
    <w:rsid w:val="001E6288"/>
    <w:rsid w:val="001E7056"/>
    <w:rsid w:val="001E771F"/>
    <w:rsid w:val="001F1098"/>
    <w:rsid w:val="001F1A4A"/>
    <w:rsid w:val="001F2B2A"/>
    <w:rsid w:val="001F31E7"/>
    <w:rsid w:val="001F32A0"/>
    <w:rsid w:val="001F397B"/>
    <w:rsid w:val="001F43E9"/>
    <w:rsid w:val="001F4DD8"/>
    <w:rsid w:val="001F60A4"/>
    <w:rsid w:val="001F6D7E"/>
    <w:rsid w:val="00200212"/>
    <w:rsid w:val="00201492"/>
    <w:rsid w:val="00202027"/>
    <w:rsid w:val="002021B0"/>
    <w:rsid w:val="002024A7"/>
    <w:rsid w:val="00202ED0"/>
    <w:rsid w:val="00205DD9"/>
    <w:rsid w:val="002068E8"/>
    <w:rsid w:val="00207654"/>
    <w:rsid w:val="00211A0F"/>
    <w:rsid w:val="00211BBF"/>
    <w:rsid w:val="002122B3"/>
    <w:rsid w:val="00212F22"/>
    <w:rsid w:val="002133CA"/>
    <w:rsid w:val="002140D2"/>
    <w:rsid w:val="002153BC"/>
    <w:rsid w:val="00215621"/>
    <w:rsid w:val="00215D8E"/>
    <w:rsid w:val="00215FA8"/>
    <w:rsid w:val="00216A76"/>
    <w:rsid w:val="0021701D"/>
    <w:rsid w:val="00217530"/>
    <w:rsid w:val="002177AA"/>
    <w:rsid w:val="00220858"/>
    <w:rsid w:val="00221918"/>
    <w:rsid w:val="00222223"/>
    <w:rsid w:val="0022571E"/>
    <w:rsid w:val="00225832"/>
    <w:rsid w:val="00226125"/>
    <w:rsid w:val="00227307"/>
    <w:rsid w:val="00227DCA"/>
    <w:rsid w:val="00231184"/>
    <w:rsid w:val="00231215"/>
    <w:rsid w:val="00232DDC"/>
    <w:rsid w:val="00233006"/>
    <w:rsid w:val="00233B7E"/>
    <w:rsid w:val="00234657"/>
    <w:rsid w:val="00234B13"/>
    <w:rsid w:val="00234C17"/>
    <w:rsid w:val="0023632E"/>
    <w:rsid w:val="00236589"/>
    <w:rsid w:val="00236D69"/>
    <w:rsid w:val="0023716F"/>
    <w:rsid w:val="002376FB"/>
    <w:rsid w:val="002402A9"/>
    <w:rsid w:val="00240563"/>
    <w:rsid w:val="00240BFA"/>
    <w:rsid w:val="00241642"/>
    <w:rsid w:val="00241870"/>
    <w:rsid w:val="002419D9"/>
    <w:rsid w:val="00242EC7"/>
    <w:rsid w:val="00243161"/>
    <w:rsid w:val="002434D9"/>
    <w:rsid w:val="00243AEE"/>
    <w:rsid w:val="00243F28"/>
    <w:rsid w:val="00243F7C"/>
    <w:rsid w:val="00245373"/>
    <w:rsid w:val="00246481"/>
    <w:rsid w:val="00250382"/>
    <w:rsid w:val="00250928"/>
    <w:rsid w:val="00250E26"/>
    <w:rsid w:val="0025266A"/>
    <w:rsid w:val="0025311D"/>
    <w:rsid w:val="002533C1"/>
    <w:rsid w:val="002533E5"/>
    <w:rsid w:val="00256403"/>
    <w:rsid w:val="002567DE"/>
    <w:rsid w:val="0026062E"/>
    <w:rsid w:val="00260CA4"/>
    <w:rsid w:val="00262278"/>
    <w:rsid w:val="0026263A"/>
    <w:rsid w:val="00263A33"/>
    <w:rsid w:val="00264CAE"/>
    <w:rsid w:val="00265DD7"/>
    <w:rsid w:val="00266E12"/>
    <w:rsid w:val="00270712"/>
    <w:rsid w:val="00271582"/>
    <w:rsid w:val="002717D8"/>
    <w:rsid w:val="002737D7"/>
    <w:rsid w:val="00273BEA"/>
    <w:rsid w:val="00274C2B"/>
    <w:rsid w:val="002753E0"/>
    <w:rsid w:val="00277528"/>
    <w:rsid w:val="002809ED"/>
    <w:rsid w:val="00281BDB"/>
    <w:rsid w:val="0028584C"/>
    <w:rsid w:val="0028700B"/>
    <w:rsid w:val="002875AE"/>
    <w:rsid w:val="0028797B"/>
    <w:rsid w:val="00290B66"/>
    <w:rsid w:val="00291118"/>
    <w:rsid w:val="00291791"/>
    <w:rsid w:val="0029285E"/>
    <w:rsid w:val="00293112"/>
    <w:rsid w:val="002934B3"/>
    <w:rsid w:val="00294868"/>
    <w:rsid w:val="002979ED"/>
    <w:rsid w:val="002A048E"/>
    <w:rsid w:val="002A0743"/>
    <w:rsid w:val="002A132F"/>
    <w:rsid w:val="002A2C04"/>
    <w:rsid w:val="002A2DF1"/>
    <w:rsid w:val="002A3E40"/>
    <w:rsid w:val="002A61EA"/>
    <w:rsid w:val="002A72C2"/>
    <w:rsid w:val="002A7F96"/>
    <w:rsid w:val="002B04AD"/>
    <w:rsid w:val="002B0DAC"/>
    <w:rsid w:val="002B2E57"/>
    <w:rsid w:val="002B40D7"/>
    <w:rsid w:val="002B4E11"/>
    <w:rsid w:val="002B51A1"/>
    <w:rsid w:val="002B51B0"/>
    <w:rsid w:val="002B5583"/>
    <w:rsid w:val="002B5620"/>
    <w:rsid w:val="002B6EB2"/>
    <w:rsid w:val="002B7331"/>
    <w:rsid w:val="002B7A4E"/>
    <w:rsid w:val="002C0207"/>
    <w:rsid w:val="002C081B"/>
    <w:rsid w:val="002C16FD"/>
    <w:rsid w:val="002C252E"/>
    <w:rsid w:val="002C2BF3"/>
    <w:rsid w:val="002C2C55"/>
    <w:rsid w:val="002C3E28"/>
    <w:rsid w:val="002C68B7"/>
    <w:rsid w:val="002C7384"/>
    <w:rsid w:val="002C77DA"/>
    <w:rsid w:val="002D27EF"/>
    <w:rsid w:val="002D4649"/>
    <w:rsid w:val="002E1325"/>
    <w:rsid w:val="002E1ADC"/>
    <w:rsid w:val="002E3761"/>
    <w:rsid w:val="002E394B"/>
    <w:rsid w:val="002E57CB"/>
    <w:rsid w:val="002E6BBF"/>
    <w:rsid w:val="002F041E"/>
    <w:rsid w:val="002F18AF"/>
    <w:rsid w:val="002F2484"/>
    <w:rsid w:val="002F41B2"/>
    <w:rsid w:val="002F48AB"/>
    <w:rsid w:val="002F5B2E"/>
    <w:rsid w:val="002F623D"/>
    <w:rsid w:val="00300EEE"/>
    <w:rsid w:val="00300F20"/>
    <w:rsid w:val="00301860"/>
    <w:rsid w:val="00301A3B"/>
    <w:rsid w:val="00302E02"/>
    <w:rsid w:val="00303F85"/>
    <w:rsid w:val="00304819"/>
    <w:rsid w:val="00304EA0"/>
    <w:rsid w:val="0030592C"/>
    <w:rsid w:val="00306284"/>
    <w:rsid w:val="00306E6A"/>
    <w:rsid w:val="003105CE"/>
    <w:rsid w:val="0031069F"/>
    <w:rsid w:val="0031079B"/>
    <w:rsid w:val="00312559"/>
    <w:rsid w:val="00312FEB"/>
    <w:rsid w:val="00313E4C"/>
    <w:rsid w:val="003167D7"/>
    <w:rsid w:val="00317464"/>
    <w:rsid w:val="0032109C"/>
    <w:rsid w:val="003242BD"/>
    <w:rsid w:val="003243B1"/>
    <w:rsid w:val="00324C26"/>
    <w:rsid w:val="00326171"/>
    <w:rsid w:val="003267D5"/>
    <w:rsid w:val="0033023B"/>
    <w:rsid w:val="003320DF"/>
    <w:rsid w:val="003327F7"/>
    <w:rsid w:val="00333C54"/>
    <w:rsid w:val="0033410D"/>
    <w:rsid w:val="00334CBF"/>
    <w:rsid w:val="00334DA7"/>
    <w:rsid w:val="00334E82"/>
    <w:rsid w:val="0033515F"/>
    <w:rsid w:val="00336CD3"/>
    <w:rsid w:val="00337F79"/>
    <w:rsid w:val="0034232B"/>
    <w:rsid w:val="003427E1"/>
    <w:rsid w:val="00342954"/>
    <w:rsid w:val="00343783"/>
    <w:rsid w:val="00343904"/>
    <w:rsid w:val="00344837"/>
    <w:rsid w:val="00345896"/>
    <w:rsid w:val="0034632A"/>
    <w:rsid w:val="00347222"/>
    <w:rsid w:val="003502BA"/>
    <w:rsid w:val="003519FD"/>
    <w:rsid w:val="00352633"/>
    <w:rsid w:val="003526F3"/>
    <w:rsid w:val="00352FBC"/>
    <w:rsid w:val="00353773"/>
    <w:rsid w:val="00356937"/>
    <w:rsid w:val="00356C15"/>
    <w:rsid w:val="00356E6A"/>
    <w:rsid w:val="00357422"/>
    <w:rsid w:val="0036142F"/>
    <w:rsid w:val="003624B8"/>
    <w:rsid w:val="003629C7"/>
    <w:rsid w:val="003638DE"/>
    <w:rsid w:val="00363E48"/>
    <w:rsid w:val="00363EBA"/>
    <w:rsid w:val="003641F1"/>
    <w:rsid w:val="0036590C"/>
    <w:rsid w:val="00366103"/>
    <w:rsid w:val="00366EC7"/>
    <w:rsid w:val="00366F54"/>
    <w:rsid w:val="00367145"/>
    <w:rsid w:val="00371042"/>
    <w:rsid w:val="00371452"/>
    <w:rsid w:val="003728A2"/>
    <w:rsid w:val="00372B8A"/>
    <w:rsid w:val="00373381"/>
    <w:rsid w:val="00373B73"/>
    <w:rsid w:val="00373E49"/>
    <w:rsid w:val="00374D5A"/>
    <w:rsid w:val="0037517F"/>
    <w:rsid w:val="00375FBF"/>
    <w:rsid w:val="00376AB3"/>
    <w:rsid w:val="003814F9"/>
    <w:rsid w:val="00381842"/>
    <w:rsid w:val="003819F1"/>
    <w:rsid w:val="00381ABC"/>
    <w:rsid w:val="003820E4"/>
    <w:rsid w:val="00383451"/>
    <w:rsid w:val="00385662"/>
    <w:rsid w:val="0038584B"/>
    <w:rsid w:val="00385889"/>
    <w:rsid w:val="00385F23"/>
    <w:rsid w:val="003867D3"/>
    <w:rsid w:val="00390916"/>
    <w:rsid w:val="00391B6F"/>
    <w:rsid w:val="00391F27"/>
    <w:rsid w:val="003921E0"/>
    <w:rsid w:val="00392F73"/>
    <w:rsid w:val="003944F8"/>
    <w:rsid w:val="00396BCE"/>
    <w:rsid w:val="003A00B4"/>
    <w:rsid w:val="003A01AC"/>
    <w:rsid w:val="003A0ACD"/>
    <w:rsid w:val="003A1EAA"/>
    <w:rsid w:val="003A30DF"/>
    <w:rsid w:val="003A34D7"/>
    <w:rsid w:val="003A4FBA"/>
    <w:rsid w:val="003A6088"/>
    <w:rsid w:val="003B26C1"/>
    <w:rsid w:val="003B69C6"/>
    <w:rsid w:val="003B69F5"/>
    <w:rsid w:val="003C0D8F"/>
    <w:rsid w:val="003C1B1B"/>
    <w:rsid w:val="003C1F03"/>
    <w:rsid w:val="003C27B4"/>
    <w:rsid w:val="003C2FBB"/>
    <w:rsid w:val="003C3F41"/>
    <w:rsid w:val="003C3FF0"/>
    <w:rsid w:val="003C5FC7"/>
    <w:rsid w:val="003C6E2A"/>
    <w:rsid w:val="003D0B12"/>
    <w:rsid w:val="003D0F48"/>
    <w:rsid w:val="003D198B"/>
    <w:rsid w:val="003D2EAE"/>
    <w:rsid w:val="003D3466"/>
    <w:rsid w:val="003D36DD"/>
    <w:rsid w:val="003D4F9E"/>
    <w:rsid w:val="003D5AE4"/>
    <w:rsid w:val="003D5CE1"/>
    <w:rsid w:val="003D5DBA"/>
    <w:rsid w:val="003D60B9"/>
    <w:rsid w:val="003D6642"/>
    <w:rsid w:val="003D7DEB"/>
    <w:rsid w:val="003E1034"/>
    <w:rsid w:val="003E1F77"/>
    <w:rsid w:val="003E2958"/>
    <w:rsid w:val="003E2CF4"/>
    <w:rsid w:val="003E303E"/>
    <w:rsid w:val="003E3CD1"/>
    <w:rsid w:val="003E5BD1"/>
    <w:rsid w:val="003F1100"/>
    <w:rsid w:val="003F2364"/>
    <w:rsid w:val="003F2BAF"/>
    <w:rsid w:val="003F5BBF"/>
    <w:rsid w:val="003F6CAB"/>
    <w:rsid w:val="003F6F55"/>
    <w:rsid w:val="003F73B1"/>
    <w:rsid w:val="003F7E88"/>
    <w:rsid w:val="00400C92"/>
    <w:rsid w:val="00400D17"/>
    <w:rsid w:val="004019FF"/>
    <w:rsid w:val="004036AC"/>
    <w:rsid w:val="00404633"/>
    <w:rsid w:val="004062D4"/>
    <w:rsid w:val="00406ECE"/>
    <w:rsid w:val="00406EF0"/>
    <w:rsid w:val="004076FB"/>
    <w:rsid w:val="00410248"/>
    <w:rsid w:val="00410961"/>
    <w:rsid w:val="0041207B"/>
    <w:rsid w:val="004128AF"/>
    <w:rsid w:val="004151CE"/>
    <w:rsid w:val="00416CE5"/>
    <w:rsid w:val="00417B2F"/>
    <w:rsid w:val="00417F0A"/>
    <w:rsid w:val="004202A9"/>
    <w:rsid w:val="00420BD9"/>
    <w:rsid w:val="0042118D"/>
    <w:rsid w:val="004216B9"/>
    <w:rsid w:val="00421FD8"/>
    <w:rsid w:val="0042241D"/>
    <w:rsid w:val="00422C78"/>
    <w:rsid w:val="004231C9"/>
    <w:rsid w:val="00423715"/>
    <w:rsid w:val="00424304"/>
    <w:rsid w:val="00425A76"/>
    <w:rsid w:val="00425AC1"/>
    <w:rsid w:val="00426525"/>
    <w:rsid w:val="00430580"/>
    <w:rsid w:val="0043229B"/>
    <w:rsid w:val="004329F2"/>
    <w:rsid w:val="00432DDA"/>
    <w:rsid w:val="00433540"/>
    <w:rsid w:val="00434332"/>
    <w:rsid w:val="00435329"/>
    <w:rsid w:val="004363EA"/>
    <w:rsid w:val="00437CC6"/>
    <w:rsid w:val="00441766"/>
    <w:rsid w:val="0044219E"/>
    <w:rsid w:val="00442292"/>
    <w:rsid w:val="00443777"/>
    <w:rsid w:val="00443A82"/>
    <w:rsid w:val="00444954"/>
    <w:rsid w:val="00445C29"/>
    <w:rsid w:val="0044702A"/>
    <w:rsid w:val="00447522"/>
    <w:rsid w:val="00447F9F"/>
    <w:rsid w:val="00450A1D"/>
    <w:rsid w:val="00453FD7"/>
    <w:rsid w:val="00457354"/>
    <w:rsid w:val="00457BC2"/>
    <w:rsid w:val="004606D6"/>
    <w:rsid w:val="00460714"/>
    <w:rsid w:val="004618E0"/>
    <w:rsid w:val="00462559"/>
    <w:rsid w:val="00462639"/>
    <w:rsid w:val="00462DB0"/>
    <w:rsid w:val="00462FD7"/>
    <w:rsid w:val="00463A82"/>
    <w:rsid w:val="00463B11"/>
    <w:rsid w:val="004654F1"/>
    <w:rsid w:val="0046634D"/>
    <w:rsid w:val="00467808"/>
    <w:rsid w:val="004730DA"/>
    <w:rsid w:val="00475E6D"/>
    <w:rsid w:val="00480782"/>
    <w:rsid w:val="004808F2"/>
    <w:rsid w:val="00481080"/>
    <w:rsid w:val="004811D9"/>
    <w:rsid w:val="00481D96"/>
    <w:rsid w:val="00483718"/>
    <w:rsid w:val="004839A1"/>
    <w:rsid w:val="00484C6A"/>
    <w:rsid w:val="0048501B"/>
    <w:rsid w:val="00485D78"/>
    <w:rsid w:val="00487872"/>
    <w:rsid w:val="00490E3F"/>
    <w:rsid w:val="00491A44"/>
    <w:rsid w:val="00491C4B"/>
    <w:rsid w:val="00492047"/>
    <w:rsid w:val="00492372"/>
    <w:rsid w:val="004924AE"/>
    <w:rsid w:val="00492A00"/>
    <w:rsid w:val="004934CE"/>
    <w:rsid w:val="00493777"/>
    <w:rsid w:val="00493B9C"/>
    <w:rsid w:val="00493DC7"/>
    <w:rsid w:val="00496385"/>
    <w:rsid w:val="00496E80"/>
    <w:rsid w:val="00496EE6"/>
    <w:rsid w:val="004A141B"/>
    <w:rsid w:val="004A1A8D"/>
    <w:rsid w:val="004A2AB1"/>
    <w:rsid w:val="004A35AA"/>
    <w:rsid w:val="004A5795"/>
    <w:rsid w:val="004A59F3"/>
    <w:rsid w:val="004A7402"/>
    <w:rsid w:val="004A7DBE"/>
    <w:rsid w:val="004B01D5"/>
    <w:rsid w:val="004B1300"/>
    <w:rsid w:val="004B207F"/>
    <w:rsid w:val="004B3816"/>
    <w:rsid w:val="004B5949"/>
    <w:rsid w:val="004B7126"/>
    <w:rsid w:val="004B75B1"/>
    <w:rsid w:val="004B7E22"/>
    <w:rsid w:val="004C0768"/>
    <w:rsid w:val="004C0A22"/>
    <w:rsid w:val="004C0D67"/>
    <w:rsid w:val="004C138C"/>
    <w:rsid w:val="004C2A6A"/>
    <w:rsid w:val="004C3A83"/>
    <w:rsid w:val="004C5395"/>
    <w:rsid w:val="004C5A1C"/>
    <w:rsid w:val="004C6CE1"/>
    <w:rsid w:val="004C7E45"/>
    <w:rsid w:val="004D01F0"/>
    <w:rsid w:val="004D057A"/>
    <w:rsid w:val="004D185A"/>
    <w:rsid w:val="004D2AE1"/>
    <w:rsid w:val="004D3198"/>
    <w:rsid w:val="004D3C8A"/>
    <w:rsid w:val="004D3FEB"/>
    <w:rsid w:val="004D5AF7"/>
    <w:rsid w:val="004D7255"/>
    <w:rsid w:val="004E0C41"/>
    <w:rsid w:val="004E3D0B"/>
    <w:rsid w:val="004E3F2B"/>
    <w:rsid w:val="004E4A29"/>
    <w:rsid w:val="004E4F6B"/>
    <w:rsid w:val="004E51B9"/>
    <w:rsid w:val="004E5C3D"/>
    <w:rsid w:val="004E6AF4"/>
    <w:rsid w:val="004E6C6A"/>
    <w:rsid w:val="004E7650"/>
    <w:rsid w:val="004F0165"/>
    <w:rsid w:val="004F132D"/>
    <w:rsid w:val="004F231B"/>
    <w:rsid w:val="004F26C7"/>
    <w:rsid w:val="004F5D69"/>
    <w:rsid w:val="004F60D2"/>
    <w:rsid w:val="004F6178"/>
    <w:rsid w:val="0050028D"/>
    <w:rsid w:val="00500EC7"/>
    <w:rsid w:val="00501DC9"/>
    <w:rsid w:val="0050424A"/>
    <w:rsid w:val="005047DC"/>
    <w:rsid w:val="00504918"/>
    <w:rsid w:val="00504A3E"/>
    <w:rsid w:val="00504C05"/>
    <w:rsid w:val="005073A1"/>
    <w:rsid w:val="0050766B"/>
    <w:rsid w:val="005112EA"/>
    <w:rsid w:val="00511891"/>
    <w:rsid w:val="005119E8"/>
    <w:rsid w:val="00513769"/>
    <w:rsid w:val="00513C64"/>
    <w:rsid w:val="00514549"/>
    <w:rsid w:val="00514C72"/>
    <w:rsid w:val="00514CE5"/>
    <w:rsid w:val="005161A7"/>
    <w:rsid w:val="00517877"/>
    <w:rsid w:val="00517A42"/>
    <w:rsid w:val="00521D96"/>
    <w:rsid w:val="005224CE"/>
    <w:rsid w:val="00522595"/>
    <w:rsid w:val="00522DC4"/>
    <w:rsid w:val="0052360E"/>
    <w:rsid w:val="00525906"/>
    <w:rsid w:val="00525CEA"/>
    <w:rsid w:val="00526772"/>
    <w:rsid w:val="00526D20"/>
    <w:rsid w:val="0052742F"/>
    <w:rsid w:val="00527761"/>
    <w:rsid w:val="00531368"/>
    <w:rsid w:val="00532529"/>
    <w:rsid w:val="00532ECF"/>
    <w:rsid w:val="00534670"/>
    <w:rsid w:val="00534A4C"/>
    <w:rsid w:val="00534F74"/>
    <w:rsid w:val="00535223"/>
    <w:rsid w:val="0053641F"/>
    <w:rsid w:val="00540069"/>
    <w:rsid w:val="0054155B"/>
    <w:rsid w:val="0054170E"/>
    <w:rsid w:val="005425C1"/>
    <w:rsid w:val="00544B59"/>
    <w:rsid w:val="00544E75"/>
    <w:rsid w:val="0054580F"/>
    <w:rsid w:val="00545DD8"/>
    <w:rsid w:val="005470AD"/>
    <w:rsid w:val="00547F53"/>
    <w:rsid w:val="00550912"/>
    <w:rsid w:val="0055091F"/>
    <w:rsid w:val="00552715"/>
    <w:rsid w:val="005527C7"/>
    <w:rsid w:val="00552B06"/>
    <w:rsid w:val="00553896"/>
    <w:rsid w:val="00553ECA"/>
    <w:rsid w:val="00554123"/>
    <w:rsid w:val="005546BE"/>
    <w:rsid w:val="005555F1"/>
    <w:rsid w:val="0055719C"/>
    <w:rsid w:val="00557A2F"/>
    <w:rsid w:val="00557CA5"/>
    <w:rsid w:val="00557E70"/>
    <w:rsid w:val="005603DA"/>
    <w:rsid w:val="00560627"/>
    <w:rsid w:val="00561B27"/>
    <w:rsid w:val="00563CB0"/>
    <w:rsid w:val="005657D9"/>
    <w:rsid w:val="00565A91"/>
    <w:rsid w:val="00566E20"/>
    <w:rsid w:val="0056707C"/>
    <w:rsid w:val="00567DC5"/>
    <w:rsid w:val="00570266"/>
    <w:rsid w:val="005712CA"/>
    <w:rsid w:val="005716F1"/>
    <w:rsid w:val="00572D9A"/>
    <w:rsid w:val="00573333"/>
    <w:rsid w:val="0057418D"/>
    <w:rsid w:val="00574705"/>
    <w:rsid w:val="0057593C"/>
    <w:rsid w:val="005764B9"/>
    <w:rsid w:val="0058014C"/>
    <w:rsid w:val="005817B7"/>
    <w:rsid w:val="00582D11"/>
    <w:rsid w:val="00584809"/>
    <w:rsid w:val="005852C6"/>
    <w:rsid w:val="00585B62"/>
    <w:rsid w:val="00585CE0"/>
    <w:rsid w:val="00586256"/>
    <w:rsid w:val="00590905"/>
    <w:rsid w:val="00590DD9"/>
    <w:rsid w:val="00591ECA"/>
    <w:rsid w:val="00592355"/>
    <w:rsid w:val="00592ACC"/>
    <w:rsid w:val="00593284"/>
    <w:rsid w:val="005A0000"/>
    <w:rsid w:val="005A037D"/>
    <w:rsid w:val="005A1981"/>
    <w:rsid w:val="005A6D58"/>
    <w:rsid w:val="005A7192"/>
    <w:rsid w:val="005A7EFB"/>
    <w:rsid w:val="005B004F"/>
    <w:rsid w:val="005B062E"/>
    <w:rsid w:val="005B17F4"/>
    <w:rsid w:val="005B34F2"/>
    <w:rsid w:val="005B38BB"/>
    <w:rsid w:val="005B4356"/>
    <w:rsid w:val="005B4904"/>
    <w:rsid w:val="005B50A6"/>
    <w:rsid w:val="005B6A06"/>
    <w:rsid w:val="005B6A7A"/>
    <w:rsid w:val="005C15AB"/>
    <w:rsid w:val="005C4242"/>
    <w:rsid w:val="005C4667"/>
    <w:rsid w:val="005C499C"/>
    <w:rsid w:val="005C4E84"/>
    <w:rsid w:val="005C5136"/>
    <w:rsid w:val="005C5295"/>
    <w:rsid w:val="005C594D"/>
    <w:rsid w:val="005C650F"/>
    <w:rsid w:val="005C6B35"/>
    <w:rsid w:val="005C6CE1"/>
    <w:rsid w:val="005D0140"/>
    <w:rsid w:val="005D02E0"/>
    <w:rsid w:val="005D1022"/>
    <w:rsid w:val="005D2CB0"/>
    <w:rsid w:val="005D3162"/>
    <w:rsid w:val="005D32AE"/>
    <w:rsid w:val="005D398A"/>
    <w:rsid w:val="005D5C95"/>
    <w:rsid w:val="005D6620"/>
    <w:rsid w:val="005D6958"/>
    <w:rsid w:val="005D7FEB"/>
    <w:rsid w:val="005E31EC"/>
    <w:rsid w:val="005E37BB"/>
    <w:rsid w:val="005E3997"/>
    <w:rsid w:val="005E53E7"/>
    <w:rsid w:val="005E5868"/>
    <w:rsid w:val="005E5886"/>
    <w:rsid w:val="005E5A0F"/>
    <w:rsid w:val="005F14F2"/>
    <w:rsid w:val="005F1FA1"/>
    <w:rsid w:val="005F4D37"/>
    <w:rsid w:val="005F5E3D"/>
    <w:rsid w:val="005F6642"/>
    <w:rsid w:val="005F764B"/>
    <w:rsid w:val="006009D4"/>
    <w:rsid w:val="00600AD8"/>
    <w:rsid w:val="006010A8"/>
    <w:rsid w:val="00601563"/>
    <w:rsid w:val="006016BA"/>
    <w:rsid w:val="006026A9"/>
    <w:rsid w:val="00602B32"/>
    <w:rsid w:val="00602ECF"/>
    <w:rsid w:val="00603901"/>
    <w:rsid w:val="00603F3D"/>
    <w:rsid w:val="00604388"/>
    <w:rsid w:val="00604BE3"/>
    <w:rsid w:val="00606C19"/>
    <w:rsid w:val="00607794"/>
    <w:rsid w:val="0061270F"/>
    <w:rsid w:val="00615022"/>
    <w:rsid w:val="00615422"/>
    <w:rsid w:val="00616992"/>
    <w:rsid w:val="00617675"/>
    <w:rsid w:val="00620AD7"/>
    <w:rsid w:val="006219E6"/>
    <w:rsid w:val="006254DB"/>
    <w:rsid w:val="0062565F"/>
    <w:rsid w:val="0062586D"/>
    <w:rsid w:val="00625E0F"/>
    <w:rsid w:val="0062620B"/>
    <w:rsid w:val="00626B8F"/>
    <w:rsid w:val="00626DAE"/>
    <w:rsid w:val="00627001"/>
    <w:rsid w:val="0062764B"/>
    <w:rsid w:val="00627B3B"/>
    <w:rsid w:val="00636042"/>
    <w:rsid w:val="00637EE3"/>
    <w:rsid w:val="0064051A"/>
    <w:rsid w:val="00640F47"/>
    <w:rsid w:val="00641840"/>
    <w:rsid w:val="006426CB"/>
    <w:rsid w:val="00643404"/>
    <w:rsid w:val="0064563E"/>
    <w:rsid w:val="0064750A"/>
    <w:rsid w:val="00647A94"/>
    <w:rsid w:val="00647D3C"/>
    <w:rsid w:val="00647E5D"/>
    <w:rsid w:val="00651A65"/>
    <w:rsid w:val="00651F18"/>
    <w:rsid w:val="0065291E"/>
    <w:rsid w:val="00653993"/>
    <w:rsid w:val="006541FB"/>
    <w:rsid w:val="00654FAC"/>
    <w:rsid w:val="00655946"/>
    <w:rsid w:val="00655A3C"/>
    <w:rsid w:val="00657D2E"/>
    <w:rsid w:val="00660610"/>
    <w:rsid w:val="00660DAF"/>
    <w:rsid w:val="00661537"/>
    <w:rsid w:val="006615E1"/>
    <w:rsid w:val="00665263"/>
    <w:rsid w:val="00665A7C"/>
    <w:rsid w:val="006665E7"/>
    <w:rsid w:val="006676FD"/>
    <w:rsid w:val="006711B6"/>
    <w:rsid w:val="00671DEF"/>
    <w:rsid w:val="00671FDB"/>
    <w:rsid w:val="00673EA6"/>
    <w:rsid w:val="006741D9"/>
    <w:rsid w:val="00675A44"/>
    <w:rsid w:val="006835A6"/>
    <w:rsid w:val="00683EA1"/>
    <w:rsid w:val="0068412E"/>
    <w:rsid w:val="00684762"/>
    <w:rsid w:val="00684907"/>
    <w:rsid w:val="00687B5E"/>
    <w:rsid w:val="00687DB6"/>
    <w:rsid w:val="00690A12"/>
    <w:rsid w:val="006915F5"/>
    <w:rsid w:val="00694B5B"/>
    <w:rsid w:val="0069576E"/>
    <w:rsid w:val="00695BD5"/>
    <w:rsid w:val="0069726E"/>
    <w:rsid w:val="006A0842"/>
    <w:rsid w:val="006A2317"/>
    <w:rsid w:val="006A2A1E"/>
    <w:rsid w:val="006A2FD9"/>
    <w:rsid w:val="006A620D"/>
    <w:rsid w:val="006B000B"/>
    <w:rsid w:val="006B0F47"/>
    <w:rsid w:val="006B1B20"/>
    <w:rsid w:val="006B27EC"/>
    <w:rsid w:val="006B2E17"/>
    <w:rsid w:val="006B3CA6"/>
    <w:rsid w:val="006B4C65"/>
    <w:rsid w:val="006C07F2"/>
    <w:rsid w:val="006C0AE4"/>
    <w:rsid w:val="006C0FF3"/>
    <w:rsid w:val="006C13FD"/>
    <w:rsid w:val="006C578D"/>
    <w:rsid w:val="006C5F6C"/>
    <w:rsid w:val="006C723A"/>
    <w:rsid w:val="006D057A"/>
    <w:rsid w:val="006D0865"/>
    <w:rsid w:val="006D0B74"/>
    <w:rsid w:val="006D252B"/>
    <w:rsid w:val="006D2F5F"/>
    <w:rsid w:val="006D32B0"/>
    <w:rsid w:val="006D4E92"/>
    <w:rsid w:val="006D4E94"/>
    <w:rsid w:val="006D5E1F"/>
    <w:rsid w:val="006D5E5C"/>
    <w:rsid w:val="006D5FCE"/>
    <w:rsid w:val="006D65C9"/>
    <w:rsid w:val="006D68DA"/>
    <w:rsid w:val="006D6A82"/>
    <w:rsid w:val="006E379C"/>
    <w:rsid w:val="006E3974"/>
    <w:rsid w:val="006E4029"/>
    <w:rsid w:val="006E4198"/>
    <w:rsid w:val="006E4A24"/>
    <w:rsid w:val="006E550D"/>
    <w:rsid w:val="006E5970"/>
    <w:rsid w:val="006E60C4"/>
    <w:rsid w:val="006E65D1"/>
    <w:rsid w:val="006F2FBA"/>
    <w:rsid w:val="006F3246"/>
    <w:rsid w:val="006F3CB0"/>
    <w:rsid w:val="006F4356"/>
    <w:rsid w:val="006F4B07"/>
    <w:rsid w:val="006F58AC"/>
    <w:rsid w:val="006F6123"/>
    <w:rsid w:val="006F69E3"/>
    <w:rsid w:val="006F72FC"/>
    <w:rsid w:val="006F7958"/>
    <w:rsid w:val="0070018E"/>
    <w:rsid w:val="0070126A"/>
    <w:rsid w:val="007032A7"/>
    <w:rsid w:val="0070377D"/>
    <w:rsid w:val="0070450F"/>
    <w:rsid w:val="00704AC3"/>
    <w:rsid w:val="007050C7"/>
    <w:rsid w:val="0070523D"/>
    <w:rsid w:val="00706372"/>
    <w:rsid w:val="00706D6D"/>
    <w:rsid w:val="00707135"/>
    <w:rsid w:val="0070798F"/>
    <w:rsid w:val="007079E7"/>
    <w:rsid w:val="0071091D"/>
    <w:rsid w:val="0071188A"/>
    <w:rsid w:val="00712C3D"/>
    <w:rsid w:val="00712C8C"/>
    <w:rsid w:val="007140F3"/>
    <w:rsid w:val="00714D20"/>
    <w:rsid w:val="00716811"/>
    <w:rsid w:val="00723A17"/>
    <w:rsid w:val="00724197"/>
    <w:rsid w:val="00724D6D"/>
    <w:rsid w:val="00726E2C"/>
    <w:rsid w:val="00727D7B"/>
    <w:rsid w:val="00727ECB"/>
    <w:rsid w:val="00730521"/>
    <w:rsid w:val="0073094C"/>
    <w:rsid w:val="0073358B"/>
    <w:rsid w:val="007337DD"/>
    <w:rsid w:val="00733850"/>
    <w:rsid w:val="007342CB"/>
    <w:rsid w:val="00734C3B"/>
    <w:rsid w:val="0073679F"/>
    <w:rsid w:val="00736D2A"/>
    <w:rsid w:val="00736ED9"/>
    <w:rsid w:val="00736FA0"/>
    <w:rsid w:val="00737BB4"/>
    <w:rsid w:val="007423C3"/>
    <w:rsid w:val="007426BC"/>
    <w:rsid w:val="00742E53"/>
    <w:rsid w:val="007441D0"/>
    <w:rsid w:val="007450FA"/>
    <w:rsid w:val="00745120"/>
    <w:rsid w:val="00747152"/>
    <w:rsid w:val="007518E6"/>
    <w:rsid w:val="0075357B"/>
    <w:rsid w:val="00754746"/>
    <w:rsid w:val="00754D89"/>
    <w:rsid w:val="00754E3F"/>
    <w:rsid w:val="007602D9"/>
    <w:rsid w:val="007621E2"/>
    <w:rsid w:val="00762D10"/>
    <w:rsid w:val="007632D6"/>
    <w:rsid w:val="0076385F"/>
    <w:rsid w:val="00764059"/>
    <w:rsid w:val="0076518C"/>
    <w:rsid w:val="0076548B"/>
    <w:rsid w:val="007659CA"/>
    <w:rsid w:val="00766B59"/>
    <w:rsid w:val="00770EFA"/>
    <w:rsid w:val="00772F69"/>
    <w:rsid w:val="00774170"/>
    <w:rsid w:val="007741FB"/>
    <w:rsid w:val="0077455C"/>
    <w:rsid w:val="00775195"/>
    <w:rsid w:val="00775CB5"/>
    <w:rsid w:val="00775F32"/>
    <w:rsid w:val="007773B9"/>
    <w:rsid w:val="007810A1"/>
    <w:rsid w:val="007830A8"/>
    <w:rsid w:val="00783B98"/>
    <w:rsid w:val="00787377"/>
    <w:rsid w:val="0079042C"/>
    <w:rsid w:val="00790547"/>
    <w:rsid w:val="00790725"/>
    <w:rsid w:val="007917CC"/>
    <w:rsid w:val="00792372"/>
    <w:rsid w:val="007927C4"/>
    <w:rsid w:val="00792BBE"/>
    <w:rsid w:val="007936B1"/>
    <w:rsid w:val="00794456"/>
    <w:rsid w:val="007A03E8"/>
    <w:rsid w:val="007A04D8"/>
    <w:rsid w:val="007A2622"/>
    <w:rsid w:val="007A5D9B"/>
    <w:rsid w:val="007A5ECF"/>
    <w:rsid w:val="007A60B1"/>
    <w:rsid w:val="007A6925"/>
    <w:rsid w:val="007A71F0"/>
    <w:rsid w:val="007B1FF5"/>
    <w:rsid w:val="007B2A7E"/>
    <w:rsid w:val="007B3AFA"/>
    <w:rsid w:val="007B3E95"/>
    <w:rsid w:val="007B73C2"/>
    <w:rsid w:val="007B7C5A"/>
    <w:rsid w:val="007B7F5F"/>
    <w:rsid w:val="007C29D8"/>
    <w:rsid w:val="007C4219"/>
    <w:rsid w:val="007C4B93"/>
    <w:rsid w:val="007C67B9"/>
    <w:rsid w:val="007C68A5"/>
    <w:rsid w:val="007C73A7"/>
    <w:rsid w:val="007C73B9"/>
    <w:rsid w:val="007D0C4A"/>
    <w:rsid w:val="007D4746"/>
    <w:rsid w:val="007D563B"/>
    <w:rsid w:val="007D5963"/>
    <w:rsid w:val="007D621B"/>
    <w:rsid w:val="007E1841"/>
    <w:rsid w:val="007E49D4"/>
    <w:rsid w:val="007E6738"/>
    <w:rsid w:val="007F35EC"/>
    <w:rsid w:val="007F4096"/>
    <w:rsid w:val="007F6C78"/>
    <w:rsid w:val="007F7131"/>
    <w:rsid w:val="007F7702"/>
    <w:rsid w:val="007F77D8"/>
    <w:rsid w:val="007F78CA"/>
    <w:rsid w:val="00802C97"/>
    <w:rsid w:val="00804B7D"/>
    <w:rsid w:val="0081011E"/>
    <w:rsid w:val="008104E0"/>
    <w:rsid w:val="0081379D"/>
    <w:rsid w:val="00814611"/>
    <w:rsid w:val="0081472D"/>
    <w:rsid w:val="00816691"/>
    <w:rsid w:val="0081669F"/>
    <w:rsid w:val="008169BA"/>
    <w:rsid w:val="00817BC7"/>
    <w:rsid w:val="008218C6"/>
    <w:rsid w:val="00821945"/>
    <w:rsid w:val="008219A3"/>
    <w:rsid w:val="008236A8"/>
    <w:rsid w:val="008239F2"/>
    <w:rsid w:val="00823CAB"/>
    <w:rsid w:val="008252D6"/>
    <w:rsid w:val="00825B2B"/>
    <w:rsid w:val="008267E5"/>
    <w:rsid w:val="0082703E"/>
    <w:rsid w:val="008301EE"/>
    <w:rsid w:val="008306CA"/>
    <w:rsid w:val="00830C5F"/>
    <w:rsid w:val="008310FD"/>
    <w:rsid w:val="00831328"/>
    <w:rsid w:val="00831C13"/>
    <w:rsid w:val="00831E43"/>
    <w:rsid w:val="0083482B"/>
    <w:rsid w:val="008350CF"/>
    <w:rsid w:val="00837658"/>
    <w:rsid w:val="00840A02"/>
    <w:rsid w:val="00841D88"/>
    <w:rsid w:val="00842079"/>
    <w:rsid w:val="00842890"/>
    <w:rsid w:val="00842CC8"/>
    <w:rsid w:val="00843016"/>
    <w:rsid w:val="0084345E"/>
    <w:rsid w:val="00843613"/>
    <w:rsid w:val="00843948"/>
    <w:rsid w:val="00844115"/>
    <w:rsid w:val="008446F4"/>
    <w:rsid w:val="00844A55"/>
    <w:rsid w:val="00846E0E"/>
    <w:rsid w:val="00847345"/>
    <w:rsid w:val="00850026"/>
    <w:rsid w:val="00850AD9"/>
    <w:rsid w:val="00851E70"/>
    <w:rsid w:val="00852652"/>
    <w:rsid w:val="00853338"/>
    <w:rsid w:val="008546D7"/>
    <w:rsid w:val="0085528E"/>
    <w:rsid w:val="00855A97"/>
    <w:rsid w:val="008566AF"/>
    <w:rsid w:val="008567F7"/>
    <w:rsid w:val="00856F6A"/>
    <w:rsid w:val="00857B8B"/>
    <w:rsid w:val="00860AAB"/>
    <w:rsid w:val="008611E6"/>
    <w:rsid w:val="00863D0C"/>
    <w:rsid w:val="00864FE9"/>
    <w:rsid w:val="00865892"/>
    <w:rsid w:val="0086752B"/>
    <w:rsid w:val="0086775D"/>
    <w:rsid w:val="00867AF3"/>
    <w:rsid w:val="00867E0C"/>
    <w:rsid w:val="008719D8"/>
    <w:rsid w:val="00872724"/>
    <w:rsid w:val="00874CBC"/>
    <w:rsid w:val="00874D9C"/>
    <w:rsid w:val="0087532F"/>
    <w:rsid w:val="00875F98"/>
    <w:rsid w:val="0087673E"/>
    <w:rsid w:val="00877019"/>
    <w:rsid w:val="0088016B"/>
    <w:rsid w:val="00880D9C"/>
    <w:rsid w:val="00880F4B"/>
    <w:rsid w:val="0088180E"/>
    <w:rsid w:val="00881AED"/>
    <w:rsid w:val="00883B76"/>
    <w:rsid w:val="00883BD6"/>
    <w:rsid w:val="0088418E"/>
    <w:rsid w:val="008849BE"/>
    <w:rsid w:val="00885A11"/>
    <w:rsid w:val="00887D4F"/>
    <w:rsid w:val="0089074A"/>
    <w:rsid w:val="00891B42"/>
    <w:rsid w:val="00892391"/>
    <w:rsid w:val="00892BFB"/>
    <w:rsid w:val="008937B0"/>
    <w:rsid w:val="008941AE"/>
    <w:rsid w:val="00894FCD"/>
    <w:rsid w:val="008962C5"/>
    <w:rsid w:val="0089674A"/>
    <w:rsid w:val="00896C2A"/>
    <w:rsid w:val="0089719C"/>
    <w:rsid w:val="008A0527"/>
    <w:rsid w:val="008A0E35"/>
    <w:rsid w:val="008A3123"/>
    <w:rsid w:val="008A3C8E"/>
    <w:rsid w:val="008A407D"/>
    <w:rsid w:val="008A413D"/>
    <w:rsid w:val="008A5052"/>
    <w:rsid w:val="008A58A4"/>
    <w:rsid w:val="008A73FB"/>
    <w:rsid w:val="008B031A"/>
    <w:rsid w:val="008B08C1"/>
    <w:rsid w:val="008B0EA7"/>
    <w:rsid w:val="008B14BF"/>
    <w:rsid w:val="008B16CB"/>
    <w:rsid w:val="008B2A72"/>
    <w:rsid w:val="008B538B"/>
    <w:rsid w:val="008B5AF7"/>
    <w:rsid w:val="008B5EFA"/>
    <w:rsid w:val="008B66F8"/>
    <w:rsid w:val="008B6852"/>
    <w:rsid w:val="008B6AB2"/>
    <w:rsid w:val="008C1CA6"/>
    <w:rsid w:val="008C2CDE"/>
    <w:rsid w:val="008C2FAE"/>
    <w:rsid w:val="008C3D16"/>
    <w:rsid w:val="008C536E"/>
    <w:rsid w:val="008C6162"/>
    <w:rsid w:val="008D02E0"/>
    <w:rsid w:val="008D2FCF"/>
    <w:rsid w:val="008D3FA0"/>
    <w:rsid w:val="008D5E14"/>
    <w:rsid w:val="008D6013"/>
    <w:rsid w:val="008D7114"/>
    <w:rsid w:val="008D71AF"/>
    <w:rsid w:val="008E020C"/>
    <w:rsid w:val="008E356F"/>
    <w:rsid w:val="008E4833"/>
    <w:rsid w:val="008E5E62"/>
    <w:rsid w:val="008E6335"/>
    <w:rsid w:val="008E63C5"/>
    <w:rsid w:val="008F1315"/>
    <w:rsid w:val="008F209D"/>
    <w:rsid w:val="008F2696"/>
    <w:rsid w:val="008F27C7"/>
    <w:rsid w:val="008F3537"/>
    <w:rsid w:val="008F38C6"/>
    <w:rsid w:val="008F3917"/>
    <w:rsid w:val="008F66A1"/>
    <w:rsid w:val="008F6E3C"/>
    <w:rsid w:val="008F78B8"/>
    <w:rsid w:val="00900446"/>
    <w:rsid w:val="00901BCF"/>
    <w:rsid w:val="009022E7"/>
    <w:rsid w:val="0090310E"/>
    <w:rsid w:val="0090382C"/>
    <w:rsid w:val="00903F70"/>
    <w:rsid w:val="009042C6"/>
    <w:rsid w:val="00905AE2"/>
    <w:rsid w:val="00907FB2"/>
    <w:rsid w:val="0091010D"/>
    <w:rsid w:val="0091135C"/>
    <w:rsid w:val="00913906"/>
    <w:rsid w:val="00914541"/>
    <w:rsid w:val="009149E4"/>
    <w:rsid w:val="00915151"/>
    <w:rsid w:val="00915A9A"/>
    <w:rsid w:val="00916809"/>
    <w:rsid w:val="00916DF1"/>
    <w:rsid w:val="0091799B"/>
    <w:rsid w:val="00920835"/>
    <w:rsid w:val="00921772"/>
    <w:rsid w:val="00924196"/>
    <w:rsid w:val="00924A40"/>
    <w:rsid w:val="00924C3A"/>
    <w:rsid w:val="00925C5C"/>
    <w:rsid w:val="00926F05"/>
    <w:rsid w:val="00927601"/>
    <w:rsid w:val="009302AC"/>
    <w:rsid w:val="00934076"/>
    <w:rsid w:val="00934CB5"/>
    <w:rsid w:val="00935399"/>
    <w:rsid w:val="00936D50"/>
    <w:rsid w:val="00940C50"/>
    <w:rsid w:val="0094139C"/>
    <w:rsid w:val="009437D5"/>
    <w:rsid w:val="0094471D"/>
    <w:rsid w:val="00946550"/>
    <w:rsid w:val="009465B9"/>
    <w:rsid w:val="009477A3"/>
    <w:rsid w:val="00950347"/>
    <w:rsid w:val="009505E4"/>
    <w:rsid w:val="00950773"/>
    <w:rsid w:val="00950EE3"/>
    <w:rsid w:val="0095141E"/>
    <w:rsid w:val="009516E1"/>
    <w:rsid w:val="0095189B"/>
    <w:rsid w:val="00951F61"/>
    <w:rsid w:val="0095254F"/>
    <w:rsid w:val="00952F1A"/>
    <w:rsid w:val="00953037"/>
    <w:rsid w:val="0095352B"/>
    <w:rsid w:val="00954151"/>
    <w:rsid w:val="00954D64"/>
    <w:rsid w:val="00954F69"/>
    <w:rsid w:val="00955A29"/>
    <w:rsid w:val="00956AB2"/>
    <w:rsid w:val="00956BC1"/>
    <w:rsid w:val="00957252"/>
    <w:rsid w:val="00960630"/>
    <w:rsid w:val="0096066F"/>
    <w:rsid w:val="00961C5D"/>
    <w:rsid w:val="00962E65"/>
    <w:rsid w:val="00963C3D"/>
    <w:rsid w:val="00963CBB"/>
    <w:rsid w:val="00965378"/>
    <w:rsid w:val="00966C2C"/>
    <w:rsid w:val="00966CC5"/>
    <w:rsid w:val="00967F7C"/>
    <w:rsid w:val="00971C88"/>
    <w:rsid w:val="00971CBD"/>
    <w:rsid w:val="00971D90"/>
    <w:rsid w:val="009724EC"/>
    <w:rsid w:val="00973447"/>
    <w:rsid w:val="00974392"/>
    <w:rsid w:val="009746F4"/>
    <w:rsid w:val="0097492C"/>
    <w:rsid w:val="009761CF"/>
    <w:rsid w:val="00977295"/>
    <w:rsid w:val="00980C8F"/>
    <w:rsid w:val="00980CFA"/>
    <w:rsid w:val="00980D49"/>
    <w:rsid w:val="00981A6A"/>
    <w:rsid w:val="00981CF6"/>
    <w:rsid w:val="00982692"/>
    <w:rsid w:val="009838E9"/>
    <w:rsid w:val="0098412D"/>
    <w:rsid w:val="00984F32"/>
    <w:rsid w:val="00985E21"/>
    <w:rsid w:val="009870A7"/>
    <w:rsid w:val="00987180"/>
    <w:rsid w:val="00987801"/>
    <w:rsid w:val="00990820"/>
    <w:rsid w:val="00992812"/>
    <w:rsid w:val="009929F8"/>
    <w:rsid w:val="009945CB"/>
    <w:rsid w:val="00994EDC"/>
    <w:rsid w:val="00995286"/>
    <w:rsid w:val="0099567D"/>
    <w:rsid w:val="0099588C"/>
    <w:rsid w:val="00995F52"/>
    <w:rsid w:val="00996D9F"/>
    <w:rsid w:val="009A0590"/>
    <w:rsid w:val="009A2321"/>
    <w:rsid w:val="009A422E"/>
    <w:rsid w:val="009A4258"/>
    <w:rsid w:val="009A52D3"/>
    <w:rsid w:val="009A5CD8"/>
    <w:rsid w:val="009A5F65"/>
    <w:rsid w:val="009A603C"/>
    <w:rsid w:val="009A756D"/>
    <w:rsid w:val="009B0465"/>
    <w:rsid w:val="009B156A"/>
    <w:rsid w:val="009B2D38"/>
    <w:rsid w:val="009B438C"/>
    <w:rsid w:val="009B5FC9"/>
    <w:rsid w:val="009B69EA"/>
    <w:rsid w:val="009B6BF1"/>
    <w:rsid w:val="009C0A21"/>
    <w:rsid w:val="009C0F75"/>
    <w:rsid w:val="009C14B4"/>
    <w:rsid w:val="009C16C1"/>
    <w:rsid w:val="009C2500"/>
    <w:rsid w:val="009C3735"/>
    <w:rsid w:val="009C3760"/>
    <w:rsid w:val="009C5E8A"/>
    <w:rsid w:val="009C61A8"/>
    <w:rsid w:val="009C74AF"/>
    <w:rsid w:val="009C75AC"/>
    <w:rsid w:val="009C7D33"/>
    <w:rsid w:val="009D105F"/>
    <w:rsid w:val="009D3A9E"/>
    <w:rsid w:val="009D3AC1"/>
    <w:rsid w:val="009D45C7"/>
    <w:rsid w:val="009D7F2D"/>
    <w:rsid w:val="009E0363"/>
    <w:rsid w:val="009E167F"/>
    <w:rsid w:val="009E2E78"/>
    <w:rsid w:val="009E308B"/>
    <w:rsid w:val="009E32F5"/>
    <w:rsid w:val="009E3D9C"/>
    <w:rsid w:val="009E3DA3"/>
    <w:rsid w:val="009E4F51"/>
    <w:rsid w:val="009E52CF"/>
    <w:rsid w:val="009E5654"/>
    <w:rsid w:val="009E5716"/>
    <w:rsid w:val="009E7279"/>
    <w:rsid w:val="009F0F1A"/>
    <w:rsid w:val="009F3E18"/>
    <w:rsid w:val="009F3FAD"/>
    <w:rsid w:val="009F546E"/>
    <w:rsid w:val="009F6043"/>
    <w:rsid w:val="009F6ECF"/>
    <w:rsid w:val="009F71B8"/>
    <w:rsid w:val="00A011E6"/>
    <w:rsid w:val="00A0151E"/>
    <w:rsid w:val="00A01699"/>
    <w:rsid w:val="00A01F59"/>
    <w:rsid w:val="00A039A6"/>
    <w:rsid w:val="00A0475C"/>
    <w:rsid w:val="00A069D1"/>
    <w:rsid w:val="00A0731B"/>
    <w:rsid w:val="00A107A8"/>
    <w:rsid w:val="00A11456"/>
    <w:rsid w:val="00A121F1"/>
    <w:rsid w:val="00A129A9"/>
    <w:rsid w:val="00A12EED"/>
    <w:rsid w:val="00A1303D"/>
    <w:rsid w:val="00A130CE"/>
    <w:rsid w:val="00A14EA9"/>
    <w:rsid w:val="00A14F71"/>
    <w:rsid w:val="00A15612"/>
    <w:rsid w:val="00A15F67"/>
    <w:rsid w:val="00A162F2"/>
    <w:rsid w:val="00A165B6"/>
    <w:rsid w:val="00A177FD"/>
    <w:rsid w:val="00A200F3"/>
    <w:rsid w:val="00A21D78"/>
    <w:rsid w:val="00A23347"/>
    <w:rsid w:val="00A25671"/>
    <w:rsid w:val="00A26EEE"/>
    <w:rsid w:val="00A270BB"/>
    <w:rsid w:val="00A27A49"/>
    <w:rsid w:val="00A27ABC"/>
    <w:rsid w:val="00A27FE6"/>
    <w:rsid w:val="00A30194"/>
    <w:rsid w:val="00A307BC"/>
    <w:rsid w:val="00A30BD7"/>
    <w:rsid w:val="00A30F6D"/>
    <w:rsid w:val="00A31525"/>
    <w:rsid w:val="00A330E8"/>
    <w:rsid w:val="00A33660"/>
    <w:rsid w:val="00A34F32"/>
    <w:rsid w:val="00A35536"/>
    <w:rsid w:val="00A3718C"/>
    <w:rsid w:val="00A408D7"/>
    <w:rsid w:val="00A41B89"/>
    <w:rsid w:val="00A41DE1"/>
    <w:rsid w:val="00A42555"/>
    <w:rsid w:val="00A426FB"/>
    <w:rsid w:val="00A42C91"/>
    <w:rsid w:val="00A43B34"/>
    <w:rsid w:val="00A44195"/>
    <w:rsid w:val="00A4710F"/>
    <w:rsid w:val="00A50BDD"/>
    <w:rsid w:val="00A50DFB"/>
    <w:rsid w:val="00A529B9"/>
    <w:rsid w:val="00A53A34"/>
    <w:rsid w:val="00A548E6"/>
    <w:rsid w:val="00A56532"/>
    <w:rsid w:val="00A5702B"/>
    <w:rsid w:val="00A6040C"/>
    <w:rsid w:val="00A61850"/>
    <w:rsid w:val="00A62073"/>
    <w:rsid w:val="00A62D33"/>
    <w:rsid w:val="00A63540"/>
    <w:rsid w:val="00A644AD"/>
    <w:rsid w:val="00A64699"/>
    <w:rsid w:val="00A64EBE"/>
    <w:rsid w:val="00A677C1"/>
    <w:rsid w:val="00A712B6"/>
    <w:rsid w:val="00A71B11"/>
    <w:rsid w:val="00A72ADE"/>
    <w:rsid w:val="00A74582"/>
    <w:rsid w:val="00A748C6"/>
    <w:rsid w:val="00A74E85"/>
    <w:rsid w:val="00A77C61"/>
    <w:rsid w:val="00A77E20"/>
    <w:rsid w:val="00A80370"/>
    <w:rsid w:val="00A80724"/>
    <w:rsid w:val="00A821AF"/>
    <w:rsid w:val="00A84F00"/>
    <w:rsid w:val="00A8597A"/>
    <w:rsid w:val="00A85C43"/>
    <w:rsid w:val="00A86B45"/>
    <w:rsid w:val="00A86C5E"/>
    <w:rsid w:val="00A86CBB"/>
    <w:rsid w:val="00A90D88"/>
    <w:rsid w:val="00A918E3"/>
    <w:rsid w:val="00A9238A"/>
    <w:rsid w:val="00A946F9"/>
    <w:rsid w:val="00A949BE"/>
    <w:rsid w:val="00A970FC"/>
    <w:rsid w:val="00A974D0"/>
    <w:rsid w:val="00A97B86"/>
    <w:rsid w:val="00AA180C"/>
    <w:rsid w:val="00AA28F3"/>
    <w:rsid w:val="00AA2E1F"/>
    <w:rsid w:val="00AA48AD"/>
    <w:rsid w:val="00AA5116"/>
    <w:rsid w:val="00AB0A2A"/>
    <w:rsid w:val="00AB108B"/>
    <w:rsid w:val="00AB1AEF"/>
    <w:rsid w:val="00AB1AFA"/>
    <w:rsid w:val="00AB725E"/>
    <w:rsid w:val="00AB79FF"/>
    <w:rsid w:val="00AB7AE6"/>
    <w:rsid w:val="00AC0A2A"/>
    <w:rsid w:val="00AC2B57"/>
    <w:rsid w:val="00AC2C07"/>
    <w:rsid w:val="00AC374C"/>
    <w:rsid w:val="00AC3FD0"/>
    <w:rsid w:val="00AC4F30"/>
    <w:rsid w:val="00AC616E"/>
    <w:rsid w:val="00AC7D2C"/>
    <w:rsid w:val="00AD13E5"/>
    <w:rsid w:val="00AD185D"/>
    <w:rsid w:val="00AD20BD"/>
    <w:rsid w:val="00AD28C0"/>
    <w:rsid w:val="00AD2AA3"/>
    <w:rsid w:val="00AD2C6F"/>
    <w:rsid w:val="00AD3F00"/>
    <w:rsid w:val="00AD4215"/>
    <w:rsid w:val="00AD433E"/>
    <w:rsid w:val="00AD4CD9"/>
    <w:rsid w:val="00AD5149"/>
    <w:rsid w:val="00AE0376"/>
    <w:rsid w:val="00AE0697"/>
    <w:rsid w:val="00AE1BEE"/>
    <w:rsid w:val="00AE22B3"/>
    <w:rsid w:val="00AE325F"/>
    <w:rsid w:val="00AE5152"/>
    <w:rsid w:val="00AE537A"/>
    <w:rsid w:val="00AE5E29"/>
    <w:rsid w:val="00AE65A2"/>
    <w:rsid w:val="00AE6B3E"/>
    <w:rsid w:val="00AE7765"/>
    <w:rsid w:val="00AE7DBD"/>
    <w:rsid w:val="00AF00A9"/>
    <w:rsid w:val="00AF0906"/>
    <w:rsid w:val="00AF0A00"/>
    <w:rsid w:val="00AF1748"/>
    <w:rsid w:val="00AF3334"/>
    <w:rsid w:val="00AF36CE"/>
    <w:rsid w:val="00AF3EA9"/>
    <w:rsid w:val="00AF413A"/>
    <w:rsid w:val="00AF42CE"/>
    <w:rsid w:val="00AF4546"/>
    <w:rsid w:val="00AF5D5D"/>
    <w:rsid w:val="00B00A94"/>
    <w:rsid w:val="00B00DC2"/>
    <w:rsid w:val="00B01D40"/>
    <w:rsid w:val="00B01D86"/>
    <w:rsid w:val="00B02A7D"/>
    <w:rsid w:val="00B03C82"/>
    <w:rsid w:val="00B0400D"/>
    <w:rsid w:val="00B05E9E"/>
    <w:rsid w:val="00B10808"/>
    <w:rsid w:val="00B1096F"/>
    <w:rsid w:val="00B113A4"/>
    <w:rsid w:val="00B11EAC"/>
    <w:rsid w:val="00B13F10"/>
    <w:rsid w:val="00B14619"/>
    <w:rsid w:val="00B15F8A"/>
    <w:rsid w:val="00B16E13"/>
    <w:rsid w:val="00B2079E"/>
    <w:rsid w:val="00B20BB8"/>
    <w:rsid w:val="00B20E11"/>
    <w:rsid w:val="00B22F1C"/>
    <w:rsid w:val="00B241CB"/>
    <w:rsid w:val="00B24A87"/>
    <w:rsid w:val="00B27F5F"/>
    <w:rsid w:val="00B30384"/>
    <w:rsid w:val="00B3088C"/>
    <w:rsid w:val="00B31492"/>
    <w:rsid w:val="00B31CCD"/>
    <w:rsid w:val="00B33E26"/>
    <w:rsid w:val="00B34985"/>
    <w:rsid w:val="00B35E70"/>
    <w:rsid w:val="00B37520"/>
    <w:rsid w:val="00B375F3"/>
    <w:rsid w:val="00B400AC"/>
    <w:rsid w:val="00B40C18"/>
    <w:rsid w:val="00B44148"/>
    <w:rsid w:val="00B445D0"/>
    <w:rsid w:val="00B45D6B"/>
    <w:rsid w:val="00B46B5E"/>
    <w:rsid w:val="00B46DE9"/>
    <w:rsid w:val="00B51BCD"/>
    <w:rsid w:val="00B559E1"/>
    <w:rsid w:val="00B61AF0"/>
    <w:rsid w:val="00B64D9E"/>
    <w:rsid w:val="00B64E25"/>
    <w:rsid w:val="00B65630"/>
    <w:rsid w:val="00B65BCF"/>
    <w:rsid w:val="00B65F70"/>
    <w:rsid w:val="00B664F4"/>
    <w:rsid w:val="00B666B5"/>
    <w:rsid w:val="00B6707B"/>
    <w:rsid w:val="00B70725"/>
    <w:rsid w:val="00B70D4C"/>
    <w:rsid w:val="00B737F7"/>
    <w:rsid w:val="00B73B18"/>
    <w:rsid w:val="00B770CB"/>
    <w:rsid w:val="00B77909"/>
    <w:rsid w:val="00B779B8"/>
    <w:rsid w:val="00B82212"/>
    <w:rsid w:val="00B82364"/>
    <w:rsid w:val="00B833B3"/>
    <w:rsid w:val="00B84828"/>
    <w:rsid w:val="00B863CB"/>
    <w:rsid w:val="00B91283"/>
    <w:rsid w:val="00B9142D"/>
    <w:rsid w:val="00B91688"/>
    <w:rsid w:val="00B9298A"/>
    <w:rsid w:val="00B92F7D"/>
    <w:rsid w:val="00B93CBB"/>
    <w:rsid w:val="00B94D8E"/>
    <w:rsid w:val="00B9529D"/>
    <w:rsid w:val="00B9567B"/>
    <w:rsid w:val="00B95D3D"/>
    <w:rsid w:val="00B964E2"/>
    <w:rsid w:val="00B9729A"/>
    <w:rsid w:val="00B976C3"/>
    <w:rsid w:val="00BA01B5"/>
    <w:rsid w:val="00BA1522"/>
    <w:rsid w:val="00BA1FD6"/>
    <w:rsid w:val="00BA20C0"/>
    <w:rsid w:val="00BA3499"/>
    <w:rsid w:val="00BA3C3D"/>
    <w:rsid w:val="00BA4734"/>
    <w:rsid w:val="00BA4C44"/>
    <w:rsid w:val="00BA625C"/>
    <w:rsid w:val="00BA6828"/>
    <w:rsid w:val="00BA7A58"/>
    <w:rsid w:val="00BA7BD0"/>
    <w:rsid w:val="00BB1110"/>
    <w:rsid w:val="00BB127B"/>
    <w:rsid w:val="00BB1888"/>
    <w:rsid w:val="00BB1928"/>
    <w:rsid w:val="00BB311A"/>
    <w:rsid w:val="00BB33E9"/>
    <w:rsid w:val="00BB38B2"/>
    <w:rsid w:val="00BB4E0B"/>
    <w:rsid w:val="00BB530F"/>
    <w:rsid w:val="00BB614F"/>
    <w:rsid w:val="00BB70AE"/>
    <w:rsid w:val="00BC2D28"/>
    <w:rsid w:val="00BC34C3"/>
    <w:rsid w:val="00BC3910"/>
    <w:rsid w:val="00BC3A32"/>
    <w:rsid w:val="00BC425D"/>
    <w:rsid w:val="00BC5B4D"/>
    <w:rsid w:val="00BC5DAE"/>
    <w:rsid w:val="00BC6190"/>
    <w:rsid w:val="00BC6438"/>
    <w:rsid w:val="00BC751B"/>
    <w:rsid w:val="00BC76D9"/>
    <w:rsid w:val="00BC7E92"/>
    <w:rsid w:val="00BD24B2"/>
    <w:rsid w:val="00BD2EC8"/>
    <w:rsid w:val="00BD3AC8"/>
    <w:rsid w:val="00BD4360"/>
    <w:rsid w:val="00BD5450"/>
    <w:rsid w:val="00BD55E7"/>
    <w:rsid w:val="00BD5930"/>
    <w:rsid w:val="00BD5CBD"/>
    <w:rsid w:val="00BD6855"/>
    <w:rsid w:val="00BD7CA4"/>
    <w:rsid w:val="00BE0610"/>
    <w:rsid w:val="00BE0F4F"/>
    <w:rsid w:val="00BE13F9"/>
    <w:rsid w:val="00BE1ADC"/>
    <w:rsid w:val="00BE31F5"/>
    <w:rsid w:val="00BE5305"/>
    <w:rsid w:val="00BE54DA"/>
    <w:rsid w:val="00BE5622"/>
    <w:rsid w:val="00BE58B1"/>
    <w:rsid w:val="00BE754E"/>
    <w:rsid w:val="00BF14F3"/>
    <w:rsid w:val="00BF36F2"/>
    <w:rsid w:val="00BF3722"/>
    <w:rsid w:val="00BF395F"/>
    <w:rsid w:val="00BF3C48"/>
    <w:rsid w:val="00BF3C58"/>
    <w:rsid w:val="00BF4459"/>
    <w:rsid w:val="00BF4767"/>
    <w:rsid w:val="00BF4AC1"/>
    <w:rsid w:val="00BF5747"/>
    <w:rsid w:val="00BF72BB"/>
    <w:rsid w:val="00C0009C"/>
    <w:rsid w:val="00C00335"/>
    <w:rsid w:val="00C008D1"/>
    <w:rsid w:val="00C01FE0"/>
    <w:rsid w:val="00C02C4B"/>
    <w:rsid w:val="00C038CF"/>
    <w:rsid w:val="00C046BD"/>
    <w:rsid w:val="00C04A96"/>
    <w:rsid w:val="00C05AC0"/>
    <w:rsid w:val="00C069FD"/>
    <w:rsid w:val="00C0774F"/>
    <w:rsid w:val="00C0777F"/>
    <w:rsid w:val="00C07F2D"/>
    <w:rsid w:val="00C11C2F"/>
    <w:rsid w:val="00C120B6"/>
    <w:rsid w:val="00C12376"/>
    <w:rsid w:val="00C15FA5"/>
    <w:rsid w:val="00C17C23"/>
    <w:rsid w:val="00C202B3"/>
    <w:rsid w:val="00C2083C"/>
    <w:rsid w:val="00C20E79"/>
    <w:rsid w:val="00C21111"/>
    <w:rsid w:val="00C227E6"/>
    <w:rsid w:val="00C230C8"/>
    <w:rsid w:val="00C249BF"/>
    <w:rsid w:val="00C2680C"/>
    <w:rsid w:val="00C2747D"/>
    <w:rsid w:val="00C27DD4"/>
    <w:rsid w:val="00C31325"/>
    <w:rsid w:val="00C328DA"/>
    <w:rsid w:val="00C35E45"/>
    <w:rsid w:val="00C363F7"/>
    <w:rsid w:val="00C378B2"/>
    <w:rsid w:val="00C4062A"/>
    <w:rsid w:val="00C44149"/>
    <w:rsid w:val="00C445C2"/>
    <w:rsid w:val="00C44662"/>
    <w:rsid w:val="00C44C5D"/>
    <w:rsid w:val="00C4510C"/>
    <w:rsid w:val="00C4631C"/>
    <w:rsid w:val="00C47A26"/>
    <w:rsid w:val="00C47F39"/>
    <w:rsid w:val="00C5133E"/>
    <w:rsid w:val="00C53088"/>
    <w:rsid w:val="00C53BB2"/>
    <w:rsid w:val="00C562FE"/>
    <w:rsid w:val="00C563D8"/>
    <w:rsid w:val="00C57991"/>
    <w:rsid w:val="00C57CA1"/>
    <w:rsid w:val="00C60366"/>
    <w:rsid w:val="00C63F62"/>
    <w:rsid w:val="00C64057"/>
    <w:rsid w:val="00C668B8"/>
    <w:rsid w:val="00C705D5"/>
    <w:rsid w:val="00C73D26"/>
    <w:rsid w:val="00C75AC9"/>
    <w:rsid w:val="00C76015"/>
    <w:rsid w:val="00C7694E"/>
    <w:rsid w:val="00C76AB3"/>
    <w:rsid w:val="00C77808"/>
    <w:rsid w:val="00C77CF5"/>
    <w:rsid w:val="00C80328"/>
    <w:rsid w:val="00C80D1E"/>
    <w:rsid w:val="00C812FB"/>
    <w:rsid w:val="00C81BD6"/>
    <w:rsid w:val="00C82F9D"/>
    <w:rsid w:val="00C83B45"/>
    <w:rsid w:val="00C84B89"/>
    <w:rsid w:val="00C85274"/>
    <w:rsid w:val="00C877FC"/>
    <w:rsid w:val="00C879AA"/>
    <w:rsid w:val="00C87A78"/>
    <w:rsid w:val="00C900EA"/>
    <w:rsid w:val="00C91D2A"/>
    <w:rsid w:val="00C94E6A"/>
    <w:rsid w:val="00C9630C"/>
    <w:rsid w:val="00C96D0F"/>
    <w:rsid w:val="00C97839"/>
    <w:rsid w:val="00C97B83"/>
    <w:rsid w:val="00CA0E9F"/>
    <w:rsid w:val="00CA163F"/>
    <w:rsid w:val="00CA2E34"/>
    <w:rsid w:val="00CA57F9"/>
    <w:rsid w:val="00CA6A99"/>
    <w:rsid w:val="00CA78D5"/>
    <w:rsid w:val="00CB0BB8"/>
    <w:rsid w:val="00CB11FB"/>
    <w:rsid w:val="00CB2DA2"/>
    <w:rsid w:val="00CB59B2"/>
    <w:rsid w:val="00CB5AC9"/>
    <w:rsid w:val="00CC02F3"/>
    <w:rsid w:val="00CC0FFD"/>
    <w:rsid w:val="00CC1961"/>
    <w:rsid w:val="00CC2455"/>
    <w:rsid w:val="00CC2893"/>
    <w:rsid w:val="00CC295E"/>
    <w:rsid w:val="00CC2B27"/>
    <w:rsid w:val="00CC2F37"/>
    <w:rsid w:val="00CC4869"/>
    <w:rsid w:val="00CC4983"/>
    <w:rsid w:val="00CC4E2D"/>
    <w:rsid w:val="00CC5323"/>
    <w:rsid w:val="00CC6BB2"/>
    <w:rsid w:val="00CC70F8"/>
    <w:rsid w:val="00CC72A4"/>
    <w:rsid w:val="00CD17C1"/>
    <w:rsid w:val="00CD50D5"/>
    <w:rsid w:val="00CD5697"/>
    <w:rsid w:val="00CD6013"/>
    <w:rsid w:val="00CD6817"/>
    <w:rsid w:val="00CD7BD2"/>
    <w:rsid w:val="00CD7F94"/>
    <w:rsid w:val="00CE1B1A"/>
    <w:rsid w:val="00CE2728"/>
    <w:rsid w:val="00CE4120"/>
    <w:rsid w:val="00CE6A6F"/>
    <w:rsid w:val="00CE6C27"/>
    <w:rsid w:val="00CE6E3A"/>
    <w:rsid w:val="00CE7F82"/>
    <w:rsid w:val="00CF029F"/>
    <w:rsid w:val="00CF0920"/>
    <w:rsid w:val="00CF0CF1"/>
    <w:rsid w:val="00CF1BC5"/>
    <w:rsid w:val="00CF253E"/>
    <w:rsid w:val="00CF4BF1"/>
    <w:rsid w:val="00CF4F6C"/>
    <w:rsid w:val="00CF5364"/>
    <w:rsid w:val="00CF6B81"/>
    <w:rsid w:val="00CF736D"/>
    <w:rsid w:val="00D011D2"/>
    <w:rsid w:val="00D01DC8"/>
    <w:rsid w:val="00D05079"/>
    <w:rsid w:val="00D05B05"/>
    <w:rsid w:val="00D06281"/>
    <w:rsid w:val="00D06D88"/>
    <w:rsid w:val="00D07E92"/>
    <w:rsid w:val="00D10511"/>
    <w:rsid w:val="00D107B0"/>
    <w:rsid w:val="00D11366"/>
    <w:rsid w:val="00D118F9"/>
    <w:rsid w:val="00D11E7F"/>
    <w:rsid w:val="00D12D19"/>
    <w:rsid w:val="00D139FA"/>
    <w:rsid w:val="00D13CED"/>
    <w:rsid w:val="00D16E21"/>
    <w:rsid w:val="00D215BA"/>
    <w:rsid w:val="00D21CC7"/>
    <w:rsid w:val="00D2251C"/>
    <w:rsid w:val="00D24E77"/>
    <w:rsid w:val="00D25903"/>
    <w:rsid w:val="00D25D29"/>
    <w:rsid w:val="00D2627F"/>
    <w:rsid w:val="00D27DC6"/>
    <w:rsid w:val="00D27DD6"/>
    <w:rsid w:val="00D30334"/>
    <w:rsid w:val="00D3095F"/>
    <w:rsid w:val="00D3254D"/>
    <w:rsid w:val="00D32816"/>
    <w:rsid w:val="00D3540B"/>
    <w:rsid w:val="00D358D2"/>
    <w:rsid w:val="00D35B9A"/>
    <w:rsid w:val="00D37924"/>
    <w:rsid w:val="00D4089A"/>
    <w:rsid w:val="00D465E8"/>
    <w:rsid w:val="00D524C4"/>
    <w:rsid w:val="00D528A4"/>
    <w:rsid w:val="00D54E40"/>
    <w:rsid w:val="00D574C3"/>
    <w:rsid w:val="00D57AF6"/>
    <w:rsid w:val="00D602DD"/>
    <w:rsid w:val="00D60AE0"/>
    <w:rsid w:val="00D646B6"/>
    <w:rsid w:val="00D646FA"/>
    <w:rsid w:val="00D6599B"/>
    <w:rsid w:val="00D659BB"/>
    <w:rsid w:val="00D661D4"/>
    <w:rsid w:val="00D66983"/>
    <w:rsid w:val="00D70391"/>
    <w:rsid w:val="00D70A63"/>
    <w:rsid w:val="00D70F86"/>
    <w:rsid w:val="00D711C5"/>
    <w:rsid w:val="00D7164F"/>
    <w:rsid w:val="00D71D0A"/>
    <w:rsid w:val="00D72E01"/>
    <w:rsid w:val="00D72E6D"/>
    <w:rsid w:val="00D73C0F"/>
    <w:rsid w:val="00D740D7"/>
    <w:rsid w:val="00D7548C"/>
    <w:rsid w:val="00D759A0"/>
    <w:rsid w:val="00D75DB2"/>
    <w:rsid w:val="00D7723A"/>
    <w:rsid w:val="00D77559"/>
    <w:rsid w:val="00D800E6"/>
    <w:rsid w:val="00D80442"/>
    <w:rsid w:val="00D808BC"/>
    <w:rsid w:val="00D80CAB"/>
    <w:rsid w:val="00D825A0"/>
    <w:rsid w:val="00D82E41"/>
    <w:rsid w:val="00D8362D"/>
    <w:rsid w:val="00D83C7A"/>
    <w:rsid w:val="00D84403"/>
    <w:rsid w:val="00D9253A"/>
    <w:rsid w:val="00D9563D"/>
    <w:rsid w:val="00D966B6"/>
    <w:rsid w:val="00D97A70"/>
    <w:rsid w:val="00D97FF5"/>
    <w:rsid w:val="00DA156D"/>
    <w:rsid w:val="00DA3B25"/>
    <w:rsid w:val="00DA3C8C"/>
    <w:rsid w:val="00DA427D"/>
    <w:rsid w:val="00DA42D1"/>
    <w:rsid w:val="00DA51A6"/>
    <w:rsid w:val="00DA6280"/>
    <w:rsid w:val="00DB06C2"/>
    <w:rsid w:val="00DB0FAD"/>
    <w:rsid w:val="00DB12E9"/>
    <w:rsid w:val="00DB1C48"/>
    <w:rsid w:val="00DB229F"/>
    <w:rsid w:val="00DB4118"/>
    <w:rsid w:val="00DB5E2F"/>
    <w:rsid w:val="00DB6B0B"/>
    <w:rsid w:val="00DB6B1A"/>
    <w:rsid w:val="00DC0220"/>
    <w:rsid w:val="00DC181E"/>
    <w:rsid w:val="00DC1986"/>
    <w:rsid w:val="00DC1AC4"/>
    <w:rsid w:val="00DC284B"/>
    <w:rsid w:val="00DC3C0E"/>
    <w:rsid w:val="00DC3E95"/>
    <w:rsid w:val="00DC3F51"/>
    <w:rsid w:val="00DC42A3"/>
    <w:rsid w:val="00DC6A36"/>
    <w:rsid w:val="00DC6F53"/>
    <w:rsid w:val="00DC6F5D"/>
    <w:rsid w:val="00DD2187"/>
    <w:rsid w:val="00DD2E56"/>
    <w:rsid w:val="00DD5FEB"/>
    <w:rsid w:val="00DD636A"/>
    <w:rsid w:val="00DD744D"/>
    <w:rsid w:val="00DE0C8F"/>
    <w:rsid w:val="00DE20CF"/>
    <w:rsid w:val="00DE2803"/>
    <w:rsid w:val="00DE30A1"/>
    <w:rsid w:val="00DE38AD"/>
    <w:rsid w:val="00DE5622"/>
    <w:rsid w:val="00DE6276"/>
    <w:rsid w:val="00DE674E"/>
    <w:rsid w:val="00DF01C9"/>
    <w:rsid w:val="00DF0540"/>
    <w:rsid w:val="00DF202A"/>
    <w:rsid w:val="00DF5E25"/>
    <w:rsid w:val="00DF6931"/>
    <w:rsid w:val="00DF6E46"/>
    <w:rsid w:val="00DF6FAF"/>
    <w:rsid w:val="00E00865"/>
    <w:rsid w:val="00E030B8"/>
    <w:rsid w:val="00E03BE5"/>
    <w:rsid w:val="00E04BE6"/>
    <w:rsid w:val="00E05C40"/>
    <w:rsid w:val="00E06E2C"/>
    <w:rsid w:val="00E11977"/>
    <w:rsid w:val="00E1240A"/>
    <w:rsid w:val="00E14608"/>
    <w:rsid w:val="00E14714"/>
    <w:rsid w:val="00E14FAF"/>
    <w:rsid w:val="00E14FBD"/>
    <w:rsid w:val="00E1576F"/>
    <w:rsid w:val="00E1649D"/>
    <w:rsid w:val="00E16C6D"/>
    <w:rsid w:val="00E16ECF"/>
    <w:rsid w:val="00E17574"/>
    <w:rsid w:val="00E207C3"/>
    <w:rsid w:val="00E21909"/>
    <w:rsid w:val="00E22AA5"/>
    <w:rsid w:val="00E22B0A"/>
    <w:rsid w:val="00E241A2"/>
    <w:rsid w:val="00E24DC2"/>
    <w:rsid w:val="00E25AF0"/>
    <w:rsid w:val="00E2684D"/>
    <w:rsid w:val="00E30261"/>
    <w:rsid w:val="00E311B4"/>
    <w:rsid w:val="00E31C63"/>
    <w:rsid w:val="00E3293C"/>
    <w:rsid w:val="00E34422"/>
    <w:rsid w:val="00E34631"/>
    <w:rsid w:val="00E34739"/>
    <w:rsid w:val="00E34E19"/>
    <w:rsid w:val="00E357A9"/>
    <w:rsid w:val="00E360A4"/>
    <w:rsid w:val="00E37A3E"/>
    <w:rsid w:val="00E37BC3"/>
    <w:rsid w:val="00E4065B"/>
    <w:rsid w:val="00E40EF8"/>
    <w:rsid w:val="00E413D8"/>
    <w:rsid w:val="00E41BFB"/>
    <w:rsid w:val="00E44098"/>
    <w:rsid w:val="00E443E5"/>
    <w:rsid w:val="00E4532D"/>
    <w:rsid w:val="00E45675"/>
    <w:rsid w:val="00E45C49"/>
    <w:rsid w:val="00E46BC4"/>
    <w:rsid w:val="00E506FD"/>
    <w:rsid w:val="00E507DE"/>
    <w:rsid w:val="00E51426"/>
    <w:rsid w:val="00E5272C"/>
    <w:rsid w:val="00E52EB8"/>
    <w:rsid w:val="00E53465"/>
    <w:rsid w:val="00E5400B"/>
    <w:rsid w:val="00E541F7"/>
    <w:rsid w:val="00E54F7B"/>
    <w:rsid w:val="00E550CD"/>
    <w:rsid w:val="00E562B9"/>
    <w:rsid w:val="00E56F13"/>
    <w:rsid w:val="00E577DA"/>
    <w:rsid w:val="00E60376"/>
    <w:rsid w:val="00E60AB0"/>
    <w:rsid w:val="00E60D9C"/>
    <w:rsid w:val="00E615BD"/>
    <w:rsid w:val="00E6381F"/>
    <w:rsid w:val="00E64B91"/>
    <w:rsid w:val="00E65EC8"/>
    <w:rsid w:val="00E661D3"/>
    <w:rsid w:val="00E6680E"/>
    <w:rsid w:val="00E66A4C"/>
    <w:rsid w:val="00E66E75"/>
    <w:rsid w:val="00E6732D"/>
    <w:rsid w:val="00E700C9"/>
    <w:rsid w:val="00E70CB2"/>
    <w:rsid w:val="00E71DCB"/>
    <w:rsid w:val="00E7271A"/>
    <w:rsid w:val="00E737B0"/>
    <w:rsid w:val="00E74CA3"/>
    <w:rsid w:val="00E75679"/>
    <w:rsid w:val="00E80BB5"/>
    <w:rsid w:val="00E81E59"/>
    <w:rsid w:val="00E83E1E"/>
    <w:rsid w:val="00E8488B"/>
    <w:rsid w:val="00E85C0F"/>
    <w:rsid w:val="00E87EFC"/>
    <w:rsid w:val="00E901E4"/>
    <w:rsid w:val="00E93468"/>
    <w:rsid w:val="00E95DDC"/>
    <w:rsid w:val="00E97C31"/>
    <w:rsid w:val="00EA0156"/>
    <w:rsid w:val="00EA0CBE"/>
    <w:rsid w:val="00EA1371"/>
    <w:rsid w:val="00EA517C"/>
    <w:rsid w:val="00EA5A22"/>
    <w:rsid w:val="00EB298F"/>
    <w:rsid w:val="00EB36A1"/>
    <w:rsid w:val="00EB3EE8"/>
    <w:rsid w:val="00EB435A"/>
    <w:rsid w:val="00EB5910"/>
    <w:rsid w:val="00EB6CA3"/>
    <w:rsid w:val="00EB7315"/>
    <w:rsid w:val="00EC2C5D"/>
    <w:rsid w:val="00EC3A2B"/>
    <w:rsid w:val="00EC446D"/>
    <w:rsid w:val="00EC4B25"/>
    <w:rsid w:val="00EC54B3"/>
    <w:rsid w:val="00EC5856"/>
    <w:rsid w:val="00EC6B5D"/>
    <w:rsid w:val="00EC7A27"/>
    <w:rsid w:val="00ED00BC"/>
    <w:rsid w:val="00ED033C"/>
    <w:rsid w:val="00ED1FF1"/>
    <w:rsid w:val="00ED516D"/>
    <w:rsid w:val="00ED57B1"/>
    <w:rsid w:val="00ED6450"/>
    <w:rsid w:val="00ED65D3"/>
    <w:rsid w:val="00ED6BC6"/>
    <w:rsid w:val="00ED6D86"/>
    <w:rsid w:val="00ED6F36"/>
    <w:rsid w:val="00ED77C2"/>
    <w:rsid w:val="00EE0206"/>
    <w:rsid w:val="00EE0249"/>
    <w:rsid w:val="00EE0250"/>
    <w:rsid w:val="00EE12D7"/>
    <w:rsid w:val="00EE142E"/>
    <w:rsid w:val="00EE179E"/>
    <w:rsid w:val="00EE19B1"/>
    <w:rsid w:val="00EE3B07"/>
    <w:rsid w:val="00EE40D7"/>
    <w:rsid w:val="00EE62BE"/>
    <w:rsid w:val="00EE6678"/>
    <w:rsid w:val="00EE69F7"/>
    <w:rsid w:val="00EE6DF9"/>
    <w:rsid w:val="00EF02DA"/>
    <w:rsid w:val="00EF1638"/>
    <w:rsid w:val="00EF191E"/>
    <w:rsid w:val="00EF4F32"/>
    <w:rsid w:val="00EF7CA9"/>
    <w:rsid w:val="00F0199C"/>
    <w:rsid w:val="00F026C0"/>
    <w:rsid w:val="00F02EB5"/>
    <w:rsid w:val="00F045B5"/>
    <w:rsid w:val="00F05858"/>
    <w:rsid w:val="00F06F7B"/>
    <w:rsid w:val="00F07F68"/>
    <w:rsid w:val="00F07FE1"/>
    <w:rsid w:val="00F138C5"/>
    <w:rsid w:val="00F140A7"/>
    <w:rsid w:val="00F14698"/>
    <w:rsid w:val="00F147E0"/>
    <w:rsid w:val="00F156F4"/>
    <w:rsid w:val="00F20C7E"/>
    <w:rsid w:val="00F20F91"/>
    <w:rsid w:val="00F21503"/>
    <w:rsid w:val="00F22A93"/>
    <w:rsid w:val="00F261E3"/>
    <w:rsid w:val="00F30810"/>
    <w:rsid w:val="00F309B7"/>
    <w:rsid w:val="00F311F1"/>
    <w:rsid w:val="00F31D9B"/>
    <w:rsid w:val="00F32801"/>
    <w:rsid w:val="00F32BDE"/>
    <w:rsid w:val="00F35094"/>
    <w:rsid w:val="00F35808"/>
    <w:rsid w:val="00F37B2F"/>
    <w:rsid w:val="00F4038B"/>
    <w:rsid w:val="00F40A9E"/>
    <w:rsid w:val="00F40F1E"/>
    <w:rsid w:val="00F41B87"/>
    <w:rsid w:val="00F42350"/>
    <w:rsid w:val="00F42DDE"/>
    <w:rsid w:val="00F45B13"/>
    <w:rsid w:val="00F46822"/>
    <w:rsid w:val="00F47239"/>
    <w:rsid w:val="00F47F6C"/>
    <w:rsid w:val="00F51F54"/>
    <w:rsid w:val="00F52D73"/>
    <w:rsid w:val="00F53142"/>
    <w:rsid w:val="00F549BF"/>
    <w:rsid w:val="00F55FAE"/>
    <w:rsid w:val="00F630FA"/>
    <w:rsid w:val="00F644A8"/>
    <w:rsid w:val="00F64D81"/>
    <w:rsid w:val="00F653C4"/>
    <w:rsid w:val="00F66493"/>
    <w:rsid w:val="00F701B5"/>
    <w:rsid w:val="00F707A5"/>
    <w:rsid w:val="00F71028"/>
    <w:rsid w:val="00F710FA"/>
    <w:rsid w:val="00F71953"/>
    <w:rsid w:val="00F72002"/>
    <w:rsid w:val="00F72BD7"/>
    <w:rsid w:val="00F73D70"/>
    <w:rsid w:val="00F73E20"/>
    <w:rsid w:val="00F74257"/>
    <w:rsid w:val="00F746BC"/>
    <w:rsid w:val="00F7559E"/>
    <w:rsid w:val="00F75860"/>
    <w:rsid w:val="00F77E83"/>
    <w:rsid w:val="00F81B0E"/>
    <w:rsid w:val="00F82334"/>
    <w:rsid w:val="00F82E55"/>
    <w:rsid w:val="00F875D8"/>
    <w:rsid w:val="00F90F00"/>
    <w:rsid w:val="00F92866"/>
    <w:rsid w:val="00F92A97"/>
    <w:rsid w:val="00F94686"/>
    <w:rsid w:val="00F952A6"/>
    <w:rsid w:val="00F95E4C"/>
    <w:rsid w:val="00F96C61"/>
    <w:rsid w:val="00F971F5"/>
    <w:rsid w:val="00FA0559"/>
    <w:rsid w:val="00FA0775"/>
    <w:rsid w:val="00FA0BE7"/>
    <w:rsid w:val="00FA14A4"/>
    <w:rsid w:val="00FA304F"/>
    <w:rsid w:val="00FA3F58"/>
    <w:rsid w:val="00FA715D"/>
    <w:rsid w:val="00FA723C"/>
    <w:rsid w:val="00FA765A"/>
    <w:rsid w:val="00FA777B"/>
    <w:rsid w:val="00FB048D"/>
    <w:rsid w:val="00FB0507"/>
    <w:rsid w:val="00FB0BE1"/>
    <w:rsid w:val="00FB1941"/>
    <w:rsid w:val="00FB32D3"/>
    <w:rsid w:val="00FB4126"/>
    <w:rsid w:val="00FB44C1"/>
    <w:rsid w:val="00FB468B"/>
    <w:rsid w:val="00FB4BDF"/>
    <w:rsid w:val="00FB58B6"/>
    <w:rsid w:val="00FB59D6"/>
    <w:rsid w:val="00FB6571"/>
    <w:rsid w:val="00FB7436"/>
    <w:rsid w:val="00FC38BA"/>
    <w:rsid w:val="00FC42E2"/>
    <w:rsid w:val="00FC48F4"/>
    <w:rsid w:val="00FC4A64"/>
    <w:rsid w:val="00FC4DFB"/>
    <w:rsid w:val="00FC60EA"/>
    <w:rsid w:val="00FC6F38"/>
    <w:rsid w:val="00FC7237"/>
    <w:rsid w:val="00FD09F5"/>
    <w:rsid w:val="00FD2513"/>
    <w:rsid w:val="00FD42D6"/>
    <w:rsid w:val="00FD5918"/>
    <w:rsid w:val="00FD5C36"/>
    <w:rsid w:val="00FD618B"/>
    <w:rsid w:val="00FD7334"/>
    <w:rsid w:val="00FE012C"/>
    <w:rsid w:val="00FE059F"/>
    <w:rsid w:val="00FE05D6"/>
    <w:rsid w:val="00FE107C"/>
    <w:rsid w:val="00FE2359"/>
    <w:rsid w:val="00FE4E65"/>
    <w:rsid w:val="00FE50C2"/>
    <w:rsid w:val="00FE69DF"/>
    <w:rsid w:val="00FE6DD3"/>
    <w:rsid w:val="00FE7500"/>
    <w:rsid w:val="00FF0986"/>
    <w:rsid w:val="00FF4685"/>
    <w:rsid w:val="00FF5456"/>
    <w:rsid w:val="00FF551E"/>
    <w:rsid w:val="00FF5A1C"/>
    <w:rsid w:val="00FF5F0A"/>
    <w:rsid w:val="00FF5F1D"/>
    <w:rsid w:val="00FF6047"/>
    <w:rsid w:val="00FF795C"/>
    <w:rsid w:val="00FF7A8E"/>
    <w:rsid w:val="00FF7E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CA49E"/>
  <w15:chartTrackingRefBased/>
  <w15:docId w15:val="{9EC3D25E-B8B5-40B3-9A80-BC0052BD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384"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스타일1"/>
    <w:basedOn w:val="a"/>
    <w:qFormat/>
    <w:rsid w:val="00194355"/>
    <w:pPr>
      <w:kinsoku w:val="0"/>
      <w:overflowPunct w:val="0"/>
      <w:adjustRightInd w:val="0"/>
      <w:snapToGrid w:val="0"/>
      <w:spacing w:after="0" w:line="240" w:lineRule="auto"/>
      <w:jc w:val="left"/>
    </w:pPr>
    <w:rPr>
      <w:rFonts w:ascii="Times New Roman" w:eastAsia="Times New Roman" w:hAnsi="Times New Roman"/>
      <w:sz w:val="24"/>
    </w:rPr>
  </w:style>
  <w:style w:type="paragraph" w:customStyle="1" w:styleId="2">
    <w:name w:val="스타일2"/>
    <w:basedOn w:val="1"/>
    <w:rsid w:val="00A23347"/>
    <w:rPr>
      <w:rFonts w:cs="Times New Roman"/>
      <w:szCs w:val="24"/>
    </w:rPr>
  </w:style>
  <w:style w:type="paragraph" w:customStyle="1" w:styleId="a3">
    <w:name w:val="스타일"/>
    <w:basedOn w:val="a"/>
    <w:qFormat/>
    <w:rsid w:val="00196B17"/>
    <w:pPr>
      <w:kinsoku w:val="0"/>
      <w:overflowPunct w:val="0"/>
      <w:adjustRightInd w:val="0"/>
      <w:snapToGrid w:val="0"/>
      <w:spacing w:after="0" w:line="240" w:lineRule="auto"/>
      <w:jc w:val="left"/>
    </w:pPr>
    <w:rPr>
      <w:rFonts w:ascii="Times New Roman" w:eastAsia="함초롬바탕" w:hAnsi="Times New Roman" w:cs="Times New Roman"/>
      <w:sz w:val="24"/>
      <w:szCs w:val="24"/>
    </w:rPr>
  </w:style>
  <w:style w:type="paragraph" w:styleId="a4">
    <w:name w:val="header"/>
    <w:basedOn w:val="a"/>
    <w:link w:val="Char"/>
    <w:uiPriority w:val="99"/>
    <w:unhideWhenUsed/>
    <w:rsid w:val="006016BA"/>
    <w:pPr>
      <w:tabs>
        <w:tab w:val="center" w:pos="4513"/>
        <w:tab w:val="right" w:pos="9026"/>
      </w:tabs>
      <w:snapToGrid w:val="0"/>
    </w:pPr>
  </w:style>
  <w:style w:type="character" w:customStyle="1" w:styleId="Char">
    <w:name w:val="머리글 Char"/>
    <w:basedOn w:val="a0"/>
    <w:link w:val="a4"/>
    <w:uiPriority w:val="99"/>
    <w:rsid w:val="006016BA"/>
  </w:style>
  <w:style w:type="paragraph" w:styleId="a5">
    <w:name w:val="footer"/>
    <w:basedOn w:val="a"/>
    <w:link w:val="Char0"/>
    <w:uiPriority w:val="99"/>
    <w:unhideWhenUsed/>
    <w:rsid w:val="006016BA"/>
    <w:pPr>
      <w:tabs>
        <w:tab w:val="center" w:pos="4513"/>
        <w:tab w:val="right" w:pos="9026"/>
      </w:tabs>
      <w:snapToGrid w:val="0"/>
    </w:pPr>
  </w:style>
  <w:style w:type="character" w:customStyle="1" w:styleId="Char0">
    <w:name w:val="바닥글 Char"/>
    <w:basedOn w:val="a0"/>
    <w:link w:val="a5"/>
    <w:uiPriority w:val="99"/>
    <w:rsid w:val="006016BA"/>
  </w:style>
  <w:style w:type="table" w:styleId="a6">
    <w:name w:val="Table Grid"/>
    <w:basedOn w:val="a1"/>
    <w:uiPriority w:val="39"/>
    <w:rsid w:val="0055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44148"/>
    <w:rPr>
      <w:color w:val="0563C1" w:themeColor="hyperlink"/>
      <w:u w:val="single"/>
    </w:rPr>
  </w:style>
  <w:style w:type="paragraph" w:styleId="a8">
    <w:name w:val="Normal (Web)"/>
    <w:basedOn w:val="a"/>
    <w:uiPriority w:val="99"/>
    <w:semiHidden/>
    <w:unhideWhenUsed/>
    <w:rsid w:val="00DC6F53"/>
    <w:rPr>
      <w:rFonts w:ascii="Times New Roman" w:hAnsi="Times New Roman" w:cs="Times New Roman"/>
      <w:sz w:val="24"/>
      <w:szCs w:val="24"/>
    </w:rPr>
  </w:style>
  <w:style w:type="table" w:customStyle="1" w:styleId="10">
    <w:name w:val="표 구분선1"/>
    <w:basedOn w:val="a1"/>
    <w:next w:val="a6"/>
    <w:uiPriority w:val="39"/>
    <w:rsid w:val="00851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1"/>
    <w:uiPriority w:val="99"/>
    <w:semiHidden/>
    <w:unhideWhenUsed/>
    <w:rsid w:val="00C77808"/>
  </w:style>
  <w:style w:type="character" w:customStyle="1" w:styleId="Char1">
    <w:name w:val="날짜 Char"/>
    <w:basedOn w:val="a0"/>
    <w:link w:val="a9"/>
    <w:uiPriority w:val="99"/>
    <w:semiHidden/>
    <w:rsid w:val="00C77808"/>
  </w:style>
  <w:style w:type="character" w:styleId="aa">
    <w:name w:val="annotation reference"/>
    <w:basedOn w:val="a0"/>
    <w:uiPriority w:val="99"/>
    <w:semiHidden/>
    <w:unhideWhenUsed/>
    <w:rsid w:val="00C82F9D"/>
    <w:rPr>
      <w:sz w:val="16"/>
      <w:szCs w:val="16"/>
    </w:rPr>
  </w:style>
  <w:style w:type="paragraph" w:styleId="ab">
    <w:name w:val="annotation text"/>
    <w:basedOn w:val="a"/>
    <w:link w:val="Char2"/>
    <w:uiPriority w:val="99"/>
    <w:semiHidden/>
    <w:unhideWhenUsed/>
    <w:rsid w:val="00C82F9D"/>
    <w:pPr>
      <w:spacing w:line="240" w:lineRule="auto"/>
    </w:pPr>
  </w:style>
  <w:style w:type="character" w:customStyle="1" w:styleId="Char2">
    <w:name w:val="메모 텍스트 Char"/>
    <w:basedOn w:val="a0"/>
    <w:link w:val="ab"/>
    <w:uiPriority w:val="99"/>
    <w:semiHidden/>
    <w:rsid w:val="00C82F9D"/>
  </w:style>
  <w:style w:type="paragraph" w:styleId="ac">
    <w:name w:val="annotation subject"/>
    <w:basedOn w:val="ab"/>
    <w:next w:val="ab"/>
    <w:link w:val="Char3"/>
    <w:uiPriority w:val="99"/>
    <w:semiHidden/>
    <w:unhideWhenUsed/>
    <w:rsid w:val="00C82F9D"/>
    <w:rPr>
      <w:b/>
      <w:bCs/>
    </w:rPr>
  </w:style>
  <w:style w:type="character" w:customStyle="1" w:styleId="Char3">
    <w:name w:val="메모 주제 Char"/>
    <w:basedOn w:val="Char2"/>
    <w:link w:val="ac"/>
    <w:uiPriority w:val="99"/>
    <w:semiHidden/>
    <w:rsid w:val="00C82F9D"/>
    <w:rPr>
      <w:b/>
      <w:bCs/>
    </w:rPr>
  </w:style>
  <w:style w:type="paragraph" w:styleId="ad">
    <w:name w:val="Revision"/>
    <w:hidden/>
    <w:uiPriority w:val="99"/>
    <w:semiHidden/>
    <w:rsid w:val="006E550D"/>
    <w:pPr>
      <w:spacing w:after="0" w:line="240" w:lineRule="auto"/>
      <w:jc w:val="left"/>
    </w:pPr>
  </w:style>
  <w:style w:type="paragraph" w:styleId="ae">
    <w:name w:val="Balloon Text"/>
    <w:basedOn w:val="a"/>
    <w:link w:val="Char4"/>
    <w:uiPriority w:val="99"/>
    <w:semiHidden/>
    <w:unhideWhenUsed/>
    <w:rsid w:val="000A2992"/>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e"/>
    <w:uiPriority w:val="99"/>
    <w:semiHidden/>
    <w:rsid w:val="000A29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58055">
      <w:bodyDiv w:val="1"/>
      <w:marLeft w:val="0"/>
      <w:marRight w:val="0"/>
      <w:marTop w:val="0"/>
      <w:marBottom w:val="0"/>
      <w:divBdr>
        <w:top w:val="none" w:sz="0" w:space="0" w:color="auto"/>
        <w:left w:val="none" w:sz="0" w:space="0" w:color="auto"/>
        <w:bottom w:val="none" w:sz="0" w:space="0" w:color="auto"/>
        <w:right w:val="none" w:sz="0" w:space="0" w:color="auto"/>
      </w:divBdr>
      <w:divsChild>
        <w:div w:id="1647053556">
          <w:marLeft w:val="0"/>
          <w:marRight w:val="0"/>
          <w:marTop w:val="0"/>
          <w:marBottom w:val="0"/>
          <w:divBdr>
            <w:top w:val="none" w:sz="0" w:space="0" w:color="auto"/>
            <w:left w:val="none" w:sz="0" w:space="0" w:color="auto"/>
            <w:bottom w:val="none" w:sz="0" w:space="0" w:color="auto"/>
            <w:right w:val="none" w:sz="0" w:space="0" w:color="auto"/>
          </w:divBdr>
        </w:div>
      </w:divsChild>
    </w:div>
    <w:div w:id="1143736057">
      <w:bodyDiv w:val="1"/>
      <w:marLeft w:val="0"/>
      <w:marRight w:val="0"/>
      <w:marTop w:val="0"/>
      <w:marBottom w:val="0"/>
      <w:divBdr>
        <w:top w:val="none" w:sz="0" w:space="0" w:color="auto"/>
        <w:left w:val="none" w:sz="0" w:space="0" w:color="auto"/>
        <w:bottom w:val="none" w:sz="0" w:space="0" w:color="auto"/>
        <w:right w:val="none" w:sz="0" w:space="0" w:color="auto"/>
      </w:divBdr>
      <w:divsChild>
        <w:div w:id="833226249">
          <w:marLeft w:val="0"/>
          <w:marRight w:val="0"/>
          <w:marTop w:val="0"/>
          <w:marBottom w:val="0"/>
          <w:divBdr>
            <w:top w:val="none" w:sz="0" w:space="0" w:color="auto"/>
            <w:left w:val="none" w:sz="0" w:space="0" w:color="auto"/>
            <w:bottom w:val="none" w:sz="0" w:space="0" w:color="auto"/>
            <w:right w:val="none" w:sz="0" w:space="0" w:color="auto"/>
          </w:divBdr>
          <w:divsChild>
            <w:div w:id="1644581488">
              <w:marLeft w:val="0"/>
              <w:marRight w:val="0"/>
              <w:marTop w:val="0"/>
              <w:marBottom w:val="165"/>
              <w:divBdr>
                <w:top w:val="none" w:sz="0" w:space="0" w:color="auto"/>
                <w:left w:val="none" w:sz="0" w:space="0" w:color="auto"/>
                <w:bottom w:val="none" w:sz="0" w:space="0" w:color="auto"/>
                <w:right w:val="none" w:sz="0" w:space="0" w:color="auto"/>
              </w:divBdr>
            </w:div>
          </w:divsChild>
        </w:div>
        <w:div w:id="988360259">
          <w:marLeft w:val="0"/>
          <w:marRight w:val="0"/>
          <w:marTop w:val="165"/>
          <w:marBottom w:val="165"/>
          <w:divBdr>
            <w:top w:val="none" w:sz="0" w:space="0" w:color="auto"/>
            <w:left w:val="none" w:sz="0" w:space="0" w:color="auto"/>
            <w:bottom w:val="none" w:sz="0" w:space="0" w:color="auto"/>
            <w:right w:val="none" w:sz="0" w:space="0" w:color="auto"/>
          </w:divBdr>
          <w:divsChild>
            <w:div w:id="112285244">
              <w:marLeft w:val="0"/>
              <w:marRight w:val="0"/>
              <w:marTop w:val="0"/>
              <w:marBottom w:val="0"/>
              <w:divBdr>
                <w:top w:val="none" w:sz="0" w:space="0" w:color="auto"/>
                <w:left w:val="none" w:sz="0" w:space="0" w:color="auto"/>
                <w:bottom w:val="none" w:sz="0" w:space="0" w:color="auto"/>
                <w:right w:val="none" w:sz="0" w:space="0" w:color="auto"/>
              </w:divBdr>
              <w:divsChild>
                <w:div w:id="564680890">
                  <w:marLeft w:val="0"/>
                  <w:marRight w:val="225"/>
                  <w:marTop w:val="0"/>
                  <w:marBottom w:val="0"/>
                  <w:divBdr>
                    <w:top w:val="none" w:sz="0" w:space="0" w:color="auto"/>
                    <w:left w:val="none" w:sz="0" w:space="0" w:color="auto"/>
                    <w:bottom w:val="none" w:sz="0" w:space="0" w:color="auto"/>
                    <w:right w:val="none" w:sz="0" w:space="0" w:color="auto"/>
                  </w:divBdr>
                </w:div>
              </w:divsChild>
            </w:div>
            <w:div w:id="1732734692">
              <w:marLeft w:val="0"/>
              <w:marRight w:val="0"/>
              <w:marTop w:val="0"/>
              <w:marBottom w:val="0"/>
              <w:divBdr>
                <w:top w:val="none" w:sz="0" w:space="0" w:color="auto"/>
                <w:left w:val="none" w:sz="0" w:space="0" w:color="auto"/>
                <w:bottom w:val="none" w:sz="0" w:space="0" w:color="auto"/>
                <w:right w:val="none" w:sz="0" w:space="0" w:color="auto"/>
              </w:divBdr>
              <w:divsChild>
                <w:div w:id="1917473076">
                  <w:marLeft w:val="0"/>
                  <w:marRight w:val="300"/>
                  <w:marTop w:val="0"/>
                  <w:marBottom w:val="0"/>
                  <w:divBdr>
                    <w:top w:val="none" w:sz="0" w:space="0" w:color="auto"/>
                    <w:left w:val="none" w:sz="0" w:space="0" w:color="auto"/>
                    <w:bottom w:val="none" w:sz="0" w:space="0" w:color="auto"/>
                    <w:right w:val="none" w:sz="0" w:space="0" w:color="auto"/>
                  </w:divBdr>
                  <w:divsChild>
                    <w:div w:id="1627080291">
                      <w:marLeft w:val="0"/>
                      <w:marRight w:val="75"/>
                      <w:marTop w:val="0"/>
                      <w:marBottom w:val="0"/>
                      <w:divBdr>
                        <w:top w:val="none" w:sz="0" w:space="0" w:color="auto"/>
                        <w:left w:val="none" w:sz="0" w:space="0" w:color="auto"/>
                        <w:bottom w:val="none" w:sz="0" w:space="0" w:color="auto"/>
                        <w:right w:val="none" w:sz="0" w:space="0" w:color="auto"/>
                      </w:divBdr>
                    </w:div>
                    <w:div w:id="17095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0873">
      <w:bodyDiv w:val="1"/>
      <w:marLeft w:val="0"/>
      <w:marRight w:val="0"/>
      <w:marTop w:val="0"/>
      <w:marBottom w:val="0"/>
      <w:divBdr>
        <w:top w:val="none" w:sz="0" w:space="0" w:color="auto"/>
        <w:left w:val="none" w:sz="0" w:space="0" w:color="auto"/>
        <w:bottom w:val="none" w:sz="0" w:space="0" w:color="auto"/>
        <w:right w:val="none" w:sz="0" w:space="0" w:color="auto"/>
      </w:divBdr>
    </w:div>
    <w:div w:id="1221281753">
      <w:bodyDiv w:val="1"/>
      <w:marLeft w:val="0"/>
      <w:marRight w:val="0"/>
      <w:marTop w:val="0"/>
      <w:marBottom w:val="0"/>
      <w:divBdr>
        <w:top w:val="none" w:sz="0" w:space="0" w:color="auto"/>
        <w:left w:val="none" w:sz="0" w:space="0" w:color="auto"/>
        <w:bottom w:val="none" w:sz="0" w:space="0" w:color="auto"/>
        <w:right w:val="none" w:sz="0" w:space="0" w:color="auto"/>
      </w:divBdr>
    </w:div>
    <w:div w:id="1385834318">
      <w:bodyDiv w:val="1"/>
      <w:marLeft w:val="0"/>
      <w:marRight w:val="0"/>
      <w:marTop w:val="0"/>
      <w:marBottom w:val="0"/>
      <w:divBdr>
        <w:top w:val="none" w:sz="0" w:space="0" w:color="auto"/>
        <w:left w:val="none" w:sz="0" w:space="0" w:color="auto"/>
        <w:bottom w:val="none" w:sz="0" w:space="0" w:color="auto"/>
        <w:right w:val="none" w:sz="0" w:space="0" w:color="auto"/>
      </w:divBdr>
    </w:div>
    <w:div w:id="1783647859">
      <w:bodyDiv w:val="1"/>
      <w:marLeft w:val="0"/>
      <w:marRight w:val="0"/>
      <w:marTop w:val="0"/>
      <w:marBottom w:val="0"/>
      <w:divBdr>
        <w:top w:val="none" w:sz="0" w:space="0" w:color="auto"/>
        <w:left w:val="none" w:sz="0" w:space="0" w:color="auto"/>
        <w:bottom w:val="none" w:sz="0" w:space="0" w:color="auto"/>
        <w:right w:val="none" w:sz="0" w:space="0" w:color="auto"/>
      </w:divBdr>
    </w:div>
    <w:div w:id="1919364032">
      <w:bodyDiv w:val="1"/>
      <w:marLeft w:val="0"/>
      <w:marRight w:val="0"/>
      <w:marTop w:val="0"/>
      <w:marBottom w:val="0"/>
      <w:divBdr>
        <w:top w:val="none" w:sz="0" w:space="0" w:color="auto"/>
        <w:left w:val="none" w:sz="0" w:space="0" w:color="auto"/>
        <w:bottom w:val="none" w:sz="0" w:space="0" w:color="auto"/>
        <w:right w:val="none" w:sz="0" w:space="0" w:color="auto"/>
      </w:divBdr>
    </w:div>
    <w:div w:id="2039043940">
      <w:bodyDiv w:val="1"/>
      <w:marLeft w:val="0"/>
      <w:marRight w:val="0"/>
      <w:marTop w:val="0"/>
      <w:marBottom w:val="0"/>
      <w:divBdr>
        <w:top w:val="none" w:sz="0" w:space="0" w:color="auto"/>
        <w:left w:val="none" w:sz="0" w:space="0" w:color="auto"/>
        <w:bottom w:val="none" w:sz="0" w:space="0" w:color="auto"/>
        <w:right w:val="none" w:sz="0" w:space="0" w:color="auto"/>
      </w:divBdr>
      <w:divsChild>
        <w:div w:id="560870647">
          <w:marLeft w:val="0"/>
          <w:marRight w:val="0"/>
          <w:marTop w:val="0"/>
          <w:marBottom w:val="0"/>
          <w:divBdr>
            <w:top w:val="none" w:sz="0" w:space="0" w:color="auto"/>
            <w:left w:val="none" w:sz="0" w:space="0" w:color="auto"/>
            <w:bottom w:val="none" w:sz="0" w:space="0" w:color="auto"/>
            <w:right w:val="none" w:sz="0" w:space="0" w:color="auto"/>
          </w:divBdr>
        </w:div>
      </w:divsChild>
    </w:div>
    <w:div w:id="2142989913">
      <w:bodyDiv w:val="1"/>
      <w:marLeft w:val="0"/>
      <w:marRight w:val="0"/>
      <w:marTop w:val="0"/>
      <w:marBottom w:val="0"/>
      <w:divBdr>
        <w:top w:val="none" w:sz="0" w:space="0" w:color="auto"/>
        <w:left w:val="none" w:sz="0" w:space="0" w:color="auto"/>
        <w:bottom w:val="none" w:sz="0" w:space="0" w:color="auto"/>
        <w:right w:val="none" w:sz="0" w:space="0" w:color="auto"/>
      </w:divBdr>
      <w:divsChild>
        <w:div w:id="108757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s.oecd.or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ats.oecd.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esri.cao.go.jp/en/sna/data/kakuhou/files/2003/17annual_report_e.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stats.oec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kosis.kr/index/index.do"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kosis.kr/index/index.do" TargetMode="External"/><Relationship Id="rId10" Type="http://schemas.openxmlformats.org/officeDocument/2006/relationships/footer" Target="footer1.xml"/><Relationship Id="rId19" Type="http://schemas.openxmlformats.org/officeDocument/2006/relationships/hyperlink" Target="https://stats.oecd.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stats.oecd.org/" TargetMode="Externa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560402-AA8A-452C-8ADD-752CE0CEB994}">
  <we:reference id="wa104041485" version="1.1.1.0" store="en-001" storeType="OMEX"/>
  <we:alternateReferences>
    <we:reference id="wa104041485" version="1.1.1.0" store="wa10404148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25B45-CDF1-4877-9867-01B9C7AF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2281</Words>
  <Characters>13002</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shpark</dc:creator>
  <cp:keywords/>
  <dc:description/>
  <cp:lastModifiedBy>A11Park</cp:lastModifiedBy>
  <cp:revision>5</cp:revision>
  <cp:lastPrinted>2021-09-12T03:45:00Z</cp:lastPrinted>
  <dcterms:created xsi:type="dcterms:W3CDTF">2022-03-18T01:11:00Z</dcterms:created>
  <dcterms:modified xsi:type="dcterms:W3CDTF">2022-04-09T05:56:00Z</dcterms:modified>
</cp:coreProperties>
</file>