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F3019" w14:textId="77777777" w:rsidR="00AB2655" w:rsidRPr="00265942" w:rsidRDefault="00AB2655" w:rsidP="00AB2655">
      <w:pPr>
        <w:pStyle w:val="Heading1"/>
        <w:spacing w:before="0"/>
        <w:rPr>
          <w:rFonts w:eastAsia="Times New Roman" w:cs="Times New Roman"/>
          <w:szCs w:val="24"/>
          <w:lang w:val="es-ES"/>
        </w:rPr>
      </w:pPr>
      <w:r w:rsidRPr="00265942">
        <w:rPr>
          <w:rFonts w:eastAsia="Times New Roman" w:cs="Times New Roman"/>
          <w:szCs w:val="24"/>
          <w:lang w:val="es-ES"/>
        </w:rPr>
        <w:t>Impacto económico de las intervenciones no farmacéuticas adoptadas por la COVID-19: El caso de Paraguay</w:t>
      </w:r>
    </w:p>
    <w:p w14:paraId="3AEB1B96" w14:textId="27591175" w:rsidR="00AB2655" w:rsidRPr="0069370D" w:rsidRDefault="00AB2655" w:rsidP="00EA0489">
      <w:pPr>
        <w:spacing w:before="120" w:line="480" w:lineRule="auto"/>
        <w:rPr>
          <w:rFonts w:ascii="Times New Roman" w:hAnsi="Times New Roman" w:cs="Times New Roman"/>
          <w:lang w:val="es-ES"/>
        </w:rPr>
      </w:pPr>
      <w:r w:rsidRPr="0069370D">
        <w:rPr>
          <w:rFonts w:ascii="Times New Roman" w:hAnsi="Times New Roman" w:cs="Times New Roman"/>
          <w:lang w:val="es-ES"/>
        </w:rPr>
        <w:t>Cesar Blanco</w:t>
      </w:r>
      <w:r w:rsidRPr="0069370D">
        <w:rPr>
          <w:rFonts w:ascii="Times New Roman" w:hAnsi="Times New Roman" w:cs="Times New Roman"/>
          <w:lang w:val="es-ES"/>
        </w:rPr>
        <w:t>, Gustavo Rivas</w:t>
      </w:r>
    </w:p>
    <w:p w14:paraId="5584EC45" w14:textId="176A6E4D" w:rsidR="00414546" w:rsidRDefault="00CE24D1">
      <w:pPr>
        <w:pStyle w:val="Heading1"/>
        <w:spacing w:after="240"/>
        <w:rPr>
          <w:rFonts w:eastAsia="Times New Roman" w:cs="Times New Roman"/>
          <w:b w:val="0"/>
          <w:color w:val="000000"/>
          <w:szCs w:val="24"/>
        </w:rPr>
      </w:pPr>
      <w:r>
        <w:rPr>
          <w:rFonts w:eastAsia="Times New Roman" w:cs="Times New Roman"/>
          <w:color w:val="000000"/>
          <w:szCs w:val="24"/>
        </w:rPr>
        <w:t>Apéndice</w:t>
      </w:r>
      <w:bookmarkStart w:id="0" w:name="_GoBack"/>
      <w:bookmarkEnd w:id="0"/>
    </w:p>
    <w:p w14:paraId="6768E8B5"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Las ecuaciones del modelo nos permiten vincular directamente la actividad económica con el avance de la infección. A continuación, resumimos las principales ecuaciones que caracterizan el modelo utilizado en este trabajo</w:t>
      </w:r>
      <w:r>
        <w:rPr>
          <w:rFonts w:ascii="Times New Roman" w:eastAsia="Times New Roman" w:hAnsi="Times New Roman" w:cs="Times New Roman"/>
          <w:vertAlign w:val="superscript"/>
        </w:rPr>
        <w:footnoteReference w:id="1"/>
      </w:r>
      <w:r w:rsidRPr="00B87444">
        <w:rPr>
          <w:rFonts w:ascii="Times New Roman" w:eastAsia="Times New Roman" w:hAnsi="Times New Roman" w:cs="Times New Roman"/>
          <w:lang w:val="es-MX"/>
        </w:rPr>
        <w:t>.</w:t>
      </w:r>
    </w:p>
    <w:p w14:paraId="3EB45932" w14:textId="77777777" w:rsidR="00414546" w:rsidRPr="00B87444" w:rsidRDefault="00F97152">
      <w:pPr>
        <w:spacing w:line="360" w:lineRule="auto"/>
        <w:jc w:val="both"/>
        <w:rPr>
          <w:rFonts w:ascii="Times New Roman" w:eastAsia="Times New Roman" w:hAnsi="Times New Roman" w:cs="Times New Roman"/>
          <w:b/>
          <w:lang w:val="es-MX"/>
        </w:rPr>
      </w:pPr>
      <w:r w:rsidRPr="00B87444">
        <w:rPr>
          <w:rFonts w:ascii="Times New Roman" w:eastAsia="Times New Roman" w:hAnsi="Times New Roman" w:cs="Times New Roman"/>
          <w:b/>
          <w:lang w:val="es-MX"/>
        </w:rPr>
        <w:t>Bloque epidemiológico:</w:t>
      </w:r>
    </w:p>
    <w:p w14:paraId="27CEAD28"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El número de nuevos infectados se determina mediante la siguiente ecuación:</w:t>
      </w:r>
    </w:p>
    <w:p w14:paraId="3ED590C7" w14:textId="77777777"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1</m:t>
              </m:r>
            </m:sub>
          </m:sSub>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s</m:t>
                  </m:r>
                </m:sup>
              </m:sSubSup>
            </m:e>
          </m:d>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i</m:t>
                  </m:r>
                </m:sup>
              </m:sSubSup>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2</m:t>
              </m:r>
            </m:sub>
          </m:sSub>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s</m:t>
                  </m:r>
                </m:sup>
              </m:sSubSup>
            </m:e>
          </m:d>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i</m:t>
                  </m:r>
                </m:sup>
              </m:sSubSup>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3</m:t>
              </m:r>
            </m:sub>
          </m:sSub>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m:t>
              </m:r>
            </m:sub>
          </m:sSub>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r>
            <w:rPr>
              <w:rFonts w:ascii="Cambria Math" w:eastAsia="Cambria Math" w:hAnsi="Cambria Math" w:cs="Cambria Math"/>
            </w:rPr>
            <m:t>,</m:t>
          </m:r>
        </m:oMath>
      </m:oMathPara>
    </w:p>
    <w:p w14:paraId="221FF371"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donde </w:t>
      </w:r>
      <m:oMath>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el número total de nuevos infectados en el periodo t, </w:t>
      </w:r>
      <m:oMath>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la población susceptible en el periodo </w:t>
      </w:r>
      <m:oMath>
        <m:r>
          <w:rPr>
            <w:rFonts w:ascii="Cambria Math" w:eastAsia="Cambria Math" w:hAnsi="Cambria Math" w:cs="Cambria Math"/>
          </w:rPr>
          <m:t>t</m:t>
        </m:r>
      </m:oMath>
      <w:r w:rsidRPr="00B87444">
        <w:rPr>
          <w:rFonts w:ascii="Times New Roman" w:eastAsia="Times New Roman" w:hAnsi="Times New Roman" w:cs="Times New Roman"/>
          <w:lang w:val="es-MX"/>
        </w:rPr>
        <w:t xml:space="preserve">, </w:t>
      </w:r>
      <m:oMath>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la población infectada en el periodo </w:t>
      </w:r>
      <m:oMath>
        <m:r>
          <w:rPr>
            <w:rFonts w:ascii="Cambria Math" w:eastAsia="Cambria Math" w:hAnsi="Cambria Math" w:cs="Cambria Math"/>
          </w:rPr>
          <m:t>t</m:t>
        </m:r>
      </m:oMath>
      <w:r w:rsidRPr="00B87444">
        <w:rPr>
          <w:rFonts w:ascii="Times New Roman" w:eastAsia="Times New Roman" w:hAnsi="Times New Roman" w:cs="Times New Roman"/>
          <w:lang w:val="es-MX"/>
        </w:rPr>
        <w:t xml:space="preserve">. Las variables </w:t>
      </w:r>
      <m:oMath>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s</m:t>
            </m:r>
          </m:sup>
        </m:sSubSup>
      </m:oMath>
      <w:r w:rsidRPr="00B87444">
        <w:rPr>
          <w:rFonts w:ascii="Times New Roman" w:eastAsia="Times New Roman" w:hAnsi="Times New Roman" w:cs="Times New Roman"/>
          <w:lang w:val="es-MX"/>
        </w:rPr>
        <w:t xml:space="preserve">, </w:t>
      </w:r>
      <m:oMath>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i</m:t>
            </m:r>
          </m:sup>
        </m:sSubSup>
      </m:oMath>
      <w:r w:rsidRPr="00B87444">
        <w:rPr>
          <w:rFonts w:ascii="Times New Roman" w:eastAsia="Times New Roman" w:hAnsi="Times New Roman" w:cs="Times New Roman"/>
          <w:lang w:val="es-MX"/>
        </w:rPr>
        <w:t xml:space="preserve">, </w:t>
      </w:r>
      <m:oMath>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s</m:t>
            </m:r>
          </m:sup>
        </m:sSubSup>
      </m:oMath>
      <w:r w:rsidRPr="00B87444">
        <w:rPr>
          <w:rFonts w:ascii="Times New Roman" w:eastAsia="Times New Roman" w:hAnsi="Times New Roman" w:cs="Times New Roman"/>
          <w:lang w:val="es-MX"/>
        </w:rPr>
        <w:t xml:space="preserve">, y </w:t>
      </w:r>
      <m:oMath>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i</m:t>
            </m:r>
          </m:sup>
        </m:sSubSup>
      </m:oMath>
      <w:r w:rsidRPr="00B87444">
        <w:rPr>
          <w:rFonts w:ascii="Times New Roman" w:eastAsia="Times New Roman" w:hAnsi="Times New Roman" w:cs="Times New Roman"/>
          <w:lang w:val="es-MX"/>
        </w:rPr>
        <w:t xml:space="preserve"> representan el consumo y las horas trabajadas de los individuos susceptibles e infectados, respectivamente. En este modelo, la unidad de tiempo </w:t>
      </w:r>
      <m:oMath>
        <m:r>
          <w:rPr>
            <w:rFonts w:ascii="Cambria Math" w:eastAsia="Cambria Math" w:hAnsi="Cambria Math" w:cs="Cambria Math"/>
          </w:rPr>
          <m:t>t</m:t>
        </m:r>
      </m:oMath>
      <w:r w:rsidRPr="00B87444">
        <w:rPr>
          <w:rFonts w:ascii="Times New Roman" w:eastAsia="Times New Roman" w:hAnsi="Times New Roman" w:cs="Times New Roman"/>
          <w:lang w:val="es-MX"/>
        </w:rPr>
        <w:t xml:space="preserve"> representa una semana. Los parámetros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m:t>
            </m:r>
          </m:sub>
        </m:sSub>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2</m:t>
            </m:r>
          </m:sub>
        </m:sSub>
      </m:oMath>
      <w:r w:rsidRPr="00B87444">
        <w:rPr>
          <w:rFonts w:ascii="Times New Roman" w:eastAsia="Times New Roman" w:hAnsi="Times New Roman" w:cs="Times New Roman"/>
          <w:lang w:val="es-MX"/>
        </w:rPr>
        <w:t xml:space="preserve"> indican la probabilidad de que se produzcan nuevos contagios cuando individuos susceptibles e infectados interactúan mediante el consumo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m:t>
            </m:r>
          </m:sub>
        </m:sSub>
      </m:oMath>
      <w:r w:rsidRPr="00B87444">
        <w:rPr>
          <w:rFonts w:ascii="Times New Roman" w:eastAsia="Times New Roman" w:hAnsi="Times New Roman" w:cs="Times New Roman"/>
          <w:lang w:val="es-MX"/>
        </w:rPr>
        <w:t>) o el trabajo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2</m:t>
            </m:r>
          </m:sub>
        </m:sSub>
      </m:oMath>
      <w:r w:rsidRPr="00B87444">
        <w:rPr>
          <w:rFonts w:ascii="Times New Roman" w:eastAsia="Times New Roman" w:hAnsi="Times New Roman" w:cs="Times New Roman"/>
          <w:lang w:val="es-MX"/>
        </w:rPr>
        <w:t xml:space="preserve">). Es decir, tanto el consumo como el trabajo están asociados a mayor infección porque lo individuos tienen que interactuar para desarrollar estas actividades. Si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2</m:t>
            </m:r>
          </m:sub>
        </m:sSub>
        <m:r>
          <w:rPr>
            <w:rFonts w:ascii="Cambria Math" w:eastAsia="Cambria Math" w:hAnsi="Cambria Math" w:cs="Cambria Math"/>
            <w:lang w:val="es-MX"/>
          </w:rPr>
          <m:t>=0</m:t>
        </m:r>
      </m:oMath>
      <w:r w:rsidRPr="00B87444">
        <w:rPr>
          <w:rFonts w:ascii="Times New Roman" w:eastAsia="Times New Roman" w:hAnsi="Times New Roman" w:cs="Times New Roman"/>
          <w:lang w:val="es-MX"/>
        </w:rPr>
        <w:t xml:space="preserve"> entonces la dinámica de la infección es igual que en el modelo S-I-R estándar, donde el contagio será mayor dependiendo del parámetro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3</m:t>
            </m:r>
          </m:sub>
        </m:sSub>
      </m:oMath>
      <w:r w:rsidRPr="00B87444">
        <w:rPr>
          <w:rFonts w:ascii="Times New Roman" w:eastAsia="Times New Roman" w:hAnsi="Times New Roman" w:cs="Times New Roman"/>
          <w:lang w:val="es-MX"/>
        </w:rPr>
        <w:t xml:space="preserve">. </w:t>
      </w:r>
    </w:p>
    <w:p w14:paraId="3ECB0507"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El número de individuos susceptibles se determina de la siguiente forma:</w:t>
      </w:r>
    </w:p>
    <w:p w14:paraId="0D8CA241" w14:textId="77777777"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t</m:t>
              </m:r>
            </m:sub>
          </m:sSub>
          <m:r>
            <w:rPr>
              <w:rFonts w:ascii="Cambria Math" w:eastAsia="Cambria Math" w:hAnsi="Cambria Math" w:cs="Cambria Math"/>
            </w:rPr>
            <m:t>.</m:t>
          </m:r>
        </m:oMath>
      </m:oMathPara>
    </w:p>
    <w:p w14:paraId="673960BE"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El número de individuos infectados, recuperados, fallecidos y la dinámica de la población se determinan por medio de las siguientes ecuaciones:</w:t>
      </w:r>
    </w:p>
    <w:p w14:paraId="1F413DA8" w14:textId="77777777"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t</m:t>
              </m:r>
            </m:sub>
          </m:sSub>
          <m:r>
            <w:rPr>
              <w:rFonts w:ascii="Cambria Math" w:eastAsia="Cambria Math" w:hAnsi="Cambria Math" w:cs="Cambria Math"/>
            </w:rPr>
            <m:t>-</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e>
          </m:d>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r>
            <w:rPr>
              <w:rFonts w:ascii="Cambria Math" w:eastAsia="Cambria Math" w:hAnsi="Cambria Math" w:cs="Cambria Math"/>
            </w:rPr>
            <m:t>,</m:t>
          </m:r>
        </m:oMath>
      </m:oMathPara>
    </w:p>
    <w:p w14:paraId="24E70756" w14:textId="77777777"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r>
            <w:rPr>
              <w:rFonts w:ascii="Cambria Math" w:eastAsia="Cambria Math" w:hAnsi="Cambria Math" w:cs="Cambria Math"/>
            </w:rPr>
            <m:t>,</m:t>
          </m:r>
        </m:oMath>
      </m:oMathPara>
    </w:p>
    <w:p w14:paraId="4E1135A6" w14:textId="77777777"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r>
                <w:rPr>
                  <w:rFonts w:ascii="Cambria Math" w:eastAsia="Cambria Math" w:hAnsi="Cambria Math" w:cs="Cambria Math"/>
                </w:rPr>
                <m:t>I</m:t>
              </m:r>
            </m:e>
            <m:sub>
              <m:r>
                <w:rPr>
                  <w:rFonts w:ascii="Cambria Math" w:eastAsia="Cambria Math" w:hAnsi="Cambria Math" w:cs="Cambria Math"/>
                </w:rPr>
                <m:t>t</m:t>
              </m:r>
            </m:sub>
          </m:sSub>
          <m:r>
            <w:rPr>
              <w:rFonts w:ascii="Cambria Math" w:eastAsia="Cambria Math" w:hAnsi="Cambria Math" w:cs="Cambria Math"/>
            </w:rPr>
            <m:t>,</m:t>
          </m:r>
        </m:oMath>
      </m:oMathPara>
    </w:p>
    <w:p w14:paraId="0543FF1E" w14:textId="77777777"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Pob</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Pob</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r>
                <w:rPr>
                  <w:rFonts w:ascii="Cambria Math" w:eastAsia="Cambria Math" w:hAnsi="Cambria Math" w:cs="Cambria Math"/>
                </w:rPr>
                <m:t>I</m:t>
              </m:r>
            </m:e>
            <m:sub>
              <m:r>
                <w:rPr>
                  <w:rFonts w:ascii="Cambria Math" w:eastAsia="Cambria Math" w:hAnsi="Cambria Math" w:cs="Cambria Math"/>
                </w:rPr>
                <m:t>t</m:t>
              </m:r>
            </m:sub>
          </m:sSub>
          <m:r>
            <w:rPr>
              <w:rFonts w:ascii="Cambria Math" w:eastAsia="Cambria Math" w:hAnsi="Cambria Math" w:cs="Cambria Math"/>
            </w:rPr>
            <m:t>,</m:t>
          </m:r>
        </m:oMath>
      </m:oMathPara>
    </w:p>
    <w:p w14:paraId="1C9EE543"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lastRenderedPageBreak/>
        <w:t xml:space="preserve">donde los parámetros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r</m:t>
            </m:r>
          </m:sub>
        </m:sSub>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d</m:t>
            </m:r>
          </m:sub>
        </m:sSub>
      </m:oMath>
      <w:r w:rsidRPr="00B87444">
        <w:rPr>
          <w:rFonts w:ascii="Times New Roman" w:eastAsia="Times New Roman" w:hAnsi="Times New Roman" w:cs="Times New Roman"/>
          <w:lang w:val="es-MX"/>
        </w:rPr>
        <w:t xml:space="preserve"> representan la probabilidad de un infectado de recuperarse y de fallecer, respectivamente.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w:t>
      </w:r>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eastAsia="Cambria Math" w:hAnsi="Cambria Math" w:cs="Cambria Math"/>
              </w:rPr>
              <m:t>Pob</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representan la población recuperada, fallecida y la población total. Asumimos que en el periodo inicial hay una población inicialmente infectada tal que </w:t>
      </w:r>
      <m:oMath>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lang w:val="es-MX"/>
              </w:rPr>
              <m:t>0</m:t>
            </m:r>
          </m:sub>
        </m:sSub>
        <m:r>
          <w:rPr>
            <w:rFonts w:ascii="Cambria Math" w:eastAsia="Cambria Math" w:hAnsi="Cambria Math" w:cs="Cambria Math"/>
            <w:lang w:val="es-MX"/>
          </w:rPr>
          <m:t>=</m:t>
        </m:r>
        <m:r>
          <w:rPr>
            <w:rFonts w:ascii="Cambria Math" w:eastAsia="Cambria Math" w:hAnsi="Cambria Math" w:cs="Cambria Math"/>
          </w:rPr>
          <m:t>ν</m:t>
        </m:r>
      </m:oMath>
      <w:r w:rsidRPr="00B87444">
        <w:rPr>
          <w:rFonts w:ascii="Times New Roman" w:eastAsia="Times New Roman" w:hAnsi="Times New Roman" w:cs="Times New Roman"/>
          <w:lang w:val="es-MX"/>
        </w:rPr>
        <w:t xml:space="preserve">, donde </w:t>
      </w:r>
      <m:oMath>
        <m:r>
          <w:rPr>
            <w:rFonts w:ascii="Cambria Math" w:hAnsi="Cambria Math"/>
          </w:rPr>
          <m:t>ν</m:t>
        </m:r>
      </m:oMath>
      <w:r w:rsidRPr="00B87444">
        <w:rPr>
          <w:rFonts w:ascii="Times New Roman" w:eastAsia="Times New Roman" w:hAnsi="Times New Roman" w:cs="Times New Roman"/>
          <w:lang w:val="es-MX"/>
        </w:rPr>
        <w:t xml:space="preserve"> es una fracción pequeña de la población. Normalizamos la población inicial a 1, es decir </w:t>
      </w:r>
      <m:oMath>
        <m:sSub>
          <m:sSubPr>
            <m:ctrlPr>
              <w:rPr>
                <w:rFonts w:ascii="Cambria Math" w:eastAsia="Cambria Math" w:hAnsi="Cambria Math" w:cs="Cambria Math"/>
              </w:rPr>
            </m:ctrlPr>
          </m:sSubPr>
          <m:e>
            <m:r>
              <w:rPr>
                <w:rFonts w:ascii="Cambria Math" w:eastAsia="Cambria Math" w:hAnsi="Cambria Math" w:cs="Cambria Math"/>
              </w:rPr>
              <m:t>Pob</m:t>
            </m:r>
          </m:e>
          <m:sub>
            <m:r>
              <w:rPr>
                <w:rFonts w:ascii="Cambria Math" w:eastAsia="Cambria Math" w:hAnsi="Cambria Math" w:cs="Cambria Math"/>
                <w:lang w:val="es-MX"/>
              </w:rPr>
              <m:t>0</m:t>
            </m:r>
          </m:sub>
        </m:sSub>
        <m:r>
          <w:rPr>
            <w:rFonts w:ascii="Cambria Math" w:eastAsia="Cambria Math" w:hAnsi="Cambria Math" w:cs="Cambria Math"/>
            <w:lang w:val="es-MX"/>
          </w:rPr>
          <m:t>=1</m:t>
        </m:r>
      </m:oMath>
      <w:r w:rsidRPr="00B87444">
        <w:rPr>
          <w:rFonts w:ascii="Times New Roman" w:eastAsia="Times New Roman" w:hAnsi="Times New Roman" w:cs="Times New Roman"/>
          <w:lang w:val="es-MX"/>
        </w:rPr>
        <w:t>.</w:t>
      </w:r>
    </w:p>
    <w:p w14:paraId="16CDFA22" w14:textId="77777777" w:rsidR="00414546" w:rsidRPr="00B87444" w:rsidRDefault="00F97152">
      <w:pPr>
        <w:spacing w:line="360" w:lineRule="auto"/>
        <w:jc w:val="both"/>
        <w:rPr>
          <w:rFonts w:ascii="Times New Roman" w:eastAsia="Times New Roman" w:hAnsi="Times New Roman" w:cs="Times New Roman"/>
          <w:b/>
          <w:lang w:val="es-MX"/>
        </w:rPr>
      </w:pPr>
      <w:r w:rsidRPr="00B87444">
        <w:rPr>
          <w:rFonts w:ascii="Times New Roman" w:eastAsia="Times New Roman" w:hAnsi="Times New Roman" w:cs="Times New Roman"/>
          <w:b/>
          <w:lang w:val="es-MX"/>
        </w:rPr>
        <w:t>Bloque económico:</w:t>
      </w:r>
    </w:p>
    <w:p w14:paraId="7701A611"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En el modelo hay tres tipos de individuos: susceptibles, infectados y recuperados. Estos individuos deciden cuanto consumir y cuanto trabajar. Los individuos tienen en cuenta que al consumir y trabajar pueden infectarse y esto reduce la utilidad del individuo a lo largo de su vida. Por lo tanto, se asume que la decisión de consumir y trabajar se ve afecta por la probabilidad de contagio. </w:t>
      </w:r>
    </w:p>
    <w:p w14:paraId="154CD177"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Los individuos susceptibles deciden cuanto consumir y trabajar, maximizando la siguiente función de utilidad:</w:t>
      </w:r>
    </w:p>
    <w:p w14:paraId="3F0C7C4D" w14:textId="77777777" w:rsidR="00414546" w:rsidRDefault="007E7628">
      <w:pPr>
        <w:jc w:val="center"/>
        <w:rPr>
          <w:rFonts w:ascii="Cambria Math" w:eastAsia="Cambria Math" w:hAnsi="Cambria Math" w:cs="Cambria Math"/>
        </w:rPr>
      </w:pPr>
      <m:oMathPara>
        <m:oMath>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m:t>
              </m:r>
            </m:sub>
            <m:sup>
              <m:r>
                <w:rPr>
                  <w:rFonts w:ascii="Cambria Math" w:eastAsia="Cambria Math" w:hAnsi="Cambria Math" w:cs="Cambria Math"/>
                </w:rPr>
                <m:t>s</m:t>
              </m:r>
            </m:sup>
          </m:sSubSup>
          <m:r>
            <w:rPr>
              <w:rFonts w:ascii="Cambria Math" w:eastAsia="Cambria Math" w:hAnsi="Cambria Math" w:cs="Cambria Math"/>
            </w:rPr>
            <m:t>=u</m:t>
          </m:r>
          <m:d>
            <m:dPr>
              <m:ctrlPr>
                <w:rPr>
                  <w:rFonts w:ascii="Cambria Math" w:eastAsia="Cambria Math" w:hAnsi="Cambria Math" w:cs="Cambria Math"/>
                </w:rPr>
              </m:ctrlPr>
            </m:dPr>
            <m:e>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s</m:t>
                  </m:r>
                </m:sup>
              </m:sSubSup>
              <m:r>
                <w:rPr>
                  <w:rFonts w:ascii="Cambria Math" w:eastAsia="Cambria Math" w:hAnsi="Cambria Math" w:cs="Cambria Math"/>
                </w:rPr>
                <m:t>,</m:t>
              </m:r>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s</m:t>
                  </m:r>
                </m:sup>
              </m:sSubSup>
            </m:e>
          </m:d>
          <m:r>
            <w:rPr>
              <w:rFonts w:ascii="Cambria Math" w:eastAsia="Cambria Math" w:hAnsi="Cambria Math" w:cs="Cambria Math"/>
            </w:rPr>
            <m:t>+β</m:t>
          </m:r>
          <m:d>
            <m:dPr>
              <m:begChr m:val="["/>
              <m:endChr m:val="]"/>
              <m:ctrlPr>
                <w:rPr>
                  <w:rFonts w:ascii="Cambria Math" w:eastAsia="Cambria Math" w:hAnsi="Cambria Math" w:cs="Cambria Math"/>
                </w:rPr>
              </m:ctrlPr>
            </m:dPr>
            <m:e>
              <m:d>
                <m:dPr>
                  <m:ctrlPr>
                    <w:rPr>
                      <w:rFonts w:ascii="Cambria Math" w:eastAsia="Cambria Math" w:hAnsi="Cambria Math" w:cs="Cambria Math"/>
                    </w:rPr>
                  </m:ctrlPr>
                </m:dPr>
                <m:e>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τ</m:t>
                      </m:r>
                    </m:e>
                    <m:sub>
                      <m:r>
                        <w:rPr>
                          <w:rFonts w:ascii="Cambria Math" w:eastAsia="Cambria Math" w:hAnsi="Cambria Math" w:cs="Cambria Math"/>
                        </w:rPr>
                        <m:t>t</m:t>
                      </m:r>
                    </m:sub>
                  </m:sSub>
                </m:e>
              </m:d>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t+1</m:t>
                  </m:r>
                </m:sub>
                <m:sup>
                  <m:r>
                    <w:rPr>
                      <w:rFonts w:ascii="Cambria Math" w:eastAsia="Cambria Math" w:hAnsi="Cambria Math" w:cs="Cambria Math"/>
                    </w:rPr>
                    <m:t>s</m:t>
                  </m:r>
                </m:sup>
              </m:sSubSup>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τ</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t+1</m:t>
                  </m:r>
                </m:sub>
                <m:sup>
                  <m:r>
                    <w:rPr>
                      <w:rFonts w:ascii="Cambria Math" w:eastAsia="Cambria Math" w:hAnsi="Cambria Math" w:cs="Cambria Math"/>
                    </w:rPr>
                    <m:t>i</m:t>
                  </m:r>
                </m:sup>
              </m:sSubSup>
            </m:e>
          </m:d>
          <m:r>
            <w:rPr>
              <w:rFonts w:ascii="Cambria Math" w:eastAsia="Cambria Math" w:hAnsi="Cambria Math" w:cs="Cambria Math"/>
            </w:rPr>
            <m:t>.</m:t>
          </m:r>
        </m:oMath>
      </m:oMathPara>
    </w:p>
    <w:p w14:paraId="5D09670B" w14:textId="13175CE5"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En esta función de utilidad se tiene en cuenta que un individuo susceptible puede infectarse con probabilidad  </w:t>
      </w:r>
      <m:oMath>
        <m:sSub>
          <m:sSubPr>
            <m:ctrlPr>
              <w:rPr>
                <w:rFonts w:ascii="Cambria Math" w:eastAsia="Cambria Math" w:hAnsi="Cambria Math" w:cs="Cambria Math"/>
              </w:rPr>
            </m:ctrlPr>
          </m:sSubPr>
          <m:e>
            <m:r>
              <w:rPr>
                <w:rFonts w:ascii="Cambria Math" w:hAnsi="Cambria Math"/>
              </w:rPr>
              <m:t>τ</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en el periodo siguiente, es en base a esta probabilidad que un individuo puede decidir consumir menos (reducir </w:t>
      </w:r>
      <m:oMath>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s</m:t>
            </m:r>
          </m:sup>
        </m:sSubSup>
      </m:oMath>
      <w:r w:rsidRPr="00B87444">
        <w:rPr>
          <w:rFonts w:ascii="Times New Roman" w:eastAsia="Times New Roman" w:hAnsi="Times New Roman" w:cs="Times New Roman"/>
          <w:lang w:val="es-MX"/>
        </w:rPr>
        <w:t xml:space="preserve">) o trabajar menos (reducir </w:t>
      </w:r>
      <m:oMath>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s</m:t>
            </m:r>
          </m:sup>
        </m:sSubSup>
      </m:oMath>
      <w:r w:rsidRPr="00B87444">
        <w:rPr>
          <w:rFonts w:ascii="Times New Roman" w:eastAsia="Times New Roman" w:hAnsi="Times New Roman" w:cs="Times New Roman"/>
          <w:lang w:val="es-MX"/>
        </w:rPr>
        <w:t xml:space="preserve">). Si consume menos, se produce un shock de demanda en la economía, si trabaja menos se produce un shock de oferta </w:t>
      </w:r>
      <w:r w:rsidR="007B2CD9">
        <w:rPr>
          <w:rFonts w:ascii="Times New Roman" w:eastAsia="Times New Roman" w:hAnsi="Times New Roman" w:cs="Times New Roman"/>
          <w:lang w:val="es-MX"/>
        </w:rPr>
        <w:t>y</w:t>
      </w:r>
      <w:r w:rsidRPr="00B87444">
        <w:rPr>
          <w:rFonts w:ascii="Times New Roman" w:eastAsia="Times New Roman" w:hAnsi="Times New Roman" w:cs="Times New Roman"/>
          <w:lang w:val="es-MX"/>
        </w:rPr>
        <w:t xml:space="preserve"> las empresas no cuenta con suficiente oferta de trabajo para producir. La probabilidad de que un individuo susceptible se infecte está dada por</w:t>
      </w:r>
    </w:p>
    <w:p w14:paraId="4CC2FF5D" w14:textId="77777777"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hAnsi="Cambria Math"/>
                </w:rPr>
                <m:t>τ</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1</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s</m:t>
              </m:r>
            </m:sup>
          </m:sSubSup>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i</m:t>
                  </m:r>
                </m:sup>
              </m:sSubSup>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2</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s</m:t>
              </m:r>
            </m:sup>
          </m:sSubSup>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i</m:t>
                  </m:r>
                </m:sup>
              </m:sSubSup>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3</m:t>
              </m:r>
            </m:sub>
          </m:sSub>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r>
            <w:rPr>
              <w:rFonts w:ascii="Cambria Math" w:eastAsia="Cambria Math" w:hAnsi="Cambria Math" w:cs="Cambria Math"/>
            </w:rPr>
            <m:t>.</m:t>
          </m:r>
        </m:oMath>
      </m:oMathPara>
    </w:p>
    <w:p w14:paraId="6FCB81FA"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De acuerdo a esta ecuación, mientras más individuos infectados haya, y mientras mayor sea el consumo y el trabajo de estos, mayor será la probabilidad </w:t>
      </w:r>
      <m:oMath>
        <m:sSub>
          <m:sSubPr>
            <m:ctrlPr>
              <w:rPr>
                <w:rFonts w:ascii="Cambria Math" w:eastAsia="Cambria Math" w:hAnsi="Cambria Math" w:cs="Cambria Math"/>
              </w:rPr>
            </m:ctrlPr>
          </m:sSubPr>
          <m:e>
            <m:r>
              <w:rPr>
                <w:rFonts w:ascii="Cambria Math" w:hAnsi="Cambria Math"/>
              </w:rPr>
              <m:t>τ</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w:t>
      </w:r>
    </w:p>
    <w:p w14:paraId="6D4642F0"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Los individuos infectados deciden cuanto consumir y cuanto trabajar maximizando la siguiente función de utilidad:</w:t>
      </w:r>
    </w:p>
    <w:p w14:paraId="3B82D96A" w14:textId="01A11C37" w:rsidR="00414546" w:rsidRPr="00F2408F" w:rsidRDefault="007E7628">
      <w:pPr>
        <w:jc w:val="center"/>
        <w:rPr>
          <w:rFonts w:ascii="Cambria Math" w:eastAsia="Cambria Math" w:hAnsi="Cambria Math" w:cs="Cambria Math"/>
          <w:lang w:val="es-MX"/>
        </w:rPr>
      </w:pPr>
      <m:oMath>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m:t>
            </m:r>
          </m:sub>
          <m:sup>
            <m:r>
              <w:rPr>
                <w:rFonts w:ascii="Cambria Math" w:eastAsia="Cambria Math" w:hAnsi="Cambria Math" w:cs="Cambria Math"/>
              </w:rPr>
              <m:t>i</m:t>
            </m:r>
          </m:sup>
        </m:sSubSup>
        <m:r>
          <w:rPr>
            <w:rFonts w:ascii="Cambria Math" w:eastAsia="Cambria Math" w:hAnsi="Cambria Math" w:cs="Cambria Math"/>
            <w:lang w:val="es-MX"/>
          </w:rPr>
          <m:t>=</m:t>
        </m:r>
        <m:r>
          <w:rPr>
            <w:rFonts w:ascii="Cambria Math" w:eastAsia="Cambria Math" w:hAnsi="Cambria Math" w:cs="Cambria Math"/>
          </w:rPr>
          <m:t>u</m:t>
        </m:r>
        <m:d>
          <m:dPr>
            <m:ctrlPr>
              <w:rPr>
                <w:rFonts w:ascii="Cambria Math" w:eastAsia="Cambria Math" w:hAnsi="Cambria Math" w:cs="Cambria Math"/>
              </w:rPr>
            </m:ctrlPr>
          </m:dPr>
          <m:e>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i</m:t>
                </m:r>
              </m:sup>
            </m:sSubSup>
            <m:r>
              <w:rPr>
                <w:rFonts w:ascii="Cambria Math" w:eastAsia="Cambria Math" w:hAnsi="Cambria Math" w:cs="Cambria Math"/>
                <w:lang w:val="es-MX"/>
              </w:rPr>
              <m:t>,</m:t>
            </m:r>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i</m:t>
                </m:r>
              </m:sup>
            </m:sSubSup>
          </m:e>
        </m:d>
        <m:r>
          <w:rPr>
            <w:rFonts w:ascii="Cambria Math" w:eastAsia="Cambria Math" w:hAnsi="Cambria Math" w:cs="Cambria Math"/>
            <w:lang w:val="es-MX"/>
          </w:rPr>
          <m:t>+</m:t>
        </m:r>
        <m:r>
          <w:rPr>
            <w:rFonts w:ascii="Cambria Math" w:eastAsia="Cambria Math" w:hAnsi="Cambria Math" w:cs="Cambria Math"/>
          </w:rPr>
          <m:t>β</m:t>
        </m:r>
        <m:r>
          <w:rPr>
            <w:rFonts w:ascii="Cambria Math" w:eastAsia="Cambria Math" w:hAnsi="Cambria Math" w:cs="Cambria Math"/>
            <w:lang w:val="es-MX"/>
          </w:rPr>
          <m:t>[</m:t>
        </m:r>
        <m:d>
          <m:dPr>
            <m:ctrlPr>
              <w:rPr>
                <w:rFonts w:ascii="Cambria Math" w:eastAsia="Cambria Math" w:hAnsi="Cambria Math" w:cs="Cambria Math"/>
              </w:rPr>
            </m:ctrlPr>
          </m:dPr>
          <m:e>
            <m:r>
              <w:rPr>
                <w:rFonts w:ascii="Cambria Math" w:eastAsia="Cambria Math" w:hAnsi="Cambria Math" w:cs="Cambria Math"/>
                <w:lang w:val="es-MX"/>
              </w:rPr>
              <m:t>1-</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e>
        </m:d>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m:t>
            </m:r>
            <m:r>
              <w:rPr>
                <w:rFonts w:ascii="Cambria Math" w:eastAsia="Cambria Math" w:hAnsi="Cambria Math" w:cs="Cambria Math"/>
                <w:lang w:val="es-MX"/>
              </w:rPr>
              <m:t>+1</m:t>
            </m:r>
          </m:sub>
          <m:sup>
            <m:r>
              <w:rPr>
                <w:rFonts w:ascii="Cambria Math" w:eastAsia="Cambria Math" w:hAnsi="Cambria Math" w:cs="Cambria Math"/>
              </w:rPr>
              <m:t>i</m:t>
            </m:r>
          </m:sup>
        </m:sSubSup>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m:t>
            </m:r>
            <m:r>
              <w:rPr>
                <w:rFonts w:ascii="Cambria Math" w:eastAsia="Cambria Math" w:hAnsi="Cambria Math" w:cs="Cambria Math"/>
                <w:lang w:val="es-MX"/>
              </w:rPr>
              <m:t>+1</m:t>
            </m:r>
          </m:sub>
          <m:sup>
            <m:r>
              <w:rPr>
                <w:rFonts w:ascii="Cambria Math" w:eastAsia="Cambria Math" w:hAnsi="Cambria Math" w:cs="Cambria Math"/>
              </w:rPr>
              <m:t>r</m:t>
            </m:r>
          </m:sup>
        </m:sSubSup>
        <m:r>
          <w:rPr>
            <w:rFonts w:ascii="Cambria Math" w:eastAsia="Cambria Math" w:hAnsi="Cambria Math" w:cs="Cambria Math"/>
            <w:lang w:val="es-MX"/>
          </w:rPr>
          <m:t>]</m:t>
        </m:r>
      </m:oMath>
      <w:r w:rsidR="00F2408F" w:rsidRPr="00F2408F">
        <w:rPr>
          <w:rFonts w:ascii="Cambria Math" w:eastAsia="Cambria Math" w:hAnsi="Cambria Math" w:cs="Cambria Math"/>
          <w:lang w:val="es-MX"/>
        </w:rPr>
        <w:t>.</w:t>
      </w:r>
    </w:p>
    <w:p w14:paraId="25DB8476"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Los individuos recuperados maximizan la siguiente función de utilidad:</w:t>
      </w:r>
    </w:p>
    <w:p w14:paraId="71756B3F" w14:textId="1CC40B2D" w:rsidR="00414546" w:rsidRPr="00F2408F" w:rsidRDefault="007E7628">
      <w:pPr>
        <w:jc w:val="center"/>
        <w:rPr>
          <w:rFonts w:ascii="Cambria Math" w:eastAsia="Cambria Math" w:hAnsi="Cambria Math" w:cs="Cambria Math"/>
          <w:lang w:val="es-MX"/>
        </w:rPr>
      </w:pPr>
      <m:oMath>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m:t>
            </m:r>
          </m:sub>
          <m:sup>
            <m:r>
              <w:rPr>
                <w:rFonts w:ascii="Cambria Math" w:eastAsia="Cambria Math" w:hAnsi="Cambria Math" w:cs="Cambria Math"/>
              </w:rPr>
              <m:t>r</m:t>
            </m:r>
          </m:sup>
        </m:sSubSup>
        <m:r>
          <w:rPr>
            <w:rFonts w:ascii="Cambria Math" w:eastAsia="Cambria Math" w:hAnsi="Cambria Math" w:cs="Cambria Math"/>
            <w:lang w:val="es-MX"/>
          </w:rPr>
          <m:t>=</m:t>
        </m:r>
        <m:r>
          <w:rPr>
            <w:rFonts w:ascii="Cambria Math" w:eastAsia="Cambria Math" w:hAnsi="Cambria Math" w:cs="Cambria Math"/>
          </w:rPr>
          <m:t>u</m:t>
        </m:r>
        <m:d>
          <m:dPr>
            <m:ctrlPr>
              <w:rPr>
                <w:rFonts w:ascii="Cambria Math" w:eastAsia="Cambria Math" w:hAnsi="Cambria Math" w:cs="Cambria Math"/>
              </w:rPr>
            </m:ctrlPr>
          </m:dPr>
          <m:e>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r</m:t>
                </m:r>
              </m:sup>
            </m:sSubSup>
            <m:r>
              <w:rPr>
                <w:rFonts w:ascii="Cambria Math" w:eastAsia="Cambria Math" w:hAnsi="Cambria Math" w:cs="Cambria Math"/>
                <w:lang w:val="es-MX"/>
              </w:rPr>
              <m:t>,</m:t>
            </m:r>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r</m:t>
                </m:r>
              </m:sup>
            </m:sSubSup>
          </m:e>
        </m:d>
        <m:r>
          <w:rPr>
            <w:rFonts w:ascii="Cambria Math" w:eastAsia="Cambria Math" w:hAnsi="Cambria Math" w:cs="Cambria Math"/>
            <w:lang w:val="es-MX"/>
          </w:rPr>
          <m:t>+</m:t>
        </m:r>
        <m:r>
          <w:rPr>
            <w:rFonts w:ascii="Cambria Math" w:eastAsia="Cambria Math" w:hAnsi="Cambria Math" w:cs="Cambria Math"/>
          </w:rPr>
          <m:t>β</m:t>
        </m:r>
        <m:sSubSup>
          <m:sSubSupPr>
            <m:ctrlPr>
              <w:rPr>
                <w:rFonts w:ascii="Cambria Math" w:eastAsia="Cambria Math" w:hAnsi="Cambria Math" w:cs="Cambria Math"/>
              </w:rPr>
            </m:ctrlPr>
          </m:sSubSupPr>
          <m:e>
            <m:r>
              <w:rPr>
                <w:rFonts w:ascii="Cambria Math" w:eastAsia="Cambria Math" w:hAnsi="Cambria Math" w:cs="Cambria Math"/>
              </w:rPr>
              <m:t>U</m:t>
            </m:r>
          </m:e>
          <m:sub>
            <m:r>
              <w:rPr>
                <w:rFonts w:ascii="Cambria Math" w:eastAsia="Cambria Math" w:hAnsi="Cambria Math" w:cs="Cambria Math"/>
              </w:rPr>
              <m:t>t</m:t>
            </m:r>
            <m:r>
              <w:rPr>
                <w:rFonts w:ascii="Cambria Math" w:eastAsia="Cambria Math" w:hAnsi="Cambria Math" w:cs="Cambria Math"/>
                <w:lang w:val="es-MX"/>
              </w:rPr>
              <m:t>+1</m:t>
            </m:r>
          </m:sub>
          <m:sup>
            <m:r>
              <w:rPr>
                <w:rFonts w:ascii="Cambria Math" w:eastAsia="Cambria Math" w:hAnsi="Cambria Math" w:cs="Cambria Math"/>
              </w:rPr>
              <m:t>r</m:t>
            </m:r>
          </m:sup>
        </m:sSubSup>
      </m:oMath>
      <w:r w:rsidR="00F2408F" w:rsidRPr="00F2408F">
        <w:rPr>
          <w:rFonts w:ascii="Cambria Math" w:eastAsia="Cambria Math" w:hAnsi="Cambria Math" w:cs="Cambria Math"/>
          <w:lang w:val="es-MX"/>
        </w:rPr>
        <w:t>.</w:t>
      </w:r>
    </w:p>
    <w:p w14:paraId="40A03B8F"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La utilidad instantánea, de todos los individuos, está dada por </w:t>
      </w:r>
      <m:oMath>
        <m:r>
          <w:rPr>
            <w:rFonts w:ascii="Cambria Math" w:eastAsia="Cambria Math" w:hAnsi="Cambria Math" w:cs="Cambria Math"/>
          </w:rPr>
          <m:t>u</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t</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m:t>
                </m:r>
              </m:sub>
            </m:sSub>
          </m:e>
        </m:d>
        <m:r>
          <w:rPr>
            <w:rFonts w:ascii="Cambria Math" w:eastAsia="Cambria Math" w:hAnsi="Cambria Math" w:cs="Cambria Math"/>
            <w:lang w:val="es-MX"/>
          </w:rPr>
          <m:t>=</m:t>
        </m:r>
        <m:r>
          <w:rPr>
            <w:rFonts w:ascii="Cambria Math" w:eastAsia="Cambria Math" w:hAnsi="Cambria Math" w:cs="Cambria Math"/>
          </w:rPr>
          <m:t>ln</m:t>
        </m:r>
        <m:r>
          <w:rPr>
            <w:rFonts w:ascii="Cambria Math" w:eastAsia="Cambria Math" w:hAnsi="Cambria Math" w:cs="Cambria Math"/>
            <w:lang w:val="es-MX"/>
          </w:rPr>
          <m:t xml:space="preserve"> </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t</m:t>
            </m:r>
          </m:sub>
        </m:sSub>
        <m:r>
          <w:rPr>
            <w:rFonts w:ascii="Cambria Math" w:eastAsia="Cambria Math" w:hAnsi="Cambria Math" w:cs="Cambria Math"/>
            <w:lang w:val="es-MX"/>
          </w:rPr>
          <m:t>-</m:t>
        </m:r>
        <m:f>
          <m:fPr>
            <m:ctrlPr>
              <w:rPr>
                <w:rFonts w:ascii="Cambria Math" w:eastAsia="Cambria Math" w:hAnsi="Cambria Math" w:cs="Cambria Math"/>
              </w:rPr>
            </m:ctrlPr>
          </m:fPr>
          <m:num>
            <m:r>
              <w:rPr>
                <w:rFonts w:ascii="Cambria Math" w:eastAsia="Cambria Math" w:hAnsi="Cambria Math" w:cs="Cambria Math"/>
              </w:rPr>
              <m:t>θ</m:t>
            </m:r>
          </m:num>
          <m:den>
            <m:r>
              <w:rPr>
                <w:rFonts w:ascii="Cambria Math" w:eastAsia="Cambria Math" w:hAnsi="Cambria Math" w:cs="Cambria Math"/>
                <w:lang w:val="es-MX"/>
              </w:rPr>
              <m:t>2</m:t>
            </m:r>
          </m:den>
        </m:f>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lang w:val="es-MX"/>
              </w:rPr>
              <m:t>2</m:t>
            </m:r>
          </m:sup>
        </m:sSubSup>
      </m:oMath>
      <w:r w:rsidRPr="00B87444">
        <w:rPr>
          <w:rFonts w:ascii="Times New Roman" w:eastAsia="Times New Roman" w:hAnsi="Times New Roman" w:cs="Times New Roman"/>
          <w:lang w:val="es-MX"/>
        </w:rPr>
        <w:t xml:space="preserve">. En todos los casos los individuos maximizan la utilidad con respecto a una restricción presupuestaria dada por </w:t>
      </w:r>
      <m:oMath>
        <m:d>
          <m:dPr>
            <m:ctrlPr>
              <w:rPr>
                <w:rFonts w:ascii="Cambria Math" w:eastAsia="Cambria Math" w:hAnsi="Cambria Math" w:cs="Cambria Math"/>
              </w:rPr>
            </m:ctrlPr>
          </m:dPr>
          <m:e>
            <m:r>
              <w:rPr>
                <w:rFonts w:ascii="Cambria Math" w:eastAsia="Cambria Math" w:hAnsi="Cambria Math" w:cs="Cambria Math"/>
                <w:lang w:val="es-MX"/>
              </w:rPr>
              <m:t>1+</m:t>
            </m:r>
            <m:sSub>
              <m:sSubPr>
                <m:ctrlPr>
                  <w:rPr>
                    <w:rFonts w:ascii="Cambria Math" w:eastAsia="Cambria Math" w:hAnsi="Cambria Math" w:cs="Cambria Math"/>
                  </w:rPr>
                </m:ctrlPr>
              </m:sSubPr>
              <m:e>
                <m:r>
                  <w:rPr>
                    <w:rFonts w:ascii="Cambria Math" w:eastAsia="Cambria Math" w:hAnsi="Cambria Math" w:cs="Cambria Math"/>
                  </w:rPr>
                  <m:t>μ</m:t>
                </m:r>
              </m:e>
              <m:sub>
                <m:r>
                  <w:rPr>
                    <w:rFonts w:ascii="Cambria Math" w:eastAsia="Cambria Math" w:hAnsi="Cambria Math" w:cs="Cambria Math"/>
                  </w:rPr>
                  <m:t>t</m:t>
                </m:r>
              </m:sub>
            </m:sSub>
          </m:e>
        </m:d>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j</m:t>
            </m:r>
          </m:sup>
        </m:sSubSup>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j</m:t>
            </m:r>
          </m:sup>
        </m:sSubSup>
      </m:oMath>
      <w:r w:rsidRPr="00B87444">
        <w:rPr>
          <w:rFonts w:ascii="Times New Roman" w:eastAsia="Times New Roman" w:hAnsi="Times New Roman" w:cs="Times New Roman"/>
          <w:lang w:val="es-MX"/>
        </w:rPr>
        <w:t xml:space="preserve">, donde </w:t>
      </w:r>
      <m:oMath>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j</m:t>
            </m:r>
          </m:sup>
        </m:sSubSup>
      </m:oMath>
      <w:r w:rsidRPr="00B87444">
        <w:rPr>
          <w:rFonts w:ascii="Times New Roman" w:eastAsia="Times New Roman" w:hAnsi="Times New Roman" w:cs="Times New Roman"/>
          <w:lang w:val="es-MX"/>
        </w:rPr>
        <w:t xml:space="preserve"> y </w:t>
      </w:r>
      <m:oMath>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j</m:t>
            </m:r>
          </m:sup>
        </m:sSubSup>
      </m:oMath>
      <w:r w:rsidRPr="00B87444">
        <w:rPr>
          <w:rFonts w:ascii="Times New Roman" w:eastAsia="Times New Roman" w:hAnsi="Times New Roman" w:cs="Times New Roman"/>
          <w:lang w:val="es-MX"/>
        </w:rPr>
        <w:t xml:space="preserve"> indican el consumo y el trabajo del individuo j=s,i,r y </w:t>
      </w:r>
      <m:oMath>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el salario</w:t>
      </w:r>
      <w:r>
        <w:rPr>
          <w:rFonts w:ascii="Times New Roman" w:eastAsia="Times New Roman" w:hAnsi="Times New Roman" w:cs="Times New Roman"/>
          <w:vertAlign w:val="superscript"/>
        </w:rPr>
        <w:footnoteReference w:id="2"/>
      </w:r>
      <w:r w:rsidRPr="00B87444">
        <w:rPr>
          <w:rFonts w:ascii="Times New Roman" w:eastAsia="Times New Roman" w:hAnsi="Times New Roman" w:cs="Times New Roman"/>
          <w:lang w:val="es-MX"/>
        </w:rPr>
        <w:t xml:space="preserve">. </w:t>
      </w:r>
    </w:p>
    <w:p w14:paraId="5E19B789"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La variable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un impuesto al consumo que establece el gobierno. Este impuesto es la forma de introducir las medidas de intervención no farmacéuticas establecidas por el gobierno en el modelo. Mientras mayor sea </w:t>
      </w:r>
      <m:oMath>
        <m:sSub>
          <m:sSubPr>
            <m:ctrlPr>
              <w:rPr>
                <w:rFonts w:ascii="Cambria Math" w:eastAsia="Cambria Math" w:hAnsi="Cambria Math" w:cs="Cambria Math"/>
              </w:rPr>
            </m:ctrlPr>
          </m:sSubPr>
          <m:e>
            <m:r>
              <w:rPr>
                <w:rFonts w:ascii="Cambria Math" w:hAnsi="Cambria Math"/>
              </w:rPr>
              <m:t>μ</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más restringido estará el consumo y por lo tanto el gobierno podrá mitigar el avance de la infección.</w:t>
      </w:r>
    </w:p>
    <w:p w14:paraId="1BA2F3C4"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En esta economía, las empresas deciden cuanto trabajo contratar maximizando la función de beneficios dada por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t</m:t>
            </m:r>
          </m:sub>
        </m:sSub>
        <m:r>
          <w:rPr>
            <w:rFonts w:ascii="Cambria Math" w:eastAsia="Cambria Math" w:hAnsi="Cambria Math" w:cs="Cambria Math"/>
            <w:lang w:val="es-MX"/>
          </w:rPr>
          <m:t>=</m:t>
        </m:r>
        <m:r>
          <w:rPr>
            <w:rFonts w:ascii="Cambria Math" w:eastAsia="Cambria Math" w:hAnsi="Cambria Math" w:cs="Cambria Math"/>
          </w:rPr>
          <m:t>A</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w</m:t>
            </m:r>
          </m:e>
          <m:sub>
            <m:r>
              <w:rPr>
                <w:rFonts w:ascii="Cambria Math" w:eastAsia="Cambria Math" w:hAnsi="Cambria Math" w:cs="Cambria Math"/>
              </w:rPr>
              <m:t>t</m:t>
            </m:r>
          </m:sub>
        </m:sSub>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done A indica la productividad laboral agregada y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el trabajo. </w:t>
      </w:r>
    </w:p>
    <w:p w14:paraId="556E5662"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En el equilibrio, el consumo de todos los individuos es igual a la producción de las empresas, es decir </w:t>
      </w:r>
      <m:oMath>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s</m:t>
            </m:r>
          </m:sup>
        </m:sSubSup>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i</m:t>
            </m:r>
          </m:sup>
        </m:sSubSup>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r</m:t>
            </m:r>
          </m:sup>
        </m:sSubSup>
        <m:r>
          <w:rPr>
            <w:rFonts w:ascii="Cambria Math" w:eastAsia="Cambria Math" w:hAnsi="Cambria Math" w:cs="Cambria Math"/>
            <w:lang w:val="es-MX"/>
          </w:rPr>
          <m:t>=</m:t>
        </m:r>
        <m:r>
          <w:rPr>
            <w:rFonts w:ascii="Cambria Math" w:eastAsia="Cambria Math" w:hAnsi="Cambria Math" w:cs="Cambria Math"/>
          </w:rPr>
          <m:t>A</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Además, el empleo demandado por las empresas es igual al total del empleo ofertado, es decir </w:t>
      </w:r>
      <m:oMath>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s</m:t>
            </m:r>
          </m:sup>
        </m:sSubSup>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i</m:t>
            </m:r>
          </m:sup>
        </m:sSubSup>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r</m:t>
            </m:r>
          </m:sup>
        </m:sSubSup>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w:t>
      </w:r>
    </w:p>
    <w:p w14:paraId="04F4BF94" w14:textId="55E32CEE"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La solución a este modelo, que está caracterizada por la maximización de la utilidad y de los beneficios de las empresas sujeta a las restricciones y a las condiciones de</w:t>
      </w:r>
      <w:r w:rsidR="00F2408F">
        <w:rPr>
          <w:rFonts w:ascii="Times New Roman" w:eastAsia="Times New Roman" w:hAnsi="Times New Roman" w:cs="Times New Roman"/>
          <w:lang w:val="es-MX"/>
        </w:rPr>
        <w:t xml:space="preserve"> vaciado de mercado</w:t>
      </w:r>
      <w:r w:rsidRPr="00B87444">
        <w:rPr>
          <w:rFonts w:ascii="Times New Roman" w:eastAsia="Times New Roman" w:hAnsi="Times New Roman" w:cs="Times New Roman"/>
          <w:lang w:val="es-MX"/>
        </w:rPr>
        <w:t>, nos da un sistema de ecuaciones que describe la dinámica del consumo y trabajo de cada tipo de individuo y además la dinámica de la infección</w:t>
      </w:r>
      <w:r>
        <w:rPr>
          <w:rFonts w:ascii="Times New Roman" w:eastAsia="Times New Roman" w:hAnsi="Times New Roman" w:cs="Times New Roman"/>
          <w:vertAlign w:val="superscript"/>
        </w:rPr>
        <w:footnoteReference w:id="3"/>
      </w:r>
      <w:r w:rsidRPr="00B87444">
        <w:rPr>
          <w:rFonts w:ascii="Times New Roman" w:eastAsia="Times New Roman" w:hAnsi="Times New Roman" w:cs="Times New Roman"/>
          <w:lang w:val="es-MX"/>
        </w:rPr>
        <w:t xml:space="preserve">. </w:t>
      </w:r>
    </w:p>
    <w:p w14:paraId="3C66394D" w14:textId="77777777" w:rsidR="00414546" w:rsidRPr="00B87444" w:rsidRDefault="00F97152">
      <w:pPr>
        <w:spacing w:line="360" w:lineRule="auto"/>
        <w:jc w:val="both"/>
        <w:rPr>
          <w:rFonts w:ascii="Times New Roman" w:eastAsia="Times New Roman" w:hAnsi="Times New Roman" w:cs="Times New Roman"/>
          <w:b/>
          <w:lang w:val="es-MX"/>
        </w:rPr>
      </w:pPr>
      <w:r w:rsidRPr="00B87444">
        <w:rPr>
          <w:rFonts w:ascii="Times New Roman" w:eastAsia="Times New Roman" w:hAnsi="Times New Roman" w:cs="Times New Roman"/>
          <w:b/>
          <w:lang w:val="es-MX"/>
        </w:rPr>
        <w:t>Calibración:</w:t>
      </w:r>
    </w:p>
    <w:p w14:paraId="38B12314" w14:textId="20294798"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Nos interesa calibrar los parámetros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m:t>
            </m:r>
          </m:sub>
        </m:sSub>
      </m:oMath>
      <w:r w:rsidRPr="00B87444">
        <w:rPr>
          <w:rFonts w:ascii="Times New Roman" w:eastAsia="Times New Roman" w:hAnsi="Times New Roman" w:cs="Times New Roman"/>
          <w:lang w:val="es-MX"/>
        </w:rPr>
        <w:t xml:space="preserve">,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2</m:t>
            </m:r>
          </m:sub>
        </m:sSub>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3</m:t>
            </m:r>
          </m:sub>
        </m:sSub>
      </m:oMath>
      <w:r w:rsidRPr="00B87444">
        <w:rPr>
          <w:rFonts w:ascii="Times New Roman" w:eastAsia="Times New Roman" w:hAnsi="Times New Roman" w:cs="Times New Roman"/>
          <w:lang w:val="es-MX"/>
        </w:rPr>
        <w:t xml:space="preserve"> del modelo. Estos determinan la relación entre infección y actividad económica. Para esto utilizamos información disponible de actividad económica mensual y de transmisibilidad de la infección medida por el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El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o número de infecciones secundarias generadas a partir de un individuo infectado, se define en el modelo de la siguiente forma:</w:t>
      </w:r>
    </w:p>
    <w:p w14:paraId="7E9B8383" w14:textId="1ECD677B" w:rsidR="00414546" w:rsidRDefault="007E762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t</m:t>
                  </m:r>
                </m:sub>
              </m:sSub>
            </m:num>
            <m:den>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m:t>
                  </m:r>
                </m:sub>
              </m:sSub>
            </m:den>
          </m:f>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e>
          </m:d>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t+1</m:t>
                  </m:r>
                </m:sub>
              </m:sSub>
            </m:num>
            <m:den>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t+1</m:t>
                  </m:r>
                </m:sub>
              </m:sSub>
            </m:den>
          </m:f>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e>
              </m:d>
            </m:e>
            <m:sup>
              <m:r>
                <w:rPr>
                  <w:rFonts w:ascii="Cambria Math" w:eastAsia="Cambria Math" w:hAnsi="Cambria Math" w:cs="Cambria Math"/>
                </w:rPr>
                <m:t>2</m:t>
              </m:r>
            </m:sup>
          </m:sSup>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t+2</m:t>
                  </m:r>
                </m:sub>
              </m:sSub>
            </m:num>
            <m:den>
              <m:sSub>
                <m:sSubPr>
                  <m:ctrlPr>
                    <w:rPr>
                      <w:rFonts w:ascii="Cambria Math" w:eastAsia="Cambria Math" w:hAnsi="Cambria Math" w:cs="Cambria Math"/>
                    </w:rPr>
                  </m:ctrlPr>
                </m:sSubPr>
                <m:e>
                  <m:r>
                    <w:rPr>
                      <w:rFonts w:ascii="Cambria Math" w:eastAsia="Cambria Math" w:hAnsi="Cambria Math" w:cs="Cambria Math"/>
                    </w:rPr>
                    <m:t>I</m:t>
                  </m:r>
                </m:e>
                <m:sub>
                  <m:r>
                    <w:rPr>
                      <w:rFonts w:ascii="Cambria Math" w:eastAsia="Cambria Math" w:hAnsi="Cambria Math" w:cs="Cambria Math"/>
                    </w:rPr>
                    <m:t>t+2</m:t>
                  </m:r>
                </m:sub>
              </m:sSub>
            </m:den>
          </m:f>
          <m:r>
            <w:rPr>
              <w:rFonts w:ascii="Cambria Math" w:eastAsia="Cambria Math" w:hAnsi="Cambria Math" w:cs="Cambria Math"/>
            </w:rPr>
            <m:t>+…</m:t>
          </m:r>
        </m:oMath>
      </m:oMathPara>
    </w:p>
    <w:p w14:paraId="2F114335"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Utilizando las ecuaciones del modelo, podemos vincular la transmisibilidad a la actividad económica de manera directa mediante la siguiente ecuación:</w:t>
      </w:r>
    </w:p>
    <w:tbl>
      <w:tblPr>
        <w:tblStyle w:val="a3"/>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02"/>
        <w:gridCol w:w="3017"/>
        <w:gridCol w:w="3007"/>
      </w:tblGrid>
      <w:tr w:rsidR="00414546" w14:paraId="220AEA20" w14:textId="77777777">
        <w:tc>
          <w:tcPr>
            <w:tcW w:w="3002" w:type="dxa"/>
          </w:tcPr>
          <w:p w14:paraId="444C2397" w14:textId="77777777" w:rsidR="00414546" w:rsidRPr="00B87444" w:rsidRDefault="00414546">
            <w:pPr>
              <w:spacing w:line="360" w:lineRule="auto"/>
              <w:jc w:val="both"/>
              <w:rPr>
                <w:rFonts w:ascii="Times New Roman" w:eastAsia="Times New Roman" w:hAnsi="Times New Roman" w:cs="Times New Roman"/>
                <w:lang w:val="es-MX"/>
              </w:rPr>
            </w:pPr>
          </w:p>
        </w:tc>
        <w:tc>
          <w:tcPr>
            <w:tcW w:w="3017" w:type="dxa"/>
          </w:tcPr>
          <w:p w14:paraId="37FE41CE" w14:textId="60778B21" w:rsidR="00414546" w:rsidRDefault="007E7628" w:rsidP="00F2408F">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ω</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ω</m:t>
                    </m:r>
                  </m:e>
                  <m:sub>
                    <m:r>
                      <w:rPr>
                        <w:rFonts w:ascii="Cambria Math" w:eastAsia="Cambria Math" w:hAnsi="Cambria Math" w:cs="Cambria Math"/>
                      </w:rPr>
                      <m:t>2</m:t>
                    </m:r>
                  </m:sub>
                </m:sSub>
                <m:r>
                  <w:rPr>
                    <w:rFonts w:ascii="Cambria Math" w:eastAsia="Cambria Math" w:hAnsi="Cambria Math" w:cs="Cambria Math"/>
                  </w:rPr>
                  <m:t xml:space="preserve"> </m:t>
                </m:r>
                <m:sSubSup>
                  <m:sSubSupPr>
                    <m:ctrlPr>
                      <w:rPr>
                        <w:rFonts w:ascii="Cambria Math" w:eastAsia="Cambria Math" w:hAnsi="Cambria Math" w:cs="Cambria Math"/>
                      </w:rPr>
                    </m:ctrlPr>
                  </m:sSubSupPr>
                  <m:e>
                    <m:r>
                      <w:rPr>
                        <w:rFonts w:ascii="Cambria Math" w:eastAsia="Cambria Math" w:hAnsi="Cambria Math" w:cs="Cambria Math"/>
                      </w:rPr>
                      <m:t>Y</m:t>
                    </m:r>
                  </m:e>
                  <m:sub>
                    <m:r>
                      <w:rPr>
                        <w:rFonts w:ascii="Cambria Math" w:eastAsia="Cambria Math" w:hAnsi="Cambria Math" w:cs="Cambria Math"/>
                      </w:rPr>
                      <m:t>t</m:t>
                    </m:r>
                  </m:sub>
                  <m:sup>
                    <m:r>
                      <w:rPr>
                        <w:rFonts w:ascii="Cambria Math" w:eastAsia="Cambria Math" w:hAnsi="Cambria Math" w:cs="Cambria Math"/>
                      </w:rPr>
                      <m:t>2</m:t>
                    </m:r>
                  </m:sup>
                </m:sSubSup>
                <m:r>
                  <w:rPr>
                    <w:rFonts w:ascii="Cambria Math" w:eastAsia="Cambria Math" w:hAnsi="Cambria Math" w:cs="Cambria Math"/>
                  </w:rPr>
                  <m:t>,</m:t>
                </m:r>
              </m:oMath>
            </m:oMathPara>
          </w:p>
        </w:tc>
        <w:tc>
          <w:tcPr>
            <w:tcW w:w="3007" w:type="dxa"/>
          </w:tcPr>
          <w:p w14:paraId="302F4F88" w14:textId="77777777" w:rsidR="00414546" w:rsidRDefault="00F97152">
            <w:pPr>
              <w:spacing w:line="360" w:lineRule="auto"/>
              <w:jc w:val="right"/>
              <w:rPr>
                <w:rFonts w:ascii="Times New Roman" w:eastAsia="Times New Roman" w:hAnsi="Times New Roman" w:cs="Times New Roman"/>
              </w:rPr>
            </w:pPr>
            <w:r>
              <w:rPr>
                <w:rFonts w:ascii="Times New Roman" w:eastAsia="Times New Roman" w:hAnsi="Times New Roman" w:cs="Times New Roman"/>
              </w:rPr>
              <w:t>(1)</w:t>
            </w:r>
          </w:p>
        </w:tc>
      </w:tr>
    </w:tbl>
    <w:p w14:paraId="17C49FAD"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donde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representa la actividad económica, </w:t>
      </w:r>
      <m:oMath>
        <m:sSub>
          <m:sSubPr>
            <m:ctrlPr>
              <w:rPr>
                <w:rFonts w:ascii="Cambria Math" w:eastAsia="Cambria Math" w:hAnsi="Cambria Math" w:cs="Cambria Math"/>
              </w:rPr>
            </m:ctrlPr>
          </m:sSubPr>
          <m:e>
            <m:r>
              <w:rPr>
                <w:rFonts w:ascii="Cambria Math" w:hAnsi="Cambria Math"/>
              </w:rPr>
              <m:t>ω</m:t>
            </m:r>
          </m:e>
          <m:sub>
            <m:r>
              <w:rPr>
                <w:rFonts w:ascii="Cambria Math" w:eastAsia="Cambria Math" w:hAnsi="Cambria Math" w:cs="Cambria Math"/>
                <w:lang w:val="es-MX"/>
              </w:rPr>
              <m:t>2</m:t>
            </m:r>
          </m:sub>
        </m:sSub>
        <m:r>
          <w:rPr>
            <w:rFonts w:ascii="Cambria Math" w:eastAsia="Cambria Math" w:hAnsi="Cambria Math" w:cs="Cambria Math"/>
            <w:lang w:val="es-MX"/>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1</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2</m:t>
                </m:r>
              </m:sub>
            </m:sSub>
          </m:num>
          <m:den>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den>
        </m:f>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hAnsi="Cambria Math"/>
              </w:rPr>
              <m:t>ω</m:t>
            </m:r>
          </m:e>
          <m:sub>
            <m:r>
              <w:rPr>
                <w:rFonts w:ascii="Cambria Math" w:eastAsia="Cambria Math" w:hAnsi="Cambria Math" w:cs="Cambria Math"/>
                <w:lang w:val="es-MX"/>
              </w:rPr>
              <m:t>1</m:t>
            </m:r>
          </m:sub>
        </m:sSub>
        <m:r>
          <w:rPr>
            <w:rFonts w:ascii="Cambria Math" w:eastAsia="Cambria Math" w:hAnsi="Cambria Math" w:cs="Cambria Math"/>
            <w:lang w:val="es-MX"/>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3</m:t>
                </m:r>
              </m:sub>
            </m:sSub>
          </m:num>
          <m:den>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r</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d</m:t>
                </m:r>
              </m:sub>
            </m:sSub>
          </m:den>
        </m:f>
      </m:oMath>
      <w:r w:rsidRPr="00B87444">
        <w:rPr>
          <w:rFonts w:ascii="Times New Roman" w:eastAsia="Times New Roman" w:hAnsi="Times New Roman" w:cs="Times New Roman"/>
          <w:lang w:val="es-MX"/>
        </w:rPr>
        <w:t xml:space="preserve">. </w:t>
      </w:r>
    </w:p>
    <w:p w14:paraId="6D2E5F5A" w14:textId="77777777" w:rsidR="00414546" w:rsidRDefault="00F97152">
      <w:pPr>
        <w:spacing w:line="360" w:lineRule="auto"/>
        <w:jc w:val="both"/>
        <w:rPr>
          <w:rFonts w:ascii="Times New Roman" w:eastAsia="Times New Roman" w:hAnsi="Times New Roman" w:cs="Times New Roman"/>
        </w:rPr>
      </w:pPr>
      <w:r w:rsidRPr="00B87444">
        <w:rPr>
          <w:rFonts w:ascii="Times New Roman" w:eastAsia="Times New Roman" w:hAnsi="Times New Roman" w:cs="Times New Roman"/>
          <w:lang w:val="es-MX"/>
        </w:rPr>
        <w:lastRenderedPageBreak/>
        <w:t xml:space="preserve">Al igual que </w:t>
      </w:r>
      <w:proofErr w:type="spellStart"/>
      <w:r w:rsidRPr="00B87444">
        <w:rPr>
          <w:rFonts w:ascii="Times New Roman" w:eastAsia="Times New Roman" w:hAnsi="Times New Roman" w:cs="Times New Roman"/>
          <w:lang w:val="es-MX"/>
        </w:rPr>
        <w:t>Eichenbaum</w:t>
      </w:r>
      <w:proofErr w:type="spellEnd"/>
      <w:r w:rsidRPr="00B87444">
        <w:rPr>
          <w:rFonts w:ascii="Times New Roman" w:eastAsia="Times New Roman" w:hAnsi="Times New Roman" w:cs="Times New Roman"/>
          <w:lang w:val="es-MX"/>
        </w:rPr>
        <w:t xml:space="preserve">, Rebelo y </w:t>
      </w:r>
      <w:proofErr w:type="spellStart"/>
      <w:r w:rsidRPr="00B87444">
        <w:rPr>
          <w:rFonts w:ascii="Times New Roman" w:eastAsia="Times New Roman" w:hAnsi="Times New Roman" w:cs="Times New Roman"/>
          <w:lang w:val="es-MX"/>
        </w:rPr>
        <w:t>Trabandt</w:t>
      </w:r>
      <w:proofErr w:type="spellEnd"/>
      <w:r w:rsidRPr="00B87444">
        <w:rPr>
          <w:rFonts w:ascii="Times New Roman" w:eastAsia="Times New Roman" w:hAnsi="Times New Roman" w:cs="Times New Roman"/>
          <w:lang w:val="es-MX"/>
        </w:rPr>
        <w:t xml:space="preserve"> (2020), consideramos que un tercio de los contagios ocurren en actividades relacionadas al consumo o al trabajado</w:t>
      </w:r>
      <w:r>
        <w:rPr>
          <w:rFonts w:ascii="Times New Roman" w:eastAsia="Times New Roman" w:hAnsi="Times New Roman" w:cs="Times New Roman"/>
          <w:vertAlign w:val="superscript"/>
        </w:rPr>
        <w:footnoteReference w:id="4"/>
      </w:r>
      <w:r w:rsidRPr="00B87444">
        <w:rPr>
          <w:rFonts w:ascii="Times New Roman" w:eastAsia="Times New Roman" w:hAnsi="Times New Roman" w:cs="Times New Roman"/>
          <w:lang w:val="es-MX"/>
        </w:rPr>
        <w:t xml:space="preserve">. </w:t>
      </w:r>
      <w:r>
        <w:rPr>
          <w:rFonts w:ascii="Times New Roman" w:eastAsia="Times New Roman" w:hAnsi="Times New Roman" w:cs="Times New Roman"/>
        </w:rPr>
        <w:t xml:space="preserve">Por lo </w:t>
      </w:r>
      <w:proofErr w:type="spellStart"/>
      <w:r>
        <w:rPr>
          <w:rFonts w:ascii="Times New Roman" w:eastAsia="Times New Roman" w:hAnsi="Times New Roman" w:cs="Times New Roman"/>
        </w:rPr>
        <w:t>tanto</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cumple</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siguiente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condición</w:t>
      </w:r>
      <w:proofErr w:type="spellEnd"/>
      <w:r>
        <w:rPr>
          <w:rFonts w:ascii="Times New Roman" w:eastAsia="Times New Roman" w:hAnsi="Times New Roman" w:cs="Times New Roman"/>
        </w:rPr>
        <w:t>:</w:t>
      </w:r>
    </w:p>
    <w:p w14:paraId="270CDFAE" w14:textId="77777777" w:rsidR="00414546" w:rsidRDefault="007E7628">
      <w:pPr>
        <w:jc w:val="cente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1</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2</m:t>
                  </m:r>
                </m:sup>
              </m:sSubSup>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2</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2</m:t>
                  </m:r>
                </m:sup>
              </m:sSubSup>
            </m:num>
            <m:den>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1</m:t>
                  </m:r>
                </m:sub>
              </m:sSub>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2</m:t>
                  </m:r>
                </m:sup>
              </m:sSubSup>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2</m:t>
                  </m:r>
                </m:sub>
              </m:sSub>
              <m:sSubSup>
                <m:sSubSupPr>
                  <m:ctrlPr>
                    <w:rPr>
                      <w:rFonts w:ascii="Cambria Math" w:eastAsia="Cambria Math" w:hAnsi="Cambria Math" w:cs="Cambria Math"/>
                    </w:rPr>
                  </m:ctrlPr>
                </m:sSubSupPr>
                <m:e>
                  <m:r>
                    <w:rPr>
                      <w:rFonts w:ascii="Cambria Math" w:eastAsia="Cambria Math" w:hAnsi="Cambria Math" w:cs="Cambria Math"/>
                    </w:rPr>
                    <m:t>N</m:t>
                  </m:r>
                </m:e>
                <m:sub>
                  <m:r>
                    <w:rPr>
                      <w:rFonts w:ascii="Cambria Math" w:eastAsia="Cambria Math" w:hAnsi="Cambria Math" w:cs="Cambria Math"/>
                    </w:rPr>
                    <m:t>t</m:t>
                  </m:r>
                </m:sub>
                <m:sup>
                  <m:r>
                    <w:rPr>
                      <w:rFonts w:ascii="Cambria Math" w:eastAsia="Cambria Math" w:hAnsi="Cambria Math" w:cs="Cambria Math"/>
                    </w:rPr>
                    <m:t>2</m:t>
                  </m:r>
                </m:sup>
              </m:sSubSup>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3</m:t>
                  </m:r>
                </m:sub>
              </m:sSub>
            </m:den>
          </m:f>
          <m:r>
            <w:rPr>
              <w:rFonts w:ascii="Cambria Math" w:eastAsia="Cambria Math" w:hAnsi="Cambria Math" w:cs="Cambria Math"/>
            </w:rPr>
            <m:t>,</m:t>
          </m:r>
        </m:oMath>
      </m:oMathPara>
    </w:p>
    <w:p w14:paraId="33EDE3EA" w14:textId="0E67AE9C" w:rsidR="00414546" w:rsidRPr="00B87444" w:rsidRDefault="00F97152" w:rsidP="008A4680">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donde el lado derecho de la ecuación indica la probabilidad de que un individuo se contagie en actividades relacionadas a consumo y trabajo. Utilizando la condición de</w:t>
      </w:r>
      <w:r w:rsidR="00F2408F">
        <w:rPr>
          <w:rFonts w:ascii="Times New Roman" w:eastAsia="Times New Roman" w:hAnsi="Times New Roman" w:cs="Times New Roman"/>
          <w:lang w:val="es-MX"/>
        </w:rPr>
        <w:t xml:space="preserve"> vaciado de mercado</w:t>
      </w:r>
      <w:r w:rsidRPr="00B87444">
        <w:rPr>
          <w:rFonts w:ascii="Times New Roman" w:eastAsia="Times New Roman" w:hAnsi="Times New Roman" w:cs="Times New Roman"/>
          <w:lang w:val="es-MX"/>
        </w:rPr>
        <w:t xml:space="preserve">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t</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y normalizando el parámetro </w:t>
      </w:r>
      <m:oMath>
        <m:r>
          <w:rPr>
            <w:rFonts w:ascii="Cambria Math" w:eastAsia="Cambria Math" w:hAnsi="Cambria Math" w:cs="Cambria Math"/>
          </w:rPr>
          <m:t>A</m:t>
        </m:r>
      </m:oMath>
      <w:r w:rsidRPr="00B87444">
        <w:rPr>
          <w:rFonts w:ascii="Times New Roman" w:eastAsia="Times New Roman" w:hAnsi="Times New Roman" w:cs="Times New Roman"/>
          <w:lang w:val="es-MX"/>
        </w:rPr>
        <w:t xml:space="preserve"> de la función de producción tal que </w:t>
      </w:r>
      <m:oMath>
        <m:sSub>
          <m:sSubPr>
            <m:ctrlPr>
              <w:rPr>
                <w:rFonts w:ascii="Cambria Math" w:eastAsia="Cambria Math" w:hAnsi="Cambria Math" w:cs="Cambria Math"/>
              </w:rPr>
            </m:ctrlPr>
          </m:sSubPr>
          <m:e>
            <m:r>
              <w:rPr>
                <w:rFonts w:ascii="Cambria Math" w:eastAsia="Cambria Math" w:hAnsi="Cambria Math" w:cs="Cambria Math"/>
              </w:rPr>
              <m:t>Y</m:t>
            </m:r>
          </m:e>
          <m:sub>
            <m:r>
              <w:rPr>
                <w:rFonts w:ascii="Cambria Math" w:eastAsia="Cambria Math" w:hAnsi="Cambria Math" w:cs="Cambria Math"/>
              </w:rPr>
              <m:t>t</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obtenemos la siguiente relación:</w:t>
      </w:r>
    </w:p>
    <w:tbl>
      <w:tblPr>
        <w:tblStyle w:val="a4"/>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98"/>
        <w:gridCol w:w="3024"/>
        <w:gridCol w:w="3004"/>
      </w:tblGrid>
      <w:tr w:rsidR="00414546" w14:paraId="4F823A88" w14:textId="77777777">
        <w:tc>
          <w:tcPr>
            <w:tcW w:w="2998" w:type="dxa"/>
          </w:tcPr>
          <w:p w14:paraId="484D4958" w14:textId="77777777" w:rsidR="00414546" w:rsidRPr="00B87444" w:rsidRDefault="00414546" w:rsidP="008A4680">
            <w:pPr>
              <w:spacing w:after="200" w:line="360" w:lineRule="auto"/>
              <w:jc w:val="both"/>
              <w:rPr>
                <w:rFonts w:ascii="Times New Roman" w:eastAsia="Times New Roman" w:hAnsi="Times New Roman" w:cs="Times New Roman"/>
                <w:lang w:val="es-MX"/>
              </w:rPr>
            </w:pPr>
          </w:p>
        </w:tc>
        <w:tc>
          <w:tcPr>
            <w:tcW w:w="3024" w:type="dxa"/>
          </w:tcPr>
          <w:p w14:paraId="58039DCB" w14:textId="77777777" w:rsidR="00414546" w:rsidRDefault="007E7628" w:rsidP="008A4680">
            <w:pPr>
              <w:spacing w:after="200" w:line="360" w:lineRule="auto"/>
              <w:jc w:val="cente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12</m:t>
                        </m:r>
                      </m:sub>
                    </m:sSub>
                    <m:sSubSup>
                      <m:sSubSupPr>
                        <m:ctrlPr>
                          <w:rPr>
                            <w:rFonts w:ascii="Cambria Math" w:eastAsia="Cambria Math" w:hAnsi="Cambria Math" w:cs="Cambria Math"/>
                          </w:rPr>
                        </m:ctrlPr>
                      </m:sSubSupPr>
                      <m:e>
                        <m:r>
                          <w:rPr>
                            <w:rFonts w:ascii="Cambria Math" w:eastAsia="Cambria Math" w:hAnsi="Cambria Math" w:cs="Cambria Math"/>
                          </w:rPr>
                          <m:t>Y</m:t>
                        </m:r>
                      </m:e>
                      <m:sub>
                        <m:r>
                          <w:rPr>
                            <w:rFonts w:ascii="Cambria Math" w:eastAsia="Cambria Math" w:hAnsi="Cambria Math" w:cs="Cambria Math"/>
                          </w:rPr>
                          <m:t>t</m:t>
                        </m:r>
                      </m:sub>
                      <m:sup>
                        <m:r>
                          <w:rPr>
                            <w:rFonts w:ascii="Cambria Math" w:eastAsia="Cambria Math" w:hAnsi="Cambria Math" w:cs="Cambria Math"/>
                          </w:rPr>
                          <m:t>2</m:t>
                        </m:r>
                      </m:sup>
                    </m:sSubSup>
                  </m:num>
                  <m:den>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12</m:t>
                        </m:r>
                      </m:sub>
                    </m:sSub>
                    <m:sSubSup>
                      <m:sSubSupPr>
                        <m:ctrlPr>
                          <w:rPr>
                            <w:rFonts w:ascii="Cambria Math" w:eastAsia="Cambria Math" w:hAnsi="Cambria Math" w:cs="Cambria Math"/>
                          </w:rPr>
                        </m:ctrlPr>
                      </m:sSubSupPr>
                      <m:e>
                        <m:r>
                          <w:rPr>
                            <w:rFonts w:ascii="Cambria Math" w:eastAsia="Cambria Math" w:hAnsi="Cambria Math" w:cs="Cambria Math"/>
                          </w:rPr>
                          <m:t>Y</m:t>
                        </m:r>
                      </m:e>
                      <m:sub>
                        <m:r>
                          <w:rPr>
                            <w:rFonts w:ascii="Cambria Math" w:eastAsia="Cambria Math" w:hAnsi="Cambria Math" w:cs="Cambria Math"/>
                          </w:rPr>
                          <m:t>t</m:t>
                        </m:r>
                      </m:sub>
                      <m:sup>
                        <m:r>
                          <w:rPr>
                            <w:rFonts w:ascii="Cambria Math" w:eastAsia="Cambria Math" w:hAnsi="Cambria Math" w:cs="Cambria Math"/>
                          </w:rPr>
                          <m:t>2</m:t>
                        </m:r>
                      </m:sup>
                    </m:sSubSup>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rPr>
                          <m:t>3</m:t>
                        </m:r>
                      </m:sub>
                    </m:sSub>
                  </m:den>
                </m:f>
                <m:r>
                  <w:rPr>
                    <w:rFonts w:ascii="Cambria Math" w:eastAsia="Cambria Math" w:hAnsi="Cambria Math" w:cs="Cambria Math"/>
                  </w:rPr>
                  <m:t>.</m:t>
                </m:r>
              </m:oMath>
            </m:oMathPara>
          </w:p>
        </w:tc>
        <w:tc>
          <w:tcPr>
            <w:tcW w:w="3004" w:type="dxa"/>
          </w:tcPr>
          <w:p w14:paraId="1DC95302" w14:textId="77777777" w:rsidR="00414546" w:rsidRDefault="00F97152" w:rsidP="008A4680">
            <w:pPr>
              <w:spacing w:after="200" w:line="360" w:lineRule="auto"/>
              <w:jc w:val="right"/>
              <w:rPr>
                <w:rFonts w:ascii="Times New Roman" w:eastAsia="Times New Roman" w:hAnsi="Times New Roman" w:cs="Times New Roman"/>
              </w:rPr>
            </w:pPr>
            <w:r>
              <w:rPr>
                <w:rFonts w:ascii="Times New Roman" w:eastAsia="Times New Roman" w:hAnsi="Times New Roman" w:cs="Times New Roman"/>
              </w:rPr>
              <w:t>(2)</w:t>
            </w:r>
          </w:p>
        </w:tc>
      </w:tr>
    </w:tbl>
    <w:p w14:paraId="520C6632" w14:textId="77777777" w:rsidR="00414546" w:rsidRPr="00B87444" w:rsidRDefault="00F97152" w:rsidP="008A4680">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Donde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12</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1</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2</m:t>
            </m:r>
          </m:sub>
        </m:sSub>
      </m:oMath>
      <w:r w:rsidRPr="00B87444">
        <w:rPr>
          <w:rFonts w:ascii="Times New Roman" w:eastAsia="Times New Roman" w:hAnsi="Times New Roman" w:cs="Times New Roman"/>
          <w:lang w:val="es-MX"/>
        </w:rPr>
        <w:t xml:space="preserve">. Consideramos que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2</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12</m:t>
            </m:r>
          </m:sub>
        </m:sSub>
        <m:r>
          <w:rPr>
            <w:rFonts w:ascii="Cambria Math" w:eastAsia="Cambria Math" w:hAnsi="Cambria Math" w:cs="Cambria Math"/>
            <w:lang w:val="es-MX"/>
          </w:rPr>
          <m:t>/2</m:t>
        </m:r>
      </m:oMath>
      <w:r w:rsidRPr="00B87444">
        <w:rPr>
          <w:rFonts w:ascii="Times New Roman" w:eastAsia="Times New Roman" w:hAnsi="Times New Roman" w:cs="Times New Roman"/>
          <w:lang w:val="es-MX"/>
        </w:rPr>
        <w:t>, es decir asignamos el mismo peso a la probabilidad de contagiarse en actividades relacionadas al consumo o al trabajo. Además, consideramos una probabilidad de fallecimiento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d</m:t>
            </m:r>
          </m:sub>
        </m:sSub>
      </m:oMath>
      <w:r w:rsidRPr="00B87444">
        <w:rPr>
          <w:rFonts w:ascii="Times New Roman" w:eastAsia="Times New Roman" w:hAnsi="Times New Roman" w:cs="Times New Roman"/>
          <w:lang w:val="es-MX"/>
        </w:rPr>
        <w:t>) de 0,008 semanal</w:t>
      </w:r>
      <w:r>
        <w:rPr>
          <w:rFonts w:ascii="Times New Roman" w:eastAsia="Times New Roman" w:hAnsi="Times New Roman" w:cs="Times New Roman"/>
          <w:vertAlign w:val="superscript"/>
        </w:rPr>
        <w:footnoteReference w:id="5"/>
      </w:r>
      <w:r w:rsidRPr="00B87444">
        <w:rPr>
          <w:rFonts w:ascii="Times New Roman" w:eastAsia="Times New Roman" w:hAnsi="Times New Roman" w:cs="Times New Roman"/>
          <w:lang w:val="es-MX"/>
        </w:rPr>
        <w:t xml:space="preserve"> y una probabilidad de recuperación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rPr>
              <m:t>r</m:t>
            </m:r>
          </m:sub>
        </m:sSub>
      </m:oMath>
      <w:r w:rsidRPr="00B87444">
        <w:rPr>
          <w:rFonts w:ascii="Times New Roman" w:eastAsia="Times New Roman" w:hAnsi="Times New Roman" w:cs="Times New Roman"/>
          <w:lang w:val="es-MX"/>
        </w:rPr>
        <w:t>) de 0,381 semanal</w:t>
      </w:r>
      <w:r>
        <w:rPr>
          <w:rFonts w:ascii="Times New Roman" w:eastAsia="Times New Roman" w:hAnsi="Times New Roman" w:cs="Times New Roman"/>
          <w:vertAlign w:val="superscript"/>
        </w:rPr>
        <w:footnoteReference w:id="6"/>
      </w:r>
      <w:r w:rsidRPr="00B87444">
        <w:rPr>
          <w:rFonts w:ascii="Times New Roman" w:eastAsia="Times New Roman" w:hAnsi="Times New Roman" w:cs="Times New Roman"/>
          <w:lang w:val="es-MX"/>
        </w:rPr>
        <w:t>.</w:t>
      </w:r>
      <w:r w:rsidRPr="00B87444">
        <w:rPr>
          <w:rFonts w:ascii="Times New Roman" w:eastAsia="Times New Roman" w:hAnsi="Times New Roman" w:cs="Times New Roman"/>
          <w:color w:val="FF0000"/>
          <w:lang w:val="es-MX"/>
        </w:rPr>
        <w:t xml:space="preserve"> </w:t>
      </w:r>
      <w:r w:rsidRPr="00B87444">
        <w:rPr>
          <w:rFonts w:ascii="Times New Roman" w:eastAsia="Times New Roman" w:hAnsi="Times New Roman" w:cs="Times New Roman"/>
          <w:lang w:val="es-MX"/>
        </w:rPr>
        <w:t>Combinado estos valores con las ecuaciones (1) y (2), tenemos un sistema de dos ecuaciones y dos incógnitas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12</m:t>
            </m:r>
          </m:sub>
        </m:sSub>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3</m:t>
            </m:r>
          </m:sub>
        </m:sSub>
      </m:oMath>
      <w:r w:rsidRPr="00B87444">
        <w:rPr>
          <w:rFonts w:ascii="Times New Roman" w:eastAsia="Times New Roman" w:hAnsi="Times New Roman" w:cs="Times New Roman"/>
          <w:lang w:val="es-MX"/>
        </w:rPr>
        <w:t>) que dependerá únicamente de la actividad económica y de la transmisibilidad.</w:t>
      </w:r>
    </w:p>
    <w:p w14:paraId="40B9707E" w14:textId="6B6F0AFA" w:rsidR="00414546" w:rsidRPr="00B87444" w:rsidRDefault="00F97152" w:rsidP="008A4680">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Por lo tanto, todo lo que necesitamos para conocer la sensibilidad de la actividad económica a cambios en la infección son las observaciones de la actividad económica y de la transmisibilidad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en Paraguay. Para medir la actividad económica mensual, utilizamos los datos del IMAEP (Banco Central del Paraguay, 2020). Mientras que para medir el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utilizamos los datos calculados por el Ministerio de Salud Pública y Bienestar Social (MSPBS) del Paraguay</w:t>
      </w:r>
      <w:r>
        <w:rPr>
          <w:rFonts w:ascii="Times New Roman" w:eastAsia="Times New Roman" w:hAnsi="Times New Roman" w:cs="Times New Roman"/>
          <w:vertAlign w:val="superscript"/>
        </w:rPr>
        <w:footnoteReference w:id="7"/>
      </w:r>
      <w:r w:rsidRPr="00B87444">
        <w:rPr>
          <w:rFonts w:ascii="Times New Roman" w:eastAsia="Times New Roman" w:hAnsi="Times New Roman" w:cs="Times New Roman"/>
          <w:lang w:val="es-MX"/>
        </w:rPr>
        <w:t xml:space="preserve">. Utilizando estos datos, observamos que en el mes de setiembre de 2020, que corresponde al último mes con disponibilidad de datos al momento de la elaboración de este artículo, la actividad económica es encuentra en -3% en relación el producto </w:t>
      </w:r>
      <w:r w:rsidRPr="00B87444">
        <w:rPr>
          <w:rFonts w:ascii="Times New Roman" w:eastAsia="Times New Roman" w:hAnsi="Times New Roman" w:cs="Times New Roman"/>
          <w:lang w:val="es-MX"/>
        </w:rPr>
        <w:lastRenderedPageBreak/>
        <w:t xml:space="preserve">potencial del periodo </w:t>
      </w:r>
      <w:proofErr w:type="spellStart"/>
      <w:r w:rsidRPr="00B87444">
        <w:rPr>
          <w:rFonts w:ascii="Times New Roman" w:eastAsia="Times New Roman" w:hAnsi="Times New Roman" w:cs="Times New Roman"/>
          <w:lang w:val="es-MX"/>
        </w:rPr>
        <w:t>prepandemia</w:t>
      </w:r>
      <w:proofErr w:type="spellEnd"/>
      <w:r w:rsidRPr="00B87444">
        <w:rPr>
          <w:rFonts w:ascii="Times New Roman" w:eastAsia="Times New Roman" w:hAnsi="Times New Roman" w:cs="Times New Roman"/>
          <w:lang w:val="es-MX"/>
        </w:rPr>
        <w:t xml:space="preserve">, mientras que las estimaciones de la transmisibilidad indican un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promedio de 1.07 durante este mes. </w:t>
      </w:r>
    </w:p>
    <w:p w14:paraId="251D73EE"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Mediante este procedimiento obtenemos que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1</m:t>
            </m:r>
          </m:sub>
        </m:sSub>
        <m:r>
          <w:rPr>
            <w:rFonts w:ascii="Cambria Math" w:eastAsia="Cambria Math" w:hAnsi="Cambria Math" w:cs="Cambria Math"/>
            <w:lang w:val="es-MX"/>
          </w:rPr>
          <m:t>=</m:t>
        </m:r>
        <m:sSub>
          <m:sSubPr>
            <m:ctrlPr>
              <w:rPr>
                <w:rFonts w:ascii="Cambria Math" w:eastAsia="Cambria Math" w:hAnsi="Cambria Math" w:cs="Cambria Math"/>
              </w:rPr>
            </m:ctrlPr>
          </m:sSubPr>
          <m:e>
            <m:r>
              <w:rPr>
                <w:rFonts w:ascii="Cambria Math" w:eastAsia="Cambria Math" w:hAnsi="Cambria Math" w:cs="Cambria Math"/>
              </w:rPr>
              <m:t>π</m:t>
            </m:r>
          </m:e>
          <m:sub>
            <m:r>
              <w:rPr>
                <w:rFonts w:ascii="Cambria Math" w:eastAsia="Cambria Math" w:hAnsi="Cambria Math" w:cs="Cambria Math"/>
                <w:lang w:val="es-MX"/>
              </w:rPr>
              <m:t>2</m:t>
            </m:r>
          </m:sub>
        </m:sSub>
        <m:r>
          <w:rPr>
            <w:rFonts w:ascii="Cambria Math" w:eastAsia="Cambria Math" w:hAnsi="Cambria Math" w:cs="Cambria Math"/>
            <w:lang w:val="es-MX"/>
          </w:rPr>
          <m:t>=0.0001841</m:t>
        </m:r>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hAnsi="Cambria Math"/>
              </w:rPr>
              <m:t>π</m:t>
            </m:r>
          </m:e>
          <m:sub>
            <m:r>
              <w:rPr>
                <w:rFonts w:ascii="Cambria Math" w:eastAsia="Cambria Math" w:hAnsi="Cambria Math" w:cs="Cambria Math"/>
                <w:lang w:val="es-MX"/>
              </w:rPr>
              <m:t>3</m:t>
            </m:r>
          </m:sub>
        </m:sSub>
        <m:r>
          <w:rPr>
            <w:rFonts w:ascii="Cambria Math" w:eastAsia="Cambria Math" w:hAnsi="Cambria Math" w:cs="Cambria Math"/>
            <w:lang w:val="es-MX"/>
          </w:rPr>
          <m:t>=0.144392</m:t>
        </m:r>
      </m:oMath>
      <w:r w:rsidRPr="00B87444">
        <w:rPr>
          <w:rFonts w:ascii="Times New Roman" w:eastAsia="Times New Roman" w:hAnsi="Times New Roman" w:cs="Times New Roman"/>
          <w:lang w:val="es-MX"/>
        </w:rPr>
        <w:t xml:space="preserve">. Por lo tanto, de esta forma podemos cuantificar, de manera aproximada, la relación entre infección y actividad económica. Es necesario mencionar, que la elección del mes no afecta a la calibración, resultados similares son obtenidos si consideramos los datos de transmisibilidad y actividad económica de meses anteriores a setiembre. Utilizamos información del último mes disponible, en lugar de comienzo de pandemia, ya que las estimaciones de la transmisibilidad son de mejor calidad en periodos más recientes que al inicio de la pandemia. </w:t>
      </w:r>
    </w:p>
    <w:p w14:paraId="75F54959" w14:textId="261A0B11"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Teniendo en cuenta que </w:t>
      </w:r>
      <m:oMath>
        <m:sSub>
          <m:sSubPr>
            <m:ctrlPr>
              <w:rPr>
                <w:rFonts w:ascii="Cambria Math" w:eastAsia="Cambria Math" w:hAnsi="Cambria Math" w:cs="Cambria Math"/>
              </w:rPr>
            </m:ctrlPr>
          </m:sSubPr>
          <m:e>
            <m:r>
              <w:rPr>
                <w:rFonts w:ascii="Cambria Math" w:hAnsi="Cambria Math"/>
              </w:rPr>
              <m:t>ω</m:t>
            </m:r>
          </m:e>
          <m:sub>
            <m:r>
              <w:rPr>
                <w:rFonts w:ascii="Cambria Math" w:eastAsia="Cambria Math" w:hAnsi="Cambria Math" w:cs="Cambria Math"/>
                <w:lang w:val="es-MX"/>
              </w:rPr>
              <m:t>1</m:t>
            </m:r>
          </m:sub>
        </m:sSub>
        <m:r>
          <w:rPr>
            <w:rFonts w:ascii="Cambria Math" w:eastAsia="Cambria Math" w:hAnsi="Cambria Math" w:cs="Cambria Math"/>
            <w:lang w:val="es-MX"/>
          </w:rPr>
          <m:t>&gt;0</m:t>
        </m:r>
      </m:oMath>
      <w:r w:rsidRPr="00B87444">
        <w:rPr>
          <w:rFonts w:ascii="Times New Roman" w:eastAsia="Times New Roman" w:hAnsi="Times New Roman" w:cs="Times New Roman"/>
          <w:lang w:val="es-MX"/>
        </w:rPr>
        <w:t xml:space="preserve"> y </w:t>
      </w:r>
      <m:oMath>
        <m:sSub>
          <m:sSubPr>
            <m:ctrlPr>
              <w:rPr>
                <w:rFonts w:ascii="Cambria Math" w:eastAsia="Cambria Math" w:hAnsi="Cambria Math" w:cs="Cambria Math"/>
              </w:rPr>
            </m:ctrlPr>
          </m:sSubPr>
          <m:e>
            <m:r>
              <w:rPr>
                <w:rFonts w:ascii="Cambria Math" w:hAnsi="Cambria Math"/>
              </w:rPr>
              <m:t>ω</m:t>
            </m:r>
          </m:e>
          <m:sub>
            <m:r>
              <w:rPr>
                <w:rFonts w:ascii="Cambria Math" w:eastAsia="Cambria Math" w:hAnsi="Cambria Math" w:cs="Cambria Math"/>
                <w:lang w:val="es-MX"/>
              </w:rPr>
              <m:t>2</m:t>
            </m:r>
          </m:sub>
        </m:sSub>
        <m:r>
          <w:rPr>
            <w:rFonts w:ascii="Cambria Math" w:eastAsia="Cambria Math" w:hAnsi="Cambria Math" w:cs="Cambria Math"/>
            <w:lang w:val="es-MX"/>
          </w:rPr>
          <m:t>&gt;0</m:t>
        </m:r>
      </m:oMath>
      <w:r w:rsidRPr="00B87444">
        <w:rPr>
          <w:rFonts w:ascii="Times New Roman" w:eastAsia="Times New Roman" w:hAnsi="Times New Roman" w:cs="Times New Roman"/>
          <w:lang w:val="es-MX"/>
        </w:rPr>
        <w:t xml:space="preserve">, la ecuación (1) implica que hay una relación positiva entre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y actividad económica. Es decir, para bajar el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necesario contraer la actividad económica. Esto se logra mediante medidas como la cuarentena.</w:t>
      </w:r>
    </w:p>
    <w:p w14:paraId="5E0BDE01" w14:textId="77777777" w:rsidR="00414546" w:rsidRPr="00B87444"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Los demás parámetros del modelo son estándar en la literatura, por lo que seguimos a </w:t>
      </w:r>
      <w:proofErr w:type="spellStart"/>
      <w:r w:rsidRPr="00B87444">
        <w:rPr>
          <w:rFonts w:ascii="Times New Roman" w:eastAsia="Times New Roman" w:hAnsi="Times New Roman" w:cs="Times New Roman"/>
          <w:lang w:val="es-MX"/>
        </w:rPr>
        <w:t>Eichenbaum</w:t>
      </w:r>
      <w:proofErr w:type="spellEnd"/>
      <w:r w:rsidRPr="00B87444">
        <w:rPr>
          <w:rFonts w:ascii="Times New Roman" w:eastAsia="Times New Roman" w:hAnsi="Times New Roman" w:cs="Times New Roman"/>
          <w:lang w:val="es-MX"/>
        </w:rPr>
        <w:t xml:space="preserve">, Rebelo y </w:t>
      </w:r>
      <w:proofErr w:type="spellStart"/>
      <w:r w:rsidRPr="00B87444">
        <w:rPr>
          <w:rFonts w:ascii="Times New Roman" w:eastAsia="Times New Roman" w:hAnsi="Times New Roman" w:cs="Times New Roman"/>
          <w:lang w:val="es-MX"/>
        </w:rPr>
        <w:t>Trabandt</w:t>
      </w:r>
      <w:proofErr w:type="spellEnd"/>
      <w:r w:rsidRPr="00B87444">
        <w:rPr>
          <w:rFonts w:ascii="Times New Roman" w:eastAsia="Times New Roman" w:hAnsi="Times New Roman" w:cs="Times New Roman"/>
          <w:lang w:val="es-MX"/>
        </w:rPr>
        <w:t xml:space="preserve"> (2020).</w:t>
      </w:r>
    </w:p>
    <w:p w14:paraId="0850C42D" w14:textId="79B2FAEC" w:rsidR="00414546" w:rsidRDefault="00F97152">
      <w:pPr>
        <w:spacing w:line="360" w:lineRule="auto"/>
        <w:jc w:val="both"/>
        <w:rPr>
          <w:rFonts w:ascii="Times New Roman" w:eastAsia="Times New Roman" w:hAnsi="Times New Roman" w:cs="Times New Roman"/>
          <w:lang w:val="es-MX"/>
        </w:rPr>
      </w:pPr>
      <w:r w:rsidRPr="00B87444">
        <w:rPr>
          <w:rFonts w:ascii="Times New Roman" w:eastAsia="Times New Roman" w:hAnsi="Times New Roman" w:cs="Times New Roman"/>
          <w:lang w:val="es-MX"/>
        </w:rPr>
        <w:t xml:space="preserve">Finalmente, hay que tener en cuenta que las estimaciones de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están sujetas a incertidumbre, ya que no conocemos el número real de contagios, solo aquellos casos que fueron obtenidos mediante pruebas (como mencionan Hevia y </w:t>
      </w:r>
      <w:proofErr w:type="spellStart"/>
      <w:r w:rsidRPr="00B87444">
        <w:rPr>
          <w:rFonts w:ascii="Times New Roman" w:eastAsia="Times New Roman" w:hAnsi="Times New Roman" w:cs="Times New Roman"/>
          <w:lang w:val="es-MX"/>
        </w:rPr>
        <w:t>Neumeyer</w:t>
      </w:r>
      <w:proofErr w:type="spellEnd"/>
      <w:r w:rsidRPr="00B87444">
        <w:rPr>
          <w:rFonts w:ascii="Times New Roman" w:eastAsia="Times New Roman" w:hAnsi="Times New Roman" w:cs="Times New Roman"/>
          <w:lang w:val="es-MX"/>
        </w:rPr>
        <w:t xml:space="preserve">, 2020). Además, el cálculo del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rsidRPr="00B87444">
        <w:rPr>
          <w:rFonts w:ascii="Times New Roman" w:eastAsia="Times New Roman" w:hAnsi="Times New Roman" w:cs="Times New Roman"/>
          <w:lang w:val="es-MX"/>
        </w:rPr>
        <w:t xml:space="preserve"> es sensible a la elección del modelo. Teniendo en cuenta esta limitación, utilizamos esta calibración para simular la actividad económica dado un escenario de infección determinado.</w:t>
      </w:r>
    </w:p>
    <w:p w14:paraId="5C7AD46F" w14:textId="77777777" w:rsidR="00CE24D1" w:rsidRDefault="00CE24D1">
      <w:pPr>
        <w:spacing w:line="360" w:lineRule="auto"/>
        <w:jc w:val="both"/>
        <w:rPr>
          <w:rFonts w:ascii="Times New Roman" w:eastAsia="Times New Roman" w:hAnsi="Times New Roman" w:cs="Times New Roman"/>
          <w:lang w:val="es-MX"/>
        </w:rPr>
      </w:pPr>
    </w:p>
    <w:p w14:paraId="4E694164" w14:textId="77777777" w:rsidR="00CE24D1" w:rsidRDefault="00CE24D1" w:rsidP="00CE24D1">
      <w:pPr>
        <w:pStyle w:val="Heading1"/>
        <w:spacing w:after="240"/>
        <w:rPr>
          <w:rFonts w:eastAsia="Times New Roman" w:cs="Times New Roman"/>
          <w:b w:val="0"/>
          <w:color w:val="000000"/>
          <w:szCs w:val="24"/>
        </w:rPr>
      </w:pPr>
      <w:r>
        <w:rPr>
          <w:rFonts w:eastAsia="Times New Roman" w:cs="Times New Roman"/>
          <w:color w:val="000000"/>
          <w:szCs w:val="24"/>
        </w:rPr>
        <w:t xml:space="preserve">Referencias </w:t>
      </w:r>
    </w:p>
    <w:p w14:paraId="148A7890" w14:textId="1C4DD939" w:rsidR="00CE24D1" w:rsidRPr="00CE24D1" w:rsidRDefault="00CE24D1" w:rsidP="009843C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AB2655">
        <w:rPr>
          <w:rFonts w:ascii="Times New Roman" w:eastAsia="Times New Roman" w:hAnsi="Times New Roman" w:cs="Times New Roman"/>
          <w:color w:val="000000"/>
          <w:lang w:val="de-DE"/>
        </w:rPr>
        <w:t xml:space="preserve">Eichenbaum, M., Rebelo, S., Trabandt, M. </w:t>
      </w:r>
      <w:r w:rsidR="009843CE" w:rsidRPr="00AB2655">
        <w:rPr>
          <w:rFonts w:ascii="Times New Roman" w:eastAsia="Times New Roman" w:hAnsi="Times New Roman" w:cs="Times New Roman"/>
          <w:color w:val="000000"/>
          <w:lang w:val="de-DE"/>
        </w:rPr>
        <w:t xml:space="preserve">2020. </w:t>
      </w:r>
      <w:r w:rsidR="009843CE">
        <w:rPr>
          <w:rFonts w:ascii="Times New Roman" w:eastAsia="Times New Roman" w:hAnsi="Times New Roman" w:cs="Times New Roman"/>
          <w:color w:val="000000"/>
        </w:rPr>
        <w:t>“</w:t>
      </w:r>
      <w:r>
        <w:rPr>
          <w:rFonts w:ascii="Times New Roman" w:eastAsia="Times New Roman" w:hAnsi="Times New Roman" w:cs="Times New Roman"/>
          <w:color w:val="000000"/>
        </w:rPr>
        <w:t>The macroeconomics of epidemics.</w:t>
      </w:r>
      <w:r w:rsidR="009843C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NBER working paper 26882.</w:t>
      </w:r>
      <w:r w:rsidR="009843CE">
        <w:rPr>
          <w:rFonts w:ascii="Times New Roman" w:eastAsia="Times New Roman" w:hAnsi="Times New Roman" w:cs="Times New Roman"/>
          <w:color w:val="000000"/>
        </w:rPr>
        <w:t xml:space="preserve"> </w:t>
      </w:r>
      <w:r w:rsidR="009843CE" w:rsidRPr="009843CE">
        <w:rPr>
          <w:rFonts w:ascii="Times New Roman" w:eastAsia="Times New Roman" w:hAnsi="Times New Roman" w:cs="Times New Roman"/>
          <w:color w:val="000000"/>
        </w:rPr>
        <w:t>DOI 10.3386/w26882</w:t>
      </w:r>
      <w:r w:rsidR="009843CE">
        <w:rPr>
          <w:rFonts w:ascii="Times New Roman" w:eastAsia="Times New Roman" w:hAnsi="Times New Roman" w:cs="Times New Roman"/>
          <w:color w:val="000000"/>
        </w:rPr>
        <w:t>.</w:t>
      </w:r>
    </w:p>
    <w:p w14:paraId="59F17036" w14:textId="6BCEAED7" w:rsidR="00CE24D1" w:rsidRDefault="00CE24D1" w:rsidP="009843C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AB2655">
        <w:rPr>
          <w:rFonts w:ascii="Times New Roman" w:eastAsia="Times New Roman" w:hAnsi="Times New Roman" w:cs="Times New Roman"/>
          <w:color w:val="000000"/>
          <w:lang w:val="fr-FR"/>
        </w:rPr>
        <w:t xml:space="preserve">Ferguson, N., Cummings, D., Fraser, C. et al. 2006. </w:t>
      </w:r>
      <w:r w:rsidR="009843CE">
        <w:rPr>
          <w:rFonts w:ascii="Times New Roman" w:eastAsia="Times New Roman" w:hAnsi="Times New Roman" w:cs="Times New Roman"/>
          <w:color w:val="000000"/>
        </w:rPr>
        <w:t>“</w:t>
      </w:r>
      <w:r>
        <w:rPr>
          <w:rFonts w:ascii="Times New Roman" w:eastAsia="Times New Roman" w:hAnsi="Times New Roman" w:cs="Times New Roman"/>
          <w:color w:val="000000"/>
        </w:rPr>
        <w:t>Strategies for Mitigating an Influenza Pandemic.</w:t>
      </w:r>
      <w:r w:rsidR="009843C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Nature 442, 448-452.</w:t>
      </w:r>
      <w:r w:rsidR="009843CE">
        <w:rPr>
          <w:rFonts w:ascii="Times New Roman" w:eastAsia="Times New Roman" w:hAnsi="Times New Roman" w:cs="Times New Roman"/>
          <w:color w:val="000000"/>
        </w:rPr>
        <w:t xml:space="preserve"> </w:t>
      </w:r>
      <w:r w:rsidR="009843CE" w:rsidRPr="009843CE">
        <w:rPr>
          <w:rFonts w:ascii="Times New Roman" w:eastAsia="Times New Roman" w:hAnsi="Times New Roman" w:cs="Times New Roman"/>
          <w:color w:val="000000"/>
        </w:rPr>
        <w:t>https://doi.org/10.1038/nature04795</w:t>
      </w:r>
      <w:r w:rsidR="009843CE">
        <w:rPr>
          <w:rFonts w:ascii="Times New Roman" w:eastAsia="Times New Roman" w:hAnsi="Times New Roman" w:cs="Times New Roman"/>
          <w:color w:val="000000"/>
        </w:rPr>
        <w:t>.</w:t>
      </w:r>
    </w:p>
    <w:p w14:paraId="7D33A67D" w14:textId="00A1BC65" w:rsidR="00CE24D1" w:rsidRPr="009843CE" w:rsidRDefault="00CE24D1" w:rsidP="00CE24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lang w:val="es-MX"/>
        </w:rPr>
      </w:pPr>
      <w:r w:rsidRPr="009843CE">
        <w:rPr>
          <w:rFonts w:ascii="Times New Roman" w:eastAsia="Times New Roman" w:hAnsi="Times New Roman" w:cs="Times New Roman"/>
          <w:color w:val="000000"/>
          <w:lang w:val="es-MX"/>
        </w:rPr>
        <w:t xml:space="preserve">Hevia, </w:t>
      </w:r>
      <w:r w:rsidRPr="00B87444">
        <w:rPr>
          <w:rFonts w:ascii="Times New Roman" w:eastAsia="Times New Roman" w:hAnsi="Times New Roman" w:cs="Times New Roman"/>
          <w:color w:val="000000"/>
          <w:lang w:val="es-MX"/>
        </w:rPr>
        <w:t xml:space="preserve">C., y </w:t>
      </w:r>
      <w:proofErr w:type="spellStart"/>
      <w:r w:rsidRPr="00B87444">
        <w:rPr>
          <w:rFonts w:ascii="Times New Roman" w:eastAsia="Times New Roman" w:hAnsi="Times New Roman" w:cs="Times New Roman"/>
          <w:color w:val="000000"/>
          <w:lang w:val="es-MX"/>
        </w:rPr>
        <w:t>Neumeyer</w:t>
      </w:r>
      <w:proofErr w:type="spellEnd"/>
      <w:r w:rsidRPr="00B87444">
        <w:rPr>
          <w:rFonts w:ascii="Times New Roman" w:eastAsia="Times New Roman" w:hAnsi="Times New Roman" w:cs="Times New Roman"/>
          <w:color w:val="000000"/>
          <w:lang w:val="es-MX"/>
        </w:rPr>
        <w:t xml:space="preserve">, A. 2020. </w:t>
      </w:r>
      <w:r w:rsidR="009843CE">
        <w:rPr>
          <w:rFonts w:ascii="Times New Roman" w:eastAsia="Times New Roman" w:hAnsi="Times New Roman" w:cs="Times New Roman"/>
          <w:color w:val="000000"/>
          <w:lang w:val="es-MX"/>
        </w:rPr>
        <w:t>“</w:t>
      </w:r>
      <w:r w:rsidRPr="00B87444">
        <w:rPr>
          <w:rFonts w:ascii="Times New Roman" w:eastAsia="Times New Roman" w:hAnsi="Times New Roman" w:cs="Times New Roman"/>
          <w:color w:val="000000"/>
          <w:lang w:val="es-MX"/>
        </w:rPr>
        <w:t>Un marco conceptual para analizar el impacto económico del COVID-19 y sus repercusiones en las políticas</w:t>
      </w:r>
      <w:r w:rsidR="009843CE">
        <w:rPr>
          <w:rFonts w:ascii="Times New Roman" w:eastAsia="Times New Roman" w:hAnsi="Times New Roman" w:cs="Times New Roman"/>
          <w:color w:val="000000"/>
          <w:lang w:val="es-MX"/>
        </w:rPr>
        <w:t>”</w:t>
      </w:r>
      <w:r w:rsidRPr="00B87444">
        <w:rPr>
          <w:rFonts w:ascii="Times New Roman" w:eastAsia="Times New Roman" w:hAnsi="Times New Roman" w:cs="Times New Roman"/>
          <w:color w:val="000000"/>
          <w:lang w:val="es-MX"/>
        </w:rPr>
        <w:t xml:space="preserve">. </w:t>
      </w:r>
      <w:r w:rsidRPr="009843CE">
        <w:rPr>
          <w:rFonts w:ascii="Times New Roman" w:eastAsia="Times New Roman" w:hAnsi="Times New Roman" w:cs="Times New Roman"/>
          <w:color w:val="000000"/>
          <w:lang w:val="es-MX"/>
        </w:rPr>
        <w:t>PNUD LAC C19 PDS No 1.</w:t>
      </w:r>
    </w:p>
    <w:p w14:paraId="2E10EA18" w14:textId="77777777" w:rsidR="00CE24D1" w:rsidRPr="00B87444" w:rsidRDefault="00CE24D1">
      <w:pPr>
        <w:spacing w:line="360" w:lineRule="auto"/>
        <w:jc w:val="both"/>
        <w:rPr>
          <w:rFonts w:ascii="Times New Roman" w:eastAsia="Times New Roman" w:hAnsi="Times New Roman" w:cs="Times New Roman"/>
          <w:lang w:val="es-MX"/>
        </w:rPr>
      </w:pPr>
    </w:p>
    <w:p w14:paraId="1D82B6D6" w14:textId="77777777" w:rsidR="00414546" w:rsidRPr="00B87444" w:rsidRDefault="00414546">
      <w:pPr>
        <w:spacing w:line="360" w:lineRule="auto"/>
        <w:jc w:val="both"/>
        <w:rPr>
          <w:rFonts w:ascii="Times New Roman" w:eastAsia="Times New Roman" w:hAnsi="Times New Roman" w:cs="Times New Roman"/>
          <w:color w:val="000000"/>
          <w:lang w:val="es-MX"/>
        </w:rPr>
      </w:pPr>
    </w:p>
    <w:p w14:paraId="3AACE3F8" w14:textId="77777777" w:rsidR="00414546" w:rsidRPr="00B87444" w:rsidRDefault="00414546">
      <w:pPr>
        <w:rPr>
          <w:rFonts w:ascii="Times New Roman" w:eastAsia="Times New Roman" w:hAnsi="Times New Roman" w:cs="Times New Roman"/>
          <w:color w:val="366091"/>
          <w:sz w:val="32"/>
          <w:szCs w:val="32"/>
          <w:lang w:val="es-MX"/>
        </w:rPr>
      </w:pPr>
    </w:p>
    <w:sectPr w:rsidR="00414546" w:rsidRPr="00B8744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4D6A" w14:textId="77777777" w:rsidR="007E7628" w:rsidRDefault="007E7628">
      <w:pPr>
        <w:spacing w:after="0" w:line="240" w:lineRule="auto"/>
      </w:pPr>
      <w:r>
        <w:separator/>
      </w:r>
    </w:p>
  </w:endnote>
  <w:endnote w:type="continuationSeparator" w:id="0">
    <w:p w14:paraId="644F2714" w14:textId="77777777" w:rsidR="007E7628" w:rsidRDefault="007E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63EBF" w14:textId="77777777" w:rsidR="007E7628" w:rsidRDefault="007E7628">
      <w:pPr>
        <w:spacing w:after="0" w:line="240" w:lineRule="auto"/>
      </w:pPr>
      <w:r>
        <w:separator/>
      </w:r>
    </w:p>
  </w:footnote>
  <w:footnote w:type="continuationSeparator" w:id="0">
    <w:p w14:paraId="3A09A21F" w14:textId="77777777" w:rsidR="007E7628" w:rsidRDefault="007E7628">
      <w:pPr>
        <w:spacing w:after="0" w:line="240" w:lineRule="auto"/>
      </w:pPr>
      <w:r>
        <w:continuationSeparator/>
      </w:r>
    </w:p>
  </w:footnote>
  <w:footnote w:id="1">
    <w:p w14:paraId="57F53DDB" w14:textId="77777777" w:rsidR="008A4680" w:rsidRPr="00B87444" w:rsidRDefault="008A468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MX"/>
        </w:rPr>
      </w:pPr>
      <w:r>
        <w:rPr>
          <w:vertAlign w:val="superscript"/>
        </w:rPr>
        <w:footnoteRef/>
      </w:r>
      <w:r w:rsidRPr="00B87444">
        <w:rPr>
          <w:rFonts w:ascii="Times New Roman" w:eastAsia="Times New Roman" w:hAnsi="Times New Roman" w:cs="Times New Roman"/>
          <w:color w:val="000000"/>
          <w:sz w:val="20"/>
          <w:szCs w:val="20"/>
          <w:lang w:val="es-MX"/>
        </w:rPr>
        <w:t xml:space="preserve"> Ver </w:t>
      </w:r>
      <w:proofErr w:type="spellStart"/>
      <w:r w:rsidRPr="00B87444">
        <w:rPr>
          <w:rFonts w:ascii="Times New Roman" w:eastAsia="Times New Roman" w:hAnsi="Times New Roman" w:cs="Times New Roman"/>
          <w:color w:val="000000"/>
          <w:sz w:val="20"/>
          <w:szCs w:val="20"/>
          <w:lang w:val="es-MX"/>
        </w:rPr>
        <w:t>Eichenbaum</w:t>
      </w:r>
      <w:proofErr w:type="spellEnd"/>
      <w:r w:rsidRPr="00B87444">
        <w:rPr>
          <w:rFonts w:ascii="Times New Roman" w:eastAsia="Times New Roman" w:hAnsi="Times New Roman" w:cs="Times New Roman"/>
          <w:color w:val="000000"/>
          <w:sz w:val="20"/>
          <w:szCs w:val="20"/>
          <w:lang w:val="es-MX"/>
        </w:rPr>
        <w:t xml:space="preserve">, Rebelo y </w:t>
      </w:r>
      <w:proofErr w:type="spellStart"/>
      <w:r w:rsidRPr="00B87444">
        <w:rPr>
          <w:rFonts w:ascii="Times New Roman" w:eastAsia="Times New Roman" w:hAnsi="Times New Roman" w:cs="Times New Roman"/>
          <w:color w:val="000000"/>
          <w:sz w:val="20"/>
          <w:szCs w:val="20"/>
          <w:lang w:val="es-MX"/>
        </w:rPr>
        <w:t>Trabandt</w:t>
      </w:r>
      <w:proofErr w:type="spellEnd"/>
      <w:r w:rsidRPr="00B87444">
        <w:rPr>
          <w:rFonts w:ascii="Times New Roman" w:eastAsia="Times New Roman" w:hAnsi="Times New Roman" w:cs="Times New Roman"/>
          <w:color w:val="000000"/>
          <w:sz w:val="20"/>
          <w:szCs w:val="20"/>
          <w:lang w:val="es-MX"/>
        </w:rPr>
        <w:t xml:space="preserve"> (2020) para más detalles.</w:t>
      </w:r>
    </w:p>
  </w:footnote>
  <w:footnote w:id="2">
    <w:p w14:paraId="7652F151" w14:textId="7952A3B1" w:rsidR="008A4680" w:rsidRPr="00B87444" w:rsidRDefault="008A468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MX"/>
        </w:rPr>
      </w:pPr>
      <w:r>
        <w:rPr>
          <w:vertAlign w:val="superscript"/>
        </w:rPr>
        <w:footnoteRef/>
      </w:r>
      <w:r w:rsidRPr="00B87444">
        <w:rPr>
          <w:rFonts w:ascii="Times New Roman" w:eastAsia="Times New Roman" w:hAnsi="Times New Roman" w:cs="Times New Roman"/>
          <w:color w:val="000000"/>
          <w:sz w:val="20"/>
          <w:szCs w:val="20"/>
          <w:lang w:val="es-MX"/>
        </w:rPr>
        <w:t xml:space="preserve"> Las variables en minúsculas representan un individuo, y las variables en mayúsculas representan agregados. Por ejemplo: </w:t>
      </w:r>
      <m:oMath>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i</m:t>
            </m:r>
          </m:sup>
        </m:sSubSup>
      </m:oMath>
      <w:r w:rsidRPr="00B87444">
        <w:rPr>
          <w:rFonts w:ascii="Times New Roman" w:eastAsia="Times New Roman" w:hAnsi="Times New Roman" w:cs="Times New Roman"/>
          <w:color w:val="000000"/>
          <w:sz w:val="20"/>
          <w:szCs w:val="20"/>
          <w:lang w:val="es-MX"/>
        </w:rPr>
        <w:t xml:space="preserve"> es el consume de un solo individuo infectado, </w:t>
      </w:r>
      <m:oMath>
        <m:sSubSup>
          <m:sSubSupPr>
            <m:ctrlPr>
              <w:rPr>
                <w:rFonts w:ascii="Cambria Math" w:eastAsia="Cambria Math" w:hAnsi="Cambria Math" w:cs="Cambria Math"/>
              </w:rPr>
            </m:ctrlPr>
          </m:sSubSupPr>
          <m:e>
            <m:r>
              <w:rPr>
                <w:rFonts w:ascii="Cambria Math" w:eastAsia="Cambria Math" w:hAnsi="Cambria Math" w:cs="Cambria Math"/>
              </w:rPr>
              <m:t>C</m:t>
            </m:r>
          </m:e>
          <m:sub>
            <m:r>
              <w:rPr>
                <w:rFonts w:ascii="Cambria Math" w:eastAsia="Cambria Math" w:hAnsi="Cambria Math" w:cs="Cambria Math"/>
              </w:rPr>
              <m:t>t</m:t>
            </m:r>
          </m:sub>
          <m:sup>
            <m:r>
              <w:rPr>
                <w:rFonts w:ascii="Cambria Math" w:eastAsia="Cambria Math" w:hAnsi="Cambria Math" w:cs="Cambria Math"/>
              </w:rPr>
              <m:t>i</m:t>
            </m:r>
          </m:sup>
        </m:sSubSup>
      </m:oMath>
      <w:r w:rsidRPr="00B87444">
        <w:rPr>
          <w:rFonts w:ascii="Times New Roman" w:eastAsia="Times New Roman" w:hAnsi="Times New Roman" w:cs="Times New Roman"/>
          <w:color w:val="000000"/>
          <w:sz w:val="20"/>
          <w:szCs w:val="20"/>
          <w:lang w:val="es-MX"/>
        </w:rPr>
        <w:t xml:space="preserve"> es el consumo de toda la población infectada.</w:t>
      </w:r>
    </w:p>
  </w:footnote>
  <w:footnote w:id="3">
    <w:p w14:paraId="6700ACCE" w14:textId="77777777" w:rsidR="008A4680" w:rsidRPr="00B87444" w:rsidRDefault="008A468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MX"/>
        </w:rPr>
      </w:pPr>
      <w:r>
        <w:rPr>
          <w:vertAlign w:val="superscript"/>
        </w:rPr>
        <w:footnoteRef/>
      </w:r>
      <w:r w:rsidRPr="00B87444">
        <w:rPr>
          <w:rFonts w:ascii="Times New Roman" w:eastAsia="Times New Roman" w:hAnsi="Times New Roman" w:cs="Times New Roman"/>
          <w:color w:val="000000"/>
          <w:sz w:val="20"/>
          <w:szCs w:val="20"/>
          <w:lang w:val="es-MX"/>
        </w:rPr>
        <w:t xml:space="preserve"> El modelo se resuelve con </w:t>
      </w:r>
      <w:proofErr w:type="spellStart"/>
      <w:r w:rsidRPr="00B87444">
        <w:rPr>
          <w:rFonts w:ascii="Times New Roman" w:eastAsia="Times New Roman" w:hAnsi="Times New Roman" w:cs="Times New Roman"/>
          <w:color w:val="000000"/>
          <w:sz w:val="20"/>
          <w:szCs w:val="20"/>
          <w:lang w:val="es-MX"/>
        </w:rPr>
        <w:t>Dynare</w:t>
      </w:r>
      <w:proofErr w:type="spellEnd"/>
      <w:r w:rsidRPr="00B87444">
        <w:rPr>
          <w:rFonts w:ascii="Times New Roman" w:eastAsia="Times New Roman" w:hAnsi="Times New Roman" w:cs="Times New Roman"/>
          <w:color w:val="000000"/>
          <w:sz w:val="20"/>
          <w:szCs w:val="20"/>
          <w:lang w:val="es-MX"/>
        </w:rPr>
        <w:t xml:space="preserve"> en Matlab, disponible en: www.dynare.org</w:t>
      </w:r>
    </w:p>
  </w:footnote>
  <w:footnote w:id="4">
    <w:p w14:paraId="1FF248C2" w14:textId="77777777" w:rsidR="008A4680" w:rsidRPr="005B15AA" w:rsidRDefault="008A468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PY"/>
        </w:rPr>
      </w:pPr>
      <w:r>
        <w:rPr>
          <w:vertAlign w:val="superscript"/>
        </w:rPr>
        <w:footnoteRef/>
      </w:r>
      <w:r w:rsidRPr="00B87444">
        <w:rPr>
          <w:rFonts w:ascii="Times New Roman" w:eastAsia="Times New Roman" w:hAnsi="Times New Roman" w:cs="Times New Roman"/>
          <w:color w:val="000000"/>
          <w:sz w:val="20"/>
          <w:szCs w:val="20"/>
          <w:lang w:val="es-MX"/>
        </w:rPr>
        <w:t xml:space="preserve"> </w:t>
      </w:r>
      <w:proofErr w:type="spellStart"/>
      <w:r w:rsidRPr="00B87444">
        <w:rPr>
          <w:rFonts w:ascii="Times New Roman" w:eastAsia="Times New Roman" w:hAnsi="Times New Roman" w:cs="Times New Roman"/>
          <w:color w:val="000000"/>
          <w:sz w:val="20"/>
          <w:szCs w:val="20"/>
          <w:lang w:val="es-MX"/>
        </w:rPr>
        <w:t>Eichenbaum</w:t>
      </w:r>
      <w:proofErr w:type="spellEnd"/>
      <w:r w:rsidRPr="00B87444">
        <w:rPr>
          <w:rFonts w:ascii="Times New Roman" w:eastAsia="Times New Roman" w:hAnsi="Times New Roman" w:cs="Times New Roman"/>
          <w:color w:val="000000"/>
          <w:sz w:val="20"/>
          <w:szCs w:val="20"/>
          <w:lang w:val="es-MX"/>
        </w:rPr>
        <w:t xml:space="preserve">, Rebelo y </w:t>
      </w:r>
      <w:proofErr w:type="spellStart"/>
      <w:r w:rsidRPr="00B87444">
        <w:rPr>
          <w:rFonts w:ascii="Times New Roman" w:eastAsia="Times New Roman" w:hAnsi="Times New Roman" w:cs="Times New Roman"/>
          <w:color w:val="000000"/>
          <w:sz w:val="20"/>
          <w:szCs w:val="20"/>
          <w:lang w:val="es-MX"/>
        </w:rPr>
        <w:t>Trabandt</w:t>
      </w:r>
      <w:proofErr w:type="spellEnd"/>
      <w:r w:rsidRPr="00B87444">
        <w:rPr>
          <w:rFonts w:ascii="Times New Roman" w:eastAsia="Times New Roman" w:hAnsi="Times New Roman" w:cs="Times New Roman"/>
          <w:color w:val="000000"/>
          <w:sz w:val="20"/>
          <w:szCs w:val="20"/>
          <w:lang w:val="es-MX"/>
        </w:rPr>
        <w:t xml:space="preserve"> (2020) consideran que un 37% de los contagios se producen en colegios y en el trabajo en base a estudios previos sobre el contagio de la influenza de Ferguson et al. </w:t>
      </w:r>
      <w:r w:rsidRPr="005B15AA">
        <w:rPr>
          <w:rFonts w:ascii="Times New Roman" w:eastAsia="Times New Roman" w:hAnsi="Times New Roman" w:cs="Times New Roman"/>
          <w:color w:val="000000"/>
          <w:sz w:val="20"/>
          <w:szCs w:val="20"/>
          <w:lang w:val="es-PY"/>
        </w:rPr>
        <w:t>(2006).</w:t>
      </w:r>
    </w:p>
  </w:footnote>
  <w:footnote w:id="5">
    <w:p w14:paraId="2CDDFFDD" w14:textId="48BD967A" w:rsidR="008A4680" w:rsidRPr="008A4680" w:rsidRDefault="008A468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MX"/>
        </w:rPr>
      </w:pPr>
      <w:r w:rsidRPr="008A4680">
        <w:rPr>
          <w:rFonts w:ascii="Times New Roman" w:hAnsi="Times New Roman" w:cs="Times New Roman"/>
          <w:vertAlign w:val="superscript"/>
        </w:rPr>
        <w:footnoteRef/>
      </w:r>
      <w:r w:rsidRPr="008A4680">
        <w:rPr>
          <w:rFonts w:ascii="Times New Roman" w:eastAsia="Times New Roman" w:hAnsi="Times New Roman" w:cs="Times New Roman"/>
          <w:color w:val="000000"/>
          <w:sz w:val="20"/>
          <w:szCs w:val="20"/>
          <w:lang w:val="es-MX"/>
        </w:rPr>
        <w:t xml:space="preserve"> Consideramos una tasa de mortalidad del 2%, que resulta de dividir en número total de fallecidos por el total de infectados registrados en noviembre de 2020 en Paraguay. Si bien el sub-registro genera una sobreestimación de la tasa de mortalidad, este valor es consistente con el modelo que considera el número de casos activos de infectados registrados. Para la calibración consideramos una tasa de fallecimiento semanal: al igual que </w:t>
      </w:r>
      <w:proofErr w:type="spellStart"/>
      <w:r w:rsidRPr="008A4680">
        <w:rPr>
          <w:rFonts w:ascii="Times New Roman" w:eastAsia="Times New Roman" w:hAnsi="Times New Roman" w:cs="Times New Roman"/>
          <w:color w:val="000000"/>
          <w:sz w:val="20"/>
          <w:szCs w:val="20"/>
          <w:lang w:val="es-MX"/>
        </w:rPr>
        <w:t>Eichenbaum</w:t>
      </w:r>
      <w:proofErr w:type="spellEnd"/>
      <w:r w:rsidRPr="008A4680">
        <w:rPr>
          <w:rFonts w:ascii="Times New Roman" w:eastAsia="Times New Roman" w:hAnsi="Times New Roman" w:cs="Times New Roman"/>
          <w:color w:val="000000"/>
          <w:sz w:val="20"/>
          <w:szCs w:val="20"/>
          <w:lang w:val="es-MX"/>
        </w:rPr>
        <w:t xml:space="preserve"> et al. (2020), consideramos un periodo de recuperación (o fallecimiento) de 18 días por lo que </w:t>
      </w:r>
      <m:oMath>
        <m:sSub>
          <m:sSubPr>
            <m:ctrlPr>
              <w:rPr>
                <w:rFonts w:ascii="Cambria Math" w:eastAsia="Cambria Math" w:hAnsi="Cambria Math" w:cs="Times New Roman"/>
              </w:rPr>
            </m:ctrlPr>
          </m:sSubPr>
          <m:e>
            <m:r>
              <w:rPr>
                <w:rFonts w:ascii="Cambria Math" w:hAnsi="Cambria Math" w:cs="Times New Roman"/>
              </w:rPr>
              <m:t>π</m:t>
            </m:r>
          </m:e>
          <m:sub>
            <m:r>
              <w:rPr>
                <w:rFonts w:ascii="Cambria Math" w:eastAsia="Cambria Math" w:hAnsi="Cambria Math" w:cs="Times New Roman"/>
                <w:lang w:val="es-MX"/>
              </w:rPr>
              <m:t>d</m:t>
            </m:r>
          </m:sub>
        </m:sSub>
      </m:oMath>
      <w:r w:rsidRPr="008A4680">
        <w:rPr>
          <w:rFonts w:ascii="Times New Roman" w:eastAsia="Cambria Math" w:hAnsi="Times New Roman" w:cs="Times New Roman"/>
          <w:color w:val="000000"/>
          <w:sz w:val="20"/>
          <w:szCs w:val="20"/>
          <w:lang w:val="es-MX"/>
        </w:rPr>
        <w:t>=7*.02/18=0.008</w:t>
      </w:r>
      <w:r w:rsidRPr="008A4680">
        <w:rPr>
          <w:rFonts w:ascii="Times New Roman" w:eastAsia="Times New Roman" w:hAnsi="Times New Roman" w:cs="Times New Roman"/>
          <w:color w:val="000000"/>
          <w:sz w:val="20"/>
          <w:szCs w:val="20"/>
          <w:lang w:val="es-MX"/>
        </w:rPr>
        <w:t xml:space="preserve">.   </w:t>
      </w:r>
    </w:p>
  </w:footnote>
  <w:footnote w:id="6">
    <w:p w14:paraId="5BAD7C67" w14:textId="17B50547" w:rsidR="008A4680" w:rsidRPr="008A4680" w:rsidRDefault="008A468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MX"/>
        </w:rPr>
      </w:pPr>
      <w:r w:rsidRPr="008A4680">
        <w:rPr>
          <w:rFonts w:ascii="Times New Roman" w:hAnsi="Times New Roman" w:cs="Times New Roman"/>
          <w:vertAlign w:val="superscript"/>
        </w:rPr>
        <w:footnoteRef/>
      </w:r>
      <w:r w:rsidRPr="008A4680">
        <w:rPr>
          <w:rFonts w:ascii="Times New Roman" w:eastAsia="Times New Roman" w:hAnsi="Times New Roman" w:cs="Times New Roman"/>
          <w:color w:val="000000"/>
          <w:sz w:val="20"/>
          <w:szCs w:val="20"/>
          <w:lang w:val="es-MX"/>
        </w:rPr>
        <w:t xml:space="preserve"> Al igual que en </w:t>
      </w:r>
      <w:proofErr w:type="spellStart"/>
      <w:r w:rsidRPr="008A4680">
        <w:rPr>
          <w:rFonts w:ascii="Times New Roman" w:eastAsia="Times New Roman" w:hAnsi="Times New Roman" w:cs="Times New Roman"/>
          <w:color w:val="000000"/>
          <w:sz w:val="20"/>
          <w:szCs w:val="20"/>
          <w:lang w:val="es-MX"/>
        </w:rPr>
        <w:t>Eichenbaum</w:t>
      </w:r>
      <w:proofErr w:type="spellEnd"/>
      <w:r w:rsidRPr="008A4680">
        <w:rPr>
          <w:rFonts w:ascii="Times New Roman" w:eastAsia="Times New Roman" w:hAnsi="Times New Roman" w:cs="Times New Roman"/>
          <w:color w:val="000000"/>
          <w:sz w:val="20"/>
          <w:szCs w:val="20"/>
          <w:lang w:val="es-MX"/>
        </w:rPr>
        <w:t xml:space="preserve"> et al. (2020), consideramos que en promedio un individuo se recupera o fallece luego de 18 días de contraer la infección. Por lo tanto, el valor de </w:t>
      </w:r>
      <m:oMath>
        <m:sSub>
          <m:sSubPr>
            <m:ctrlPr>
              <w:rPr>
                <w:rFonts w:ascii="Cambria Math" w:eastAsia="Cambria Math" w:hAnsi="Cambria Math" w:cs="Times New Roman"/>
              </w:rPr>
            </m:ctrlPr>
          </m:sSubPr>
          <m:e>
            <m:r>
              <w:rPr>
                <w:rFonts w:ascii="Cambria Math" w:hAnsi="Cambria Math" w:cs="Times New Roman"/>
              </w:rPr>
              <m:t>π</m:t>
            </m:r>
          </m:e>
          <m:sub>
            <m:r>
              <w:rPr>
                <w:rFonts w:ascii="Cambria Math" w:eastAsia="Cambria Math" w:hAnsi="Cambria Math" w:cs="Times New Roman"/>
                <w:lang w:val="es-MX"/>
              </w:rPr>
              <m:t>r</m:t>
            </m:r>
          </m:sub>
        </m:sSub>
      </m:oMath>
      <w:r w:rsidRPr="008A4680">
        <w:rPr>
          <w:rFonts w:ascii="Times New Roman" w:eastAsia="Times New Roman" w:hAnsi="Times New Roman" w:cs="Times New Roman"/>
          <w:color w:val="000000"/>
          <w:sz w:val="20"/>
          <w:szCs w:val="20"/>
          <w:lang w:val="es-MX"/>
        </w:rPr>
        <w:t xml:space="preserve">, en términos semanales, se obtiene de la siguiente ecuación: </w:t>
      </w:r>
      <m:oMath>
        <m:sSub>
          <m:sSubPr>
            <m:ctrlPr>
              <w:rPr>
                <w:rFonts w:ascii="Cambria Math" w:eastAsia="Cambria Math" w:hAnsi="Cambria Math" w:cs="Times New Roman"/>
              </w:rPr>
            </m:ctrlPr>
          </m:sSubPr>
          <m:e>
            <m:r>
              <w:rPr>
                <w:rFonts w:ascii="Cambria Math" w:hAnsi="Cambria Math" w:cs="Times New Roman"/>
              </w:rPr>
              <m:t>π</m:t>
            </m:r>
          </m:e>
          <m:sub>
            <m:r>
              <w:rPr>
                <w:rFonts w:ascii="Cambria Math" w:eastAsia="Cambria Math" w:hAnsi="Cambria Math" w:cs="Times New Roman"/>
                <w:lang w:val="es-MX"/>
              </w:rPr>
              <m:t>r</m:t>
            </m:r>
          </m:sub>
        </m:sSub>
      </m:oMath>
      <w:r w:rsidRPr="008A4680">
        <w:rPr>
          <w:rFonts w:ascii="Times New Roman" w:eastAsia="Cambria Math" w:hAnsi="Times New Roman" w:cs="Times New Roman"/>
          <w:color w:val="000000"/>
          <w:sz w:val="20"/>
          <w:szCs w:val="20"/>
          <w:lang w:val="es-MX"/>
        </w:rPr>
        <w:t>+</w:t>
      </w:r>
      <m:oMath>
        <m:sSub>
          <m:sSubPr>
            <m:ctrlPr>
              <w:rPr>
                <w:rFonts w:ascii="Cambria Math" w:eastAsia="Cambria Math" w:hAnsi="Cambria Math" w:cs="Times New Roman"/>
              </w:rPr>
            </m:ctrlPr>
          </m:sSubPr>
          <m:e>
            <m:r>
              <w:rPr>
                <w:rFonts w:ascii="Cambria Math" w:hAnsi="Cambria Math" w:cs="Times New Roman"/>
              </w:rPr>
              <m:t>π</m:t>
            </m:r>
          </m:e>
          <m:sub>
            <m:r>
              <w:rPr>
                <w:rFonts w:ascii="Cambria Math" w:eastAsia="Cambria Math" w:hAnsi="Cambria Math" w:cs="Times New Roman"/>
                <w:lang w:val="es-MX"/>
              </w:rPr>
              <m:t>d</m:t>
            </m:r>
          </m:sub>
        </m:sSub>
      </m:oMath>
      <w:r w:rsidRPr="008A4680">
        <w:rPr>
          <w:rFonts w:ascii="Times New Roman" w:eastAsia="Cambria Math" w:hAnsi="Times New Roman" w:cs="Times New Roman"/>
          <w:color w:val="000000"/>
          <w:sz w:val="20"/>
          <w:szCs w:val="20"/>
          <w:lang w:val="es-MX"/>
        </w:rPr>
        <w:t>=7/18</w:t>
      </w:r>
      <w:r w:rsidRPr="008A4680">
        <w:rPr>
          <w:rFonts w:ascii="Times New Roman" w:eastAsia="Times New Roman" w:hAnsi="Times New Roman" w:cs="Times New Roman"/>
          <w:color w:val="000000"/>
          <w:sz w:val="20"/>
          <w:szCs w:val="20"/>
          <w:lang w:val="es-MX"/>
        </w:rPr>
        <w:t xml:space="preserve">, donde </w:t>
      </w:r>
      <m:oMath>
        <m:sSub>
          <m:sSubPr>
            <m:ctrlPr>
              <w:rPr>
                <w:rFonts w:ascii="Cambria Math" w:eastAsia="Cambria Math" w:hAnsi="Cambria Math" w:cs="Times New Roman"/>
              </w:rPr>
            </m:ctrlPr>
          </m:sSubPr>
          <m:e>
            <m:r>
              <w:rPr>
                <w:rFonts w:ascii="Cambria Math" w:hAnsi="Cambria Math" w:cs="Times New Roman"/>
              </w:rPr>
              <m:t>π</m:t>
            </m:r>
          </m:e>
          <m:sub>
            <m:r>
              <w:rPr>
                <w:rFonts w:ascii="Cambria Math" w:eastAsia="Cambria Math" w:hAnsi="Cambria Math" w:cs="Times New Roman"/>
                <w:lang w:val="es-MX"/>
              </w:rPr>
              <m:t>d</m:t>
            </m:r>
          </m:sub>
        </m:sSub>
      </m:oMath>
      <w:r w:rsidRPr="008A4680">
        <w:rPr>
          <w:rFonts w:ascii="Times New Roman" w:eastAsia="Cambria Math" w:hAnsi="Times New Roman" w:cs="Times New Roman"/>
          <w:color w:val="000000"/>
          <w:sz w:val="20"/>
          <w:szCs w:val="20"/>
          <w:lang w:val="es-MX"/>
        </w:rPr>
        <w:t>=0.008</w:t>
      </w:r>
      <w:r w:rsidRPr="008A4680">
        <w:rPr>
          <w:rFonts w:ascii="Times New Roman" w:eastAsia="Times New Roman" w:hAnsi="Times New Roman" w:cs="Times New Roman"/>
          <w:color w:val="000000"/>
          <w:sz w:val="20"/>
          <w:szCs w:val="20"/>
          <w:lang w:val="es-MX"/>
        </w:rPr>
        <w:t>.</w:t>
      </w:r>
    </w:p>
  </w:footnote>
  <w:footnote w:id="7">
    <w:p w14:paraId="298A6152" w14:textId="0245DBBF" w:rsidR="008A4680" w:rsidRPr="00B87444" w:rsidRDefault="008A4680">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MX"/>
        </w:rPr>
      </w:pPr>
      <w:r w:rsidRPr="008A4680">
        <w:rPr>
          <w:rFonts w:ascii="Times New Roman" w:hAnsi="Times New Roman" w:cs="Times New Roman"/>
          <w:vertAlign w:val="superscript"/>
        </w:rPr>
        <w:footnoteRef/>
      </w:r>
      <w:r w:rsidRPr="008A4680">
        <w:rPr>
          <w:rFonts w:ascii="Times New Roman" w:eastAsia="Times New Roman" w:hAnsi="Times New Roman" w:cs="Times New Roman"/>
          <w:color w:val="000000"/>
          <w:sz w:val="20"/>
          <w:szCs w:val="20"/>
          <w:lang w:val="es-MX"/>
        </w:rPr>
        <w:t xml:space="preserve"> Para más detalles sobre la estimación de la transmisibilidad, ver </w:t>
      </w:r>
      <w:r w:rsidR="006D7DE9">
        <w:rPr>
          <w:rFonts w:ascii="Times New Roman" w:eastAsia="Times New Roman" w:hAnsi="Times New Roman" w:cs="Times New Roman"/>
          <w:color w:val="000000"/>
          <w:sz w:val="20"/>
          <w:szCs w:val="20"/>
          <w:lang w:val="es-MX"/>
        </w:rPr>
        <w:t xml:space="preserve">el </w:t>
      </w:r>
      <w:r w:rsidR="006D7DE9" w:rsidRPr="006D7DE9">
        <w:rPr>
          <w:rFonts w:ascii="Times New Roman" w:eastAsia="Times New Roman" w:hAnsi="Times New Roman" w:cs="Times New Roman"/>
          <w:color w:val="000000"/>
          <w:sz w:val="20"/>
          <w:szCs w:val="20"/>
          <w:lang w:val="es-MX"/>
        </w:rPr>
        <w:t>Reporte semanal de COVID-19 en Paraguay</w:t>
      </w:r>
      <w:r w:rsidR="006D7DE9">
        <w:rPr>
          <w:rFonts w:ascii="Times New Roman" w:eastAsia="Times New Roman" w:hAnsi="Times New Roman" w:cs="Times New Roman"/>
          <w:color w:val="000000"/>
          <w:sz w:val="20"/>
          <w:szCs w:val="20"/>
          <w:lang w:val="es-MX"/>
        </w:rPr>
        <w:t xml:space="preserve">: </w:t>
      </w:r>
      <w:r w:rsidRPr="008A4680">
        <w:rPr>
          <w:rFonts w:ascii="Times New Roman" w:eastAsia="Times New Roman" w:hAnsi="Times New Roman" w:cs="Times New Roman"/>
          <w:color w:val="000000"/>
          <w:sz w:val="20"/>
          <w:szCs w:val="20"/>
          <w:lang w:val="es-MX"/>
        </w:rPr>
        <w:t>https://dgvs.mspbs.gov.py/webdgvs/files/img/covid19/Reporte_semana_49_2020.html.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7E8"/>
    <w:multiLevelType w:val="hybridMultilevel"/>
    <w:tmpl w:val="1C404088"/>
    <w:lvl w:ilvl="0" w:tplc="2EA847DA">
      <w:start w:val="1"/>
      <w:numFmt w:val="decimal"/>
      <w:lvlText w:val="%1."/>
      <w:lvlJc w:val="left"/>
      <w:pPr>
        <w:ind w:left="720" w:hanging="360"/>
      </w:pPr>
      <w:rPr>
        <w:rFonts w:ascii="Times New Roman" w:hAnsi="Times New Roman" w:cs="Times New Roman"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AD2A2B"/>
    <w:multiLevelType w:val="multilevel"/>
    <w:tmpl w:val="FF7CF9DE"/>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46"/>
    <w:rsid w:val="00027C6E"/>
    <w:rsid w:val="00050733"/>
    <w:rsid w:val="000919CC"/>
    <w:rsid w:val="00093909"/>
    <w:rsid w:val="000C052D"/>
    <w:rsid w:val="000D64F2"/>
    <w:rsid w:val="001B055A"/>
    <w:rsid w:val="001C26B2"/>
    <w:rsid w:val="00222ADC"/>
    <w:rsid w:val="002466C2"/>
    <w:rsid w:val="00257BAD"/>
    <w:rsid w:val="002D63C0"/>
    <w:rsid w:val="002E53D8"/>
    <w:rsid w:val="00313891"/>
    <w:rsid w:val="003C46D8"/>
    <w:rsid w:val="003F23E3"/>
    <w:rsid w:val="00414546"/>
    <w:rsid w:val="00443094"/>
    <w:rsid w:val="004A188E"/>
    <w:rsid w:val="004E6542"/>
    <w:rsid w:val="0052664B"/>
    <w:rsid w:val="00535691"/>
    <w:rsid w:val="005B15AA"/>
    <w:rsid w:val="005F6808"/>
    <w:rsid w:val="00623DF6"/>
    <w:rsid w:val="0069370D"/>
    <w:rsid w:val="006D7DE9"/>
    <w:rsid w:val="0079347C"/>
    <w:rsid w:val="007941CD"/>
    <w:rsid w:val="007B0657"/>
    <w:rsid w:val="007B2CD9"/>
    <w:rsid w:val="007E4545"/>
    <w:rsid w:val="007E7628"/>
    <w:rsid w:val="007F694F"/>
    <w:rsid w:val="00822477"/>
    <w:rsid w:val="008A4680"/>
    <w:rsid w:val="008E1A87"/>
    <w:rsid w:val="008F6B7E"/>
    <w:rsid w:val="009843CE"/>
    <w:rsid w:val="0099203B"/>
    <w:rsid w:val="00A00C77"/>
    <w:rsid w:val="00A01FF7"/>
    <w:rsid w:val="00A81557"/>
    <w:rsid w:val="00AB12A8"/>
    <w:rsid w:val="00AB2655"/>
    <w:rsid w:val="00B052EE"/>
    <w:rsid w:val="00B36516"/>
    <w:rsid w:val="00B5443F"/>
    <w:rsid w:val="00B87444"/>
    <w:rsid w:val="00B95C8E"/>
    <w:rsid w:val="00BB277C"/>
    <w:rsid w:val="00CE24D1"/>
    <w:rsid w:val="00E23138"/>
    <w:rsid w:val="00E252B8"/>
    <w:rsid w:val="00E31301"/>
    <w:rsid w:val="00E32865"/>
    <w:rsid w:val="00E466F5"/>
    <w:rsid w:val="00EA0489"/>
    <w:rsid w:val="00EA7C09"/>
    <w:rsid w:val="00EE66D4"/>
    <w:rsid w:val="00F2408F"/>
    <w:rsid w:val="00F653D1"/>
    <w:rsid w:val="00F97152"/>
    <w:rsid w:val="00FB3F52"/>
    <w:rsid w:val="00FE4292"/>
    <w:rsid w:val="00FE7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B8FD"/>
  <w15:docId w15:val="{560769B1-180B-42A7-95D0-72D2ABA5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AB2655"/>
    <w:pPr>
      <w:keepNext/>
      <w:keepLines/>
      <w:spacing w:before="240" w:after="0" w:line="259" w:lineRule="auto"/>
      <w:outlineLvl w:val="0"/>
    </w:pPr>
    <w:rPr>
      <w:rFonts w:ascii="Times New Roman" w:eastAsiaTheme="majorEastAsia" w:hAnsi="Times New Roman" w:cstheme="majorBidi"/>
      <w:b/>
      <w:sz w:val="24"/>
      <w:szCs w:val="32"/>
      <w:lang w:val="es-PY" w:eastAsia="es-PY"/>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325BB"/>
    <w:pPr>
      <w:ind w:left="720"/>
      <w:contextualSpacing/>
    </w:pPr>
  </w:style>
  <w:style w:type="character" w:styleId="CommentReference">
    <w:name w:val="annotation reference"/>
    <w:basedOn w:val="DefaultParagraphFont"/>
    <w:uiPriority w:val="99"/>
    <w:semiHidden/>
    <w:unhideWhenUsed/>
    <w:rsid w:val="00732142"/>
    <w:rPr>
      <w:sz w:val="16"/>
      <w:szCs w:val="16"/>
    </w:rPr>
  </w:style>
  <w:style w:type="paragraph" w:styleId="CommentText">
    <w:name w:val="annotation text"/>
    <w:basedOn w:val="Normal"/>
    <w:link w:val="CommentTextChar"/>
    <w:uiPriority w:val="99"/>
    <w:semiHidden/>
    <w:unhideWhenUsed/>
    <w:rsid w:val="00732142"/>
    <w:pPr>
      <w:spacing w:line="240" w:lineRule="auto"/>
    </w:pPr>
    <w:rPr>
      <w:rFonts w:eastAsiaTheme="minorEastAsia"/>
      <w:sz w:val="20"/>
      <w:szCs w:val="20"/>
      <w:lang w:val="es-PY" w:eastAsia="ja-JP"/>
    </w:rPr>
  </w:style>
  <w:style w:type="character" w:customStyle="1" w:styleId="CommentTextChar">
    <w:name w:val="Comment Text Char"/>
    <w:basedOn w:val="DefaultParagraphFont"/>
    <w:link w:val="CommentText"/>
    <w:uiPriority w:val="99"/>
    <w:semiHidden/>
    <w:rsid w:val="00732142"/>
    <w:rPr>
      <w:rFonts w:eastAsiaTheme="minorEastAsia"/>
      <w:sz w:val="20"/>
      <w:szCs w:val="20"/>
      <w:lang w:val="es-PY" w:eastAsia="ja-JP"/>
    </w:rPr>
  </w:style>
  <w:style w:type="paragraph" w:styleId="BalloonText">
    <w:name w:val="Balloon Text"/>
    <w:basedOn w:val="Normal"/>
    <w:link w:val="BalloonTextChar"/>
    <w:uiPriority w:val="99"/>
    <w:semiHidden/>
    <w:unhideWhenUsed/>
    <w:rsid w:val="00732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42"/>
    <w:rPr>
      <w:rFonts w:ascii="Tahoma" w:hAnsi="Tahoma" w:cs="Tahoma"/>
      <w:sz w:val="16"/>
      <w:szCs w:val="16"/>
      <w:lang w:val="en-US"/>
    </w:rPr>
  </w:style>
  <w:style w:type="paragraph" w:styleId="FootnoteText">
    <w:name w:val="footnote text"/>
    <w:basedOn w:val="Normal"/>
    <w:link w:val="FootnoteTextChar"/>
    <w:uiPriority w:val="99"/>
    <w:semiHidden/>
    <w:unhideWhenUsed/>
    <w:rsid w:val="00C63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CEB"/>
    <w:rPr>
      <w:sz w:val="20"/>
      <w:szCs w:val="20"/>
      <w:lang w:val="en-US"/>
    </w:rPr>
  </w:style>
  <w:style w:type="character" w:styleId="FootnoteReference">
    <w:name w:val="footnote reference"/>
    <w:basedOn w:val="DefaultParagraphFont"/>
    <w:uiPriority w:val="99"/>
    <w:semiHidden/>
    <w:unhideWhenUsed/>
    <w:rsid w:val="00C63CEB"/>
    <w:rPr>
      <w:vertAlign w:val="superscript"/>
    </w:rPr>
  </w:style>
  <w:style w:type="character" w:styleId="PlaceholderText">
    <w:name w:val="Placeholder Text"/>
    <w:basedOn w:val="DefaultParagraphFont"/>
    <w:uiPriority w:val="99"/>
    <w:semiHidden/>
    <w:rsid w:val="00216117"/>
    <w:rPr>
      <w:color w:val="808080"/>
    </w:rPr>
  </w:style>
  <w:style w:type="character" w:styleId="Emphasis">
    <w:name w:val="Emphasis"/>
    <w:basedOn w:val="DefaultParagraphFont"/>
    <w:uiPriority w:val="20"/>
    <w:qFormat/>
    <w:rsid w:val="00D46CB8"/>
    <w:rPr>
      <w:i/>
      <w:iCs/>
    </w:rPr>
  </w:style>
  <w:style w:type="character" w:styleId="Hyperlink">
    <w:name w:val="Hyperlink"/>
    <w:basedOn w:val="DefaultParagraphFont"/>
    <w:uiPriority w:val="99"/>
    <w:semiHidden/>
    <w:unhideWhenUsed/>
    <w:rsid w:val="007842D3"/>
    <w:rPr>
      <w:color w:val="0000FF"/>
      <w:u w:val="single"/>
    </w:rPr>
  </w:style>
  <w:style w:type="paragraph" w:styleId="Caption">
    <w:name w:val="caption"/>
    <w:basedOn w:val="Normal"/>
    <w:next w:val="Normal"/>
    <w:uiPriority w:val="35"/>
    <w:unhideWhenUsed/>
    <w:qFormat/>
    <w:rsid w:val="0005518B"/>
    <w:pPr>
      <w:spacing w:line="240" w:lineRule="auto"/>
    </w:pPr>
    <w:rPr>
      <w:b/>
      <w:bCs/>
      <w:color w:val="4F81BD" w:themeColor="accent1"/>
      <w:sz w:val="18"/>
      <w:szCs w:val="18"/>
    </w:rPr>
  </w:style>
  <w:style w:type="table" w:styleId="TableGrid">
    <w:name w:val="Table Grid"/>
    <w:basedOn w:val="TableNormal"/>
    <w:uiPriority w:val="59"/>
    <w:rsid w:val="0005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93F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6A6907"/>
    <w:rPr>
      <w:rFonts w:eastAsiaTheme="minorHAnsi"/>
      <w:b/>
      <w:bCs/>
      <w:lang w:val="en-US" w:eastAsia="en-US"/>
    </w:rPr>
  </w:style>
  <w:style w:type="character" w:customStyle="1" w:styleId="CommentSubjectChar">
    <w:name w:val="Comment Subject Char"/>
    <w:basedOn w:val="CommentTextChar"/>
    <w:link w:val="CommentSubject"/>
    <w:uiPriority w:val="99"/>
    <w:semiHidden/>
    <w:rsid w:val="006A6907"/>
    <w:rPr>
      <w:rFonts w:eastAsiaTheme="minorEastAsia"/>
      <w:b/>
      <w:bCs/>
      <w:sz w:val="20"/>
      <w:szCs w:val="20"/>
      <w:lang w:val="en-US" w:eastAsia="ja-JP"/>
    </w:rPr>
  </w:style>
  <w:style w:type="character" w:customStyle="1" w:styleId="Heading1Char">
    <w:name w:val="Heading 1 Char"/>
    <w:basedOn w:val="DefaultParagraphFont"/>
    <w:link w:val="Heading1"/>
    <w:uiPriority w:val="9"/>
    <w:rsid w:val="00AB2655"/>
    <w:rPr>
      <w:rFonts w:ascii="Times New Roman" w:eastAsiaTheme="majorEastAsia" w:hAnsi="Times New Roman" w:cstheme="majorBidi"/>
      <w:b/>
      <w:sz w:val="24"/>
      <w:szCs w:val="32"/>
      <w:lang w:val="es-PY" w:eastAsia="es-PY"/>
    </w:rPr>
  </w:style>
  <w:style w:type="paragraph" w:styleId="Bibliography">
    <w:name w:val="Bibliography"/>
    <w:basedOn w:val="Normal"/>
    <w:next w:val="Normal"/>
    <w:uiPriority w:val="37"/>
    <w:unhideWhenUsed/>
    <w:rsid w:val="00163A0D"/>
  </w:style>
  <w:style w:type="table" w:styleId="ListTable1Light">
    <w:name w:val="List Table 1 Light"/>
    <w:basedOn w:val="TableNormal"/>
    <w:uiPriority w:val="46"/>
    <w:rsid w:val="005102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5102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69503D"/>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Revision">
    <w:name w:val="Revision"/>
    <w:hidden/>
    <w:uiPriority w:val="99"/>
    <w:semiHidden/>
    <w:rsid w:val="00E91AA9"/>
    <w:pPr>
      <w:spacing w:after="0" w:line="240" w:lineRule="auto"/>
    </w:pPr>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2">
    <w:basedOn w:val="TableNormal1"/>
    <w:pPr>
      <w:spacing w:after="0" w:line="240" w:lineRule="auto"/>
    </w:pPr>
    <w:rPr>
      <w:color w:val="000000"/>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4">
    <w:basedOn w:val="TableNormal1"/>
    <w:pPr>
      <w:spacing w:after="0" w:line="240" w:lineRule="auto"/>
    </w:pPr>
    <w:rPr>
      <w:color w:val="000000"/>
    </w:rPr>
    <w:tblPr>
      <w:tblStyleRowBandSize w:val="1"/>
      <w:tblStyleColBandSize w:val="1"/>
      <w:tblCellMar>
        <w:left w:w="108" w:type="dxa"/>
        <w:right w:w="108" w:type="dxa"/>
      </w:tblCellMar>
    </w:tblPr>
  </w:style>
  <w:style w:type="paragraph" w:styleId="EndnoteText">
    <w:name w:val="endnote text"/>
    <w:basedOn w:val="Normal"/>
    <w:link w:val="EndnoteTextChar"/>
    <w:uiPriority w:val="99"/>
    <w:semiHidden/>
    <w:unhideWhenUsed/>
    <w:rsid w:val="000507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733"/>
    <w:rPr>
      <w:sz w:val="20"/>
      <w:szCs w:val="20"/>
      <w:lang w:val="en-US"/>
    </w:rPr>
  </w:style>
  <w:style w:type="character" w:styleId="EndnoteReference">
    <w:name w:val="endnote reference"/>
    <w:basedOn w:val="DefaultParagraphFont"/>
    <w:uiPriority w:val="99"/>
    <w:semiHidden/>
    <w:unhideWhenUsed/>
    <w:rsid w:val="00050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uZxlpzOi04bjZRR3t5UEqVfvVA==">AMUW2mXGmpasO4MofxKUoX48WDLbC6C/Ih3qiniPlf/j7EllAkyNyBthKE8cRhcUN00KXdh7+qjVbJBKIsZJA1GW4NoWWn3noV/pz9x2IESNzY1Jvdvkx6NAh72kF0lCJhj8gCPC26Kr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83FC52-B9E2-4377-9095-844106CC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8964</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User</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lasa</dc:creator>
  <cp:lastModifiedBy>Lickey, Sara A</cp:lastModifiedBy>
  <cp:revision>3</cp:revision>
  <cp:lastPrinted>2022-05-18T14:16:00Z</cp:lastPrinted>
  <dcterms:created xsi:type="dcterms:W3CDTF">2022-10-11T13:14:00Z</dcterms:created>
  <dcterms:modified xsi:type="dcterms:W3CDTF">2022-10-11T13:15:00Z</dcterms:modified>
</cp:coreProperties>
</file>