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EE0B8" w14:textId="77777777" w:rsidR="00E730A8" w:rsidRPr="00BB4703" w:rsidRDefault="00E730A8" w:rsidP="00E730A8">
      <w:pPr>
        <w:rPr>
          <w:sz w:val="28"/>
          <w:szCs w:val="28"/>
        </w:rPr>
      </w:pPr>
      <w:bookmarkStart w:id="0" w:name="_Hlk5768681"/>
      <w:r w:rsidRPr="00BB4703">
        <w:rPr>
          <w:color w:val="000000"/>
          <w:sz w:val="28"/>
          <w:szCs w:val="28"/>
        </w:rPr>
        <w:t>*Data replication sets are available in Harvard Dataverse at</w:t>
      </w:r>
      <w:r w:rsidRPr="00BB4703">
        <w:rPr>
          <w:sz w:val="28"/>
          <w:szCs w:val="28"/>
        </w:rPr>
        <w:t>:</w:t>
      </w:r>
      <w:bookmarkEnd w:id="0"/>
    </w:p>
    <w:p w14:paraId="2F8324FA" w14:textId="26BB4DB2" w:rsidR="00E730A8" w:rsidRPr="00E730A8" w:rsidRDefault="00E730A8" w:rsidP="003B55B3">
      <w:pPr>
        <w:jc w:val="center"/>
        <w:rPr>
          <w:rFonts w:eastAsia="Times New Roman"/>
        </w:rPr>
      </w:pPr>
      <w:hyperlink r:id="rId8" w:tgtFrame="_blank" w:history="1">
        <w:r>
          <w:rPr>
            <w:rStyle w:val="Hyperlink"/>
          </w:rPr>
          <w:t>https://doi.org/10.7910/DVN/OGQJXI</w:t>
        </w:r>
      </w:hyperlink>
      <w:bookmarkStart w:id="1" w:name="_GoBack"/>
      <w:bookmarkEnd w:id="1"/>
    </w:p>
    <w:p w14:paraId="6B748BA1" w14:textId="77777777" w:rsidR="00E730A8" w:rsidRDefault="00E730A8" w:rsidP="003B55B3">
      <w:pPr>
        <w:jc w:val="center"/>
        <w:rPr>
          <w:rFonts w:eastAsia="Times New Roman"/>
          <w:sz w:val="40"/>
          <w:szCs w:val="40"/>
        </w:rPr>
      </w:pPr>
    </w:p>
    <w:p w14:paraId="00A57B89" w14:textId="552E475D" w:rsidR="003B55B3" w:rsidRPr="008137D7" w:rsidRDefault="003B55B3" w:rsidP="003B55B3">
      <w:pPr>
        <w:jc w:val="center"/>
        <w:rPr>
          <w:rFonts w:eastAsia="Times New Roman"/>
          <w:sz w:val="40"/>
          <w:szCs w:val="40"/>
        </w:rPr>
      </w:pPr>
      <w:r w:rsidRPr="008137D7">
        <w:rPr>
          <w:rFonts w:eastAsia="Times New Roman"/>
          <w:sz w:val="40"/>
          <w:szCs w:val="40"/>
        </w:rPr>
        <w:t>Freedom of the Press and Public Responsiveness</w:t>
      </w:r>
    </w:p>
    <w:p w14:paraId="7683234F" w14:textId="7B6C2CB9" w:rsidR="003B55B3" w:rsidRPr="008137D7" w:rsidRDefault="003B55B3" w:rsidP="003B55B3">
      <w:pPr>
        <w:rPr>
          <w:rFonts w:eastAsia="Times New Roman"/>
        </w:rPr>
      </w:pPr>
    </w:p>
    <w:p w14:paraId="358EEBF8" w14:textId="77777777" w:rsidR="004C3013" w:rsidRPr="008137D7" w:rsidRDefault="004C3013" w:rsidP="003B55B3">
      <w:pPr>
        <w:spacing w:after="120" w:line="480" w:lineRule="auto"/>
        <w:jc w:val="both"/>
        <w:rPr>
          <w:rFonts w:eastAsia="Times New Roman"/>
        </w:rPr>
      </w:pPr>
    </w:p>
    <w:p w14:paraId="1FEE93E6" w14:textId="0F930194" w:rsidR="003B55B3" w:rsidRPr="008137D7" w:rsidRDefault="003B55B3" w:rsidP="003B55B3">
      <w:pPr>
        <w:spacing w:after="120" w:line="480" w:lineRule="auto"/>
        <w:jc w:val="both"/>
        <w:rPr>
          <w:rFonts w:eastAsia="Times New Roman"/>
        </w:rPr>
      </w:pPr>
      <w:r w:rsidRPr="008137D7">
        <w:rPr>
          <w:rFonts w:eastAsia="Times New Roman"/>
        </w:rPr>
        <w:t xml:space="preserve">Abstract: Public responsiveness to policy is contingent on there being a sufficient amount of clear and accurate information about policy change available to citizens.  </w:t>
      </w:r>
      <w:r w:rsidR="00291AB3" w:rsidRPr="008137D7">
        <w:rPr>
          <w:rFonts w:eastAsia="Times New Roman"/>
        </w:rPr>
        <w:t xml:space="preserve">It is of some significance, then, that there are increasing concerns about limits being placed on media outlets, around the world, and recently in the US as well. We </w:t>
      </w:r>
      <w:r w:rsidR="000573EB" w:rsidRPr="008137D7">
        <w:rPr>
          <w:rFonts w:eastAsia="Times New Roman"/>
        </w:rPr>
        <w:t xml:space="preserve">examine </w:t>
      </w:r>
      <w:r w:rsidR="00291AB3" w:rsidRPr="008137D7">
        <w:rPr>
          <w:rFonts w:eastAsia="Times New Roman"/>
        </w:rPr>
        <w:t>the impact of these limits</w:t>
      </w:r>
      <w:r w:rsidR="001B0AE9" w:rsidRPr="008137D7">
        <w:rPr>
          <w:rFonts w:eastAsia="Times New Roman"/>
        </w:rPr>
        <w:t xml:space="preserve"> on the public’s ability to respond meaningfully to policy change by </w:t>
      </w:r>
      <w:r w:rsidR="006E477A" w:rsidRPr="008137D7">
        <w:rPr>
          <w:rFonts w:eastAsia="Times New Roman"/>
        </w:rPr>
        <w:t>examining</w:t>
      </w:r>
      <w:r w:rsidR="001B0AE9" w:rsidRPr="008137D7">
        <w:rPr>
          <w:rFonts w:eastAsia="Times New Roman"/>
        </w:rPr>
        <w:t xml:space="preserve"> cross-national variation in the opinion-policy link</w:t>
      </w:r>
      <w:r w:rsidR="00E44199" w:rsidRPr="008137D7">
        <w:rPr>
          <w:rFonts w:eastAsia="Times New Roman"/>
        </w:rPr>
        <w:t xml:space="preserve">.  </w:t>
      </w:r>
      <w:r w:rsidRPr="008137D7">
        <w:rPr>
          <w:rFonts w:eastAsia="Times New Roman"/>
        </w:rPr>
        <w:t xml:space="preserve">Using new measures on spending preferences from Wave 4 of the Comparative Study of Electoral Systems, merged with OECD data on government spending and Freedom House measures of press freedom, we assess the role of mass media in facilitating public responsiveness.  We find evidence that when media are weak, so too is public responsiveness to policy change.  These results highlight the critical role that </w:t>
      </w:r>
      <w:r w:rsidR="001B0AE9" w:rsidRPr="008137D7">
        <w:rPr>
          <w:rFonts w:eastAsia="Times New Roman"/>
        </w:rPr>
        <w:t xml:space="preserve">accurate, unfettered </w:t>
      </w:r>
      <w:r w:rsidRPr="008137D7">
        <w:rPr>
          <w:rFonts w:eastAsia="Times New Roman"/>
        </w:rPr>
        <w:t xml:space="preserve">media </w:t>
      </w:r>
      <w:r w:rsidR="009B1638" w:rsidRPr="008137D7">
        <w:rPr>
          <w:rFonts w:eastAsia="Times New Roman"/>
        </w:rPr>
        <w:t xml:space="preserve">can </w:t>
      </w:r>
      <w:r w:rsidRPr="008137D7">
        <w:rPr>
          <w:rFonts w:eastAsia="Times New Roman"/>
        </w:rPr>
        <w:t>play in modern representative democracy.</w:t>
      </w:r>
    </w:p>
    <w:p w14:paraId="1EAC9E52" w14:textId="726ABB77" w:rsidR="003B55B3" w:rsidRPr="008137D7" w:rsidRDefault="003B55B3" w:rsidP="003B55B3">
      <w:pPr>
        <w:spacing w:after="120" w:line="480" w:lineRule="auto"/>
        <w:jc w:val="both"/>
        <w:rPr>
          <w:rFonts w:eastAsia="Times New Roman"/>
        </w:rPr>
      </w:pPr>
      <w:r w:rsidRPr="008137D7">
        <w:rPr>
          <w:rFonts w:eastAsia="Times New Roman"/>
        </w:rPr>
        <w:t xml:space="preserve">Keywords: mass media, press freedom, public opinion, </w:t>
      </w:r>
      <w:r w:rsidR="00373DA3" w:rsidRPr="008137D7">
        <w:rPr>
          <w:rFonts w:eastAsia="Times New Roman"/>
        </w:rPr>
        <w:t xml:space="preserve">public policy, </w:t>
      </w:r>
      <w:r w:rsidR="00AD6E27" w:rsidRPr="008137D7">
        <w:rPr>
          <w:rFonts w:eastAsia="Times New Roman"/>
        </w:rPr>
        <w:t xml:space="preserve">thermostatic </w:t>
      </w:r>
      <w:r w:rsidR="00917D72" w:rsidRPr="008137D7">
        <w:rPr>
          <w:rFonts w:eastAsia="Times New Roman"/>
        </w:rPr>
        <w:t>response</w:t>
      </w:r>
    </w:p>
    <w:p w14:paraId="1B1DB703" w14:textId="4A21E131" w:rsidR="003B55B3" w:rsidRPr="008137D7" w:rsidRDefault="003B55B3">
      <w:pPr>
        <w:spacing w:line="276" w:lineRule="auto"/>
        <w:rPr>
          <w:rFonts w:eastAsia="Times New Roman"/>
        </w:rPr>
      </w:pPr>
      <w:r w:rsidRPr="008137D7">
        <w:rPr>
          <w:rFonts w:eastAsia="Times New Roman"/>
        </w:rPr>
        <w:br w:type="page"/>
      </w:r>
    </w:p>
    <w:p w14:paraId="72F491A9" w14:textId="0DF44BC5" w:rsidR="006E477A" w:rsidRPr="008137D7" w:rsidRDefault="00E15559" w:rsidP="00DB6C66">
      <w:pPr>
        <w:spacing w:line="480" w:lineRule="auto"/>
        <w:ind w:firstLine="720"/>
        <w:jc w:val="both"/>
        <w:rPr>
          <w:rFonts w:eastAsia="Times New Roman"/>
        </w:rPr>
      </w:pPr>
      <w:r w:rsidRPr="008137D7">
        <w:rPr>
          <w:rFonts w:eastAsia="Times New Roman"/>
        </w:rPr>
        <w:lastRenderedPageBreak/>
        <w:t>There is little doubt that mass media play a central role in representative democracy</w:t>
      </w:r>
      <w:r w:rsidR="00481596" w:rsidRPr="008137D7">
        <w:rPr>
          <w:rFonts w:eastAsia="Times New Roman"/>
        </w:rPr>
        <w:t xml:space="preserve">.  </w:t>
      </w:r>
      <w:r w:rsidR="003603ED" w:rsidRPr="008137D7">
        <w:rPr>
          <w:rFonts w:eastAsia="Times New Roman"/>
        </w:rPr>
        <w:t>T</w:t>
      </w:r>
      <w:r w:rsidR="00D93B56" w:rsidRPr="008137D7">
        <w:rPr>
          <w:rFonts w:eastAsia="Times New Roman"/>
        </w:rPr>
        <w:t xml:space="preserve">his </w:t>
      </w:r>
      <w:r w:rsidRPr="008137D7">
        <w:rPr>
          <w:rFonts w:eastAsia="Times New Roman"/>
        </w:rPr>
        <w:t xml:space="preserve">has been </w:t>
      </w:r>
      <w:r w:rsidR="003603ED" w:rsidRPr="008137D7">
        <w:rPr>
          <w:rFonts w:eastAsia="Times New Roman"/>
        </w:rPr>
        <w:t>broadly</w:t>
      </w:r>
      <w:r w:rsidRPr="008137D7">
        <w:rPr>
          <w:rFonts w:eastAsia="Times New Roman"/>
        </w:rPr>
        <w:t xml:space="preserve"> recognized for some time</w:t>
      </w:r>
      <w:r w:rsidR="00481596" w:rsidRPr="008137D7">
        <w:rPr>
          <w:rFonts w:eastAsia="Times New Roman"/>
        </w:rPr>
        <w:t xml:space="preserve">.  </w:t>
      </w:r>
      <w:r w:rsidR="00677553" w:rsidRPr="008137D7">
        <w:rPr>
          <w:rFonts w:eastAsia="Times New Roman"/>
        </w:rPr>
        <w:t xml:space="preserve">Our argument, too, is that mass media are </w:t>
      </w:r>
      <w:r w:rsidR="008E1A70" w:rsidRPr="008137D7">
        <w:rPr>
          <w:rFonts w:eastAsia="Times New Roman"/>
        </w:rPr>
        <w:t xml:space="preserve">essential </w:t>
      </w:r>
      <w:r w:rsidR="00677553" w:rsidRPr="008137D7">
        <w:rPr>
          <w:rFonts w:eastAsia="Times New Roman"/>
        </w:rPr>
        <w:t xml:space="preserve">to </w:t>
      </w:r>
      <w:r w:rsidR="008E1A70" w:rsidRPr="008137D7">
        <w:rPr>
          <w:rFonts w:eastAsia="Times New Roman"/>
        </w:rPr>
        <w:t xml:space="preserve">a </w:t>
      </w:r>
      <w:r w:rsidR="00E04008" w:rsidRPr="008137D7">
        <w:rPr>
          <w:rFonts w:eastAsia="Times New Roman"/>
        </w:rPr>
        <w:t xml:space="preserve">well-functioning </w:t>
      </w:r>
      <w:r w:rsidR="00677553" w:rsidRPr="008137D7">
        <w:rPr>
          <w:rFonts w:eastAsia="Times New Roman"/>
        </w:rPr>
        <w:t xml:space="preserve">representative democracy, primarily because they facilitate </w:t>
      </w:r>
      <w:r w:rsidR="009C0537" w:rsidRPr="008137D7">
        <w:rPr>
          <w:rFonts w:eastAsia="Times New Roman"/>
        </w:rPr>
        <w:t>accountability</w:t>
      </w:r>
      <w:r w:rsidR="00481596" w:rsidRPr="008137D7">
        <w:rPr>
          <w:rFonts w:eastAsia="Times New Roman"/>
        </w:rPr>
        <w:t xml:space="preserve">.  </w:t>
      </w:r>
      <w:r w:rsidR="009C0537" w:rsidRPr="008137D7">
        <w:rPr>
          <w:rFonts w:eastAsia="Times New Roman"/>
        </w:rPr>
        <w:t xml:space="preserve">Without a public at least partly informed about what government </w:t>
      </w:r>
      <w:r w:rsidR="00680FD2" w:rsidRPr="008137D7">
        <w:rPr>
          <w:rFonts w:eastAsia="Times New Roman"/>
        </w:rPr>
        <w:t>is doing</w:t>
      </w:r>
      <w:r w:rsidR="009C0537" w:rsidRPr="008137D7">
        <w:rPr>
          <w:rFonts w:eastAsia="Times New Roman"/>
        </w:rPr>
        <w:t xml:space="preserve">, it is not clear </w:t>
      </w:r>
      <w:r w:rsidR="00DB6C66" w:rsidRPr="008137D7">
        <w:rPr>
          <w:rFonts w:eastAsia="Times New Roman"/>
        </w:rPr>
        <w:t xml:space="preserve">how </w:t>
      </w:r>
      <w:r w:rsidR="00374D38" w:rsidRPr="008137D7">
        <w:rPr>
          <w:rFonts w:eastAsia="Times New Roman"/>
        </w:rPr>
        <w:t xml:space="preserve">large-scale </w:t>
      </w:r>
      <w:r w:rsidR="00DB6C66" w:rsidRPr="008137D7">
        <w:rPr>
          <w:rFonts w:eastAsia="Times New Roman"/>
        </w:rPr>
        <w:t xml:space="preserve">representative democracy can work. </w:t>
      </w:r>
    </w:p>
    <w:p w14:paraId="4C3F87F2" w14:textId="4204AB98" w:rsidR="00374D38" w:rsidRPr="008137D7" w:rsidRDefault="00374D38" w:rsidP="00374D38">
      <w:pPr>
        <w:spacing w:line="480" w:lineRule="auto"/>
        <w:ind w:firstLine="720"/>
        <w:jc w:val="both"/>
        <w:rPr>
          <w:rFonts w:eastAsia="Times New Roman"/>
        </w:rPr>
      </w:pPr>
      <w:r w:rsidRPr="008137D7">
        <w:rPr>
          <w:rFonts w:eastAsia="Times New Roman"/>
        </w:rPr>
        <w:t xml:space="preserve">It is of some significance, then, that </w:t>
      </w:r>
      <w:r w:rsidR="00181A40" w:rsidRPr="008137D7">
        <w:rPr>
          <w:rFonts w:eastAsia="Times New Roman"/>
        </w:rPr>
        <w:t xml:space="preserve">the US is witnessing </w:t>
      </w:r>
      <w:r w:rsidRPr="008137D7">
        <w:rPr>
          <w:rFonts w:eastAsia="Times New Roman"/>
        </w:rPr>
        <w:t xml:space="preserve">increasing public </w:t>
      </w:r>
      <w:r w:rsidR="00640667" w:rsidRPr="008137D7">
        <w:rPr>
          <w:rFonts w:eastAsia="Times New Roman"/>
        </w:rPr>
        <w:t xml:space="preserve">and professional </w:t>
      </w:r>
      <w:r w:rsidRPr="008137D7">
        <w:rPr>
          <w:rFonts w:eastAsia="Times New Roman"/>
        </w:rPr>
        <w:t xml:space="preserve">consternation about limitations to journalists’ access to information, and </w:t>
      </w:r>
      <w:r w:rsidR="00A97331" w:rsidRPr="008137D7">
        <w:rPr>
          <w:rFonts w:eastAsia="Times New Roman"/>
        </w:rPr>
        <w:t xml:space="preserve">their </w:t>
      </w:r>
      <w:r w:rsidRPr="008137D7">
        <w:rPr>
          <w:rFonts w:eastAsia="Times New Roman"/>
        </w:rPr>
        <w:t xml:space="preserve">protection through libel laws. </w:t>
      </w:r>
      <w:r w:rsidR="00181A40" w:rsidRPr="008137D7">
        <w:rPr>
          <w:rFonts w:eastAsia="Times New Roman"/>
        </w:rPr>
        <w:t>T</w:t>
      </w:r>
      <w:r w:rsidRPr="008137D7">
        <w:rPr>
          <w:rFonts w:eastAsia="Times New Roman"/>
        </w:rPr>
        <w:t xml:space="preserve">his has been driven </w:t>
      </w:r>
      <w:r w:rsidR="00181A40" w:rsidRPr="008137D7">
        <w:rPr>
          <w:rFonts w:eastAsia="Times New Roman"/>
        </w:rPr>
        <w:t xml:space="preserve">in large part </w:t>
      </w:r>
      <w:r w:rsidRPr="008137D7">
        <w:rPr>
          <w:rFonts w:eastAsia="Times New Roman"/>
        </w:rPr>
        <w:t>by the belie</w:t>
      </w:r>
      <w:r w:rsidR="00181A40" w:rsidRPr="008137D7">
        <w:rPr>
          <w:rFonts w:eastAsia="Times New Roman"/>
        </w:rPr>
        <w:t>f</w:t>
      </w:r>
      <w:r w:rsidRPr="008137D7">
        <w:rPr>
          <w:rFonts w:eastAsia="Times New Roman"/>
        </w:rPr>
        <w:t xml:space="preserve"> that the </w:t>
      </w:r>
      <w:r w:rsidR="00A925B6" w:rsidRPr="008137D7">
        <w:rPr>
          <w:rFonts w:eastAsia="Times New Roman"/>
        </w:rPr>
        <w:t>current</w:t>
      </w:r>
      <w:r w:rsidRPr="008137D7">
        <w:rPr>
          <w:rFonts w:eastAsia="Times New Roman"/>
        </w:rPr>
        <w:t xml:space="preserve"> administration has sought to change the relationship between the White House and the press corps.</w:t>
      </w:r>
      <w:r w:rsidR="004B4CF3" w:rsidRPr="008137D7">
        <w:rPr>
          <w:rStyle w:val="FootnoteReference"/>
          <w:rFonts w:eastAsia="Times New Roman"/>
        </w:rPr>
        <w:footnoteReference w:id="1"/>
      </w:r>
      <w:r w:rsidRPr="008137D7">
        <w:rPr>
          <w:rFonts w:eastAsia="Times New Roman"/>
        </w:rPr>
        <w:t xml:space="preserve"> </w:t>
      </w:r>
      <w:r w:rsidR="00EA1492" w:rsidRPr="008137D7">
        <w:rPr>
          <w:rFonts w:eastAsia="Times New Roman"/>
        </w:rPr>
        <w:t>Similar</w:t>
      </w:r>
      <w:r w:rsidR="00181A40" w:rsidRPr="008137D7">
        <w:rPr>
          <w:rFonts w:eastAsia="Times New Roman"/>
        </w:rPr>
        <w:t xml:space="preserve"> concerns are readily evident elsewhere too, </w:t>
      </w:r>
      <w:r w:rsidRPr="008137D7">
        <w:rPr>
          <w:rFonts w:eastAsia="Times New Roman"/>
        </w:rPr>
        <w:t>most recently in Poland, Turkey, and Hungary</w:t>
      </w:r>
      <w:r w:rsidR="00EA1492" w:rsidRPr="008137D7">
        <w:rPr>
          <w:rFonts w:eastAsia="Times New Roman"/>
        </w:rPr>
        <w:t xml:space="preserve">.  </w:t>
      </w:r>
      <w:r w:rsidRPr="008137D7">
        <w:rPr>
          <w:rFonts w:eastAsia="Times New Roman"/>
        </w:rPr>
        <w:t xml:space="preserve">An analysis of the effects of press freedoms cross-nationally </w:t>
      </w:r>
      <w:r w:rsidR="00181A40" w:rsidRPr="008137D7">
        <w:rPr>
          <w:rFonts w:eastAsia="Times New Roman"/>
        </w:rPr>
        <w:t>seems</w:t>
      </w:r>
      <w:r w:rsidRPr="008137D7">
        <w:rPr>
          <w:rFonts w:eastAsia="Times New Roman"/>
        </w:rPr>
        <w:t xml:space="preserve"> especially timely.</w:t>
      </w:r>
    </w:p>
    <w:p w14:paraId="279E1067" w14:textId="13C80479" w:rsidR="0015380B" w:rsidRPr="008137D7" w:rsidRDefault="00181A40" w:rsidP="00181A40">
      <w:pPr>
        <w:spacing w:line="480" w:lineRule="auto"/>
        <w:ind w:firstLine="720"/>
        <w:jc w:val="both"/>
        <w:rPr>
          <w:rFonts w:eastAsia="Times New Roman"/>
        </w:rPr>
      </w:pPr>
      <w:r w:rsidRPr="008137D7">
        <w:rPr>
          <w:rFonts w:eastAsia="Times New Roman"/>
        </w:rPr>
        <w:t xml:space="preserve">Our perspective on the issue is motivated by the existing literature on </w:t>
      </w:r>
      <w:r w:rsidR="009C0537" w:rsidRPr="008137D7">
        <w:rPr>
          <w:rFonts w:eastAsia="Times New Roman"/>
        </w:rPr>
        <w:t xml:space="preserve">thermostatic </w:t>
      </w:r>
      <w:r w:rsidRPr="008137D7">
        <w:rPr>
          <w:rFonts w:eastAsia="Times New Roman"/>
        </w:rPr>
        <w:t xml:space="preserve">public responsiveness to policy. </w:t>
      </w:r>
      <w:r w:rsidR="00546F21" w:rsidRPr="008137D7">
        <w:rPr>
          <w:rFonts w:eastAsia="Times New Roman"/>
        </w:rPr>
        <w:t>Past work</w:t>
      </w:r>
      <w:r w:rsidRPr="008137D7">
        <w:rPr>
          <w:rFonts w:eastAsia="Times New Roman"/>
        </w:rPr>
        <w:t xml:space="preserve"> (reviewed below)</w:t>
      </w:r>
      <w:r w:rsidR="00546F21" w:rsidRPr="008137D7">
        <w:rPr>
          <w:rFonts w:eastAsia="Times New Roman"/>
        </w:rPr>
        <w:t xml:space="preserve"> has found evidence of </w:t>
      </w:r>
      <w:r w:rsidR="004A25B4" w:rsidRPr="008137D7">
        <w:rPr>
          <w:rFonts w:eastAsia="Times New Roman"/>
        </w:rPr>
        <w:t xml:space="preserve">such </w:t>
      </w:r>
      <w:r w:rsidR="00546F21" w:rsidRPr="008137D7">
        <w:rPr>
          <w:rFonts w:eastAsia="Times New Roman"/>
        </w:rPr>
        <w:t>responsivenes</w:t>
      </w:r>
      <w:r w:rsidR="004E245E" w:rsidRPr="008137D7">
        <w:rPr>
          <w:rFonts w:eastAsia="Times New Roman"/>
        </w:rPr>
        <w:t xml:space="preserve">s in some </w:t>
      </w:r>
      <w:r w:rsidR="004A25B4" w:rsidRPr="008137D7">
        <w:rPr>
          <w:rFonts w:eastAsia="Times New Roman"/>
        </w:rPr>
        <w:t xml:space="preserve">policy </w:t>
      </w:r>
      <w:r w:rsidR="004E245E" w:rsidRPr="008137D7">
        <w:rPr>
          <w:rFonts w:eastAsia="Times New Roman"/>
        </w:rPr>
        <w:t>domains</w:t>
      </w:r>
      <w:r w:rsidR="007B5710" w:rsidRPr="008137D7">
        <w:rPr>
          <w:rFonts w:eastAsia="Times New Roman"/>
        </w:rPr>
        <w:t>,</w:t>
      </w:r>
      <w:r w:rsidR="004E245E" w:rsidRPr="008137D7">
        <w:rPr>
          <w:rFonts w:eastAsia="Times New Roman"/>
        </w:rPr>
        <w:t xml:space="preserve"> </w:t>
      </w:r>
      <w:r w:rsidR="004A25B4" w:rsidRPr="008137D7">
        <w:rPr>
          <w:rFonts w:eastAsia="Times New Roman"/>
        </w:rPr>
        <w:t>and</w:t>
      </w:r>
      <w:r w:rsidR="004E245E" w:rsidRPr="008137D7">
        <w:rPr>
          <w:rFonts w:eastAsia="Times New Roman"/>
        </w:rPr>
        <w:t xml:space="preserve"> it also highlights real var</w:t>
      </w:r>
      <w:r w:rsidR="00EE69C9" w:rsidRPr="008137D7">
        <w:rPr>
          <w:rFonts w:eastAsia="Times New Roman"/>
        </w:rPr>
        <w:t>i</w:t>
      </w:r>
      <w:r w:rsidR="004E245E" w:rsidRPr="008137D7">
        <w:rPr>
          <w:rFonts w:eastAsia="Times New Roman"/>
        </w:rPr>
        <w:t>ation across policy domains and institutional arrangements</w:t>
      </w:r>
      <w:r w:rsidR="00481596" w:rsidRPr="008137D7">
        <w:rPr>
          <w:rFonts w:eastAsia="Times New Roman"/>
        </w:rPr>
        <w:t xml:space="preserve">.  </w:t>
      </w:r>
      <w:r w:rsidR="004E245E" w:rsidRPr="008137D7">
        <w:rPr>
          <w:rFonts w:eastAsia="Times New Roman"/>
        </w:rPr>
        <w:t>Our aim is to add media freedom</w:t>
      </w:r>
      <w:r w:rsidR="00EE69C9" w:rsidRPr="008137D7">
        <w:rPr>
          <w:rFonts w:eastAsia="Times New Roman"/>
        </w:rPr>
        <w:t>s</w:t>
      </w:r>
      <w:r w:rsidR="004E245E" w:rsidRPr="008137D7">
        <w:rPr>
          <w:rFonts w:eastAsia="Times New Roman"/>
        </w:rPr>
        <w:t xml:space="preserve"> to the list of institutional factors that enhance or constrain pubic responsiveness to policy</w:t>
      </w:r>
      <w:r w:rsidR="00481596" w:rsidRPr="008137D7">
        <w:rPr>
          <w:rFonts w:eastAsia="Times New Roman"/>
        </w:rPr>
        <w:t xml:space="preserve">.  </w:t>
      </w:r>
      <w:r w:rsidR="006F1131" w:rsidRPr="008137D7">
        <w:rPr>
          <w:rFonts w:eastAsia="Times New Roman"/>
        </w:rPr>
        <w:t xml:space="preserve">Representative democracy requires </w:t>
      </w:r>
      <w:r w:rsidR="001161E5" w:rsidRPr="008137D7">
        <w:rPr>
          <w:rFonts w:eastAsia="Times New Roman"/>
        </w:rPr>
        <w:t xml:space="preserve">not just </w:t>
      </w:r>
      <w:r w:rsidR="00DF6462" w:rsidRPr="008137D7">
        <w:rPr>
          <w:rFonts w:eastAsia="Times New Roman"/>
        </w:rPr>
        <w:t xml:space="preserve">a </w:t>
      </w:r>
      <w:r w:rsidR="006F1131" w:rsidRPr="008137D7">
        <w:rPr>
          <w:rFonts w:eastAsia="Times New Roman"/>
        </w:rPr>
        <w:t>mass media</w:t>
      </w:r>
      <w:r w:rsidR="001161E5" w:rsidRPr="008137D7">
        <w:rPr>
          <w:rFonts w:eastAsia="Times New Roman"/>
        </w:rPr>
        <w:t xml:space="preserve">, but </w:t>
      </w:r>
      <w:r w:rsidR="00DF6462" w:rsidRPr="008137D7">
        <w:rPr>
          <w:rFonts w:eastAsia="Times New Roman"/>
        </w:rPr>
        <w:t>one</w:t>
      </w:r>
      <w:r w:rsidR="001161E5" w:rsidRPr="008137D7">
        <w:rPr>
          <w:rFonts w:eastAsia="Times New Roman"/>
        </w:rPr>
        <w:t xml:space="preserve"> </w:t>
      </w:r>
      <w:r w:rsidR="006F1131" w:rsidRPr="008137D7">
        <w:rPr>
          <w:rFonts w:eastAsia="Times New Roman"/>
        </w:rPr>
        <w:t xml:space="preserve">that is sufficiently </w:t>
      </w:r>
      <w:r w:rsidR="00022C99" w:rsidRPr="008137D7">
        <w:rPr>
          <w:rFonts w:eastAsia="Times New Roman"/>
        </w:rPr>
        <w:t>free</w:t>
      </w:r>
      <w:r w:rsidR="006F1131" w:rsidRPr="008137D7">
        <w:rPr>
          <w:rFonts w:eastAsia="Times New Roman"/>
        </w:rPr>
        <w:t xml:space="preserve"> </w:t>
      </w:r>
      <w:r w:rsidR="00EE69C9" w:rsidRPr="008137D7">
        <w:rPr>
          <w:rFonts w:eastAsia="Times New Roman"/>
        </w:rPr>
        <w:t xml:space="preserve">to </w:t>
      </w:r>
      <w:r w:rsidR="006F1131" w:rsidRPr="008137D7">
        <w:rPr>
          <w:rFonts w:eastAsia="Times New Roman"/>
        </w:rPr>
        <w:t>act as an effective Fourth Estate</w:t>
      </w:r>
      <w:r w:rsidR="00481596" w:rsidRPr="008137D7">
        <w:rPr>
          <w:rFonts w:eastAsia="Times New Roman"/>
        </w:rPr>
        <w:t xml:space="preserve">.  </w:t>
      </w:r>
      <w:r w:rsidR="0015380B" w:rsidRPr="008137D7">
        <w:rPr>
          <w:rFonts w:eastAsia="Times New Roman"/>
        </w:rPr>
        <w:t>Independent media should enhance public responsiveness to policy; government-</w:t>
      </w:r>
      <w:r w:rsidR="00022C99" w:rsidRPr="008137D7">
        <w:rPr>
          <w:rFonts w:eastAsia="Times New Roman"/>
        </w:rPr>
        <w:t>constrained</w:t>
      </w:r>
      <w:r w:rsidR="0015380B" w:rsidRPr="008137D7">
        <w:rPr>
          <w:rFonts w:eastAsia="Times New Roman"/>
        </w:rPr>
        <w:t xml:space="preserve"> media </w:t>
      </w:r>
      <w:r w:rsidR="005806BD" w:rsidRPr="008137D7">
        <w:rPr>
          <w:rFonts w:eastAsia="Times New Roman"/>
        </w:rPr>
        <w:t xml:space="preserve">should </w:t>
      </w:r>
      <w:r w:rsidR="00BB48C5" w:rsidRPr="008137D7">
        <w:rPr>
          <w:rFonts w:eastAsia="Times New Roman"/>
        </w:rPr>
        <w:t>impede it</w:t>
      </w:r>
      <w:r w:rsidR="0015380B" w:rsidRPr="008137D7">
        <w:rPr>
          <w:rFonts w:eastAsia="Times New Roman"/>
        </w:rPr>
        <w:t>.</w:t>
      </w:r>
      <w:r w:rsidR="004E245E" w:rsidRPr="008137D7">
        <w:rPr>
          <w:rFonts w:eastAsia="Times New Roman"/>
        </w:rPr>
        <w:t xml:space="preserve"> </w:t>
      </w:r>
    </w:p>
    <w:p w14:paraId="0FBB7432" w14:textId="34BA73C5" w:rsidR="00E15559" w:rsidRPr="008137D7" w:rsidRDefault="0015380B" w:rsidP="00E32BAD">
      <w:pPr>
        <w:spacing w:line="480" w:lineRule="auto"/>
        <w:ind w:firstLine="720"/>
        <w:jc w:val="both"/>
        <w:rPr>
          <w:rFonts w:eastAsia="Times New Roman"/>
        </w:rPr>
      </w:pPr>
      <w:r w:rsidRPr="008137D7">
        <w:rPr>
          <w:rFonts w:eastAsia="Times New Roman"/>
        </w:rPr>
        <w:lastRenderedPageBreak/>
        <w:t xml:space="preserve">We </w:t>
      </w:r>
      <w:r w:rsidR="004B4CF3" w:rsidRPr="008137D7">
        <w:rPr>
          <w:rFonts w:eastAsia="Times New Roman"/>
        </w:rPr>
        <w:t xml:space="preserve">examine </w:t>
      </w:r>
      <w:r w:rsidRPr="008137D7">
        <w:rPr>
          <w:rFonts w:eastAsia="Times New Roman"/>
        </w:rPr>
        <w:t>this possibility below</w:t>
      </w:r>
      <w:r w:rsidR="00481596" w:rsidRPr="008137D7">
        <w:rPr>
          <w:rFonts w:eastAsia="Times New Roman"/>
        </w:rPr>
        <w:t xml:space="preserve">. </w:t>
      </w:r>
      <w:r w:rsidR="007B5710" w:rsidRPr="008137D7">
        <w:rPr>
          <w:rFonts w:eastAsia="Times New Roman"/>
        </w:rPr>
        <w:t>To begin, w</w:t>
      </w:r>
      <w:r w:rsidR="004E245E" w:rsidRPr="008137D7">
        <w:rPr>
          <w:rFonts w:eastAsia="Times New Roman"/>
        </w:rPr>
        <w:t xml:space="preserve">e </w:t>
      </w:r>
      <w:r w:rsidR="00374D38" w:rsidRPr="008137D7">
        <w:rPr>
          <w:rFonts w:eastAsia="Times New Roman"/>
        </w:rPr>
        <w:t xml:space="preserve">review the literatures on </w:t>
      </w:r>
      <w:r w:rsidR="00EE69C9" w:rsidRPr="008137D7">
        <w:rPr>
          <w:rFonts w:eastAsia="Times New Roman"/>
        </w:rPr>
        <w:t xml:space="preserve">public </w:t>
      </w:r>
      <w:r w:rsidR="004E245E" w:rsidRPr="008137D7">
        <w:rPr>
          <w:rFonts w:eastAsia="Times New Roman"/>
        </w:rPr>
        <w:t>responsiveness</w:t>
      </w:r>
      <w:r w:rsidR="00680FD2" w:rsidRPr="008137D7">
        <w:rPr>
          <w:rFonts w:eastAsia="Times New Roman"/>
        </w:rPr>
        <w:t xml:space="preserve"> to government actions and especially work on the thermostatic relationship between policy and preferences. We also look at</w:t>
      </w:r>
      <w:r w:rsidR="004E245E" w:rsidRPr="008137D7">
        <w:rPr>
          <w:rFonts w:eastAsia="Times New Roman"/>
        </w:rPr>
        <w:t xml:space="preserve"> the role of media in representative </w:t>
      </w:r>
      <w:r w:rsidR="007A1B1C" w:rsidRPr="008137D7">
        <w:rPr>
          <w:rFonts w:eastAsia="Times New Roman"/>
        </w:rPr>
        <w:t>democracy</w:t>
      </w:r>
      <w:r w:rsidR="00481596" w:rsidRPr="008137D7">
        <w:rPr>
          <w:rFonts w:eastAsia="Times New Roman"/>
        </w:rPr>
        <w:t xml:space="preserve">.  </w:t>
      </w:r>
      <w:r w:rsidR="004E245E" w:rsidRPr="008137D7">
        <w:rPr>
          <w:rFonts w:eastAsia="Times New Roman"/>
        </w:rPr>
        <w:t xml:space="preserve">We then turn to an analysis of a new </w:t>
      </w:r>
      <w:r w:rsidR="00DB6C66" w:rsidRPr="008137D7">
        <w:rPr>
          <w:rFonts w:eastAsia="Times New Roman"/>
        </w:rPr>
        <w:t>dataset</w:t>
      </w:r>
      <w:r w:rsidR="004E245E" w:rsidRPr="008137D7">
        <w:rPr>
          <w:rFonts w:eastAsia="Times New Roman"/>
        </w:rPr>
        <w:t xml:space="preserve"> capturing </w:t>
      </w:r>
      <w:r w:rsidR="007A1B1C" w:rsidRPr="008137D7">
        <w:rPr>
          <w:rFonts w:eastAsia="Times New Roman"/>
        </w:rPr>
        <w:t xml:space="preserve">relative preferences for </w:t>
      </w:r>
      <w:r w:rsidR="00DB6C66" w:rsidRPr="008137D7">
        <w:rPr>
          <w:rFonts w:eastAsia="Times New Roman"/>
        </w:rPr>
        <w:t xml:space="preserve">spending </w:t>
      </w:r>
      <w:r w:rsidR="007A1B1C" w:rsidRPr="008137D7">
        <w:rPr>
          <w:rFonts w:eastAsia="Times New Roman"/>
        </w:rPr>
        <w:t xml:space="preserve">across </w:t>
      </w:r>
      <w:r w:rsidR="00843CC9" w:rsidRPr="008137D7">
        <w:rPr>
          <w:rFonts w:eastAsia="Times New Roman"/>
        </w:rPr>
        <w:t xml:space="preserve">35 </w:t>
      </w:r>
      <w:r w:rsidR="007A1B1C" w:rsidRPr="008137D7">
        <w:rPr>
          <w:rFonts w:eastAsia="Times New Roman"/>
        </w:rPr>
        <w:t xml:space="preserve">countries, merged with data on government spending and </w:t>
      </w:r>
      <w:r w:rsidR="00EE69C9" w:rsidRPr="008137D7">
        <w:rPr>
          <w:rFonts w:eastAsia="Times New Roman"/>
        </w:rPr>
        <w:t>press</w:t>
      </w:r>
      <w:r w:rsidR="007A1B1C" w:rsidRPr="008137D7">
        <w:rPr>
          <w:rFonts w:eastAsia="Times New Roman"/>
        </w:rPr>
        <w:t xml:space="preserve"> freedom</w:t>
      </w:r>
      <w:r w:rsidR="00EE69C9" w:rsidRPr="008137D7">
        <w:rPr>
          <w:rFonts w:eastAsia="Times New Roman"/>
        </w:rPr>
        <w:t>s</w:t>
      </w:r>
      <w:r w:rsidR="0087752B" w:rsidRPr="008137D7">
        <w:rPr>
          <w:rFonts w:eastAsia="Times New Roman"/>
        </w:rPr>
        <w:t xml:space="preserve"> </w:t>
      </w:r>
      <w:r w:rsidR="00F4022B" w:rsidRPr="008137D7">
        <w:rPr>
          <w:rFonts w:eastAsia="Times New Roman"/>
        </w:rPr>
        <w:t>for</w:t>
      </w:r>
      <w:r w:rsidR="0087752B" w:rsidRPr="008137D7">
        <w:rPr>
          <w:rFonts w:eastAsia="Times New Roman"/>
        </w:rPr>
        <w:t xml:space="preserve"> 2</w:t>
      </w:r>
      <w:r w:rsidR="00DF4A62" w:rsidRPr="008137D7">
        <w:rPr>
          <w:rFonts w:eastAsia="Times New Roman"/>
        </w:rPr>
        <w:t>4</w:t>
      </w:r>
      <w:r w:rsidR="0087752B" w:rsidRPr="008137D7">
        <w:rPr>
          <w:rFonts w:eastAsia="Times New Roman"/>
        </w:rPr>
        <w:t xml:space="preserve"> of those countries</w:t>
      </w:r>
      <w:r w:rsidR="00481596" w:rsidRPr="008137D7">
        <w:rPr>
          <w:rFonts w:eastAsia="Times New Roman"/>
        </w:rPr>
        <w:t xml:space="preserve">.  </w:t>
      </w:r>
      <w:r w:rsidR="007A1B1C" w:rsidRPr="008137D7">
        <w:rPr>
          <w:rFonts w:eastAsia="Times New Roman"/>
        </w:rPr>
        <w:t xml:space="preserve">We find </w:t>
      </w:r>
      <w:r w:rsidR="00104A34" w:rsidRPr="00104A34">
        <w:rPr>
          <w:rFonts w:eastAsia="Times New Roman"/>
          <w:color w:val="FF0000"/>
        </w:rPr>
        <w:t>some</w:t>
      </w:r>
      <w:r w:rsidR="00972D71" w:rsidRPr="00104A34">
        <w:rPr>
          <w:rFonts w:eastAsia="Times New Roman"/>
          <w:color w:val="FF0000"/>
        </w:rPr>
        <w:t xml:space="preserve"> </w:t>
      </w:r>
      <w:r w:rsidR="004B4CF3" w:rsidRPr="008137D7">
        <w:rPr>
          <w:rFonts w:eastAsia="Times New Roman"/>
        </w:rPr>
        <w:t xml:space="preserve">evidence of the expected </w:t>
      </w:r>
      <w:r w:rsidR="00232FFA" w:rsidRPr="008137D7">
        <w:rPr>
          <w:rFonts w:eastAsia="Times New Roman"/>
        </w:rPr>
        <w:t xml:space="preserve">relationship between </w:t>
      </w:r>
      <w:r w:rsidR="007A1B1C" w:rsidRPr="008137D7">
        <w:rPr>
          <w:rFonts w:eastAsia="Times New Roman"/>
        </w:rPr>
        <w:t xml:space="preserve">media freedom </w:t>
      </w:r>
      <w:r w:rsidR="00232FFA" w:rsidRPr="008137D7">
        <w:rPr>
          <w:rFonts w:eastAsia="Times New Roman"/>
        </w:rPr>
        <w:t xml:space="preserve">and </w:t>
      </w:r>
      <w:r w:rsidR="007A1B1C" w:rsidRPr="008137D7">
        <w:rPr>
          <w:rFonts w:eastAsia="Times New Roman"/>
        </w:rPr>
        <w:t>pub</w:t>
      </w:r>
      <w:r w:rsidR="007B5710" w:rsidRPr="008137D7">
        <w:rPr>
          <w:rFonts w:eastAsia="Times New Roman"/>
        </w:rPr>
        <w:t>l</w:t>
      </w:r>
      <w:r w:rsidR="007A1B1C" w:rsidRPr="008137D7">
        <w:rPr>
          <w:rFonts w:eastAsia="Times New Roman"/>
        </w:rPr>
        <w:t>ic responsiveness</w:t>
      </w:r>
      <w:r w:rsidR="007B5710" w:rsidRPr="008137D7">
        <w:rPr>
          <w:rFonts w:eastAsia="Times New Roman"/>
        </w:rPr>
        <w:t>: i</w:t>
      </w:r>
      <w:r w:rsidR="00A415F8" w:rsidRPr="008137D7">
        <w:rPr>
          <w:rFonts w:eastAsia="Times New Roman"/>
        </w:rPr>
        <w:t xml:space="preserve">n countries where </w:t>
      </w:r>
      <w:r w:rsidR="00D5445E" w:rsidRPr="008137D7">
        <w:rPr>
          <w:rFonts w:eastAsia="Times New Roman"/>
        </w:rPr>
        <w:t>press</w:t>
      </w:r>
      <w:r w:rsidR="00A415F8" w:rsidRPr="008137D7">
        <w:rPr>
          <w:rFonts w:eastAsia="Times New Roman"/>
        </w:rPr>
        <w:t xml:space="preserve"> freedom is high, </w:t>
      </w:r>
      <w:r w:rsidR="007D2F75" w:rsidRPr="008137D7">
        <w:rPr>
          <w:rFonts w:eastAsia="Times New Roman"/>
        </w:rPr>
        <w:t xml:space="preserve">there is evidence of </w:t>
      </w:r>
      <w:r w:rsidR="00A415F8" w:rsidRPr="008137D7">
        <w:rPr>
          <w:rFonts w:eastAsia="Times New Roman"/>
        </w:rPr>
        <w:t>thermostatic public responsiveness</w:t>
      </w:r>
      <w:r w:rsidR="007B5710" w:rsidRPr="008137D7">
        <w:rPr>
          <w:rFonts w:eastAsia="Times New Roman"/>
        </w:rPr>
        <w:t>; i</w:t>
      </w:r>
      <w:r w:rsidR="00A415F8" w:rsidRPr="008137D7">
        <w:rPr>
          <w:rFonts w:eastAsia="Times New Roman"/>
        </w:rPr>
        <w:t xml:space="preserve">n countries where </w:t>
      </w:r>
      <w:r w:rsidR="00D5445E" w:rsidRPr="008137D7">
        <w:rPr>
          <w:rFonts w:eastAsia="Times New Roman"/>
        </w:rPr>
        <w:t xml:space="preserve">press </w:t>
      </w:r>
      <w:r w:rsidR="00A415F8" w:rsidRPr="008137D7">
        <w:rPr>
          <w:rFonts w:eastAsia="Times New Roman"/>
        </w:rPr>
        <w:t>free</w:t>
      </w:r>
      <w:r w:rsidRPr="008137D7">
        <w:rPr>
          <w:rFonts w:eastAsia="Times New Roman"/>
        </w:rPr>
        <w:t>dom</w:t>
      </w:r>
      <w:r w:rsidR="00A415F8" w:rsidRPr="008137D7">
        <w:rPr>
          <w:rFonts w:eastAsia="Times New Roman"/>
        </w:rPr>
        <w:t xml:space="preserve"> is low, citizens </w:t>
      </w:r>
      <w:r w:rsidR="004B4CF3" w:rsidRPr="008137D7">
        <w:rPr>
          <w:rFonts w:eastAsia="Times New Roman"/>
        </w:rPr>
        <w:t xml:space="preserve">appear </w:t>
      </w:r>
      <w:r w:rsidRPr="008137D7">
        <w:rPr>
          <w:rFonts w:eastAsia="Times New Roman"/>
        </w:rPr>
        <w:t xml:space="preserve">less able </w:t>
      </w:r>
      <w:r w:rsidR="00A415F8" w:rsidRPr="008137D7">
        <w:rPr>
          <w:rFonts w:eastAsia="Times New Roman"/>
        </w:rPr>
        <w:t xml:space="preserve">to </w:t>
      </w:r>
      <w:r w:rsidR="00BB48C5" w:rsidRPr="008137D7">
        <w:rPr>
          <w:rFonts w:eastAsia="Times New Roman"/>
        </w:rPr>
        <w:t xml:space="preserve">notice and </w:t>
      </w:r>
      <w:r w:rsidR="00A415F8" w:rsidRPr="008137D7">
        <w:rPr>
          <w:rFonts w:eastAsia="Times New Roman"/>
        </w:rPr>
        <w:t>respond to government policy</w:t>
      </w:r>
      <w:r w:rsidR="00EA1492" w:rsidRPr="008137D7">
        <w:rPr>
          <w:rFonts w:eastAsia="Times New Roman"/>
        </w:rPr>
        <w:t>.</w:t>
      </w:r>
      <w:r w:rsidR="00972D71" w:rsidRPr="008137D7">
        <w:rPr>
          <w:rFonts w:eastAsia="Times New Roman"/>
        </w:rPr>
        <w:t xml:space="preserve"> </w:t>
      </w:r>
      <w:r w:rsidR="00DB2D05" w:rsidRPr="000C230A">
        <w:rPr>
          <w:rFonts w:eastAsia="Times New Roman"/>
          <w:color w:val="FF0000"/>
        </w:rPr>
        <w:t xml:space="preserve">These results </w:t>
      </w:r>
      <w:r w:rsidR="00972D71" w:rsidRPr="000C230A">
        <w:rPr>
          <w:rFonts w:eastAsia="Times New Roman"/>
          <w:color w:val="FF0000"/>
        </w:rPr>
        <w:t xml:space="preserve">suggest </w:t>
      </w:r>
      <w:r w:rsidR="00317A27" w:rsidRPr="000C230A">
        <w:rPr>
          <w:rFonts w:eastAsia="Times New Roman"/>
          <w:color w:val="FF0000"/>
        </w:rPr>
        <w:t xml:space="preserve">a </w:t>
      </w:r>
      <w:r w:rsidR="00F81C78" w:rsidRPr="000C230A">
        <w:rPr>
          <w:rFonts w:eastAsia="Times New Roman"/>
          <w:color w:val="FF0000"/>
        </w:rPr>
        <w:t xml:space="preserve">consequential </w:t>
      </w:r>
      <w:r w:rsidR="008D7D5B" w:rsidRPr="000C230A">
        <w:rPr>
          <w:rFonts w:eastAsia="Times New Roman"/>
          <w:color w:val="FF0000"/>
        </w:rPr>
        <w:t xml:space="preserve">role </w:t>
      </w:r>
      <w:r w:rsidR="00317A27" w:rsidRPr="000C230A">
        <w:rPr>
          <w:rFonts w:eastAsia="Times New Roman"/>
          <w:color w:val="FF0000"/>
        </w:rPr>
        <w:t xml:space="preserve">for mass </w:t>
      </w:r>
      <w:r w:rsidR="008D7D5B" w:rsidRPr="000C230A">
        <w:rPr>
          <w:rFonts w:eastAsia="Times New Roman"/>
          <w:color w:val="FF0000"/>
        </w:rPr>
        <w:t xml:space="preserve">media in representative democracy </w:t>
      </w:r>
      <w:r w:rsidR="008D7D5B" w:rsidRPr="008137D7">
        <w:rPr>
          <w:rFonts w:eastAsia="Times New Roman"/>
        </w:rPr>
        <w:t xml:space="preserve">– </w:t>
      </w:r>
      <w:r w:rsidR="00F81C78" w:rsidRPr="008137D7">
        <w:rPr>
          <w:rFonts w:eastAsia="Times New Roman"/>
        </w:rPr>
        <w:t>one</w:t>
      </w:r>
      <w:r w:rsidR="008D7D5B" w:rsidRPr="008137D7">
        <w:rPr>
          <w:rFonts w:eastAsia="Times New Roman"/>
        </w:rPr>
        <w:t xml:space="preserve"> that has been </w:t>
      </w:r>
      <w:r w:rsidR="008D6DCF" w:rsidRPr="008137D7">
        <w:rPr>
          <w:rFonts w:eastAsia="Times New Roman"/>
        </w:rPr>
        <w:t xml:space="preserve">often </w:t>
      </w:r>
      <w:r w:rsidR="008D7D5B" w:rsidRPr="008137D7">
        <w:rPr>
          <w:rFonts w:eastAsia="Times New Roman"/>
        </w:rPr>
        <w:t xml:space="preserve">discussed but </w:t>
      </w:r>
      <w:r w:rsidR="00674F64" w:rsidRPr="008137D7">
        <w:rPr>
          <w:rFonts w:eastAsia="Times New Roman"/>
        </w:rPr>
        <w:t xml:space="preserve">rarely </w:t>
      </w:r>
      <w:r w:rsidR="008D7D5B" w:rsidRPr="008137D7">
        <w:rPr>
          <w:rFonts w:eastAsia="Times New Roman"/>
        </w:rPr>
        <w:t xml:space="preserve">subjected to empirical testing. </w:t>
      </w:r>
      <w:r w:rsidR="001C1D72" w:rsidRPr="008137D7">
        <w:rPr>
          <w:rFonts w:eastAsia="Times New Roman"/>
        </w:rPr>
        <w:t>We thus regard t</w:t>
      </w:r>
      <w:r w:rsidR="007B5710" w:rsidRPr="008137D7">
        <w:rPr>
          <w:rFonts w:eastAsia="Times New Roman"/>
        </w:rPr>
        <w:t xml:space="preserve">his </w:t>
      </w:r>
      <w:r w:rsidR="001C1D72" w:rsidRPr="008137D7">
        <w:rPr>
          <w:rFonts w:eastAsia="Times New Roman"/>
        </w:rPr>
        <w:t>a</w:t>
      </w:r>
      <w:r w:rsidR="007B5710" w:rsidRPr="008137D7">
        <w:rPr>
          <w:rFonts w:eastAsia="Times New Roman"/>
        </w:rPr>
        <w:t xml:space="preserve">s a </w:t>
      </w:r>
      <w:r w:rsidR="00E36ABD" w:rsidRPr="008137D7">
        <w:rPr>
          <w:rFonts w:eastAsia="Times New Roman"/>
        </w:rPr>
        <w:t xml:space="preserve">notable </w:t>
      </w:r>
      <w:r w:rsidR="007E7D4C" w:rsidRPr="008137D7">
        <w:rPr>
          <w:rFonts w:eastAsia="Times New Roman"/>
        </w:rPr>
        <w:t xml:space="preserve">and timely </w:t>
      </w:r>
      <w:r w:rsidR="007B5710" w:rsidRPr="008137D7">
        <w:rPr>
          <w:rFonts w:eastAsia="Times New Roman"/>
        </w:rPr>
        <w:t>result</w:t>
      </w:r>
      <w:r w:rsidR="007E7D4C" w:rsidRPr="008137D7">
        <w:rPr>
          <w:rFonts w:eastAsia="Times New Roman"/>
        </w:rPr>
        <w:t>,</w:t>
      </w:r>
      <w:r w:rsidR="007B5710" w:rsidRPr="008137D7">
        <w:rPr>
          <w:rFonts w:eastAsia="Times New Roman"/>
        </w:rPr>
        <w:t xml:space="preserve"> with </w:t>
      </w:r>
      <w:r w:rsidR="00A64525" w:rsidRPr="008137D7">
        <w:rPr>
          <w:rFonts w:eastAsia="Times New Roman"/>
        </w:rPr>
        <w:t xml:space="preserve">potentially </w:t>
      </w:r>
      <w:r w:rsidR="007B5710" w:rsidRPr="008137D7">
        <w:rPr>
          <w:rFonts w:eastAsia="Times New Roman"/>
        </w:rPr>
        <w:t xml:space="preserve">important implications </w:t>
      </w:r>
      <w:r w:rsidR="00640667" w:rsidRPr="008137D7">
        <w:rPr>
          <w:rFonts w:eastAsia="Times New Roman"/>
        </w:rPr>
        <w:t xml:space="preserve">for the current state of affairs </w:t>
      </w:r>
      <w:r w:rsidR="00A3501F" w:rsidRPr="008137D7">
        <w:rPr>
          <w:rFonts w:eastAsia="Times New Roman"/>
        </w:rPr>
        <w:t xml:space="preserve">both </w:t>
      </w:r>
      <w:r w:rsidR="00640667" w:rsidRPr="008137D7">
        <w:rPr>
          <w:rFonts w:eastAsia="Times New Roman"/>
        </w:rPr>
        <w:t>in the US</w:t>
      </w:r>
      <w:r w:rsidR="00A3501F" w:rsidRPr="008137D7">
        <w:rPr>
          <w:rFonts w:eastAsia="Times New Roman"/>
        </w:rPr>
        <w:t xml:space="preserve"> and other nations</w:t>
      </w:r>
      <w:r w:rsidR="00956612" w:rsidRPr="008137D7">
        <w:rPr>
          <w:rFonts w:eastAsia="Times New Roman"/>
        </w:rPr>
        <w:t>.</w:t>
      </w:r>
    </w:p>
    <w:p w14:paraId="3162F16C" w14:textId="1E4F8EFE" w:rsidR="00F808F0" w:rsidRPr="008137D7" w:rsidRDefault="004726E7" w:rsidP="00D5445E">
      <w:pPr>
        <w:spacing w:line="480" w:lineRule="auto"/>
        <w:jc w:val="center"/>
        <w:rPr>
          <w:rFonts w:eastAsia="Times New Roman"/>
          <w:sz w:val="28"/>
          <w:szCs w:val="28"/>
        </w:rPr>
      </w:pPr>
      <w:r w:rsidRPr="008137D7">
        <w:rPr>
          <w:rFonts w:eastAsia="Times New Roman"/>
          <w:sz w:val="28"/>
          <w:szCs w:val="28"/>
        </w:rPr>
        <w:t xml:space="preserve">On </w:t>
      </w:r>
      <w:r w:rsidR="00F808F0" w:rsidRPr="008137D7">
        <w:rPr>
          <w:rFonts w:eastAsia="Times New Roman"/>
          <w:sz w:val="28"/>
          <w:szCs w:val="28"/>
        </w:rPr>
        <w:t>Public Responsiveness</w:t>
      </w:r>
    </w:p>
    <w:p w14:paraId="0015BC78" w14:textId="261923DD" w:rsidR="00050097" w:rsidRPr="008137D7" w:rsidRDefault="001E4BC5" w:rsidP="00170E63">
      <w:pPr>
        <w:spacing w:line="480" w:lineRule="auto"/>
        <w:ind w:firstLine="720"/>
        <w:jc w:val="both"/>
        <w:rPr>
          <w:rFonts w:eastAsia="Times New Roman"/>
        </w:rPr>
      </w:pPr>
      <w:r w:rsidRPr="008137D7">
        <w:t xml:space="preserve">Representative democracy depends on </w:t>
      </w:r>
      <w:r w:rsidR="005806BD" w:rsidRPr="008137D7">
        <w:t xml:space="preserve">an </w:t>
      </w:r>
      <w:r w:rsidRPr="008137D7">
        <w:t xml:space="preserve">informed public.  </w:t>
      </w:r>
      <w:r w:rsidR="00F37135" w:rsidRPr="008137D7">
        <w:t>This</w:t>
      </w:r>
      <w:r w:rsidRPr="008137D7">
        <w:t xml:space="preserve"> is necessary to hold governments accountable, the primary mechanism for incentivizing effective representation</w:t>
      </w:r>
      <w:r w:rsidR="00481596" w:rsidRPr="008137D7">
        <w:rPr>
          <w:rFonts w:eastAsia="Times New Roman"/>
        </w:rPr>
        <w:t xml:space="preserve">.  </w:t>
      </w:r>
      <w:r w:rsidR="00050097" w:rsidRPr="008137D7">
        <w:rPr>
          <w:rFonts w:eastAsia="Times New Roman"/>
        </w:rPr>
        <w:t xml:space="preserve">There is accordingly a large body of work </w:t>
      </w:r>
      <w:r w:rsidR="00610A7E">
        <w:rPr>
          <w:rFonts w:eastAsia="Times New Roman"/>
        </w:rPr>
        <w:t xml:space="preserve">that </w:t>
      </w:r>
      <w:r w:rsidR="00050097" w:rsidRPr="008137D7">
        <w:rPr>
          <w:rFonts w:eastAsia="Times New Roman"/>
        </w:rPr>
        <w:t>focuse</w:t>
      </w:r>
      <w:r w:rsidR="00610A7E">
        <w:rPr>
          <w:rFonts w:eastAsia="Times New Roman"/>
        </w:rPr>
        <w:t>s</w:t>
      </w:r>
      <w:r w:rsidR="00050097" w:rsidRPr="008137D7">
        <w:rPr>
          <w:rFonts w:eastAsia="Times New Roman"/>
        </w:rPr>
        <w:t xml:space="preserve"> on</w:t>
      </w:r>
      <w:r w:rsidR="006C3F90" w:rsidRPr="008137D7">
        <w:rPr>
          <w:rFonts w:eastAsia="Times New Roman"/>
        </w:rPr>
        <w:t xml:space="preserve">, and </w:t>
      </w:r>
      <w:r w:rsidR="00AD1330" w:rsidRPr="008137D7">
        <w:rPr>
          <w:rFonts w:eastAsia="Times New Roman"/>
        </w:rPr>
        <w:t xml:space="preserve">often </w:t>
      </w:r>
      <w:r w:rsidR="00610A7E">
        <w:rPr>
          <w:rFonts w:eastAsia="Times New Roman"/>
        </w:rPr>
        <w:t xml:space="preserve">has </w:t>
      </w:r>
      <w:r w:rsidR="006C3F90" w:rsidRPr="008137D7">
        <w:rPr>
          <w:rFonts w:eastAsia="Times New Roman"/>
        </w:rPr>
        <w:t>f</w:t>
      </w:r>
      <w:r w:rsidR="004726E7" w:rsidRPr="008137D7">
        <w:rPr>
          <w:rFonts w:eastAsia="Times New Roman"/>
        </w:rPr>
        <w:t>ound</w:t>
      </w:r>
      <w:r w:rsidR="006C3F90" w:rsidRPr="008137D7">
        <w:rPr>
          <w:rFonts w:eastAsia="Times New Roman"/>
        </w:rPr>
        <w:t xml:space="preserve"> evidence of,</w:t>
      </w:r>
      <w:r w:rsidR="00050097" w:rsidRPr="008137D7">
        <w:rPr>
          <w:rFonts w:eastAsia="Times New Roman"/>
        </w:rPr>
        <w:t xml:space="preserve"> public </w:t>
      </w:r>
      <w:r w:rsidR="00686646" w:rsidRPr="008137D7">
        <w:rPr>
          <w:rFonts w:eastAsia="Times New Roman"/>
        </w:rPr>
        <w:t>response</w:t>
      </w:r>
      <w:r w:rsidR="009160A3" w:rsidRPr="008137D7">
        <w:rPr>
          <w:rFonts w:eastAsia="Times New Roman"/>
        </w:rPr>
        <w:t xml:space="preserve"> to government actions</w:t>
      </w:r>
      <w:r w:rsidR="00481596" w:rsidRPr="008137D7">
        <w:rPr>
          <w:rFonts w:eastAsia="Times New Roman"/>
        </w:rPr>
        <w:t xml:space="preserve">.  </w:t>
      </w:r>
      <w:r w:rsidR="00050097" w:rsidRPr="008137D7">
        <w:rPr>
          <w:rFonts w:eastAsia="Times New Roman"/>
        </w:rPr>
        <w:t xml:space="preserve">Stimson’s (1991, 1999) </w:t>
      </w:r>
      <w:r w:rsidR="00FC01B3">
        <w:rPr>
          <w:rFonts w:eastAsia="Times New Roman"/>
        </w:rPr>
        <w:t xml:space="preserve">characterization of the public’s </w:t>
      </w:r>
      <w:r w:rsidR="00050097" w:rsidRPr="008137D7">
        <w:rPr>
          <w:rFonts w:eastAsia="Times New Roman"/>
        </w:rPr>
        <w:t>“policy mood”</w:t>
      </w:r>
      <w:r w:rsidR="006C3F90" w:rsidRPr="008137D7">
        <w:rPr>
          <w:rFonts w:eastAsia="Times New Roman"/>
        </w:rPr>
        <w:t xml:space="preserve"> </w:t>
      </w:r>
      <w:r w:rsidR="00610A7E">
        <w:rPr>
          <w:rFonts w:eastAsia="Times New Roman"/>
        </w:rPr>
        <w:t xml:space="preserve">actually </w:t>
      </w:r>
      <w:r w:rsidR="00FC01B3">
        <w:rPr>
          <w:rFonts w:eastAsia="Times New Roman"/>
        </w:rPr>
        <w:t xml:space="preserve">implies negative feedback </w:t>
      </w:r>
      <w:r w:rsidR="00050097" w:rsidRPr="008137D7">
        <w:rPr>
          <w:rFonts w:eastAsia="Times New Roman"/>
        </w:rPr>
        <w:t xml:space="preserve">when </w:t>
      </w:r>
      <w:r w:rsidR="00FC01B3">
        <w:rPr>
          <w:rFonts w:eastAsia="Times New Roman"/>
        </w:rPr>
        <w:t xml:space="preserve">policy </w:t>
      </w:r>
      <w:r w:rsidR="00050097" w:rsidRPr="008137D7">
        <w:rPr>
          <w:rFonts w:eastAsia="Times New Roman"/>
        </w:rPr>
        <w:t>move</w:t>
      </w:r>
      <w:r w:rsidR="00FC01B3">
        <w:rPr>
          <w:rFonts w:eastAsia="Times New Roman"/>
        </w:rPr>
        <w:t>s</w:t>
      </w:r>
      <w:r w:rsidR="00050097" w:rsidRPr="008137D7">
        <w:rPr>
          <w:rFonts w:eastAsia="Times New Roman"/>
        </w:rPr>
        <w:t xml:space="preserve"> outside</w:t>
      </w:r>
      <w:r w:rsidR="00FC01B3">
        <w:rPr>
          <w:rFonts w:eastAsia="Times New Roman"/>
        </w:rPr>
        <w:t xml:space="preserve"> a</w:t>
      </w:r>
      <w:r w:rsidR="00050097" w:rsidRPr="008137D7">
        <w:rPr>
          <w:rFonts w:eastAsia="Times New Roman"/>
        </w:rPr>
        <w:t xml:space="preserve"> “zone of acquiescence” (</w:t>
      </w:r>
      <w:r w:rsidR="009160A3" w:rsidRPr="008137D7">
        <w:rPr>
          <w:rFonts w:eastAsia="Times New Roman"/>
        </w:rPr>
        <w:t>al</w:t>
      </w:r>
      <w:r w:rsidR="00050097" w:rsidRPr="008137D7">
        <w:rPr>
          <w:rFonts w:eastAsia="Times New Roman"/>
        </w:rPr>
        <w:t>so see Erikson et al. 2002)</w:t>
      </w:r>
      <w:r w:rsidR="009160A3" w:rsidRPr="008137D7">
        <w:rPr>
          <w:rFonts w:eastAsia="Times New Roman"/>
        </w:rPr>
        <w:t xml:space="preserve">.  </w:t>
      </w:r>
      <w:r w:rsidR="00170E63">
        <w:rPr>
          <w:rFonts w:eastAsia="Times New Roman"/>
        </w:rPr>
        <w:t>S</w:t>
      </w:r>
      <w:r w:rsidR="00610A7E">
        <w:rPr>
          <w:rFonts w:eastAsia="Times New Roman"/>
        </w:rPr>
        <w:t>ubsequent analysis</w:t>
      </w:r>
      <w:r w:rsidR="00050097" w:rsidRPr="008137D7">
        <w:rPr>
          <w:rFonts w:eastAsia="Times New Roman"/>
        </w:rPr>
        <w:t xml:space="preserve">  </w:t>
      </w:r>
      <w:r w:rsidR="00170E63">
        <w:rPr>
          <w:rFonts w:eastAsia="Times New Roman"/>
        </w:rPr>
        <w:t xml:space="preserve">by </w:t>
      </w:r>
      <w:r w:rsidR="00170E63" w:rsidRPr="008137D7">
        <w:rPr>
          <w:rFonts w:eastAsia="Times New Roman"/>
        </w:rPr>
        <w:t>Durr</w:t>
      </w:r>
      <w:r w:rsidR="00170E63">
        <w:rPr>
          <w:rFonts w:eastAsia="Times New Roman"/>
        </w:rPr>
        <w:t xml:space="preserve"> </w:t>
      </w:r>
      <w:r w:rsidR="00170E63" w:rsidRPr="008137D7">
        <w:rPr>
          <w:rFonts w:eastAsia="Times New Roman"/>
        </w:rPr>
        <w:t xml:space="preserve">(1993) </w:t>
      </w:r>
      <w:r w:rsidR="00050097" w:rsidRPr="008137D7">
        <w:rPr>
          <w:rFonts w:eastAsia="Times New Roman"/>
        </w:rPr>
        <w:t xml:space="preserve">reveals </w:t>
      </w:r>
      <w:r w:rsidR="00C211F7">
        <w:rPr>
          <w:rFonts w:eastAsia="Times New Roman"/>
        </w:rPr>
        <w:t xml:space="preserve">such </w:t>
      </w:r>
      <w:r w:rsidR="00C06C6F">
        <w:rPr>
          <w:rFonts w:eastAsia="Times New Roman"/>
        </w:rPr>
        <w:t xml:space="preserve">a reaction </w:t>
      </w:r>
      <w:r w:rsidR="00431A0E">
        <w:rPr>
          <w:rFonts w:eastAsia="Times New Roman"/>
        </w:rPr>
        <w:t xml:space="preserve">of mood to policy </w:t>
      </w:r>
      <w:r w:rsidR="00C06C6F">
        <w:rPr>
          <w:rFonts w:eastAsia="Times New Roman"/>
        </w:rPr>
        <w:t xml:space="preserve">alongside </w:t>
      </w:r>
      <w:r w:rsidR="00050097" w:rsidRPr="008137D7">
        <w:rPr>
          <w:rFonts w:eastAsia="Times New Roman"/>
        </w:rPr>
        <w:t xml:space="preserve">a systematic pro-cyclical impact of macroeconomic </w:t>
      </w:r>
      <w:r w:rsidR="001315C1">
        <w:rPr>
          <w:rFonts w:eastAsia="Times New Roman"/>
        </w:rPr>
        <w:t>evaluations</w:t>
      </w:r>
      <w:r w:rsidR="00481596" w:rsidRPr="008137D7">
        <w:rPr>
          <w:rFonts w:eastAsia="Times New Roman"/>
        </w:rPr>
        <w:t xml:space="preserve">. </w:t>
      </w:r>
      <w:r w:rsidR="00170E63">
        <w:rPr>
          <w:rFonts w:eastAsia="Times New Roman"/>
        </w:rPr>
        <w:t xml:space="preserve"> </w:t>
      </w:r>
      <w:r w:rsidR="00170E63" w:rsidRPr="00170E63">
        <w:rPr>
          <w:rFonts w:eastAsia="Times New Roman"/>
        </w:rPr>
        <w:t>Page and Shapiro’s (1992) classic research on  aggregate opinion trends across domains demonstrates “rational” patterns, including connections to economic and policy change</w:t>
      </w:r>
      <w:r w:rsidR="00050097" w:rsidRPr="008137D7">
        <w:rPr>
          <w:rFonts w:eastAsia="Times New Roman"/>
        </w:rPr>
        <w:t xml:space="preserve">. </w:t>
      </w:r>
    </w:p>
    <w:p w14:paraId="04213D01" w14:textId="7C1792B0" w:rsidR="00F23906" w:rsidRPr="008137D7" w:rsidRDefault="00AD1330" w:rsidP="00F23906">
      <w:pPr>
        <w:spacing w:line="480" w:lineRule="auto"/>
        <w:ind w:firstLine="720"/>
        <w:jc w:val="both"/>
        <w:rPr>
          <w:rFonts w:eastAsia="Times New Roman"/>
        </w:rPr>
      </w:pPr>
      <w:r w:rsidRPr="008137D7">
        <w:rPr>
          <w:rFonts w:eastAsia="Times New Roman"/>
        </w:rPr>
        <w:lastRenderedPageBreak/>
        <w:t>This work has much in common with the literature on “thermostatic” public responsiveness</w:t>
      </w:r>
      <w:r w:rsidR="002230A8" w:rsidRPr="008137D7">
        <w:rPr>
          <w:rFonts w:eastAsia="Times New Roman"/>
        </w:rPr>
        <w:t xml:space="preserve"> (see, e.g., Eichenberg and Stoll 2003; Erikson et al. 2002; Jennings 2009; Jennings and John 2009; Pacheco 2013; Page and Shapiro 1992; Stimson et al. 1995; Soroka and Wlezien 2010</w:t>
      </w:r>
      <w:r w:rsidR="0049782F" w:rsidRPr="008137D7">
        <w:rPr>
          <w:rFonts w:eastAsia="Times New Roman"/>
        </w:rPr>
        <w:t>;</w:t>
      </w:r>
      <w:r w:rsidR="002230A8" w:rsidRPr="008137D7">
        <w:rPr>
          <w:rFonts w:eastAsia="Times New Roman"/>
        </w:rPr>
        <w:t xml:space="preserve"> Wlezien 1995; 2004)</w:t>
      </w:r>
      <w:r w:rsidR="00481596" w:rsidRPr="008137D7">
        <w:rPr>
          <w:rFonts w:eastAsia="Times New Roman"/>
        </w:rPr>
        <w:t xml:space="preserve">.  </w:t>
      </w:r>
      <w:r w:rsidR="002230A8" w:rsidRPr="008137D7">
        <w:rPr>
          <w:rFonts w:eastAsia="Times New Roman"/>
        </w:rPr>
        <w:t xml:space="preserve">The basic </w:t>
      </w:r>
      <w:r w:rsidR="00526A74" w:rsidRPr="008137D7">
        <w:rPr>
          <w:rFonts w:eastAsia="Times New Roman"/>
        </w:rPr>
        <w:t xml:space="preserve">thermostatic </w:t>
      </w:r>
      <w:r w:rsidR="002230A8" w:rsidRPr="008137D7">
        <w:rPr>
          <w:rFonts w:eastAsia="Times New Roman"/>
        </w:rPr>
        <w:t>model is straightforward</w:t>
      </w:r>
      <w:r w:rsidR="00E10D22" w:rsidRPr="008137D7">
        <w:t>, wherein the public’s preference for “more” policy – its relative preference</w:t>
      </w:r>
      <w:r w:rsidR="00E10D22" w:rsidRPr="008137D7">
        <w:rPr>
          <w:i/>
          <w:iCs/>
        </w:rPr>
        <w:t xml:space="preserve"> </w:t>
      </w:r>
      <w:r w:rsidR="00E10D22" w:rsidRPr="008137D7">
        <w:t>– represents the difference between the public’s preferred level of policy and the level it actually gets</w:t>
      </w:r>
      <w:r w:rsidR="004024B0" w:rsidRPr="008137D7">
        <w:t>.</w:t>
      </w:r>
      <w:r w:rsidR="00F23906" w:rsidRPr="008137D7">
        <w:rPr>
          <w:rFonts w:eastAsia="Times New Roman"/>
        </w:rPr>
        <w:t xml:space="preserve">  If the public is informed about policy, the public will</w:t>
      </w:r>
      <w:r w:rsidR="008835D7" w:rsidRPr="008137D7">
        <w:rPr>
          <w:rFonts w:eastAsia="Times New Roman"/>
        </w:rPr>
        <w:t xml:space="preserve"> </w:t>
      </w:r>
      <w:r w:rsidR="00F23906" w:rsidRPr="008137D7">
        <w:rPr>
          <w:rFonts w:eastAsia="Times New Roman"/>
        </w:rPr>
        <w:t>adjust i</w:t>
      </w:r>
      <w:r w:rsidR="00781C95" w:rsidRPr="008137D7">
        <w:rPr>
          <w:rFonts w:eastAsia="Times New Roman"/>
        </w:rPr>
        <w:t>t’</w:t>
      </w:r>
      <w:r w:rsidR="00F23906" w:rsidRPr="008137D7">
        <w:rPr>
          <w:rFonts w:eastAsia="Times New Roman"/>
        </w:rPr>
        <w:t xml:space="preserve">s preferences accordingly, </w:t>
      </w:r>
      <w:r w:rsidR="0075277D" w:rsidRPr="008137D7">
        <w:rPr>
          <w:rFonts w:eastAsia="Times New Roman"/>
        </w:rPr>
        <w:t xml:space="preserve">signaling support </w:t>
      </w:r>
      <w:r w:rsidRPr="008137D7">
        <w:rPr>
          <w:rFonts w:eastAsia="Times New Roman"/>
        </w:rPr>
        <w:t xml:space="preserve">for more </w:t>
      </w:r>
      <w:r w:rsidR="009E0335" w:rsidRPr="008137D7">
        <w:rPr>
          <w:rFonts w:eastAsia="Times New Roman"/>
        </w:rPr>
        <w:t xml:space="preserve">(less) </w:t>
      </w:r>
      <w:r w:rsidRPr="008137D7">
        <w:rPr>
          <w:rFonts w:eastAsia="Times New Roman"/>
        </w:rPr>
        <w:t>policy when the policy “temperature” is too low</w:t>
      </w:r>
      <w:r w:rsidR="009E0335" w:rsidRPr="008137D7">
        <w:rPr>
          <w:rFonts w:eastAsia="Times New Roman"/>
        </w:rPr>
        <w:t xml:space="preserve"> (high), and adjusting </w:t>
      </w:r>
      <w:r w:rsidR="00DB6C66" w:rsidRPr="008137D7">
        <w:rPr>
          <w:rFonts w:eastAsia="Times New Roman"/>
        </w:rPr>
        <w:t xml:space="preserve">in response to </w:t>
      </w:r>
      <w:r w:rsidR="009E0335" w:rsidRPr="008137D7">
        <w:rPr>
          <w:rFonts w:eastAsia="Times New Roman"/>
        </w:rPr>
        <w:t>policy</w:t>
      </w:r>
      <w:r w:rsidR="0049782F" w:rsidRPr="008137D7">
        <w:rPr>
          <w:rFonts w:eastAsia="Times New Roman"/>
        </w:rPr>
        <w:t xml:space="preserve"> change</w:t>
      </w:r>
      <w:r w:rsidR="00481596" w:rsidRPr="008137D7">
        <w:rPr>
          <w:rFonts w:eastAsia="Times New Roman"/>
        </w:rPr>
        <w:t xml:space="preserve">.  </w:t>
      </w:r>
    </w:p>
    <w:p w14:paraId="582ED089" w14:textId="1A84F5F6" w:rsidR="00A16E33" w:rsidRPr="008137D7" w:rsidRDefault="00124A75" w:rsidP="00F23906">
      <w:pPr>
        <w:spacing w:line="480" w:lineRule="auto"/>
        <w:ind w:firstLine="720"/>
        <w:jc w:val="both"/>
        <w:rPr>
          <w:rFonts w:eastAsia="Times New Roman"/>
        </w:rPr>
      </w:pPr>
      <w:r w:rsidRPr="008137D7">
        <w:rPr>
          <w:rFonts w:eastAsia="Times New Roman"/>
        </w:rPr>
        <w:t>The typical</w:t>
      </w:r>
      <w:r w:rsidR="00BF7A23" w:rsidRPr="008137D7">
        <w:rPr>
          <w:rFonts w:eastAsia="Times New Roman"/>
        </w:rPr>
        <w:t xml:space="preserve"> conception </w:t>
      </w:r>
      <w:r w:rsidR="00F23906" w:rsidRPr="008137D7">
        <w:rPr>
          <w:rFonts w:eastAsia="Times New Roman"/>
        </w:rPr>
        <w:t xml:space="preserve">of the thermostatic model </w:t>
      </w:r>
      <w:r w:rsidR="00BF7A23" w:rsidRPr="008137D7">
        <w:rPr>
          <w:rFonts w:eastAsia="Times New Roman"/>
        </w:rPr>
        <w:t xml:space="preserve">views the relationship as </w:t>
      </w:r>
      <w:r w:rsidR="00253C3A" w:rsidRPr="008137D7">
        <w:rPr>
          <w:rFonts w:eastAsia="Times New Roman"/>
        </w:rPr>
        <w:t xml:space="preserve">unfolding </w:t>
      </w:r>
      <w:r w:rsidR="00F23906" w:rsidRPr="008137D7">
        <w:rPr>
          <w:rFonts w:eastAsia="Times New Roman"/>
        </w:rPr>
        <w:t>through</w:t>
      </w:r>
      <w:r w:rsidRPr="008137D7">
        <w:rPr>
          <w:rFonts w:eastAsia="Times New Roman"/>
        </w:rPr>
        <w:t xml:space="preserve"> time</w:t>
      </w:r>
      <w:r w:rsidR="00BF7A23" w:rsidRPr="008137D7">
        <w:rPr>
          <w:rFonts w:eastAsia="Times New Roman"/>
        </w:rPr>
        <w:t xml:space="preserve">; </w:t>
      </w:r>
      <w:r w:rsidRPr="008137D7">
        <w:rPr>
          <w:rFonts w:eastAsia="Times New Roman"/>
        </w:rPr>
        <w:t xml:space="preserve">the </w:t>
      </w:r>
      <w:r w:rsidR="00E10D22" w:rsidRPr="008137D7">
        <w:rPr>
          <w:rFonts w:eastAsia="Times New Roman"/>
        </w:rPr>
        <w:t>public’s relative prefe</w:t>
      </w:r>
      <w:r w:rsidRPr="008137D7">
        <w:rPr>
          <w:rFonts w:eastAsia="Times New Roman"/>
        </w:rPr>
        <w:t>re</w:t>
      </w:r>
      <w:r w:rsidR="00E10D22" w:rsidRPr="008137D7">
        <w:rPr>
          <w:rFonts w:eastAsia="Times New Roman"/>
        </w:rPr>
        <w:t xml:space="preserve">nces </w:t>
      </w:r>
      <w:r w:rsidRPr="008137D7">
        <w:rPr>
          <w:rFonts w:eastAsia="Times New Roman"/>
        </w:rPr>
        <w:t>change when either the public’s preferred level of policy changes or policy itself changes, unless of course those changes cancel out</w:t>
      </w:r>
      <w:r w:rsidR="00481596" w:rsidRPr="008137D7">
        <w:rPr>
          <w:rFonts w:eastAsia="Times New Roman"/>
        </w:rPr>
        <w:t xml:space="preserve">.  </w:t>
      </w:r>
      <w:r w:rsidR="0024157A" w:rsidRPr="008137D7">
        <w:rPr>
          <w:rFonts w:eastAsia="Times New Roman"/>
        </w:rPr>
        <w:t xml:space="preserve">While there is a great deal of research using the thermostatic model in longitudinal analyses, </w:t>
      </w:r>
      <w:r w:rsidR="002230A8" w:rsidRPr="008137D7">
        <w:rPr>
          <w:rFonts w:eastAsia="Times New Roman"/>
        </w:rPr>
        <w:t xml:space="preserve">the model </w:t>
      </w:r>
      <w:r w:rsidRPr="008137D7">
        <w:rPr>
          <w:rFonts w:eastAsia="Times New Roman"/>
        </w:rPr>
        <w:t>also applies</w:t>
      </w:r>
      <w:r w:rsidR="002230A8" w:rsidRPr="008137D7">
        <w:rPr>
          <w:rFonts w:eastAsia="Times New Roman"/>
        </w:rPr>
        <w:t xml:space="preserve"> across space, as has been shown in past work </w:t>
      </w:r>
      <w:r w:rsidR="00860F90" w:rsidRPr="008137D7">
        <w:rPr>
          <w:rFonts w:eastAsia="Times New Roman"/>
        </w:rPr>
        <w:t xml:space="preserve">comparing states and countries </w:t>
      </w:r>
      <w:r w:rsidR="002230A8" w:rsidRPr="008137D7">
        <w:rPr>
          <w:rFonts w:eastAsia="Times New Roman"/>
        </w:rPr>
        <w:t>(</w:t>
      </w:r>
      <w:r w:rsidR="00E86C52" w:rsidRPr="008137D7">
        <w:rPr>
          <w:rFonts w:eastAsia="Times New Roman"/>
        </w:rPr>
        <w:t>i.e.</w:t>
      </w:r>
      <w:r w:rsidR="002230A8" w:rsidRPr="008137D7">
        <w:rPr>
          <w:rFonts w:eastAsia="Times New Roman"/>
        </w:rPr>
        <w:t xml:space="preserve">, </w:t>
      </w:r>
      <w:r w:rsidRPr="008137D7">
        <w:rPr>
          <w:rFonts w:eastAsia="Times New Roman"/>
        </w:rPr>
        <w:t xml:space="preserve">Goggin and Wlezien 1993; </w:t>
      </w:r>
      <w:r w:rsidR="002230A8" w:rsidRPr="008137D7">
        <w:rPr>
          <w:rFonts w:eastAsia="Times New Roman"/>
        </w:rPr>
        <w:t>Wlezien and Soroka 2012)</w:t>
      </w:r>
      <w:r w:rsidR="00481596" w:rsidRPr="008137D7">
        <w:rPr>
          <w:rFonts w:eastAsia="Times New Roman"/>
        </w:rPr>
        <w:t xml:space="preserve">.  </w:t>
      </w:r>
      <w:r w:rsidR="00E46A37" w:rsidRPr="008137D7">
        <w:rPr>
          <w:rFonts w:eastAsia="Times New Roman"/>
        </w:rPr>
        <w:t xml:space="preserve">Similar to the </w:t>
      </w:r>
      <w:r w:rsidR="00BE46D4" w:rsidRPr="008137D7">
        <w:rPr>
          <w:rFonts w:eastAsia="Times New Roman"/>
        </w:rPr>
        <w:t xml:space="preserve">over-time model, preferences </w:t>
      </w:r>
      <w:r w:rsidR="002230A8" w:rsidRPr="008137D7">
        <w:rPr>
          <w:rFonts w:eastAsia="Times New Roman"/>
        </w:rPr>
        <w:t xml:space="preserve">for more or less policy in each </w:t>
      </w:r>
      <w:r w:rsidR="00945010" w:rsidRPr="008137D7">
        <w:rPr>
          <w:rFonts w:eastAsia="Times New Roman"/>
        </w:rPr>
        <w:t>place</w:t>
      </w:r>
      <w:r w:rsidR="002230A8" w:rsidRPr="008137D7">
        <w:rPr>
          <w:rFonts w:eastAsia="Times New Roman"/>
        </w:rPr>
        <w:t xml:space="preserve"> depend on whether, and the extent to which, the public’s preferred level is greater than policy itself in the different </w:t>
      </w:r>
      <w:r w:rsidR="003140C8" w:rsidRPr="008137D7">
        <w:rPr>
          <w:rFonts w:eastAsia="Times New Roman"/>
        </w:rPr>
        <w:t>contexts</w:t>
      </w:r>
      <w:r w:rsidR="00481596" w:rsidRPr="008137D7">
        <w:rPr>
          <w:rFonts w:eastAsia="Times New Roman"/>
        </w:rPr>
        <w:t>.</w:t>
      </w:r>
      <w:r w:rsidR="00EB5006" w:rsidRPr="008137D7">
        <w:rPr>
          <w:rFonts w:eastAsia="Times New Roman"/>
        </w:rPr>
        <w:t xml:space="preserve">  </w:t>
      </w:r>
      <w:r w:rsidR="00526A74" w:rsidRPr="008137D7">
        <w:rPr>
          <w:rFonts w:eastAsia="Times New Roman"/>
        </w:rPr>
        <w:t>This cross-</w:t>
      </w:r>
      <w:r w:rsidR="00945010" w:rsidRPr="008137D7">
        <w:rPr>
          <w:rFonts w:eastAsia="Times New Roman"/>
        </w:rPr>
        <w:t>unit</w:t>
      </w:r>
      <w:r w:rsidR="00526A74" w:rsidRPr="008137D7">
        <w:rPr>
          <w:rFonts w:eastAsia="Times New Roman"/>
        </w:rPr>
        <w:t xml:space="preserve"> variance is critical to the analysis that follows, as we shall see.</w:t>
      </w:r>
      <w:r w:rsidR="00451A8F" w:rsidRPr="008137D7">
        <w:rPr>
          <w:rStyle w:val="FootnoteReference"/>
          <w:rFonts w:eastAsia="Times New Roman"/>
        </w:rPr>
        <w:footnoteReference w:id="2"/>
      </w:r>
    </w:p>
    <w:p w14:paraId="17030518" w14:textId="55838E2F" w:rsidR="00A16E33" w:rsidRPr="008137D7" w:rsidRDefault="002230A8" w:rsidP="0075277D">
      <w:pPr>
        <w:spacing w:line="480" w:lineRule="auto"/>
        <w:ind w:firstLine="720"/>
        <w:jc w:val="both"/>
        <w:rPr>
          <w:rFonts w:eastAsia="Times New Roman"/>
        </w:rPr>
      </w:pPr>
      <w:r w:rsidRPr="008137D7">
        <w:rPr>
          <w:rFonts w:eastAsia="Times New Roman"/>
        </w:rPr>
        <w:lastRenderedPageBreak/>
        <w:t>A</w:t>
      </w:r>
      <w:r w:rsidR="005707B8" w:rsidRPr="008137D7">
        <w:rPr>
          <w:rFonts w:eastAsia="Times New Roman"/>
        </w:rPr>
        <w:t>s noted above,</w:t>
      </w:r>
      <w:r w:rsidRPr="008137D7">
        <w:rPr>
          <w:rFonts w:eastAsia="Times New Roman"/>
        </w:rPr>
        <w:t xml:space="preserve"> effective representative democracy depends on a public that is at least minimally informed, </w:t>
      </w:r>
      <w:r w:rsidR="00EA11F7" w:rsidRPr="008137D7">
        <w:rPr>
          <w:rFonts w:eastAsia="Times New Roman"/>
        </w:rPr>
        <w:t xml:space="preserve">and </w:t>
      </w:r>
      <w:r w:rsidRPr="008137D7">
        <w:rPr>
          <w:rFonts w:eastAsia="Times New Roman"/>
        </w:rPr>
        <w:t xml:space="preserve">at least partly responsive to </w:t>
      </w:r>
      <w:r w:rsidR="007A43BB" w:rsidRPr="008137D7">
        <w:rPr>
          <w:rFonts w:eastAsia="Times New Roman"/>
        </w:rPr>
        <w:t>policy produced by governments</w:t>
      </w:r>
      <w:r w:rsidRPr="008137D7">
        <w:rPr>
          <w:rFonts w:eastAsia="Times New Roman"/>
        </w:rPr>
        <w:t xml:space="preserve">. </w:t>
      </w:r>
      <w:r w:rsidR="0042004E" w:rsidRPr="008137D7">
        <w:rPr>
          <w:rFonts w:eastAsia="Times New Roman"/>
        </w:rPr>
        <w:t xml:space="preserve"> </w:t>
      </w:r>
      <w:r w:rsidR="00992F64" w:rsidRPr="008137D7">
        <w:rPr>
          <w:rFonts w:eastAsia="Times New Roman"/>
        </w:rPr>
        <w:t>I</w:t>
      </w:r>
      <w:r w:rsidRPr="008137D7">
        <w:rPr>
          <w:rFonts w:eastAsia="Times New Roman"/>
        </w:rPr>
        <w:t>n the absence of thermostatic responsiveness</w:t>
      </w:r>
      <w:r w:rsidR="00992F64" w:rsidRPr="008137D7">
        <w:rPr>
          <w:rFonts w:eastAsia="Times New Roman"/>
        </w:rPr>
        <w:t>,</w:t>
      </w:r>
      <w:r w:rsidRPr="008137D7">
        <w:rPr>
          <w:rFonts w:eastAsia="Times New Roman"/>
        </w:rPr>
        <w:t xml:space="preserve"> it is not clear that governments </w:t>
      </w:r>
      <w:r w:rsidR="000E6054" w:rsidRPr="008137D7">
        <w:rPr>
          <w:rFonts w:eastAsia="Times New Roman"/>
        </w:rPr>
        <w:t xml:space="preserve">would </w:t>
      </w:r>
      <w:r w:rsidRPr="008137D7">
        <w:rPr>
          <w:rFonts w:eastAsia="Times New Roman"/>
        </w:rPr>
        <w:t xml:space="preserve">seek to represent public opinion: not only </w:t>
      </w:r>
      <w:r w:rsidR="00CF68D4" w:rsidRPr="008137D7">
        <w:rPr>
          <w:rFonts w:eastAsia="Times New Roman"/>
        </w:rPr>
        <w:t>would</w:t>
      </w:r>
      <w:r w:rsidRPr="008137D7">
        <w:rPr>
          <w:rFonts w:eastAsia="Times New Roman"/>
        </w:rPr>
        <w:t xml:space="preserve"> </w:t>
      </w:r>
      <w:r w:rsidR="00FA478B" w:rsidRPr="008137D7">
        <w:rPr>
          <w:rFonts w:eastAsia="Times New Roman"/>
        </w:rPr>
        <w:t>expressed opinion</w:t>
      </w:r>
      <w:r w:rsidRPr="008137D7">
        <w:rPr>
          <w:rFonts w:eastAsia="Times New Roman"/>
        </w:rPr>
        <w:t xml:space="preserve"> </w:t>
      </w:r>
      <w:r w:rsidR="00CF68D4" w:rsidRPr="008137D7">
        <w:rPr>
          <w:rFonts w:eastAsia="Times New Roman"/>
        </w:rPr>
        <w:t xml:space="preserve">be </w:t>
      </w:r>
      <w:r w:rsidRPr="008137D7">
        <w:rPr>
          <w:rFonts w:eastAsia="Times New Roman"/>
        </w:rPr>
        <w:t xml:space="preserve">ill-informed, </w:t>
      </w:r>
      <w:r w:rsidR="00FA478B" w:rsidRPr="008137D7">
        <w:rPr>
          <w:rFonts w:eastAsia="Times New Roman"/>
        </w:rPr>
        <w:t xml:space="preserve">and so of limited use to policymakers, </w:t>
      </w:r>
      <w:r w:rsidR="00E0370D" w:rsidRPr="008137D7">
        <w:rPr>
          <w:rFonts w:eastAsia="Times New Roman"/>
        </w:rPr>
        <w:t xml:space="preserve">but </w:t>
      </w:r>
      <w:r w:rsidR="00CF68D4" w:rsidRPr="008137D7">
        <w:rPr>
          <w:rFonts w:eastAsia="Times New Roman"/>
        </w:rPr>
        <w:t>the public would be</w:t>
      </w:r>
      <w:r w:rsidRPr="008137D7">
        <w:rPr>
          <w:rFonts w:eastAsia="Times New Roman"/>
        </w:rPr>
        <w:t xml:space="preserve"> incapable of holding governments accountable for their actions</w:t>
      </w:r>
      <w:r w:rsidR="00481596" w:rsidRPr="008137D7">
        <w:rPr>
          <w:rFonts w:eastAsia="Times New Roman"/>
        </w:rPr>
        <w:t>.</w:t>
      </w:r>
      <w:r w:rsidR="003B075D" w:rsidRPr="008137D7">
        <w:rPr>
          <w:rStyle w:val="FootnoteReference"/>
          <w:rFonts w:eastAsia="Times New Roman"/>
        </w:rPr>
        <w:footnoteReference w:id="3"/>
      </w:r>
      <w:r w:rsidR="00481596" w:rsidRPr="008137D7">
        <w:rPr>
          <w:rFonts w:eastAsia="Times New Roman"/>
        </w:rPr>
        <w:t xml:space="preserve">  </w:t>
      </w:r>
      <w:r w:rsidRPr="008137D7">
        <w:rPr>
          <w:rFonts w:eastAsia="Times New Roman"/>
        </w:rPr>
        <w:t xml:space="preserve">It is of some significance, then, that the existing literature </w:t>
      </w:r>
      <w:r w:rsidR="009559E6" w:rsidRPr="008137D7">
        <w:rPr>
          <w:rFonts w:eastAsia="Times New Roman"/>
        </w:rPr>
        <w:t>(</w:t>
      </w:r>
      <w:r w:rsidRPr="008137D7">
        <w:rPr>
          <w:rFonts w:eastAsia="Times New Roman"/>
        </w:rPr>
        <w:t>cited above</w:t>
      </w:r>
      <w:r w:rsidR="009559E6" w:rsidRPr="008137D7">
        <w:rPr>
          <w:rFonts w:eastAsia="Times New Roman"/>
        </w:rPr>
        <w:t>)</w:t>
      </w:r>
      <w:r w:rsidRPr="008137D7">
        <w:rPr>
          <w:rFonts w:eastAsia="Times New Roman"/>
        </w:rPr>
        <w:t xml:space="preserve"> finds evidence of thermostatic responsiveness across a range of countries and domains.</w:t>
      </w:r>
    </w:p>
    <w:p w14:paraId="0A15533E" w14:textId="2AFCA01D" w:rsidR="00736245" w:rsidRPr="008137D7" w:rsidRDefault="002230A8" w:rsidP="0075277D">
      <w:pPr>
        <w:spacing w:line="480" w:lineRule="auto"/>
        <w:ind w:firstLine="720"/>
        <w:jc w:val="both"/>
        <w:rPr>
          <w:rFonts w:eastAsia="Times New Roman"/>
        </w:rPr>
      </w:pPr>
      <w:r w:rsidRPr="008137D7">
        <w:rPr>
          <w:rFonts w:eastAsia="Times New Roman"/>
        </w:rPr>
        <w:t xml:space="preserve">That said, the degree to which </w:t>
      </w:r>
      <w:r w:rsidR="002C4263" w:rsidRPr="008137D7">
        <w:rPr>
          <w:rFonts w:eastAsia="Times New Roman"/>
        </w:rPr>
        <w:t>“</w:t>
      </w:r>
      <w:r w:rsidR="004024B0" w:rsidRPr="008137D7">
        <w:rPr>
          <w:rFonts w:eastAsia="Times New Roman"/>
        </w:rPr>
        <w:t>the</w:t>
      </w:r>
      <w:r w:rsidR="008835D7" w:rsidRPr="008137D7">
        <w:rPr>
          <w:rFonts w:eastAsia="Times New Roman"/>
        </w:rPr>
        <w:t>r</w:t>
      </w:r>
      <w:r w:rsidR="004024B0" w:rsidRPr="008137D7">
        <w:rPr>
          <w:rFonts w:eastAsia="Times New Roman"/>
        </w:rPr>
        <w:t>mostatic responsiveness</w:t>
      </w:r>
      <w:r w:rsidR="002C4263" w:rsidRPr="008137D7">
        <w:rPr>
          <w:rFonts w:eastAsia="Times New Roman"/>
        </w:rPr>
        <w:t>”</w:t>
      </w:r>
      <w:r w:rsidR="004024B0" w:rsidRPr="008137D7">
        <w:rPr>
          <w:rFonts w:eastAsia="Times New Roman"/>
        </w:rPr>
        <w:t xml:space="preserve"> </w:t>
      </w:r>
      <w:r w:rsidRPr="008137D7">
        <w:rPr>
          <w:rFonts w:eastAsia="Times New Roman"/>
        </w:rPr>
        <w:t>characterizes measured opinion-policy relationships varies widely across publics, policy domains, and political institutions</w:t>
      </w:r>
      <w:r w:rsidR="00481596" w:rsidRPr="008137D7">
        <w:rPr>
          <w:rFonts w:eastAsia="Times New Roman"/>
        </w:rPr>
        <w:t xml:space="preserve">.  </w:t>
      </w:r>
      <w:r w:rsidRPr="008137D7">
        <w:rPr>
          <w:rFonts w:eastAsia="Times New Roman"/>
        </w:rPr>
        <w:t xml:space="preserve">This is in large part because </w:t>
      </w:r>
      <w:r w:rsidR="008835D7" w:rsidRPr="008137D7">
        <w:rPr>
          <w:rFonts w:eastAsia="Times New Roman"/>
        </w:rPr>
        <w:t xml:space="preserve">policy </w:t>
      </w:r>
      <w:r w:rsidRPr="008137D7">
        <w:rPr>
          <w:rFonts w:eastAsia="Times New Roman"/>
        </w:rPr>
        <w:t xml:space="preserve">is not always clear – citizens do not always know about </w:t>
      </w:r>
      <w:r w:rsidR="000238AE" w:rsidRPr="008137D7">
        <w:rPr>
          <w:rFonts w:eastAsia="Times New Roman"/>
        </w:rPr>
        <w:t xml:space="preserve">past and </w:t>
      </w:r>
      <w:r w:rsidRPr="008137D7">
        <w:rPr>
          <w:rFonts w:eastAsia="Times New Roman"/>
        </w:rPr>
        <w:t xml:space="preserve">recent </w:t>
      </w:r>
      <w:r w:rsidR="009559E6" w:rsidRPr="008137D7">
        <w:rPr>
          <w:rFonts w:eastAsia="Times New Roman"/>
        </w:rPr>
        <w:t xml:space="preserve">changes in </w:t>
      </w:r>
      <w:r w:rsidRPr="008137D7">
        <w:rPr>
          <w:rFonts w:eastAsia="Times New Roman"/>
        </w:rPr>
        <w:t>policy</w:t>
      </w:r>
      <w:r w:rsidR="00481596" w:rsidRPr="008137D7">
        <w:rPr>
          <w:rFonts w:eastAsia="Times New Roman"/>
        </w:rPr>
        <w:t xml:space="preserve">.  </w:t>
      </w:r>
      <w:r w:rsidRPr="008137D7">
        <w:rPr>
          <w:rFonts w:eastAsia="Times New Roman"/>
        </w:rPr>
        <w:t>There are several reasons</w:t>
      </w:r>
      <w:r w:rsidR="001D7259" w:rsidRPr="008137D7">
        <w:rPr>
          <w:rFonts w:eastAsia="Times New Roman"/>
        </w:rPr>
        <w:t xml:space="preserve"> why we might expect that to be the case</w:t>
      </w:r>
      <w:r w:rsidR="00481596" w:rsidRPr="008137D7">
        <w:rPr>
          <w:rFonts w:eastAsia="Times New Roman"/>
        </w:rPr>
        <w:t xml:space="preserve">.  </w:t>
      </w:r>
      <w:r w:rsidR="00B32114" w:rsidRPr="008137D7">
        <w:rPr>
          <w:rFonts w:eastAsia="Times New Roman"/>
        </w:rPr>
        <w:t>First and foremost is issue salience</w:t>
      </w:r>
      <w:r w:rsidR="00481596" w:rsidRPr="008137D7">
        <w:rPr>
          <w:rFonts w:eastAsia="Times New Roman"/>
        </w:rPr>
        <w:t xml:space="preserve">.  </w:t>
      </w:r>
      <w:r w:rsidR="00CD059B" w:rsidRPr="008137D7">
        <w:rPr>
          <w:rFonts w:eastAsia="Times New Roman"/>
        </w:rPr>
        <w:t>How much</w:t>
      </w:r>
      <w:r w:rsidR="00B32114" w:rsidRPr="008137D7">
        <w:rPr>
          <w:rFonts w:eastAsia="Times New Roman"/>
        </w:rPr>
        <w:t xml:space="preserve"> the public cares about and is attentive to an issue influences the demand for policy information, which presumably also influences the supply</w:t>
      </w:r>
      <w:r w:rsidR="00481596" w:rsidRPr="008137D7">
        <w:rPr>
          <w:rFonts w:eastAsia="Times New Roman"/>
        </w:rPr>
        <w:t xml:space="preserve">.  </w:t>
      </w:r>
      <w:r w:rsidR="00D95D30" w:rsidRPr="008137D7">
        <w:rPr>
          <w:rFonts w:eastAsia="Times New Roman"/>
        </w:rPr>
        <w:t>An i</w:t>
      </w:r>
      <w:r w:rsidR="008A5101" w:rsidRPr="008137D7">
        <w:rPr>
          <w:rFonts w:eastAsia="Times New Roman"/>
        </w:rPr>
        <w:t xml:space="preserve">ncreased supply </w:t>
      </w:r>
      <w:r w:rsidR="00D95D30" w:rsidRPr="008137D7">
        <w:rPr>
          <w:rFonts w:eastAsia="Times New Roman"/>
        </w:rPr>
        <w:t>of information</w:t>
      </w:r>
      <w:r w:rsidR="00D5445E" w:rsidRPr="008137D7">
        <w:rPr>
          <w:rFonts w:eastAsia="Times New Roman"/>
        </w:rPr>
        <w:t>, in turn,</w:t>
      </w:r>
      <w:r w:rsidR="00D95D30" w:rsidRPr="008137D7">
        <w:rPr>
          <w:rFonts w:eastAsia="Times New Roman"/>
        </w:rPr>
        <w:t xml:space="preserve"> </w:t>
      </w:r>
      <w:r w:rsidR="00B32114" w:rsidRPr="008137D7">
        <w:rPr>
          <w:rFonts w:eastAsia="Times New Roman"/>
        </w:rPr>
        <w:t>augments the degree to which a public is informed about a policy domain</w:t>
      </w:r>
      <w:r w:rsidR="00481596" w:rsidRPr="008137D7">
        <w:rPr>
          <w:rFonts w:eastAsia="Times New Roman"/>
        </w:rPr>
        <w:t xml:space="preserve">.  </w:t>
      </w:r>
      <w:r w:rsidR="00D5445E" w:rsidRPr="008137D7">
        <w:rPr>
          <w:rFonts w:eastAsia="Times New Roman"/>
        </w:rPr>
        <w:t>I</w:t>
      </w:r>
      <w:r w:rsidR="00B32114" w:rsidRPr="008137D7">
        <w:rPr>
          <w:rFonts w:eastAsia="Times New Roman"/>
        </w:rPr>
        <w:t xml:space="preserve">t thus makes sense that past work finds limited public responsiveness in low-salience domains (Wlezien </w:t>
      </w:r>
      <w:r w:rsidR="00793FAA" w:rsidRPr="008137D7">
        <w:rPr>
          <w:rFonts w:eastAsia="Times New Roman"/>
        </w:rPr>
        <w:t xml:space="preserve">1995, </w:t>
      </w:r>
      <w:r w:rsidR="00B32114" w:rsidRPr="008137D7">
        <w:rPr>
          <w:rFonts w:eastAsia="Times New Roman"/>
        </w:rPr>
        <w:t>2004; Soroka and Wlezien 2010; see also related work by Burstein 2013)</w:t>
      </w:r>
      <w:r w:rsidR="00481596" w:rsidRPr="008137D7">
        <w:rPr>
          <w:rFonts w:eastAsia="Times New Roman"/>
        </w:rPr>
        <w:t xml:space="preserve">.  </w:t>
      </w:r>
      <w:r w:rsidR="00B32114" w:rsidRPr="008137D7">
        <w:rPr>
          <w:rFonts w:eastAsia="Times New Roman"/>
        </w:rPr>
        <w:t xml:space="preserve">Second, </w:t>
      </w:r>
      <w:r w:rsidR="009559E6" w:rsidRPr="008137D7">
        <w:rPr>
          <w:rFonts w:eastAsia="Times New Roman"/>
        </w:rPr>
        <w:t>government institutions matter.  For instance, federalism appears to be of special importance.</w:t>
      </w:r>
      <w:r w:rsidR="00B32114" w:rsidRPr="008137D7">
        <w:rPr>
          <w:rFonts w:eastAsia="Times New Roman"/>
        </w:rPr>
        <w:t xml:space="preserve">  Here, the influence is not on the quantity of information but on the quality, particularly insofar as multiple </w:t>
      </w:r>
      <w:r w:rsidR="00171780" w:rsidRPr="008137D7">
        <w:rPr>
          <w:rFonts w:eastAsia="Times New Roman"/>
        </w:rPr>
        <w:t>levels</w:t>
      </w:r>
      <w:r w:rsidR="00C01994" w:rsidRPr="008137D7">
        <w:rPr>
          <w:rFonts w:eastAsia="Times New Roman"/>
        </w:rPr>
        <w:t xml:space="preserve"> of </w:t>
      </w:r>
      <w:r w:rsidR="00B32114" w:rsidRPr="008137D7">
        <w:rPr>
          <w:rFonts w:eastAsia="Times New Roman"/>
        </w:rPr>
        <w:t xml:space="preserve">government are involved in the same policy </w:t>
      </w:r>
      <w:r w:rsidR="00B32114" w:rsidRPr="008137D7">
        <w:rPr>
          <w:rFonts w:eastAsia="Times New Roman"/>
        </w:rPr>
        <w:lastRenderedPageBreak/>
        <w:t xml:space="preserve">areas.  </w:t>
      </w:r>
      <w:r w:rsidR="00B967B6" w:rsidRPr="008137D7">
        <w:rPr>
          <w:rFonts w:eastAsia="Times New Roman"/>
        </w:rPr>
        <w:t>When various layer</w:t>
      </w:r>
      <w:r w:rsidR="00FB627C" w:rsidRPr="008137D7">
        <w:rPr>
          <w:rFonts w:eastAsia="Times New Roman"/>
        </w:rPr>
        <w:t>s</w:t>
      </w:r>
      <w:r w:rsidR="00B967B6" w:rsidRPr="008137D7">
        <w:rPr>
          <w:rFonts w:eastAsia="Times New Roman"/>
        </w:rPr>
        <w:t xml:space="preserve"> </w:t>
      </w:r>
      <w:r w:rsidR="00FB627C" w:rsidRPr="008137D7">
        <w:rPr>
          <w:rFonts w:eastAsia="Times New Roman"/>
        </w:rPr>
        <w:t xml:space="preserve">are involved in </w:t>
      </w:r>
      <w:r w:rsidR="00B967B6" w:rsidRPr="008137D7">
        <w:rPr>
          <w:rFonts w:eastAsia="Times New Roman"/>
        </w:rPr>
        <w:t>policy</w:t>
      </w:r>
      <w:r w:rsidR="00AB0AA8" w:rsidRPr="008137D7">
        <w:rPr>
          <w:rFonts w:eastAsia="Times New Roman"/>
        </w:rPr>
        <w:t>making</w:t>
      </w:r>
      <w:r w:rsidR="00B967B6" w:rsidRPr="008137D7">
        <w:rPr>
          <w:rFonts w:eastAsia="Times New Roman"/>
        </w:rPr>
        <w:t xml:space="preserve">, </w:t>
      </w:r>
      <w:r w:rsidR="00B32114" w:rsidRPr="008137D7">
        <w:rPr>
          <w:rFonts w:eastAsia="Times New Roman"/>
        </w:rPr>
        <w:t xml:space="preserve">the policy </w:t>
      </w:r>
      <w:r w:rsidR="00687BBD" w:rsidRPr="008137D7">
        <w:rPr>
          <w:rFonts w:eastAsia="Times New Roman"/>
        </w:rPr>
        <w:t>“</w:t>
      </w:r>
      <w:r w:rsidR="00B32114" w:rsidRPr="008137D7">
        <w:rPr>
          <w:rFonts w:eastAsia="Times New Roman"/>
        </w:rPr>
        <w:t>signal</w:t>
      </w:r>
      <w:r w:rsidR="00687BBD" w:rsidRPr="008137D7">
        <w:rPr>
          <w:rFonts w:eastAsia="Times New Roman"/>
        </w:rPr>
        <w:t>”</w:t>
      </w:r>
      <w:r w:rsidR="00B32114" w:rsidRPr="008137D7">
        <w:rPr>
          <w:rFonts w:eastAsia="Times New Roman"/>
        </w:rPr>
        <w:t xml:space="preserve"> sent </w:t>
      </w:r>
      <w:r w:rsidR="00AB0AA8" w:rsidRPr="008137D7">
        <w:rPr>
          <w:rFonts w:eastAsia="Times New Roman"/>
        </w:rPr>
        <w:t>to the public</w:t>
      </w:r>
      <w:r w:rsidR="00B32114" w:rsidRPr="008137D7">
        <w:rPr>
          <w:rFonts w:eastAsia="Times New Roman"/>
        </w:rPr>
        <w:t xml:space="preserve"> </w:t>
      </w:r>
      <w:r w:rsidR="00B967B6" w:rsidRPr="008137D7">
        <w:rPr>
          <w:rFonts w:eastAsia="Times New Roman"/>
        </w:rPr>
        <w:t xml:space="preserve">is </w:t>
      </w:r>
      <w:r w:rsidR="00D5445E" w:rsidRPr="008137D7">
        <w:rPr>
          <w:rFonts w:eastAsia="Times New Roman"/>
        </w:rPr>
        <w:t xml:space="preserve">more </w:t>
      </w:r>
      <w:r w:rsidR="00B967B6" w:rsidRPr="008137D7">
        <w:rPr>
          <w:rFonts w:eastAsia="Times New Roman"/>
        </w:rPr>
        <w:t>complicated</w:t>
      </w:r>
      <w:r w:rsidR="00D5445E" w:rsidRPr="008137D7">
        <w:rPr>
          <w:rFonts w:eastAsia="Times New Roman"/>
        </w:rPr>
        <w:t>,</w:t>
      </w:r>
      <w:r w:rsidR="00B967B6" w:rsidRPr="008137D7">
        <w:rPr>
          <w:rFonts w:eastAsia="Times New Roman"/>
        </w:rPr>
        <w:t xml:space="preserve"> </w:t>
      </w:r>
      <w:r w:rsidR="00B32114" w:rsidRPr="008137D7">
        <w:rPr>
          <w:rFonts w:eastAsia="Times New Roman"/>
        </w:rPr>
        <w:t>and public responsiveness</w:t>
      </w:r>
      <w:r w:rsidR="00D5445E" w:rsidRPr="008137D7">
        <w:rPr>
          <w:rFonts w:eastAsia="Times New Roman"/>
        </w:rPr>
        <w:t xml:space="preserve"> can be muted accordingly</w:t>
      </w:r>
      <w:r w:rsidR="00B32114" w:rsidRPr="008137D7">
        <w:rPr>
          <w:rFonts w:eastAsia="Times New Roman"/>
        </w:rPr>
        <w:t xml:space="preserve"> (e.g., </w:t>
      </w:r>
      <w:r w:rsidR="00DE4F34" w:rsidRPr="008137D7">
        <w:rPr>
          <w:rFonts w:eastAsia="Times New Roman"/>
        </w:rPr>
        <w:t xml:space="preserve">Soroka and Wlezien 2010; </w:t>
      </w:r>
      <w:r w:rsidR="00B32114" w:rsidRPr="008137D7">
        <w:rPr>
          <w:rFonts w:eastAsia="Times New Roman"/>
        </w:rPr>
        <w:t>Wlezien and Soroka 2011; Wlezien and Soroka 2012; Pacheco 2013)</w:t>
      </w:r>
      <w:r w:rsidRPr="008137D7">
        <w:rPr>
          <w:rFonts w:eastAsia="Times New Roman"/>
        </w:rPr>
        <w:t>.</w:t>
      </w:r>
    </w:p>
    <w:p w14:paraId="626BF7EE" w14:textId="546CD0F2" w:rsidR="00A16E33" w:rsidRPr="008137D7" w:rsidRDefault="002230A8" w:rsidP="0075277D">
      <w:pPr>
        <w:spacing w:line="480" w:lineRule="auto"/>
        <w:ind w:firstLine="720"/>
        <w:jc w:val="both"/>
        <w:rPr>
          <w:rFonts w:eastAsia="Times New Roman"/>
        </w:rPr>
      </w:pPr>
      <w:r w:rsidRPr="008137D7">
        <w:rPr>
          <w:rFonts w:eastAsia="Times New Roman"/>
        </w:rPr>
        <w:t xml:space="preserve">In </w:t>
      </w:r>
      <w:r w:rsidR="003351DF" w:rsidRPr="008137D7">
        <w:rPr>
          <w:rFonts w:eastAsia="Times New Roman"/>
        </w:rPr>
        <w:t>sum</w:t>
      </w:r>
      <w:r w:rsidRPr="008137D7">
        <w:rPr>
          <w:rFonts w:eastAsia="Times New Roman"/>
        </w:rPr>
        <w:t>, public responsiveness depends on a sufficient</w:t>
      </w:r>
      <w:r w:rsidR="00D00276" w:rsidRPr="008137D7">
        <w:rPr>
          <w:rFonts w:eastAsia="Times New Roman"/>
        </w:rPr>
        <w:t>ly large</w:t>
      </w:r>
      <w:r w:rsidRPr="008137D7">
        <w:rPr>
          <w:rFonts w:eastAsia="Times New Roman"/>
        </w:rPr>
        <w:t xml:space="preserve"> stream of accurate information about what governments are doing</w:t>
      </w:r>
      <w:r w:rsidR="002F5E5B" w:rsidRPr="008137D7">
        <w:rPr>
          <w:rFonts w:eastAsia="Times New Roman"/>
        </w:rPr>
        <w:t xml:space="preserve"> </w:t>
      </w:r>
      <w:r w:rsidR="004D5B35" w:rsidRPr="008137D7">
        <w:rPr>
          <w:rFonts w:eastAsia="Times New Roman"/>
        </w:rPr>
        <w:t xml:space="preserve">in </w:t>
      </w:r>
      <w:r w:rsidR="002F5E5B" w:rsidRPr="008137D7">
        <w:rPr>
          <w:rFonts w:eastAsia="Times New Roman"/>
        </w:rPr>
        <w:t>policy domains that matter to the public</w:t>
      </w:r>
      <w:r w:rsidRPr="008137D7">
        <w:rPr>
          <w:rFonts w:eastAsia="Times New Roman"/>
        </w:rPr>
        <w:t xml:space="preserve">. </w:t>
      </w:r>
      <w:r w:rsidR="00D93D59" w:rsidRPr="008137D7">
        <w:rPr>
          <w:rFonts w:eastAsia="Times New Roman"/>
        </w:rPr>
        <w:t xml:space="preserve"> </w:t>
      </w:r>
      <w:r w:rsidR="00555902" w:rsidRPr="008137D7">
        <w:rPr>
          <w:rFonts w:eastAsia="Times New Roman"/>
        </w:rPr>
        <w:t>W</w:t>
      </w:r>
      <w:r w:rsidRPr="008137D7">
        <w:rPr>
          <w:rFonts w:eastAsia="Times New Roman"/>
        </w:rPr>
        <w:t xml:space="preserve">hile past work has focused on the role that political institutions play, research exploring </w:t>
      </w:r>
      <w:r w:rsidR="00F15DC1" w:rsidRPr="008137D7">
        <w:rPr>
          <w:rFonts w:eastAsia="Times New Roman"/>
        </w:rPr>
        <w:t xml:space="preserve">public </w:t>
      </w:r>
      <w:r w:rsidRPr="008137D7">
        <w:rPr>
          <w:rFonts w:eastAsia="Times New Roman"/>
        </w:rPr>
        <w:t xml:space="preserve">responsiveness has dealt with </w:t>
      </w:r>
      <w:r w:rsidR="00CE366C" w:rsidRPr="008137D7">
        <w:rPr>
          <w:rFonts w:eastAsia="Times New Roman"/>
        </w:rPr>
        <w:t xml:space="preserve">mass </w:t>
      </w:r>
      <w:r w:rsidRPr="008137D7">
        <w:rPr>
          <w:rFonts w:eastAsia="Times New Roman"/>
        </w:rPr>
        <w:t>media only in passing</w:t>
      </w:r>
      <w:r w:rsidR="00555902" w:rsidRPr="008137D7">
        <w:rPr>
          <w:rFonts w:eastAsia="Times New Roman"/>
        </w:rPr>
        <w:t xml:space="preserve">, with </w:t>
      </w:r>
      <w:r w:rsidR="00DB37A3" w:rsidRPr="008137D7">
        <w:rPr>
          <w:rFonts w:eastAsia="Times New Roman"/>
        </w:rPr>
        <w:t>two</w:t>
      </w:r>
      <w:r w:rsidR="00555902" w:rsidRPr="008137D7">
        <w:rPr>
          <w:rFonts w:eastAsia="Times New Roman"/>
        </w:rPr>
        <w:t xml:space="preserve"> notable exception</w:t>
      </w:r>
      <w:r w:rsidR="006C3658" w:rsidRPr="008137D7">
        <w:rPr>
          <w:rFonts w:eastAsia="Times New Roman"/>
        </w:rPr>
        <w:t>s</w:t>
      </w:r>
      <w:r w:rsidR="00555902" w:rsidRPr="008137D7">
        <w:rPr>
          <w:rFonts w:eastAsia="Times New Roman"/>
        </w:rPr>
        <w:t xml:space="preserve"> (Williams and Schoonvelde 2018</w:t>
      </w:r>
      <w:r w:rsidR="00DB37A3" w:rsidRPr="008137D7">
        <w:rPr>
          <w:rFonts w:eastAsia="Times New Roman"/>
        </w:rPr>
        <w:t xml:space="preserve">; Neuner, et al. </w:t>
      </w:r>
      <w:r w:rsidR="00FF186D" w:rsidRPr="008137D7">
        <w:rPr>
          <w:rFonts w:eastAsia="Times New Roman"/>
        </w:rPr>
        <w:t>2019</w:t>
      </w:r>
      <w:r w:rsidR="00555902" w:rsidRPr="008137D7">
        <w:rPr>
          <w:rFonts w:eastAsia="Times New Roman"/>
        </w:rPr>
        <w:t>)</w:t>
      </w:r>
      <w:r w:rsidRPr="008137D7">
        <w:rPr>
          <w:rFonts w:eastAsia="Times New Roman"/>
        </w:rPr>
        <w:t>.  This is true in spite of</w:t>
      </w:r>
      <w:r w:rsidR="00B41EC3" w:rsidRPr="008137D7">
        <w:rPr>
          <w:rFonts w:eastAsia="Times New Roman"/>
        </w:rPr>
        <w:t xml:space="preserve"> (a) </w:t>
      </w:r>
      <w:r w:rsidRPr="008137D7">
        <w:rPr>
          <w:rFonts w:eastAsia="Times New Roman"/>
        </w:rPr>
        <w:t xml:space="preserve">the fact that public responsiveness to policy </w:t>
      </w:r>
      <w:r w:rsidR="00CE366C" w:rsidRPr="008137D7">
        <w:rPr>
          <w:rFonts w:eastAsia="Times New Roman"/>
        </w:rPr>
        <w:t>–</w:t>
      </w:r>
      <w:r w:rsidRPr="008137D7">
        <w:rPr>
          <w:rFonts w:eastAsia="Times New Roman"/>
        </w:rPr>
        <w:t xml:space="preserve"> often well beyond citizens’ own personal experiences </w:t>
      </w:r>
      <w:r w:rsidR="00CE366C" w:rsidRPr="008137D7">
        <w:rPr>
          <w:rFonts w:eastAsia="Times New Roman"/>
        </w:rPr>
        <w:t>–</w:t>
      </w:r>
      <w:r w:rsidRPr="008137D7">
        <w:rPr>
          <w:rFonts w:eastAsia="Times New Roman"/>
        </w:rPr>
        <w:t xml:space="preserve"> almost certainly must rely, at least in part, on mass-mediated information</w:t>
      </w:r>
      <w:r w:rsidR="00B41EC3" w:rsidRPr="008137D7">
        <w:rPr>
          <w:rFonts w:eastAsia="Times New Roman"/>
        </w:rPr>
        <w:t>, (b) the long-standing and vast literature arguing for the importance of mass media in representative democracy (e.g.</w:t>
      </w:r>
      <w:r w:rsidR="006C3658" w:rsidRPr="008137D7">
        <w:rPr>
          <w:rFonts w:eastAsia="Times New Roman"/>
        </w:rPr>
        <w:t>,</w:t>
      </w:r>
      <w:r w:rsidR="00B41EC3" w:rsidRPr="008137D7">
        <w:rPr>
          <w:rFonts w:eastAsia="Times New Roman"/>
        </w:rPr>
        <w:t xml:space="preserve"> McQuail 1997</w:t>
      </w:r>
      <w:r w:rsidR="009E395F" w:rsidRPr="008137D7">
        <w:rPr>
          <w:rFonts w:eastAsia="Times New Roman"/>
        </w:rPr>
        <w:t>; Iyengar and Kinder 2010</w:t>
      </w:r>
      <w:r w:rsidR="00B41EC3" w:rsidRPr="008137D7">
        <w:rPr>
          <w:rFonts w:eastAsia="Times New Roman"/>
        </w:rPr>
        <w:t>, and see citations in the section that follows), and (c) growing concern about press freedoms in the US and elsewhere</w:t>
      </w:r>
      <w:r w:rsidRPr="008137D7">
        <w:rPr>
          <w:rFonts w:eastAsia="Times New Roman"/>
        </w:rPr>
        <w:t>.</w:t>
      </w:r>
    </w:p>
    <w:p w14:paraId="7F59672D" w14:textId="2AB21600" w:rsidR="00B575FC" w:rsidRPr="008137D7" w:rsidRDefault="00B575FC" w:rsidP="003351DF">
      <w:pPr>
        <w:spacing w:line="480" w:lineRule="auto"/>
        <w:jc w:val="center"/>
        <w:rPr>
          <w:rFonts w:eastAsia="Times New Roman"/>
          <w:sz w:val="28"/>
          <w:szCs w:val="28"/>
        </w:rPr>
      </w:pPr>
      <w:r w:rsidRPr="008137D7">
        <w:rPr>
          <w:rFonts w:eastAsia="Times New Roman"/>
          <w:sz w:val="28"/>
          <w:szCs w:val="28"/>
        </w:rPr>
        <w:t xml:space="preserve">The Role of </w:t>
      </w:r>
      <w:r w:rsidR="00F808F0" w:rsidRPr="008137D7">
        <w:rPr>
          <w:rFonts w:eastAsia="Times New Roman"/>
          <w:sz w:val="28"/>
          <w:szCs w:val="28"/>
        </w:rPr>
        <w:t xml:space="preserve">Mass </w:t>
      </w:r>
      <w:r w:rsidRPr="008137D7">
        <w:rPr>
          <w:rFonts w:eastAsia="Times New Roman"/>
          <w:sz w:val="28"/>
          <w:szCs w:val="28"/>
        </w:rPr>
        <w:t>Media</w:t>
      </w:r>
    </w:p>
    <w:p w14:paraId="6313485D" w14:textId="41994152" w:rsidR="00A16E33" w:rsidRPr="008137D7" w:rsidRDefault="002C1080" w:rsidP="00A35CBF">
      <w:pPr>
        <w:spacing w:line="480" w:lineRule="auto"/>
        <w:ind w:firstLine="720"/>
        <w:jc w:val="both"/>
        <w:rPr>
          <w:rFonts w:eastAsia="Times New Roman"/>
        </w:rPr>
      </w:pPr>
      <w:r w:rsidRPr="008137D7">
        <w:rPr>
          <w:rFonts w:eastAsia="Times New Roman"/>
        </w:rPr>
        <w:t>What</w:t>
      </w:r>
      <w:r w:rsidR="005D7EF5" w:rsidRPr="008137D7">
        <w:rPr>
          <w:rFonts w:eastAsia="Times New Roman"/>
        </w:rPr>
        <w:t xml:space="preserve"> </w:t>
      </w:r>
      <w:r w:rsidR="007F791B" w:rsidRPr="008137D7">
        <w:rPr>
          <w:rFonts w:eastAsia="Times New Roman"/>
        </w:rPr>
        <w:t>is</w:t>
      </w:r>
      <w:r w:rsidR="002230A8" w:rsidRPr="008137D7">
        <w:rPr>
          <w:rFonts w:eastAsia="Times New Roman"/>
        </w:rPr>
        <w:t xml:space="preserve"> require</w:t>
      </w:r>
      <w:r w:rsidR="007F791B" w:rsidRPr="008137D7">
        <w:rPr>
          <w:rFonts w:eastAsia="Times New Roman"/>
        </w:rPr>
        <w:t>d</w:t>
      </w:r>
      <w:r w:rsidR="002230A8" w:rsidRPr="008137D7">
        <w:rPr>
          <w:rFonts w:eastAsia="Times New Roman"/>
        </w:rPr>
        <w:t xml:space="preserve"> of mass media in order for there to be </w:t>
      </w:r>
      <w:r w:rsidR="00B24FAE" w:rsidRPr="008137D7">
        <w:rPr>
          <w:rFonts w:eastAsia="Times New Roman"/>
        </w:rPr>
        <w:t xml:space="preserve">public </w:t>
      </w:r>
      <w:r w:rsidR="002230A8" w:rsidRPr="008137D7">
        <w:rPr>
          <w:rFonts w:eastAsia="Times New Roman"/>
        </w:rPr>
        <w:t>responsiveness to policy</w:t>
      </w:r>
      <w:r w:rsidR="00481596" w:rsidRPr="008137D7">
        <w:rPr>
          <w:rFonts w:eastAsia="Times New Roman"/>
        </w:rPr>
        <w:t xml:space="preserve">?  </w:t>
      </w:r>
      <w:r w:rsidR="002230A8" w:rsidRPr="008137D7">
        <w:rPr>
          <w:rFonts w:eastAsia="Times New Roman"/>
        </w:rPr>
        <w:t xml:space="preserve">One </w:t>
      </w:r>
      <w:r w:rsidR="004D5B35" w:rsidRPr="008137D7">
        <w:rPr>
          <w:rFonts w:eastAsia="Times New Roman"/>
        </w:rPr>
        <w:t>requirement</w:t>
      </w:r>
      <w:r w:rsidR="00E11848" w:rsidRPr="008137D7">
        <w:rPr>
          <w:rFonts w:eastAsia="Times New Roman"/>
        </w:rPr>
        <w:t xml:space="preserve"> </w:t>
      </w:r>
      <w:r w:rsidR="002230A8" w:rsidRPr="008137D7">
        <w:rPr>
          <w:rFonts w:eastAsia="Times New Roman"/>
        </w:rPr>
        <w:t>is that media coverage include a sufficient amount of</w:t>
      </w:r>
      <w:r w:rsidR="00641086" w:rsidRPr="008137D7">
        <w:rPr>
          <w:rFonts w:eastAsia="Times New Roman"/>
        </w:rPr>
        <w:t xml:space="preserve"> </w:t>
      </w:r>
      <w:r w:rsidR="002230A8" w:rsidRPr="008137D7">
        <w:rPr>
          <w:rFonts w:eastAsia="Times New Roman"/>
        </w:rPr>
        <w:t>information about policy</w:t>
      </w:r>
      <w:r w:rsidR="00141A56" w:rsidRPr="008137D7">
        <w:rPr>
          <w:rFonts w:eastAsia="Times New Roman"/>
        </w:rPr>
        <w:t xml:space="preserve"> – a sufficient number of </w:t>
      </w:r>
      <w:r w:rsidR="00DC7F6D" w:rsidRPr="008137D7">
        <w:rPr>
          <w:rFonts w:eastAsia="Times New Roman"/>
        </w:rPr>
        <w:t xml:space="preserve">accurate and timely </w:t>
      </w:r>
      <w:r w:rsidR="00AB080E" w:rsidRPr="008137D7">
        <w:rPr>
          <w:rFonts w:eastAsia="Times New Roman"/>
        </w:rPr>
        <w:t xml:space="preserve">cues </w:t>
      </w:r>
      <w:r w:rsidR="00141A56" w:rsidRPr="008137D7">
        <w:rPr>
          <w:rFonts w:eastAsia="Times New Roman"/>
        </w:rPr>
        <w:t xml:space="preserve">about changes in public </w:t>
      </w:r>
      <w:r w:rsidR="00AB080E" w:rsidRPr="008137D7">
        <w:rPr>
          <w:rFonts w:eastAsia="Times New Roman"/>
        </w:rPr>
        <w:t>policy</w:t>
      </w:r>
      <w:r w:rsidR="00E44199" w:rsidRPr="008137D7">
        <w:rPr>
          <w:rFonts w:eastAsia="Times New Roman"/>
        </w:rPr>
        <w:t xml:space="preserve">.  </w:t>
      </w:r>
      <w:r w:rsidR="00E75D09" w:rsidRPr="008137D7">
        <w:rPr>
          <w:rFonts w:eastAsia="Times New Roman"/>
        </w:rPr>
        <w:t xml:space="preserve">Existing work </w:t>
      </w:r>
      <w:r w:rsidR="008D6DCF" w:rsidRPr="008137D7">
        <w:rPr>
          <w:rFonts w:eastAsia="Times New Roman"/>
        </w:rPr>
        <w:t xml:space="preserve">indicates </w:t>
      </w:r>
      <w:r w:rsidR="00E75D09" w:rsidRPr="008137D7">
        <w:rPr>
          <w:rFonts w:eastAsia="Times New Roman"/>
        </w:rPr>
        <w:t xml:space="preserve">a relatively high frequency of policy-related stories in US newspapers (e.g., Boydstun 2013); and </w:t>
      </w:r>
      <w:r w:rsidR="0077094A" w:rsidRPr="008137D7">
        <w:rPr>
          <w:rFonts w:eastAsia="Times New Roman"/>
        </w:rPr>
        <w:t xml:space="preserve">there is </w:t>
      </w:r>
      <w:r w:rsidR="002230A8" w:rsidRPr="008137D7">
        <w:rPr>
          <w:rFonts w:eastAsia="Times New Roman"/>
        </w:rPr>
        <w:t>a surprisingly high number of cues about the direction of policy change, at least in some domains (</w:t>
      </w:r>
      <w:r w:rsidR="00146FF8" w:rsidRPr="008137D7">
        <w:rPr>
          <w:rFonts w:eastAsia="Times New Roman"/>
          <w:iCs/>
        </w:rPr>
        <w:t>Neuner et al. 2019</w:t>
      </w:r>
      <w:r w:rsidR="002230A8" w:rsidRPr="008137D7">
        <w:rPr>
          <w:rFonts w:eastAsia="Times New Roman"/>
        </w:rPr>
        <w:t>)</w:t>
      </w:r>
      <w:r w:rsidR="009D4F6A" w:rsidRPr="008137D7">
        <w:rPr>
          <w:rFonts w:eastAsia="Times New Roman"/>
        </w:rPr>
        <w:t xml:space="preserve">. </w:t>
      </w:r>
      <w:r w:rsidR="00EE090C" w:rsidRPr="008137D7">
        <w:rPr>
          <w:rFonts w:eastAsia="Times New Roman"/>
        </w:rPr>
        <w:t xml:space="preserve"> </w:t>
      </w:r>
      <w:r w:rsidR="00DD0620" w:rsidRPr="008137D7">
        <w:rPr>
          <w:rFonts w:eastAsia="Times New Roman"/>
        </w:rPr>
        <w:t xml:space="preserve">Williams and Schoonvelde’s (2018) recent work </w:t>
      </w:r>
      <w:r w:rsidR="00B24FAE" w:rsidRPr="008137D7">
        <w:rPr>
          <w:rFonts w:eastAsia="Times New Roman"/>
        </w:rPr>
        <w:t xml:space="preserve">also </w:t>
      </w:r>
      <w:r w:rsidR="00DD0620" w:rsidRPr="008137D7">
        <w:rPr>
          <w:rFonts w:eastAsia="Times New Roman"/>
        </w:rPr>
        <w:t xml:space="preserve">highlights issue salience in media coverage as a critical precursor of public responsiveness in the US. </w:t>
      </w:r>
      <w:r w:rsidR="002230A8" w:rsidRPr="008137D7">
        <w:rPr>
          <w:rFonts w:eastAsia="Times New Roman"/>
        </w:rPr>
        <w:t>This fits with work suggesting that people can and do learn about policy when there is sufficient media coverage (e.g., Barabas and Jerit</w:t>
      </w:r>
      <w:r w:rsidR="00687BBD" w:rsidRPr="008137D7">
        <w:rPr>
          <w:rFonts w:eastAsia="Times New Roman"/>
        </w:rPr>
        <w:t xml:space="preserve"> 2009</w:t>
      </w:r>
      <w:r w:rsidR="002230A8" w:rsidRPr="008137D7">
        <w:rPr>
          <w:rFonts w:eastAsia="Times New Roman"/>
        </w:rPr>
        <w:t>)</w:t>
      </w:r>
      <w:r w:rsidR="0077094A" w:rsidRPr="008137D7">
        <w:rPr>
          <w:rFonts w:eastAsia="Times New Roman"/>
        </w:rPr>
        <w:t>,</w:t>
      </w:r>
      <w:r w:rsidR="002230A8" w:rsidRPr="008137D7">
        <w:rPr>
          <w:rFonts w:eastAsia="Times New Roman"/>
        </w:rPr>
        <w:t xml:space="preserve"> with research that finds some areas in </w:t>
      </w:r>
      <w:r w:rsidR="002230A8" w:rsidRPr="008137D7">
        <w:rPr>
          <w:rFonts w:eastAsia="Times New Roman"/>
        </w:rPr>
        <w:lastRenderedPageBreak/>
        <w:t xml:space="preserve">which the public actually has relatively high policy-specific knowledge (e.g., Delli Carpini </w:t>
      </w:r>
      <w:r w:rsidR="00AC6028" w:rsidRPr="008137D7">
        <w:rPr>
          <w:rFonts w:eastAsia="Times New Roman"/>
        </w:rPr>
        <w:t>et al.</w:t>
      </w:r>
      <w:r w:rsidR="002230A8" w:rsidRPr="008137D7">
        <w:rPr>
          <w:rFonts w:eastAsia="Times New Roman"/>
        </w:rPr>
        <w:t xml:space="preserve"> 1997)</w:t>
      </w:r>
      <w:r w:rsidR="0077094A" w:rsidRPr="008137D7">
        <w:rPr>
          <w:rFonts w:eastAsia="Times New Roman"/>
        </w:rPr>
        <w:t>,</w:t>
      </w:r>
      <w:r w:rsidR="002230A8" w:rsidRPr="008137D7">
        <w:rPr>
          <w:rFonts w:eastAsia="Times New Roman"/>
        </w:rPr>
        <w:t xml:space="preserve"> and with evidence that information-rich environments tend to reduce the knowledge gap between the information-rich and the information-poor (Fraile 2013). </w:t>
      </w:r>
      <w:r w:rsidR="00A12EA6" w:rsidRPr="008137D7">
        <w:rPr>
          <w:rFonts w:eastAsia="Times New Roman"/>
        </w:rPr>
        <w:t xml:space="preserve"> </w:t>
      </w:r>
    </w:p>
    <w:p w14:paraId="4B05969C" w14:textId="72B01458" w:rsidR="004F3402" w:rsidRPr="008137D7" w:rsidRDefault="002230A8" w:rsidP="002F56B4">
      <w:pPr>
        <w:spacing w:line="480" w:lineRule="auto"/>
        <w:ind w:firstLine="720"/>
        <w:jc w:val="both"/>
        <w:rPr>
          <w:rFonts w:eastAsia="Times New Roman"/>
        </w:rPr>
      </w:pPr>
      <w:r w:rsidRPr="008137D7">
        <w:rPr>
          <w:rFonts w:eastAsia="Times New Roman"/>
        </w:rPr>
        <w:t>We focus here on a different but related concern about mass media, one that is higher up the causal chain: freedom of the press</w:t>
      </w:r>
      <w:r w:rsidR="00481596" w:rsidRPr="008137D7">
        <w:rPr>
          <w:rFonts w:eastAsia="Times New Roman"/>
        </w:rPr>
        <w:t xml:space="preserve">.  </w:t>
      </w:r>
      <w:r w:rsidR="0087495B" w:rsidRPr="008137D7">
        <w:rPr>
          <w:rFonts w:eastAsia="Times New Roman"/>
        </w:rPr>
        <w:t>L</w:t>
      </w:r>
      <w:r w:rsidR="00075898" w:rsidRPr="008137D7">
        <w:rPr>
          <w:rFonts w:eastAsia="Times New Roman"/>
        </w:rPr>
        <w:t xml:space="preserve">imitations </w:t>
      </w:r>
      <w:r w:rsidR="0087495B" w:rsidRPr="008137D7">
        <w:rPr>
          <w:rFonts w:eastAsia="Times New Roman"/>
        </w:rPr>
        <w:t xml:space="preserve">on the press </w:t>
      </w:r>
      <w:r w:rsidR="00A81F10" w:rsidRPr="008137D7">
        <w:rPr>
          <w:rFonts w:eastAsia="Times New Roman"/>
        </w:rPr>
        <w:t>may</w:t>
      </w:r>
      <w:r w:rsidR="00075898" w:rsidRPr="008137D7">
        <w:rPr>
          <w:rFonts w:eastAsia="Times New Roman"/>
        </w:rPr>
        <w:t xml:space="preserve"> constrain </w:t>
      </w:r>
      <w:r w:rsidR="00A81F10" w:rsidRPr="008137D7">
        <w:rPr>
          <w:rFonts w:eastAsia="Times New Roman"/>
        </w:rPr>
        <w:t xml:space="preserve">both </w:t>
      </w:r>
      <w:r w:rsidR="00075898" w:rsidRPr="008137D7">
        <w:rPr>
          <w:rFonts w:eastAsia="Times New Roman"/>
        </w:rPr>
        <w:t xml:space="preserve">the availability </w:t>
      </w:r>
      <w:r w:rsidR="00A81F10" w:rsidRPr="008137D7">
        <w:rPr>
          <w:rFonts w:eastAsia="Times New Roman"/>
          <w:i/>
        </w:rPr>
        <w:t>and</w:t>
      </w:r>
      <w:r w:rsidR="00A81F10" w:rsidRPr="008137D7">
        <w:rPr>
          <w:rFonts w:eastAsia="Times New Roman"/>
        </w:rPr>
        <w:t xml:space="preserve"> accuracy of information about government policy</w:t>
      </w:r>
      <w:r w:rsidRPr="008137D7">
        <w:rPr>
          <w:rFonts w:eastAsia="Times New Roman"/>
        </w:rPr>
        <w:t xml:space="preserve">. </w:t>
      </w:r>
      <w:r w:rsidR="009A06DA" w:rsidRPr="008137D7">
        <w:rPr>
          <w:rFonts w:eastAsia="Times New Roman"/>
        </w:rPr>
        <w:t xml:space="preserve"> </w:t>
      </w:r>
      <w:r w:rsidR="0087495B" w:rsidRPr="008137D7">
        <w:rPr>
          <w:rFonts w:eastAsia="Times New Roman"/>
        </w:rPr>
        <w:t xml:space="preserve">Mass </w:t>
      </w:r>
      <w:r w:rsidR="00A81F10" w:rsidRPr="008137D7">
        <w:rPr>
          <w:rFonts w:eastAsia="Times New Roman"/>
        </w:rPr>
        <w:t xml:space="preserve">media </w:t>
      </w:r>
      <w:r w:rsidR="0087495B" w:rsidRPr="008137D7">
        <w:rPr>
          <w:rFonts w:eastAsia="Times New Roman"/>
        </w:rPr>
        <w:t>thus may be</w:t>
      </w:r>
      <w:r w:rsidR="00A81F10" w:rsidRPr="008137D7">
        <w:rPr>
          <w:rFonts w:eastAsia="Times New Roman"/>
        </w:rPr>
        <w:t xml:space="preserve"> less able to report on policy, either due to </w:t>
      </w:r>
      <w:r w:rsidR="00DD2B9A" w:rsidRPr="008137D7">
        <w:rPr>
          <w:rFonts w:eastAsia="Times New Roman"/>
        </w:rPr>
        <w:t>restrictions</w:t>
      </w:r>
      <w:r w:rsidR="00477177" w:rsidRPr="008137D7">
        <w:rPr>
          <w:rFonts w:eastAsia="Times New Roman"/>
        </w:rPr>
        <w:t xml:space="preserve"> on access to information</w:t>
      </w:r>
      <w:r w:rsidR="00A81F10" w:rsidRPr="008137D7">
        <w:rPr>
          <w:rFonts w:eastAsia="Times New Roman"/>
        </w:rPr>
        <w:t xml:space="preserve"> or publication constraints</w:t>
      </w:r>
      <w:r w:rsidR="00645D2E" w:rsidRPr="008137D7">
        <w:rPr>
          <w:rFonts w:eastAsia="Times New Roman"/>
        </w:rPr>
        <w:t>, limiting the amount of information that is available to citizens</w:t>
      </w:r>
      <w:r w:rsidR="00481596" w:rsidRPr="008137D7">
        <w:rPr>
          <w:rFonts w:eastAsia="Times New Roman"/>
        </w:rPr>
        <w:t xml:space="preserve">.  </w:t>
      </w:r>
      <w:r w:rsidRPr="008137D7">
        <w:rPr>
          <w:rFonts w:eastAsia="Times New Roman"/>
        </w:rPr>
        <w:t xml:space="preserve">An unfree press </w:t>
      </w:r>
      <w:r w:rsidR="00CE366C" w:rsidRPr="008137D7">
        <w:rPr>
          <w:rFonts w:eastAsia="Times New Roman"/>
        </w:rPr>
        <w:t xml:space="preserve">or </w:t>
      </w:r>
      <w:r w:rsidRPr="008137D7">
        <w:rPr>
          <w:rFonts w:eastAsia="Times New Roman"/>
        </w:rPr>
        <w:t>media</w:t>
      </w:r>
      <w:r w:rsidR="00E360A3" w:rsidRPr="008137D7">
        <w:rPr>
          <w:rFonts w:eastAsia="Times New Roman"/>
        </w:rPr>
        <w:t xml:space="preserve"> (</w:t>
      </w:r>
      <w:r w:rsidRPr="008137D7">
        <w:rPr>
          <w:rFonts w:eastAsia="Times New Roman"/>
        </w:rPr>
        <w:t>we will use the terms interchangeably here) m</w:t>
      </w:r>
      <w:r w:rsidR="00A81F10" w:rsidRPr="008137D7">
        <w:rPr>
          <w:rFonts w:eastAsia="Times New Roman"/>
        </w:rPr>
        <w:t xml:space="preserve">ight alternatively </w:t>
      </w:r>
      <w:r w:rsidRPr="008137D7">
        <w:rPr>
          <w:rFonts w:eastAsia="Times New Roman"/>
        </w:rPr>
        <w:t xml:space="preserve">provide </w:t>
      </w:r>
      <w:r w:rsidR="00A81F10" w:rsidRPr="008137D7">
        <w:rPr>
          <w:rFonts w:eastAsia="Times New Roman"/>
        </w:rPr>
        <w:t xml:space="preserve">a good deal </w:t>
      </w:r>
      <w:r w:rsidRPr="008137D7">
        <w:rPr>
          <w:rFonts w:eastAsia="Times New Roman"/>
        </w:rPr>
        <w:t>of policy information, but the accuracy of that information is more suspect</w:t>
      </w:r>
      <w:r w:rsidR="00481596" w:rsidRPr="008137D7">
        <w:rPr>
          <w:rFonts w:eastAsia="Times New Roman"/>
        </w:rPr>
        <w:t xml:space="preserve">.  </w:t>
      </w:r>
      <w:r w:rsidR="00A6457B" w:rsidRPr="008137D7">
        <w:rPr>
          <w:rFonts w:eastAsia="Times New Roman"/>
        </w:rPr>
        <w:t>Either way, it makes sense that</w:t>
      </w:r>
      <w:r w:rsidRPr="008137D7">
        <w:rPr>
          <w:rFonts w:eastAsia="Times New Roman"/>
        </w:rPr>
        <w:t xml:space="preserve"> there is work suggesting that political knowledge increases alongside freedom of the press</w:t>
      </w:r>
      <w:r w:rsidR="002F56B4" w:rsidRPr="008137D7">
        <w:rPr>
          <w:rFonts w:eastAsia="Times New Roman"/>
        </w:rPr>
        <w:t xml:space="preserve">. We know that </w:t>
      </w:r>
      <w:r w:rsidR="002F56B4" w:rsidRPr="008137D7">
        <w:t xml:space="preserve">media coverage </w:t>
      </w:r>
      <w:r w:rsidR="004F3402" w:rsidRPr="008137D7">
        <w:t>can inform citizens</w:t>
      </w:r>
      <w:r w:rsidR="002F56B4" w:rsidRPr="008137D7">
        <w:t xml:space="preserve"> </w:t>
      </w:r>
      <w:r w:rsidR="004F3402" w:rsidRPr="008137D7">
        <w:t xml:space="preserve">about policy </w:t>
      </w:r>
      <w:r w:rsidR="002F56B4" w:rsidRPr="008137D7">
        <w:rPr>
          <w:rFonts w:eastAsia="Times New Roman"/>
        </w:rPr>
        <w:t xml:space="preserve">(Neuner et al., </w:t>
      </w:r>
      <w:r w:rsidR="004555D1" w:rsidRPr="008137D7">
        <w:rPr>
          <w:rFonts w:eastAsia="Times New Roman"/>
        </w:rPr>
        <w:t>2019</w:t>
      </w:r>
      <w:r w:rsidR="002F56B4" w:rsidRPr="008137D7">
        <w:rPr>
          <w:rFonts w:eastAsia="Times New Roman"/>
        </w:rPr>
        <w:t xml:space="preserve">), </w:t>
      </w:r>
      <w:r w:rsidR="004F3402" w:rsidRPr="008137D7">
        <w:rPr>
          <w:rFonts w:eastAsia="Times New Roman"/>
        </w:rPr>
        <w:t>after all</w:t>
      </w:r>
      <w:r w:rsidR="00906010" w:rsidRPr="008137D7">
        <w:rPr>
          <w:rFonts w:eastAsia="Times New Roman"/>
        </w:rPr>
        <w:t>,</w:t>
      </w:r>
      <w:r w:rsidR="004F3402" w:rsidRPr="008137D7">
        <w:rPr>
          <w:rFonts w:eastAsia="Times New Roman"/>
        </w:rPr>
        <w:t xml:space="preserve"> and there is a </w:t>
      </w:r>
      <w:r w:rsidRPr="008137D7">
        <w:rPr>
          <w:rFonts w:eastAsia="Times New Roman"/>
        </w:rPr>
        <w:t>well-established literature on the role that a free press plays in informing citizens and holding government accountable (Mulgan 2003; Coyne and Leeson 2004; Besley and Prat 2006; Norris 2006; Leeson and Coyne 2007).</w:t>
      </w:r>
      <w:r w:rsidR="00C61010" w:rsidRPr="008137D7">
        <w:rPr>
          <w:rFonts w:eastAsia="Times New Roman"/>
        </w:rPr>
        <w:t xml:space="preserve"> </w:t>
      </w:r>
    </w:p>
    <w:p w14:paraId="372FC41A" w14:textId="6E499212" w:rsidR="00477177" w:rsidRPr="008137D7" w:rsidRDefault="004F3402" w:rsidP="003165E2">
      <w:pPr>
        <w:spacing w:line="480" w:lineRule="auto"/>
        <w:ind w:firstLine="720"/>
        <w:jc w:val="both"/>
        <w:rPr>
          <w:rFonts w:eastAsia="Times New Roman"/>
        </w:rPr>
      </w:pPr>
      <w:r w:rsidRPr="008137D7">
        <w:rPr>
          <w:rFonts w:eastAsia="Times New Roman"/>
        </w:rPr>
        <w:t>To</w:t>
      </w:r>
      <w:r w:rsidR="00C61010" w:rsidRPr="008137D7">
        <w:rPr>
          <w:rFonts w:eastAsia="Times New Roman"/>
        </w:rPr>
        <w:t xml:space="preserve"> be clear</w:t>
      </w:r>
      <w:r w:rsidRPr="008137D7">
        <w:rPr>
          <w:rFonts w:eastAsia="Times New Roman"/>
        </w:rPr>
        <w:t xml:space="preserve">: </w:t>
      </w:r>
      <w:r w:rsidR="00C61010" w:rsidRPr="008137D7">
        <w:rPr>
          <w:rFonts w:eastAsia="Times New Roman"/>
        </w:rPr>
        <w:t xml:space="preserve">we do not argue that press limitations are the only, or even most serious, threat to </w:t>
      </w:r>
      <w:r w:rsidR="003E51D9" w:rsidRPr="008137D7">
        <w:rPr>
          <w:rFonts w:eastAsia="Times New Roman"/>
        </w:rPr>
        <w:t xml:space="preserve">effective </w:t>
      </w:r>
      <w:r w:rsidR="00C61010" w:rsidRPr="008137D7">
        <w:rPr>
          <w:rFonts w:eastAsia="Times New Roman"/>
        </w:rPr>
        <w:t xml:space="preserve">journalism. </w:t>
      </w:r>
      <w:r w:rsidRPr="008137D7">
        <w:rPr>
          <w:rFonts w:eastAsia="Times New Roman"/>
        </w:rPr>
        <w:t>T</w:t>
      </w:r>
      <w:r w:rsidR="00C61010" w:rsidRPr="008137D7">
        <w:rPr>
          <w:rFonts w:eastAsia="Times New Roman"/>
        </w:rPr>
        <w:t xml:space="preserve">here are reasons to suspect that </w:t>
      </w:r>
      <w:r w:rsidR="00E976A1" w:rsidRPr="008137D7">
        <w:rPr>
          <w:rFonts w:eastAsia="Times New Roman"/>
        </w:rPr>
        <w:t xml:space="preserve">the </w:t>
      </w:r>
      <w:r w:rsidR="00C61010" w:rsidRPr="008137D7">
        <w:rPr>
          <w:rFonts w:eastAsia="Times New Roman"/>
        </w:rPr>
        <w:t xml:space="preserve">changing economic models of press outlets pose a very serious </w:t>
      </w:r>
      <w:r w:rsidR="00CD3DE0" w:rsidRPr="008137D7">
        <w:rPr>
          <w:rFonts w:eastAsia="Times New Roman"/>
        </w:rPr>
        <w:t>challenge</w:t>
      </w:r>
      <w:r w:rsidR="00C61010" w:rsidRPr="008137D7">
        <w:rPr>
          <w:rFonts w:eastAsia="Times New Roman"/>
        </w:rPr>
        <w:t xml:space="preserve"> to </w:t>
      </w:r>
      <w:r w:rsidR="00E976A1" w:rsidRPr="008137D7">
        <w:rPr>
          <w:rFonts w:eastAsia="Times New Roman"/>
        </w:rPr>
        <w:t>the free flow of information</w:t>
      </w:r>
      <w:r w:rsidRPr="008137D7">
        <w:rPr>
          <w:rFonts w:eastAsia="Times New Roman"/>
        </w:rPr>
        <w:t xml:space="preserve">, even (or perhaps especially) in countries with </w:t>
      </w:r>
      <w:r w:rsidR="00C1516E" w:rsidRPr="008137D7">
        <w:rPr>
          <w:rFonts w:eastAsia="Times New Roman"/>
        </w:rPr>
        <w:t>ostensibly high freedom of the press</w:t>
      </w:r>
      <w:r w:rsidR="00C61010" w:rsidRPr="008137D7">
        <w:rPr>
          <w:rFonts w:eastAsia="Times New Roman"/>
        </w:rPr>
        <w:t>.</w:t>
      </w:r>
      <w:r w:rsidR="003E51D9" w:rsidRPr="008137D7" w:rsidDel="003E51D9">
        <w:rPr>
          <w:rStyle w:val="FootnoteReference"/>
          <w:rFonts w:eastAsia="Times New Roman"/>
        </w:rPr>
        <w:t xml:space="preserve"> </w:t>
      </w:r>
      <w:r w:rsidR="00C61010" w:rsidRPr="008137D7">
        <w:rPr>
          <w:rFonts w:eastAsia="Times New Roman"/>
        </w:rPr>
        <w:t xml:space="preserve"> </w:t>
      </w:r>
      <w:r w:rsidR="003165E2" w:rsidRPr="008137D7">
        <w:rPr>
          <w:rFonts w:eastAsia="Times New Roman"/>
        </w:rPr>
        <w:t xml:space="preserve">We also acknowledge that press coverage of policy issues will be imperfect in a number of ways that may be entirely independent of limits on freedom of the press.  Media coverage is necessarily a sample, and so it contains the error associated with sampling.  There are also vast literatures chronicling a range of systematic biases in news coverage (e.g., Altheide 1997; Meyrowitz 1994; Patterson 1994; Bennett et al. 2008; </w:t>
      </w:r>
      <w:r w:rsidR="003165E2" w:rsidRPr="008137D7">
        <w:rPr>
          <w:rFonts w:eastAsia="Times New Roman"/>
        </w:rPr>
        <w:lastRenderedPageBreak/>
        <w:t xml:space="preserve">Groeling 2013; Soroka 2012; Dalen et al. 2015; Shoemaker and Vos 2009) and a dearth of information about policy (e.g., Lawrence 2000), particularly on complex scientific issues (e.g., Friedman et al. 1999; Stocking and Holstein 2008).  </w:t>
      </w:r>
      <w:r w:rsidR="00C1516E" w:rsidRPr="008137D7">
        <w:rPr>
          <w:rFonts w:eastAsia="Times New Roman"/>
        </w:rPr>
        <w:t xml:space="preserve">We nevertheless </w:t>
      </w:r>
      <w:r w:rsidR="004D5595" w:rsidRPr="008137D7">
        <w:rPr>
          <w:rFonts w:eastAsia="Times New Roman"/>
        </w:rPr>
        <w:t xml:space="preserve">think </w:t>
      </w:r>
      <w:r w:rsidR="00C1516E" w:rsidRPr="008137D7">
        <w:rPr>
          <w:rFonts w:eastAsia="Times New Roman"/>
        </w:rPr>
        <w:t xml:space="preserve">that </w:t>
      </w:r>
      <w:r w:rsidR="00E976A1" w:rsidRPr="008137D7">
        <w:rPr>
          <w:rFonts w:eastAsia="Times New Roman"/>
        </w:rPr>
        <w:t>governmentally</w:t>
      </w:r>
      <w:r w:rsidR="00A93641" w:rsidRPr="008137D7">
        <w:rPr>
          <w:rFonts w:eastAsia="Times New Roman"/>
        </w:rPr>
        <w:t>-</w:t>
      </w:r>
      <w:r w:rsidR="00E976A1" w:rsidRPr="008137D7">
        <w:rPr>
          <w:rFonts w:eastAsia="Times New Roman"/>
        </w:rPr>
        <w:t>imposed</w:t>
      </w:r>
      <w:r w:rsidR="00C61010" w:rsidRPr="008137D7">
        <w:rPr>
          <w:rFonts w:eastAsia="Times New Roman"/>
        </w:rPr>
        <w:t xml:space="preserve"> constraints on the flow and accuracy of information</w:t>
      </w:r>
      <w:r w:rsidR="00C1516E" w:rsidRPr="008137D7">
        <w:rPr>
          <w:rFonts w:eastAsia="Times New Roman"/>
        </w:rPr>
        <w:t xml:space="preserve"> </w:t>
      </w:r>
      <w:r w:rsidR="003165E2" w:rsidRPr="008137D7">
        <w:rPr>
          <w:rFonts w:eastAsia="Times New Roman"/>
        </w:rPr>
        <w:t>can be</w:t>
      </w:r>
      <w:r w:rsidR="00C1516E" w:rsidRPr="008137D7">
        <w:rPr>
          <w:rFonts w:eastAsia="Times New Roman"/>
        </w:rPr>
        <w:t xml:space="preserve"> critical, </w:t>
      </w:r>
      <w:r w:rsidR="003165E2" w:rsidRPr="008137D7">
        <w:rPr>
          <w:rFonts w:eastAsia="Times New Roman"/>
        </w:rPr>
        <w:t>both</w:t>
      </w:r>
      <w:r w:rsidR="00C1516E" w:rsidRPr="008137D7">
        <w:rPr>
          <w:rFonts w:eastAsia="Times New Roman"/>
        </w:rPr>
        <w:t xml:space="preserve"> within </w:t>
      </w:r>
      <w:r w:rsidR="007B6037" w:rsidRPr="008137D7">
        <w:rPr>
          <w:rFonts w:eastAsia="Times New Roman"/>
        </w:rPr>
        <w:t>and</w:t>
      </w:r>
      <w:r w:rsidR="00C1516E" w:rsidRPr="008137D7">
        <w:rPr>
          <w:rFonts w:eastAsia="Times New Roman"/>
        </w:rPr>
        <w:t xml:space="preserve"> </w:t>
      </w:r>
      <w:r w:rsidR="009C0537" w:rsidRPr="008137D7">
        <w:rPr>
          <w:rFonts w:eastAsia="Times New Roman"/>
        </w:rPr>
        <w:t xml:space="preserve">outside </w:t>
      </w:r>
      <w:r w:rsidR="00C1516E" w:rsidRPr="008137D7">
        <w:rPr>
          <w:rFonts w:eastAsia="Times New Roman"/>
        </w:rPr>
        <w:t>representative democracies</w:t>
      </w:r>
      <w:r w:rsidR="002F56B4" w:rsidRPr="008137D7">
        <w:rPr>
          <w:rFonts w:eastAsia="Times New Roman"/>
        </w:rPr>
        <w:t xml:space="preserve">. </w:t>
      </w:r>
    </w:p>
    <w:p w14:paraId="268A88CA" w14:textId="267B9CFB" w:rsidR="00A16E33" w:rsidRPr="008137D7" w:rsidRDefault="002230A8" w:rsidP="00D52E48">
      <w:pPr>
        <w:spacing w:line="480" w:lineRule="auto"/>
        <w:ind w:firstLine="720"/>
        <w:jc w:val="both"/>
        <w:rPr>
          <w:rFonts w:eastAsia="Times New Roman"/>
        </w:rPr>
      </w:pPr>
      <w:r w:rsidRPr="008137D7">
        <w:rPr>
          <w:rFonts w:eastAsia="Times New Roman"/>
        </w:rPr>
        <w:t xml:space="preserve">In sum, drawing on past work highlighting the importance of a free press to representative democracy, </w:t>
      </w:r>
      <w:r w:rsidR="007D5A65" w:rsidRPr="008137D7">
        <w:rPr>
          <w:rFonts w:eastAsia="Times New Roman"/>
        </w:rPr>
        <w:t xml:space="preserve">as well as </w:t>
      </w:r>
      <w:r w:rsidR="00163D42" w:rsidRPr="008137D7">
        <w:rPr>
          <w:rFonts w:eastAsia="Times New Roman"/>
        </w:rPr>
        <w:t xml:space="preserve">recent concerns about press freedoms, </w:t>
      </w:r>
      <w:r w:rsidRPr="008137D7">
        <w:rPr>
          <w:rFonts w:eastAsia="Times New Roman"/>
        </w:rPr>
        <w:t>we explore below the possibility that thermostatic responsiveness to policy is contingent on a robust, free media</w:t>
      </w:r>
      <w:r w:rsidR="00481596" w:rsidRPr="008137D7">
        <w:rPr>
          <w:rFonts w:eastAsia="Times New Roman"/>
        </w:rPr>
        <w:t xml:space="preserve">.  </w:t>
      </w:r>
      <w:r w:rsidR="00D52E48" w:rsidRPr="008137D7">
        <w:rPr>
          <w:rFonts w:eastAsia="Times New Roman"/>
        </w:rPr>
        <w:t xml:space="preserve">Put </w:t>
      </w:r>
      <w:r w:rsidR="00EA1492" w:rsidRPr="008137D7">
        <w:rPr>
          <w:rFonts w:eastAsia="Times New Roman"/>
        </w:rPr>
        <w:t>succinctly</w:t>
      </w:r>
      <w:r w:rsidR="00D52E48" w:rsidRPr="008137D7">
        <w:rPr>
          <w:rFonts w:eastAsia="Times New Roman"/>
        </w:rPr>
        <w:t>: we suggest that more controls on press freedoms will be associated with less accurate (and perhaps also less frequent) signals about policy change, and that this will make it more difficult for citizens to hold informed opinions and, consequently, more difficult for citizens to hold their governments accountable</w:t>
      </w:r>
      <w:r w:rsidR="00EA1492" w:rsidRPr="008137D7">
        <w:rPr>
          <w:rFonts w:eastAsia="Times New Roman"/>
        </w:rPr>
        <w:t xml:space="preserve">. </w:t>
      </w:r>
      <w:r w:rsidR="00DB19FB" w:rsidRPr="008137D7">
        <w:rPr>
          <w:rFonts w:eastAsia="Times New Roman"/>
        </w:rPr>
        <w:t>It is our expectation</w:t>
      </w:r>
      <w:r w:rsidR="00926523" w:rsidRPr="008137D7">
        <w:rPr>
          <w:rFonts w:eastAsia="Times New Roman"/>
        </w:rPr>
        <w:t xml:space="preserve"> that </w:t>
      </w:r>
      <w:r w:rsidR="002E69BE" w:rsidRPr="008137D7">
        <w:rPr>
          <w:rFonts w:eastAsia="Times New Roman"/>
        </w:rPr>
        <w:t xml:space="preserve">thermostatic </w:t>
      </w:r>
      <w:r w:rsidR="00A5641C" w:rsidRPr="008137D7">
        <w:rPr>
          <w:rFonts w:eastAsia="Times New Roman"/>
        </w:rPr>
        <w:t xml:space="preserve">responsiveness </w:t>
      </w:r>
      <w:r w:rsidR="0013424E" w:rsidRPr="008137D7">
        <w:rPr>
          <w:rFonts w:eastAsia="Times New Roman"/>
        </w:rPr>
        <w:t xml:space="preserve">will be </w:t>
      </w:r>
      <w:r w:rsidR="00AB60DE" w:rsidRPr="008137D7">
        <w:rPr>
          <w:rFonts w:eastAsia="Times New Roman"/>
        </w:rPr>
        <w:t>great</w:t>
      </w:r>
      <w:r w:rsidR="0013424E" w:rsidRPr="008137D7">
        <w:rPr>
          <w:rFonts w:eastAsia="Times New Roman"/>
        </w:rPr>
        <w:t>e</w:t>
      </w:r>
      <w:r w:rsidR="00060693" w:rsidRPr="008137D7">
        <w:rPr>
          <w:rFonts w:eastAsia="Times New Roman"/>
        </w:rPr>
        <w:t>st</w:t>
      </w:r>
      <w:r w:rsidR="0013424E" w:rsidRPr="008137D7">
        <w:rPr>
          <w:rFonts w:eastAsia="Times New Roman"/>
        </w:rPr>
        <w:t xml:space="preserve"> in an environment with few press limits</w:t>
      </w:r>
      <w:r w:rsidR="00481596" w:rsidRPr="008137D7">
        <w:rPr>
          <w:rFonts w:eastAsia="Times New Roman"/>
        </w:rPr>
        <w:t xml:space="preserve">.  </w:t>
      </w:r>
      <w:r w:rsidR="00F808F0" w:rsidRPr="008137D7">
        <w:rPr>
          <w:rFonts w:eastAsia="Times New Roman"/>
        </w:rPr>
        <w:t xml:space="preserve">Conversely, </w:t>
      </w:r>
      <w:r w:rsidR="00AE3799" w:rsidRPr="008137D7">
        <w:rPr>
          <w:rFonts w:eastAsia="Times New Roman"/>
        </w:rPr>
        <w:t xml:space="preserve">increased </w:t>
      </w:r>
      <w:r w:rsidR="0013424E" w:rsidRPr="008137D7">
        <w:rPr>
          <w:rFonts w:eastAsia="Times New Roman"/>
        </w:rPr>
        <w:t xml:space="preserve">controls on the press will </w:t>
      </w:r>
      <w:r w:rsidR="00AE3799" w:rsidRPr="008137D7">
        <w:rPr>
          <w:rFonts w:eastAsia="Times New Roman"/>
        </w:rPr>
        <w:t xml:space="preserve">lead to </w:t>
      </w:r>
      <w:r w:rsidR="0013424E" w:rsidRPr="008137D7">
        <w:rPr>
          <w:rFonts w:eastAsia="Times New Roman"/>
        </w:rPr>
        <w:t>mute</w:t>
      </w:r>
      <w:r w:rsidR="00AE3799" w:rsidRPr="008137D7">
        <w:rPr>
          <w:rFonts w:eastAsia="Times New Roman"/>
        </w:rPr>
        <w:t>d</w:t>
      </w:r>
      <w:r w:rsidR="0013424E" w:rsidRPr="008137D7">
        <w:rPr>
          <w:rFonts w:eastAsia="Times New Roman"/>
        </w:rPr>
        <w:t xml:space="preserve"> thermostatic respons</w:t>
      </w:r>
      <w:r w:rsidR="00F808F0" w:rsidRPr="008137D7">
        <w:rPr>
          <w:rFonts w:eastAsia="Times New Roman"/>
        </w:rPr>
        <w:t>iveness</w:t>
      </w:r>
      <w:r w:rsidR="0013424E" w:rsidRPr="008137D7">
        <w:rPr>
          <w:rFonts w:eastAsia="Times New Roman"/>
        </w:rPr>
        <w:t>.</w:t>
      </w:r>
    </w:p>
    <w:p w14:paraId="2BAE82F4" w14:textId="77777777" w:rsidR="00A16E33" w:rsidRPr="008137D7" w:rsidRDefault="002230A8" w:rsidP="00E32BAD">
      <w:pPr>
        <w:spacing w:line="480" w:lineRule="auto"/>
        <w:jc w:val="center"/>
        <w:rPr>
          <w:rFonts w:eastAsia="Times New Roman"/>
          <w:sz w:val="28"/>
          <w:szCs w:val="28"/>
        </w:rPr>
      </w:pPr>
      <w:r w:rsidRPr="008137D7">
        <w:rPr>
          <w:rFonts w:eastAsia="Times New Roman"/>
          <w:sz w:val="28"/>
          <w:szCs w:val="28"/>
        </w:rPr>
        <w:t>Data</w:t>
      </w:r>
    </w:p>
    <w:p w14:paraId="60E28EC0" w14:textId="54E66E7A" w:rsidR="00A16E33" w:rsidRPr="008137D7" w:rsidRDefault="002230A8" w:rsidP="00CC094D">
      <w:pPr>
        <w:spacing w:line="480" w:lineRule="auto"/>
        <w:ind w:firstLine="720"/>
        <w:jc w:val="both"/>
        <w:rPr>
          <w:rFonts w:eastAsia="Times New Roman"/>
        </w:rPr>
      </w:pPr>
      <w:r w:rsidRPr="008137D7">
        <w:rPr>
          <w:rFonts w:eastAsia="Times New Roman"/>
        </w:rPr>
        <w:t xml:space="preserve">Our analyses focus on </w:t>
      </w:r>
      <w:r w:rsidR="009E4CD8" w:rsidRPr="008137D7">
        <w:rPr>
          <w:rFonts w:eastAsia="Times New Roman"/>
        </w:rPr>
        <w:t xml:space="preserve">the </w:t>
      </w:r>
      <w:r w:rsidR="009877D6" w:rsidRPr="008137D7">
        <w:rPr>
          <w:rFonts w:eastAsia="Times New Roman"/>
        </w:rPr>
        <w:t>final (June 2018)</w:t>
      </w:r>
      <w:r w:rsidR="009E4CD8" w:rsidRPr="008137D7">
        <w:rPr>
          <w:rFonts w:eastAsia="Times New Roman"/>
        </w:rPr>
        <w:t xml:space="preserve"> release of </w:t>
      </w:r>
      <w:r w:rsidRPr="008137D7">
        <w:rPr>
          <w:rFonts w:eastAsia="Times New Roman"/>
        </w:rPr>
        <w:t xml:space="preserve">Wave 4 of the Comparative Study of Electoral Systems (CSES), a cross-national survey that thus far includes over </w:t>
      </w:r>
      <w:r w:rsidR="007F79A7" w:rsidRPr="008137D7">
        <w:rPr>
          <w:rFonts w:eastAsia="Times New Roman"/>
        </w:rPr>
        <w:t>7</w:t>
      </w:r>
      <w:r w:rsidRPr="008137D7">
        <w:rPr>
          <w:rFonts w:eastAsia="Times New Roman"/>
        </w:rPr>
        <w:t xml:space="preserve">0,000 individuals in </w:t>
      </w:r>
      <w:r w:rsidR="007F79A7" w:rsidRPr="008137D7">
        <w:rPr>
          <w:rFonts w:eastAsia="Times New Roman"/>
        </w:rPr>
        <w:t>39</w:t>
      </w:r>
      <w:r w:rsidR="009E4CD8" w:rsidRPr="008137D7">
        <w:rPr>
          <w:rFonts w:eastAsia="Times New Roman"/>
        </w:rPr>
        <w:t xml:space="preserve"> </w:t>
      </w:r>
      <w:r w:rsidRPr="008137D7">
        <w:rPr>
          <w:rFonts w:eastAsia="Times New Roman"/>
        </w:rPr>
        <w:t>countries</w:t>
      </w:r>
      <w:r w:rsidR="00E07A2C" w:rsidRPr="008137D7">
        <w:rPr>
          <w:rFonts w:eastAsia="Times New Roman"/>
        </w:rPr>
        <w:t>, 2</w:t>
      </w:r>
      <w:r w:rsidR="009C2615" w:rsidRPr="008137D7">
        <w:rPr>
          <w:rFonts w:eastAsia="Times New Roman"/>
        </w:rPr>
        <w:t>4</w:t>
      </w:r>
      <w:r w:rsidR="00E07A2C" w:rsidRPr="008137D7">
        <w:rPr>
          <w:rFonts w:eastAsia="Times New Roman"/>
        </w:rPr>
        <w:t xml:space="preserve"> of which are included in the analyses that follow</w:t>
      </w:r>
      <w:r w:rsidRPr="008137D7">
        <w:rPr>
          <w:rFonts w:eastAsia="Times New Roman"/>
        </w:rPr>
        <w:t>.</w:t>
      </w:r>
      <w:r w:rsidRPr="008137D7">
        <w:rPr>
          <w:rFonts w:eastAsia="Times New Roman"/>
          <w:vertAlign w:val="superscript"/>
        </w:rPr>
        <w:footnoteReference w:id="4"/>
      </w:r>
      <w:r w:rsidRPr="008137D7">
        <w:rPr>
          <w:rFonts w:eastAsia="Times New Roman"/>
        </w:rPr>
        <w:t xml:space="preserve"> The survey was administered </w:t>
      </w:r>
      <w:r w:rsidRPr="008137D7">
        <w:rPr>
          <w:rFonts w:eastAsia="Times New Roman"/>
        </w:rPr>
        <w:lastRenderedPageBreak/>
        <w:t>between 2011 and 2016 through a collaboration between the Center for Political Studies at the University of Michigan and the GESIS - Leibniz Institute for the Social Sciences</w:t>
      </w:r>
      <w:r w:rsidR="00481596" w:rsidRPr="008137D7">
        <w:rPr>
          <w:rFonts w:eastAsia="Times New Roman"/>
        </w:rPr>
        <w:t xml:space="preserve">.  </w:t>
      </w:r>
      <w:r w:rsidRPr="008137D7">
        <w:rPr>
          <w:rFonts w:eastAsia="Times New Roman"/>
        </w:rPr>
        <w:t xml:space="preserve">CSES Wave 4 data are unique in that they include a series of questions on respondents’ preferences for </w:t>
      </w:r>
      <w:r w:rsidR="00AB60DE" w:rsidRPr="008137D7">
        <w:rPr>
          <w:rFonts w:eastAsia="Times New Roman"/>
        </w:rPr>
        <w:t xml:space="preserve">government spending </w:t>
      </w:r>
      <w:r w:rsidRPr="008137D7">
        <w:rPr>
          <w:rFonts w:eastAsia="Times New Roman"/>
        </w:rPr>
        <w:t>change</w:t>
      </w:r>
      <w:r w:rsidR="00E44199" w:rsidRPr="008137D7">
        <w:rPr>
          <w:rFonts w:eastAsia="Times New Roman"/>
        </w:rPr>
        <w:t xml:space="preserve">.  </w:t>
      </w:r>
      <w:r w:rsidR="00E976A1" w:rsidRPr="008137D7">
        <w:rPr>
          <w:rFonts w:eastAsia="Times New Roman"/>
        </w:rPr>
        <w:t>Th</w:t>
      </w:r>
      <w:r w:rsidR="00D52E48" w:rsidRPr="008137D7">
        <w:rPr>
          <w:rFonts w:eastAsia="Times New Roman"/>
        </w:rPr>
        <w:t>ese</w:t>
      </w:r>
      <w:r w:rsidR="00E976A1" w:rsidRPr="008137D7">
        <w:rPr>
          <w:rFonts w:eastAsia="Times New Roman"/>
        </w:rPr>
        <w:t xml:space="preserve"> question</w:t>
      </w:r>
      <w:r w:rsidR="00D52E48" w:rsidRPr="008137D7">
        <w:rPr>
          <w:rFonts w:eastAsia="Times New Roman"/>
        </w:rPr>
        <w:t>s</w:t>
      </w:r>
      <w:r w:rsidR="00E976A1" w:rsidRPr="008137D7">
        <w:rPr>
          <w:rFonts w:eastAsia="Times New Roman"/>
        </w:rPr>
        <w:t xml:space="preserve"> </w:t>
      </w:r>
      <w:r w:rsidR="00D52E48" w:rsidRPr="008137D7">
        <w:rPr>
          <w:rFonts w:eastAsia="Times New Roman"/>
        </w:rPr>
        <w:t>are</w:t>
      </w:r>
      <w:r w:rsidR="00E976A1" w:rsidRPr="008137D7">
        <w:rPr>
          <w:rFonts w:eastAsia="Times New Roman"/>
        </w:rPr>
        <w:t xml:space="preserve"> vital to our inquiry</w:t>
      </w:r>
      <w:r w:rsidR="00D52E48" w:rsidRPr="008137D7">
        <w:rPr>
          <w:rFonts w:eastAsia="Times New Roman"/>
        </w:rPr>
        <w:t>,</w:t>
      </w:r>
      <w:r w:rsidR="00E976A1" w:rsidRPr="008137D7">
        <w:rPr>
          <w:rFonts w:eastAsia="Times New Roman"/>
        </w:rPr>
        <w:t xml:space="preserve"> and </w:t>
      </w:r>
      <w:r w:rsidR="00D52E48" w:rsidRPr="008137D7">
        <w:rPr>
          <w:rFonts w:eastAsia="Times New Roman"/>
        </w:rPr>
        <w:t>they are</w:t>
      </w:r>
      <w:r w:rsidR="00E976A1" w:rsidRPr="008137D7">
        <w:rPr>
          <w:rFonts w:eastAsia="Times New Roman"/>
        </w:rPr>
        <w:t xml:space="preserve"> not</w:t>
      </w:r>
      <w:r w:rsidR="00480166" w:rsidRPr="008137D7">
        <w:rPr>
          <w:rFonts w:eastAsia="Times New Roman"/>
        </w:rPr>
        <w:t>,</w:t>
      </w:r>
      <w:r w:rsidR="00E976A1" w:rsidRPr="008137D7">
        <w:rPr>
          <w:rFonts w:eastAsia="Times New Roman"/>
        </w:rPr>
        <w:t xml:space="preserve"> to our knowledge</w:t>
      </w:r>
      <w:r w:rsidR="00480166" w:rsidRPr="008137D7">
        <w:rPr>
          <w:rFonts w:eastAsia="Times New Roman"/>
        </w:rPr>
        <w:t>,</w:t>
      </w:r>
      <w:r w:rsidR="00D52E48" w:rsidRPr="008137D7">
        <w:rPr>
          <w:rFonts w:eastAsia="Times New Roman"/>
        </w:rPr>
        <w:t xml:space="preserve"> included </w:t>
      </w:r>
      <w:r w:rsidR="00E976A1" w:rsidRPr="008137D7">
        <w:rPr>
          <w:rFonts w:eastAsia="Times New Roman"/>
        </w:rPr>
        <w:t>in any other cross-national dataset</w:t>
      </w:r>
      <w:r w:rsidR="00593485" w:rsidRPr="008137D7">
        <w:rPr>
          <w:rFonts w:eastAsia="Times New Roman"/>
        </w:rPr>
        <w:t xml:space="preserve"> of similar size and scope</w:t>
      </w:r>
      <w:r w:rsidRPr="008137D7">
        <w:rPr>
          <w:rFonts w:eastAsia="Times New Roman"/>
        </w:rPr>
        <w:t>:</w:t>
      </w:r>
    </w:p>
    <w:p w14:paraId="6E8B39DB" w14:textId="502480EF" w:rsidR="00A16E33" w:rsidRPr="008137D7" w:rsidRDefault="002230A8" w:rsidP="001F6774">
      <w:pPr>
        <w:spacing w:line="480" w:lineRule="auto"/>
        <w:ind w:left="360"/>
        <w:jc w:val="both"/>
        <w:rPr>
          <w:rFonts w:eastAsia="Times New Roman"/>
        </w:rPr>
      </w:pPr>
      <w:r w:rsidRPr="008137D7">
        <w:rPr>
          <w:rFonts w:eastAsia="Times New Roman"/>
        </w:rPr>
        <w:t>For the next questions, please say whether you would like to see more or less government expenditure in each of the following areas</w:t>
      </w:r>
      <w:r w:rsidR="00481596" w:rsidRPr="008137D7">
        <w:rPr>
          <w:rFonts w:eastAsia="Times New Roman"/>
        </w:rPr>
        <w:t xml:space="preserve">.  </w:t>
      </w:r>
      <w:r w:rsidRPr="008137D7">
        <w:rPr>
          <w:rFonts w:eastAsia="Times New Roman"/>
        </w:rPr>
        <w:t xml:space="preserve">Remember if you say </w:t>
      </w:r>
      <w:r w:rsidR="0075277D" w:rsidRPr="008137D7">
        <w:rPr>
          <w:rFonts w:eastAsia="Times New Roman"/>
        </w:rPr>
        <w:t>“</w:t>
      </w:r>
      <w:r w:rsidRPr="008137D7">
        <w:rPr>
          <w:rFonts w:eastAsia="Times New Roman"/>
        </w:rPr>
        <w:t>more</w:t>
      </w:r>
      <w:r w:rsidR="0075277D" w:rsidRPr="008137D7">
        <w:rPr>
          <w:rFonts w:eastAsia="Times New Roman"/>
        </w:rPr>
        <w:t>”</w:t>
      </w:r>
      <w:r w:rsidRPr="008137D7">
        <w:rPr>
          <w:rFonts w:eastAsia="Times New Roman"/>
        </w:rPr>
        <w:t xml:space="preserve"> it could require a tax increase, or </w:t>
      </w:r>
      <w:r w:rsidR="00717585" w:rsidRPr="008137D7">
        <w:rPr>
          <w:rFonts w:eastAsia="Times New Roman"/>
        </w:rPr>
        <w:t>“</w:t>
      </w:r>
      <w:r w:rsidRPr="008137D7">
        <w:rPr>
          <w:rFonts w:eastAsia="Times New Roman"/>
        </w:rPr>
        <w:t>less</w:t>
      </w:r>
      <w:r w:rsidR="00717585" w:rsidRPr="008137D7">
        <w:rPr>
          <w:rFonts w:eastAsia="Times New Roman"/>
        </w:rPr>
        <w:t>,”</w:t>
      </w:r>
      <w:r w:rsidRPr="008137D7">
        <w:rPr>
          <w:rFonts w:eastAsia="Times New Roman"/>
        </w:rPr>
        <w:t xml:space="preserve"> it could require a reduction in those government services.</w:t>
      </w:r>
    </w:p>
    <w:p w14:paraId="6E378C27" w14:textId="77777777" w:rsidR="00A16E33" w:rsidRPr="008137D7" w:rsidRDefault="002230A8" w:rsidP="00C0034C">
      <w:pPr>
        <w:spacing w:line="480" w:lineRule="auto"/>
        <w:ind w:left="360"/>
        <w:jc w:val="both"/>
        <w:rPr>
          <w:rFonts w:eastAsia="Times New Roman"/>
        </w:rPr>
      </w:pPr>
      <w:r w:rsidRPr="008137D7">
        <w:rPr>
          <w:rFonts w:eastAsia="Times New Roman"/>
        </w:rPr>
        <w:t>(Response categories: Much more than now, Somewhat more than now, The same as now, Somewhat less than now, Much less than now)</w:t>
      </w:r>
    </w:p>
    <w:p w14:paraId="6408AF46" w14:textId="77777777" w:rsidR="00A16E33" w:rsidRPr="008137D7" w:rsidRDefault="002230A8" w:rsidP="00AE3799">
      <w:pPr>
        <w:spacing w:line="480" w:lineRule="auto"/>
        <w:ind w:left="360"/>
        <w:jc w:val="both"/>
        <w:rPr>
          <w:rFonts w:eastAsia="Times New Roman"/>
        </w:rPr>
      </w:pPr>
      <w:r w:rsidRPr="008137D7">
        <w:rPr>
          <w:rFonts w:eastAsia="Times New Roman"/>
        </w:rPr>
        <w:t>...Health, Education, Unemployment Benefits, Defense, Old-Age Pensions, Business and Industry, Policy and Law Enforcement, Welfare Benefits</w:t>
      </w:r>
    </w:p>
    <w:p w14:paraId="3C38FB0E" w14:textId="260D907E" w:rsidR="00A16E33" w:rsidRPr="008137D7" w:rsidRDefault="002230A8" w:rsidP="00AE3799">
      <w:pPr>
        <w:spacing w:line="480" w:lineRule="auto"/>
        <w:ind w:firstLine="720"/>
        <w:jc w:val="both"/>
        <w:rPr>
          <w:rFonts w:eastAsia="Times New Roman"/>
        </w:rPr>
      </w:pPr>
      <w:r w:rsidRPr="008137D7">
        <w:rPr>
          <w:rFonts w:eastAsia="Times New Roman"/>
        </w:rPr>
        <w:t>The CSES interviewer instructions include descriptions of each domain, used to clarify the questions for respondents</w:t>
      </w:r>
      <w:r w:rsidR="00481596" w:rsidRPr="008137D7">
        <w:rPr>
          <w:rFonts w:eastAsia="Times New Roman"/>
        </w:rPr>
        <w:t xml:space="preserve">.  </w:t>
      </w:r>
      <w:r w:rsidRPr="008137D7">
        <w:rPr>
          <w:rFonts w:eastAsia="Times New Roman"/>
        </w:rPr>
        <w:t>We include the full question wording in the Appendix</w:t>
      </w:r>
      <w:r w:rsidR="00481596" w:rsidRPr="008137D7">
        <w:rPr>
          <w:rFonts w:eastAsia="Times New Roman"/>
        </w:rPr>
        <w:t xml:space="preserve">.  </w:t>
      </w:r>
      <w:r w:rsidRPr="008137D7">
        <w:rPr>
          <w:rFonts w:eastAsia="Times New Roman"/>
        </w:rPr>
        <w:t>Responses are recoded from -2 to +2, where low values indicate support for less spending, high values indicate support for more spending, and zero indicates support for the “same as now.”</w:t>
      </w:r>
      <w:r w:rsidR="00E976A1" w:rsidRPr="008137D7">
        <w:rPr>
          <w:rFonts w:eastAsia="Times New Roman"/>
        </w:rPr>
        <w:t xml:space="preserve"> </w:t>
      </w:r>
    </w:p>
    <w:p w14:paraId="7F8E01BE" w14:textId="0FD1805C" w:rsidR="0051439F" w:rsidRPr="008137D7" w:rsidRDefault="002230A8" w:rsidP="00AE3799">
      <w:pPr>
        <w:spacing w:line="480" w:lineRule="auto"/>
        <w:ind w:firstLine="720"/>
        <w:jc w:val="both"/>
        <w:rPr>
          <w:rFonts w:eastAsia="Times New Roman"/>
        </w:rPr>
      </w:pPr>
      <w:r w:rsidRPr="008137D7">
        <w:rPr>
          <w:rFonts w:eastAsia="Times New Roman"/>
        </w:rPr>
        <w:t>We focus first on the welfare domain</w:t>
      </w:r>
      <w:r w:rsidR="00D52E48" w:rsidRPr="008137D7">
        <w:rPr>
          <w:rFonts w:eastAsia="Times New Roman"/>
        </w:rPr>
        <w:t xml:space="preserve">, due both to past work that finds strong public responsiveness in this domain, and to the availability of relevant and reliable spending data </w:t>
      </w:r>
      <w:r w:rsidR="00D52E48" w:rsidRPr="008137D7">
        <w:rPr>
          <w:rFonts w:eastAsia="Times New Roman"/>
        </w:rPr>
        <w:lastRenderedPageBreak/>
        <w:t>(discussed below)</w:t>
      </w:r>
      <w:r w:rsidR="00481596" w:rsidRPr="008137D7">
        <w:rPr>
          <w:rFonts w:eastAsia="Times New Roman"/>
        </w:rPr>
        <w:t xml:space="preserve">.  </w:t>
      </w:r>
      <w:r w:rsidRPr="008137D7">
        <w:rPr>
          <w:rFonts w:eastAsia="Times New Roman"/>
        </w:rPr>
        <w:t xml:space="preserve">Our individual-level models include the following demographic variables: gender (binary, </w:t>
      </w:r>
      <w:r w:rsidR="00163D42" w:rsidRPr="008137D7">
        <w:rPr>
          <w:rFonts w:eastAsia="Times New Roman"/>
        </w:rPr>
        <w:t xml:space="preserve">where </w:t>
      </w:r>
      <w:r w:rsidRPr="008137D7">
        <w:rPr>
          <w:rFonts w:eastAsia="Times New Roman"/>
        </w:rPr>
        <w:t xml:space="preserve">female=1), age (in years), and education (binary, </w:t>
      </w:r>
      <w:r w:rsidR="00163D42" w:rsidRPr="008137D7">
        <w:rPr>
          <w:rFonts w:eastAsia="Times New Roman"/>
        </w:rPr>
        <w:t xml:space="preserve">where </w:t>
      </w:r>
      <w:r w:rsidRPr="008137D7">
        <w:rPr>
          <w:rFonts w:eastAsia="Times New Roman"/>
        </w:rPr>
        <w:t>some university or more</w:t>
      </w:r>
      <w:r w:rsidR="0051439F" w:rsidRPr="008137D7">
        <w:rPr>
          <w:rFonts w:eastAsia="Times New Roman"/>
        </w:rPr>
        <w:t>=1</w:t>
      </w:r>
      <w:r w:rsidRPr="008137D7">
        <w:rPr>
          <w:rFonts w:eastAsia="Times New Roman"/>
        </w:rPr>
        <w:t xml:space="preserve">).  </w:t>
      </w:r>
      <w:r w:rsidR="009F6421" w:rsidRPr="008137D7">
        <w:rPr>
          <w:rFonts w:eastAsia="Times New Roman"/>
        </w:rPr>
        <w:t>Respondent i</w:t>
      </w:r>
      <w:r w:rsidRPr="008137D7">
        <w:rPr>
          <w:rFonts w:eastAsia="Times New Roman"/>
        </w:rPr>
        <w:t xml:space="preserve">ncome is not asked in all countries, so </w:t>
      </w:r>
      <w:r w:rsidR="000377E4" w:rsidRPr="008137D7">
        <w:rPr>
          <w:rFonts w:eastAsia="Times New Roman"/>
        </w:rPr>
        <w:t xml:space="preserve">we </w:t>
      </w:r>
      <w:r w:rsidRPr="008137D7">
        <w:rPr>
          <w:rFonts w:eastAsia="Times New Roman"/>
        </w:rPr>
        <w:t>rely on a different question asking how likely it is that respondents’ standard of living will improve in the next 10 years</w:t>
      </w:r>
      <w:r w:rsidR="00481596" w:rsidRPr="008137D7">
        <w:rPr>
          <w:rFonts w:eastAsia="Times New Roman"/>
        </w:rPr>
        <w:t xml:space="preserve">.  </w:t>
      </w:r>
      <w:r w:rsidRPr="008137D7">
        <w:rPr>
          <w:rFonts w:eastAsia="Times New Roman"/>
        </w:rPr>
        <w:t>Responses range on a 4-item scale from “very likely” to “very unlikely</w:t>
      </w:r>
      <w:r w:rsidR="0051439F" w:rsidRPr="008137D7">
        <w:rPr>
          <w:rFonts w:eastAsia="Times New Roman"/>
        </w:rPr>
        <w:t>.</w:t>
      </w:r>
      <w:r w:rsidRPr="008137D7">
        <w:rPr>
          <w:rFonts w:eastAsia="Times New Roman"/>
        </w:rPr>
        <w:t xml:space="preserve">” We </w:t>
      </w:r>
      <w:r w:rsidR="0033737B" w:rsidRPr="008137D7">
        <w:rPr>
          <w:rFonts w:eastAsia="Times New Roman"/>
        </w:rPr>
        <w:t>re</w:t>
      </w:r>
      <w:r w:rsidR="003052C5" w:rsidRPr="008137D7">
        <w:rPr>
          <w:rFonts w:eastAsia="Times New Roman"/>
        </w:rPr>
        <w:t>scale</w:t>
      </w:r>
      <w:r w:rsidR="0033737B" w:rsidRPr="008137D7">
        <w:rPr>
          <w:rFonts w:eastAsia="Times New Roman"/>
        </w:rPr>
        <w:t xml:space="preserve"> </w:t>
      </w:r>
      <w:r w:rsidR="00407C6E" w:rsidRPr="008137D7">
        <w:rPr>
          <w:rFonts w:eastAsia="Times New Roman"/>
        </w:rPr>
        <w:t>responses</w:t>
      </w:r>
      <w:r w:rsidRPr="008137D7">
        <w:rPr>
          <w:rFonts w:eastAsia="Times New Roman"/>
        </w:rPr>
        <w:t xml:space="preserve"> from 0-1</w:t>
      </w:r>
      <w:r w:rsidR="00407C6E" w:rsidRPr="008137D7">
        <w:rPr>
          <w:rFonts w:eastAsia="Times New Roman"/>
        </w:rPr>
        <w:t>, where 1 is “very likely</w:t>
      </w:r>
      <w:r w:rsidR="00BB2D23" w:rsidRPr="008137D7">
        <w:rPr>
          <w:rFonts w:eastAsia="Times New Roman"/>
        </w:rPr>
        <w:t>;</w:t>
      </w:r>
      <w:r w:rsidR="00407C6E" w:rsidRPr="008137D7">
        <w:rPr>
          <w:rFonts w:eastAsia="Times New Roman"/>
        </w:rPr>
        <w:t>”</w:t>
      </w:r>
      <w:r w:rsidRPr="008137D7">
        <w:rPr>
          <w:rFonts w:eastAsia="Times New Roman"/>
        </w:rPr>
        <w:t xml:space="preserve"> the mean is </w:t>
      </w:r>
      <w:r w:rsidR="0051439F" w:rsidRPr="008137D7">
        <w:rPr>
          <w:rFonts w:eastAsia="Times New Roman"/>
        </w:rPr>
        <w:t>0</w:t>
      </w:r>
      <w:r w:rsidRPr="008137D7">
        <w:rPr>
          <w:rFonts w:eastAsia="Times New Roman"/>
        </w:rPr>
        <w:t xml:space="preserve">.50.  Insofar as demographics are related to preferences for welfare spending, we regard them as (partial) proxies for </w:t>
      </w:r>
      <w:r w:rsidR="0051439F" w:rsidRPr="008137D7">
        <w:rPr>
          <w:rFonts w:eastAsia="Times New Roman"/>
        </w:rPr>
        <w:t xml:space="preserve">people’s </w:t>
      </w:r>
      <w:r w:rsidR="0051439F" w:rsidRPr="008137D7">
        <w:rPr>
          <w:rFonts w:eastAsia="Times New Roman"/>
          <w:i/>
        </w:rPr>
        <w:t>underlying</w:t>
      </w:r>
      <w:r w:rsidR="0051439F" w:rsidRPr="008137D7">
        <w:rPr>
          <w:rFonts w:eastAsia="Times New Roman"/>
        </w:rPr>
        <w:t xml:space="preserve"> preferred levels of spending</w:t>
      </w:r>
      <w:r w:rsidR="00481596" w:rsidRPr="008137D7">
        <w:rPr>
          <w:rFonts w:eastAsia="Times New Roman"/>
        </w:rPr>
        <w:t>.</w:t>
      </w:r>
      <w:r w:rsidR="009F6421" w:rsidRPr="008137D7">
        <w:rPr>
          <w:rFonts w:eastAsia="Times New Roman"/>
        </w:rPr>
        <w:t xml:space="preserve"> </w:t>
      </w:r>
      <w:r w:rsidR="004F41F0" w:rsidRPr="008137D7">
        <w:rPr>
          <w:rFonts w:eastAsia="Times New Roman"/>
        </w:rPr>
        <w:t xml:space="preserve"> </w:t>
      </w:r>
      <w:r w:rsidR="00926106" w:rsidRPr="008137D7">
        <w:rPr>
          <w:rFonts w:eastAsia="Times New Roman"/>
        </w:rPr>
        <w:t xml:space="preserve">We have the same view of the standard of living measure, </w:t>
      </w:r>
      <w:r w:rsidR="00FB7643" w:rsidRPr="008137D7">
        <w:rPr>
          <w:rFonts w:eastAsia="Times New Roman"/>
        </w:rPr>
        <w:t>and we expect that</w:t>
      </w:r>
      <w:r w:rsidR="00926106" w:rsidRPr="008137D7">
        <w:rPr>
          <w:rFonts w:eastAsia="Times New Roman"/>
        </w:rPr>
        <w:t xml:space="preserve"> </w:t>
      </w:r>
      <w:r w:rsidRPr="008137D7">
        <w:rPr>
          <w:rFonts w:eastAsia="Times New Roman"/>
        </w:rPr>
        <w:t xml:space="preserve">those who are less </w:t>
      </w:r>
      <w:r w:rsidR="00C50585" w:rsidRPr="008137D7">
        <w:rPr>
          <w:rFonts w:eastAsia="Times New Roman"/>
        </w:rPr>
        <w:t>well</w:t>
      </w:r>
      <w:r w:rsidR="002E10DE" w:rsidRPr="008137D7">
        <w:rPr>
          <w:rFonts w:eastAsia="Times New Roman"/>
        </w:rPr>
        <w:t>-</w:t>
      </w:r>
      <w:r w:rsidR="00C50585" w:rsidRPr="008137D7">
        <w:rPr>
          <w:rFonts w:eastAsia="Times New Roman"/>
        </w:rPr>
        <w:t>off</w:t>
      </w:r>
      <w:r w:rsidRPr="008137D7">
        <w:rPr>
          <w:rFonts w:eastAsia="Times New Roman"/>
        </w:rPr>
        <w:t xml:space="preserve"> </w:t>
      </w:r>
      <w:r w:rsidR="00FB7643" w:rsidRPr="008137D7">
        <w:rPr>
          <w:rFonts w:eastAsia="Times New Roman"/>
        </w:rPr>
        <w:t>will</w:t>
      </w:r>
      <w:r w:rsidRPr="008137D7">
        <w:rPr>
          <w:rFonts w:eastAsia="Times New Roman"/>
        </w:rPr>
        <w:t xml:space="preserve">, </w:t>
      </w:r>
      <w:r w:rsidRPr="008137D7">
        <w:rPr>
          <w:rFonts w:eastAsia="Times New Roman"/>
          <w:i/>
        </w:rPr>
        <w:t>ceteris paribus</w:t>
      </w:r>
      <w:r w:rsidRPr="008137D7">
        <w:rPr>
          <w:rFonts w:eastAsia="Times New Roman"/>
        </w:rPr>
        <w:t>, be more supportive of welfare spending</w:t>
      </w:r>
      <w:r w:rsidR="00CE68A6" w:rsidRPr="008137D7">
        <w:rPr>
          <w:rFonts w:eastAsia="Times New Roman"/>
        </w:rPr>
        <w:t xml:space="preserve"> (e.g., </w:t>
      </w:r>
      <w:r w:rsidR="00BB4C56" w:rsidRPr="008137D7">
        <w:rPr>
          <w:rFonts w:eastAsia="Times New Roman"/>
        </w:rPr>
        <w:t xml:space="preserve">Hasenfeld and Rafferty 1989; </w:t>
      </w:r>
      <w:r w:rsidR="00333C65" w:rsidRPr="008137D7">
        <w:rPr>
          <w:rFonts w:eastAsia="Times New Roman"/>
        </w:rPr>
        <w:t>Cook and Barrett 1992</w:t>
      </w:r>
      <w:r w:rsidR="00407C6E" w:rsidRPr="008137D7">
        <w:rPr>
          <w:rFonts w:eastAsia="Times New Roman"/>
        </w:rPr>
        <w:t>; Page and Shapiro 1992</w:t>
      </w:r>
      <w:r w:rsidR="00CE68A6" w:rsidRPr="008137D7">
        <w:rPr>
          <w:rFonts w:eastAsia="Times New Roman"/>
        </w:rPr>
        <w:t>)</w:t>
      </w:r>
      <w:r w:rsidRPr="008137D7">
        <w:rPr>
          <w:rFonts w:eastAsia="Times New Roman"/>
        </w:rPr>
        <w:t>.</w:t>
      </w:r>
    </w:p>
    <w:p w14:paraId="71040DC4" w14:textId="6612A958" w:rsidR="00A16E33" w:rsidRPr="008137D7" w:rsidRDefault="002230A8" w:rsidP="00AE3799">
      <w:pPr>
        <w:spacing w:line="480" w:lineRule="auto"/>
        <w:ind w:firstLine="720"/>
        <w:jc w:val="both"/>
        <w:rPr>
          <w:rFonts w:eastAsia="Times New Roman"/>
        </w:rPr>
      </w:pPr>
      <w:r w:rsidRPr="008137D7">
        <w:rPr>
          <w:rFonts w:eastAsia="Times New Roman"/>
        </w:rPr>
        <w:t xml:space="preserve">We </w:t>
      </w:r>
      <w:r w:rsidR="0051439F" w:rsidRPr="008137D7">
        <w:rPr>
          <w:rFonts w:eastAsia="Times New Roman"/>
        </w:rPr>
        <w:t>include</w:t>
      </w:r>
      <w:r w:rsidRPr="008137D7">
        <w:rPr>
          <w:rFonts w:eastAsia="Times New Roman"/>
        </w:rPr>
        <w:t xml:space="preserve"> several other </w:t>
      </w:r>
      <w:r w:rsidR="00167F11" w:rsidRPr="008137D7">
        <w:rPr>
          <w:rFonts w:eastAsia="Times New Roman"/>
        </w:rPr>
        <w:t xml:space="preserve">individual-level </w:t>
      </w:r>
      <w:r w:rsidRPr="008137D7">
        <w:rPr>
          <w:rFonts w:eastAsia="Times New Roman"/>
        </w:rPr>
        <w:t>measures intended to capture</w:t>
      </w:r>
      <w:r w:rsidR="00E976A1" w:rsidRPr="008137D7">
        <w:rPr>
          <w:rFonts w:eastAsia="Times New Roman"/>
        </w:rPr>
        <w:t xml:space="preserve"> </w:t>
      </w:r>
      <w:r w:rsidR="009C0537" w:rsidRPr="008137D7">
        <w:rPr>
          <w:rFonts w:eastAsia="Times New Roman"/>
        </w:rPr>
        <w:t xml:space="preserve">underlying preferred levels of spending </w:t>
      </w:r>
      <w:r w:rsidR="00E976A1" w:rsidRPr="008137D7">
        <w:rPr>
          <w:rFonts w:eastAsia="Times New Roman"/>
        </w:rPr>
        <w:t>in each country.</w:t>
      </w:r>
      <w:r w:rsidRPr="008137D7">
        <w:rPr>
          <w:rFonts w:eastAsia="Times New Roman"/>
        </w:rPr>
        <w:t xml:space="preserve"> First, we use respondents’ belief that government should reduce differences in income</w:t>
      </w:r>
      <w:r w:rsidR="00481596" w:rsidRPr="008137D7">
        <w:rPr>
          <w:rFonts w:eastAsia="Times New Roman"/>
        </w:rPr>
        <w:t xml:space="preserve">.  </w:t>
      </w:r>
      <w:r w:rsidRPr="008137D7">
        <w:rPr>
          <w:rFonts w:eastAsia="Times New Roman"/>
        </w:rPr>
        <w:t>Response options are on a 5-point scale from “strongly agree” to “strongly disagree</w:t>
      </w:r>
      <w:r w:rsidR="0051439F" w:rsidRPr="008137D7">
        <w:rPr>
          <w:rFonts w:eastAsia="Times New Roman"/>
        </w:rPr>
        <w:t>.</w:t>
      </w:r>
      <w:r w:rsidRPr="008137D7">
        <w:rPr>
          <w:rFonts w:eastAsia="Times New Roman"/>
        </w:rPr>
        <w:t xml:space="preserve">” We recode these responses to range from 0-1 with higher levels indicating stronger agreement; the mean for all respondents is </w:t>
      </w:r>
      <w:r w:rsidR="00DA33FB" w:rsidRPr="008137D7">
        <w:rPr>
          <w:rFonts w:eastAsia="Times New Roman"/>
        </w:rPr>
        <w:t>0</w:t>
      </w:r>
      <w:r w:rsidRPr="008137D7">
        <w:rPr>
          <w:rFonts w:eastAsia="Times New Roman"/>
        </w:rPr>
        <w:t>.71.  Second, we use the 11-point self-identified left-right ideological scale.  We recognize that th</w:t>
      </w:r>
      <w:r w:rsidR="00494FD0" w:rsidRPr="008137D7">
        <w:rPr>
          <w:rFonts w:eastAsia="Times New Roman"/>
        </w:rPr>
        <w:t>e variable</w:t>
      </w:r>
      <w:r w:rsidRPr="008137D7">
        <w:rPr>
          <w:rFonts w:eastAsia="Times New Roman"/>
        </w:rPr>
        <w:t xml:space="preserve"> does not </w:t>
      </w:r>
      <w:r w:rsidR="00494FD0" w:rsidRPr="008137D7">
        <w:rPr>
          <w:rFonts w:eastAsia="Times New Roman"/>
        </w:rPr>
        <w:t xml:space="preserve">clearly tap policy preferences and, even to the extent it does, </w:t>
      </w:r>
      <w:r w:rsidRPr="008137D7">
        <w:rPr>
          <w:rFonts w:eastAsia="Times New Roman"/>
        </w:rPr>
        <w:t xml:space="preserve">the meaning </w:t>
      </w:r>
      <w:r w:rsidR="00494FD0" w:rsidRPr="008137D7">
        <w:rPr>
          <w:rFonts w:eastAsia="Times New Roman"/>
        </w:rPr>
        <w:t>varies across</w:t>
      </w:r>
      <w:r w:rsidRPr="008137D7">
        <w:rPr>
          <w:rFonts w:eastAsia="Times New Roman"/>
        </w:rPr>
        <w:t xml:space="preserve"> countr</w:t>
      </w:r>
      <w:r w:rsidR="00494FD0" w:rsidRPr="008137D7">
        <w:rPr>
          <w:rFonts w:eastAsia="Times New Roman"/>
        </w:rPr>
        <w:t>ies</w:t>
      </w:r>
      <w:r w:rsidRPr="008137D7">
        <w:rPr>
          <w:rFonts w:eastAsia="Times New Roman"/>
        </w:rPr>
        <w:t>, but we regard it here only as one (admittedly rough) indication of a commitment to the redistributive state</w:t>
      </w:r>
      <w:r w:rsidR="00481596" w:rsidRPr="008137D7">
        <w:rPr>
          <w:rFonts w:eastAsia="Times New Roman"/>
        </w:rPr>
        <w:t xml:space="preserve">.  </w:t>
      </w:r>
      <w:r w:rsidRPr="008137D7">
        <w:rPr>
          <w:rFonts w:eastAsia="Times New Roman"/>
        </w:rPr>
        <w:t xml:space="preserve">The </w:t>
      </w:r>
      <w:r w:rsidR="00494FD0" w:rsidRPr="008137D7">
        <w:rPr>
          <w:rFonts w:eastAsia="Times New Roman"/>
        </w:rPr>
        <w:t xml:space="preserve">variable </w:t>
      </w:r>
      <w:r w:rsidRPr="008137D7">
        <w:rPr>
          <w:rFonts w:eastAsia="Times New Roman"/>
        </w:rPr>
        <w:t>is coded 0-10 (left to right).</w:t>
      </w:r>
      <w:r w:rsidR="00BE2DFB" w:rsidRPr="008137D7">
        <w:rPr>
          <w:rFonts w:eastAsia="Times New Roman"/>
        </w:rPr>
        <w:t xml:space="preserve"> </w:t>
      </w:r>
      <w:r w:rsidR="00C44353" w:rsidRPr="008137D7">
        <w:rPr>
          <w:rFonts w:eastAsia="Times New Roman"/>
        </w:rPr>
        <w:t>Like demographics, w</w:t>
      </w:r>
      <w:r w:rsidR="00BE2DFB" w:rsidRPr="008137D7">
        <w:rPr>
          <w:rFonts w:eastAsia="Times New Roman"/>
        </w:rPr>
        <w:t xml:space="preserve">e view these variables as measures of </w:t>
      </w:r>
      <w:r w:rsidR="00C44353" w:rsidRPr="008137D7">
        <w:rPr>
          <w:rFonts w:eastAsia="Times New Roman"/>
        </w:rPr>
        <w:t>respondents’</w:t>
      </w:r>
      <w:r w:rsidR="00BE2DFB" w:rsidRPr="008137D7">
        <w:rPr>
          <w:rFonts w:eastAsia="Times New Roman"/>
        </w:rPr>
        <w:t xml:space="preserve"> underlying preferences for policy</w:t>
      </w:r>
      <w:r w:rsidR="00C44353" w:rsidRPr="008137D7">
        <w:rPr>
          <w:rFonts w:eastAsia="Times New Roman"/>
        </w:rPr>
        <w:t xml:space="preserve">; they thus </w:t>
      </w:r>
      <w:r w:rsidR="00494FD0" w:rsidRPr="008137D7">
        <w:rPr>
          <w:rFonts w:eastAsia="Times New Roman"/>
        </w:rPr>
        <w:t xml:space="preserve">are </w:t>
      </w:r>
      <w:r w:rsidR="00C44353" w:rsidRPr="008137D7">
        <w:rPr>
          <w:rFonts w:eastAsia="Times New Roman"/>
        </w:rPr>
        <w:t>important controls for models that seek to identify the impact of spending on preferences</w:t>
      </w:r>
      <w:r w:rsidR="00BE2DFB" w:rsidRPr="008137D7">
        <w:rPr>
          <w:rFonts w:eastAsia="Times New Roman"/>
        </w:rPr>
        <w:t>.</w:t>
      </w:r>
    </w:p>
    <w:p w14:paraId="4391158F" w14:textId="0EE63353" w:rsidR="00A16E33" w:rsidRPr="008137D7" w:rsidRDefault="002230A8" w:rsidP="00CC094D">
      <w:pPr>
        <w:pStyle w:val="FootnoteText"/>
        <w:spacing w:line="480" w:lineRule="auto"/>
        <w:ind w:firstLine="720"/>
        <w:jc w:val="both"/>
      </w:pPr>
      <w:r w:rsidRPr="008137D7">
        <w:rPr>
          <w:rFonts w:eastAsia="Times New Roman"/>
        </w:rPr>
        <w:t xml:space="preserve">We add to these individual-level data a number of country-level variables.  First and foremost is our measure of government spending, drawn from the </w:t>
      </w:r>
      <w:r w:rsidR="007C11B9" w:rsidRPr="008137D7">
        <w:rPr>
          <w:rFonts w:eastAsia="Times New Roman"/>
        </w:rPr>
        <w:t>Organisation for Economic Co-</w:t>
      </w:r>
      <w:r w:rsidR="007C11B9" w:rsidRPr="008137D7">
        <w:rPr>
          <w:rFonts w:eastAsia="Times New Roman"/>
        </w:rPr>
        <w:lastRenderedPageBreak/>
        <w:t>operation and Development</w:t>
      </w:r>
      <w:r w:rsidR="00CF61EC" w:rsidRPr="008137D7">
        <w:rPr>
          <w:rFonts w:eastAsia="Times New Roman"/>
        </w:rPr>
        <w:t xml:space="preserve">’s (OECD) Social Expenditure database (SOCX).  </w:t>
      </w:r>
      <w:r w:rsidRPr="008137D7">
        <w:rPr>
          <w:rFonts w:eastAsia="Times New Roman"/>
        </w:rPr>
        <w:t>That database includes indicators of social spending for 2</w:t>
      </w:r>
      <w:r w:rsidR="00D37661" w:rsidRPr="008137D7">
        <w:rPr>
          <w:rFonts w:eastAsia="Times New Roman"/>
        </w:rPr>
        <w:t>5</w:t>
      </w:r>
      <w:r w:rsidRPr="008137D7">
        <w:rPr>
          <w:rFonts w:eastAsia="Times New Roman"/>
        </w:rPr>
        <w:t xml:space="preserve"> of the </w:t>
      </w:r>
      <w:r w:rsidR="00D37661" w:rsidRPr="008137D7">
        <w:rPr>
          <w:rFonts w:eastAsia="Times New Roman"/>
        </w:rPr>
        <w:t>39</w:t>
      </w:r>
      <w:r w:rsidR="004E1235" w:rsidRPr="008137D7">
        <w:rPr>
          <w:rFonts w:eastAsia="Times New Roman"/>
        </w:rPr>
        <w:t xml:space="preserve"> </w:t>
      </w:r>
      <w:r w:rsidRPr="008137D7">
        <w:rPr>
          <w:rFonts w:eastAsia="Times New Roman"/>
        </w:rPr>
        <w:t>countries in</w:t>
      </w:r>
      <w:r w:rsidR="00D37661" w:rsidRPr="008137D7">
        <w:rPr>
          <w:rFonts w:eastAsia="Times New Roman"/>
        </w:rPr>
        <w:t xml:space="preserve"> the</w:t>
      </w:r>
      <w:r w:rsidR="004E1235" w:rsidRPr="008137D7">
        <w:rPr>
          <w:rFonts w:eastAsia="Times New Roman"/>
        </w:rPr>
        <w:t xml:space="preserve"> </w:t>
      </w:r>
      <w:r w:rsidRPr="008137D7">
        <w:rPr>
          <w:rFonts w:eastAsia="Times New Roman"/>
        </w:rPr>
        <w:t>Wave 4 of the CSES</w:t>
      </w:r>
      <w:r w:rsidR="00E00E8F" w:rsidRPr="008137D7">
        <w:rPr>
          <w:rFonts w:eastAsia="Times New Roman"/>
        </w:rPr>
        <w:t xml:space="preserve"> as a per cent of GDP</w:t>
      </w:r>
      <w:r w:rsidRPr="008137D7">
        <w:rPr>
          <w:rFonts w:eastAsia="Times New Roman"/>
        </w:rPr>
        <w:t>.</w:t>
      </w:r>
      <w:r w:rsidR="00B25BA3" w:rsidRPr="008137D7">
        <w:rPr>
          <w:rFonts w:eastAsia="Times New Roman"/>
        </w:rPr>
        <w:t xml:space="preserve"> </w:t>
      </w:r>
      <w:r w:rsidRPr="008137D7">
        <w:rPr>
          <w:rFonts w:eastAsia="Times New Roman"/>
        </w:rPr>
        <w:t xml:space="preserve"> Our analysis of welfare relies not on total social spending, which includes health, pensions, unemployment, etc., but rather on </w:t>
      </w:r>
      <w:r w:rsidR="00DA33FB" w:rsidRPr="008137D7">
        <w:rPr>
          <w:rFonts w:eastAsia="Times New Roman"/>
        </w:rPr>
        <w:t>“</w:t>
      </w:r>
      <w:r w:rsidRPr="008137D7">
        <w:rPr>
          <w:rFonts w:eastAsia="Times New Roman"/>
        </w:rPr>
        <w:t>other</w:t>
      </w:r>
      <w:r w:rsidR="00DA33FB" w:rsidRPr="008137D7">
        <w:rPr>
          <w:rFonts w:eastAsia="Times New Roman"/>
        </w:rPr>
        <w:t>”</w:t>
      </w:r>
      <w:r w:rsidRPr="008137D7">
        <w:rPr>
          <w:rFonts w:eastAsia="Times New Roman"/>
        </w:rPr>
        <w:t xml:space="preserve"> spending – the subdomain in the SOCX database that captures most social assistance and welfare programs.</w:t>
      </w:r>
      <w:r w:rsidR="00183726" w:rsidRPr="008137D7">
        <w:rPr>
          <w:rStyle w:val="FootnoteReference"/>
          <w:rFonts w:eastAsia="Times New Roman"/>
        </w:rPr>
        <w:footnoteReference w:id="5"/>
      </w:r>
      <w:r w:rsidRPr="008137D7">
        <w:rPr>
          <w:rFonts w:eastAsia="Times New Roman"/>
        </w:rPr>
        <w:t xml:space="preserve">  </w:t>
      </w:r>
      <w:r w:rsidR="00A9666C" w:rsidRPr="008137D7">
        <w:rPr>
          <w:rFonts w:eastAsia="Times New Roman"/>
        </w:rPr>
        <w:t>In order to acco</w:t>
      </w:r>
      <w:r w:rsidR="00491637" w:rsidRPr="008137D7">
        <w:rPr>
          <w:rFonts w:eastAsia="Times New Roman"/>
        </w:rPr>
        <w:t xml:space="preserve">unt for the fact that the election studies </w:t>
      </w:r>
      <w:r w:rsidR="0009600D" w:rsidRPr="008137D7">
        <w:rPr>
          <w:rFonts w:eastAsia="Times New Roman"/>
        </w:rPr>
        <w:t xml:space="preserve">are in the field in different years and </w:t>
      </w:r>
      <w:r w:rsidR="00323046" w:rsidRPr="008137D7">
        <w:rPr>
          <w:rFonts w:eastAsia="Times New Roman"/>
        </w:rPr>
        <w:t>at different times</w:t>
      </w:r>
      <w:r w:rsidR="0009600D" w:rsidRPr="008137D7">
        <w:rPr>
          <w:rFonts w:eastAsia="Times New Roman"/>
        </w:rPr>
        <w:t xml:space="preserve"> within years</w:t>
      </w:r>
      <w:r w:rsidR="00A9666C" w:rsidRPr="008137D7">
        <w:rPr>
          <w:rFonts w:eastAsia="Times New Roman"/>
        </w:rPr>
        <w:t>, w</w:t>
      </w:r>
      <w:r w:rsidRPr="008137D7">
        <w:rPr>
          <w:rFonts w:eastAsia="Times New Roman"/>
        </w:rPr>
        <w:t xml:space="preserve">e take the following approach: if an election study occurs in the first four months of the year, we use </w:t>
      </w:r>
      <w:r w:rsidR="00682BAB" w:rsidRPr="008137D7">
        <w:rPr>
          <w:rFonts w:eastAsia="Times New Roman"/>
        </w:rPr>
        <w:t xml:space="preserve">the previous </w:t>
      </w:r>
      <w:r w:rsidRPr="008137D7">
        <w:rPr>
          <w:rFonts w:eastAsia="Times New Roman"/>
        </w:rPr>
        <w:t>year</w:t>
      </w:r>
      <w:r w:rsidR="00423F56" w:rsidRPr="008137D7">
        <w:rPr>
          <w:rFonts w:eastAsia="Times New Roman"/>
        </w:rPr>
        <w:t>’</w:t>
      </w:r>
      <w:r w:rsidRPr="008137D7">
        <w:rPr>
          <w:rFonts w:eastAsia="Times New Roman"/>
        </w:rPr>
        <w:t xml:space="preserve">s spending; if </w:t>
      </w:r>
      <w:r w:rsidR="001B2E8A" w:rsidRPr="008137D7">
        <w:rPr>
          <w:rFonts w:eastAsia="Times New Roman"/>
        </w:rPr>
        <w:t xml:space="preserve">the study takes place </w:t>
      </w:r>
      <w:r w:rsidRPr="008137D7">
        <w:rPr>
          <w:rFonts w:eastAsia="Times New Roman"/>
        </w:rPr>
        <w:t>after April, we use the current year</w:t>
      </w:r>
      <w:r w:rsidR="00423F56" w:rsidRPr="008137D7">
        <w:rPr>
          <w:rFonts w:eastAsia="Times New Roman"/>
        </w:rPr>
        <w:t>’</w:t>
      </w:r>
      <w:r w:rsidRPr="008137D7">
        <w:rPr>
          <w:rFonts w:eastAsia="Times New Roman"/>
        </w:rPr>
        <w:t xml:space="preserve">s spending. </w:t>
      </w:r>
      <w:r w:rsidR="00D37661" w:rsidRPr="008137D7">
        <w:rPr>
          <w:rFonts w:eastAsia="Times New Roman"/>
        </w:rPr>
        <w:t xml:space="preserve">There are </w:t>
      </w:r>
      <w:r w:rsidR="00633CB9" w:rsidRPr="008137D7">
        <w:rPr>
          <w:rFonts w:eastAsia="Times New Roman"/>
        </w:rPr>
        <w:t>five</w:t>
      </w:r>
      <w:r w:rsidR="00D37661" w:rsidRPr="008137D7">
        <w:rPr>
          <w:rFonts w:eastAsia="Times New Roman"/>
        </w:rPr>
        <w:t xml:space="preserve"> countries whose inclusion depends on an additional lag in spending, since sub-domain spending data is not yet available for all countries after 2013. We thus use an additional lag for the following countries: Finland, Great Britain, Portugal, Sweden, and Turkey.</w:t>
      </w:r>
      <w:r w:rsidR="00420EFA" w:rsidRPr="008137D7">
        <w:rPr>
          <w:rFonts w:eastAsia="Times New Roman"/>
        </w:rPr>
        <w:t xml:space="preserve"> This is not ideal,</w:t>
      </w:r>
      <w:r w:rsidR="00420EFA" w:rsidRPr="008137D7">
        <w:t xml:space="preserve"> since preferences may adjust quickly in response to spending, i.e., within a year</w:t>
      </w:r>
      <w:r w:rsidR="00F47815" w:rsidRPr="008137D7">
        <w:t xml:space="preserve"> (see Soroka and Wlezien 2010</w:t>
      </w:r>
      <w:r w:rsidR="00761466" w:rsidRPr="008137D7">
        <w:t>)</w:t>
      </w:r>
      <w:r w:rsidR="00420EFA" w:rsidRPr="008137D7">
        <w:t xml:space="preserve">.  That said, diagnostic models suggest that using one-year lags for all countries does not fundamentally change the results below, which we attribute to the fact that </w:t>
      </w:r>
      <w:r w:rsidR="00563B87" w:rsidRPr="008137D7">
        <w:t xml:space="preserve">the </w:t>
      </w:r>
      <w:r w:rsidR="00420EFA" w:rsidRPr="008137D7">
        <w:t xml:space="preserve">cross-national </w:t>
      </w:r>
      <w:r w:rsidR="00563B87" w:rsidRPr="008137D7">
        <w:t>variance of</w:t>
      </w:r>
      <w:r w:rsidR="00420EFA" w:rsidRPr="008137D7">
        <w:t xml:space="preserve"> spending </w:t>
      </w:r>
      <w:r w:rsidR="00563B87" w:rsidRPr="008137D7">
        <w:t>is</w:t>
      </w:r>
      <w:r w:rsidR="00420EFA" w:rsidRPr="008137D7">
        <w:t xml:space="preserve"> much </w:t>
      </w:r>
      <w:r w:rsidR="00CD507B" w:rsidRPr="008137D7">
        <w:t>greater</w:t>
      </w:r>
      <w:r w:rsidR="00420EFA" w:rsidRPr="008137D7">
        <w:t xml:space="preserve"> than </w:t>
      </w:r>
      <w:r w:rsidR="00563B87" w:rsidRPr="008137D7">
        <w:t>th</w:t>
      </w:r>
      <w:r w:rsidR="008A126D" w:rsidRPr="008137D7">
        <w:t>at</w:t>
      </w:r>
      <w:r w:rsidR="00563B87" w:rsidRPr="008137D7">
        <w:t xml:space="preserve"> occurring from </w:t>
      </w:r>
      <w:r w:rsidR="00420EFA" w:rsidRPr="008137D7">
        <w:t xml:space="preserve">year-to-year within countries.  </w:t>
      </w:r>
    </w:p>
    <w:p w14:paraId="402F684C" w14:textId="304BB246" w:rsidR="00382392" w:rsidRPr="008137D7" w:rsidRDefault="00563B87">
      <w:pPr>
        <w:pStyle w:val="FootnoteText"/>
        <w:spacing w:line="480" w:lineRule="auto"/>
        <w:ind w:firstLine="720"/>
        <w:jc w:val="both"/>
        <w:rPr>
          <w:rFonts w:eastAsia="Times New Roman"/>
        </w:rPr>
      </w:pPr>
      <w:r w:rsidRPr="008137D7">
        <w:rPr>
          <w:rFonts w:eastAsia="Times New Roman"/>
        </w:rPr>
        <w:t xml:space="preserve">Although </w:t>
      </w:r>
      <w:r w:rsidR="009B33A8" w:rsidRPr="008137D7">
        <w:rPr>
          <w:rFonts w:eastAsia="Times New Roman"/>
        </w:rPr>
        <w:t xml:space="preserve">we expect </w:t>
      </w:r>
      <w:r w:rsidRPr="008137D7">
        <w:rPr>
          <w:rFonts w:eastAsia="Times New Roman"/>
        </w:rPr>
        <w:t xml:space="preserve">the </w:t>
      </w:r>
      <w:r w:rsidR="009B33A8" w:rsidRPr="008137D7">
        <w:rPr>
          <w:rFonts w:eastAsia="Times New Roman"/>
        </w:rPr>
        <w:t>individual-level variables described above to work as proxies for the public’s preferred levels of spending,</w:t>
      </w:r>
      <w:r w:rsidR="002F6528" w:rsidRPr="008137D7">
        <w:rPr>
          <w:rFonts w:eastAsia="Times New Roman"/>
        </w:rPr>
        <w:t xml:space="preserve"> they may not completely account for cross-national differences</w:t>
      </w:r>
      <w:r w:rsidR="009B33A8" w:rsidRPr="008137D7">
        <w:rPr>
          <w:rFonts w:eastAsia="Times New Roman"/>
        </w:rPr>
        <w:t xml:space="preserve">.  </w:t>
      </w:r>
      <w:r w:rsidR="002F6528" w:rsidRPr="008137D7">
        <w:rPr>
          <w:rFonts w:eastAsia="Times New Roman"/>
        </w:rPr>
        <w:t xml:space="preserve">To more fully capture these </w:t>
      </w:r>
      <w:r w:rsidR="00E44199" w:rsidRPr="008137D7">
        <w:rPr>
          <w:rFonts w:eastAsia="Times New Roman"/>
        </w:rPr>
        <w:t>tendencies,</w:t>
      </w:r>
      <w:r w:rsidR="009B33A8" w:rsidRPr="008137D7">
        <w:rPr>
          <w:rFonts w:eastAsia="Times New Roman"/>
        </w:rPr>
        <w:t xml:space="preserve"> </w:t>
      </w:r>
      <w:r w:rsidR="007F4215" w:rsidRPr="008137D7">
        <w:rPr>
          <w:rFonts w:eastAsia="Times New Roman"/>
        </w:rPr>
        <w:t xml:space="preserve">we control for </w:t>
      </w:r>
      <w:r w:rsidR="002F7C1C" w:rsidRPr="008137D7">
        <w:rPr>
          <w:rFonts w:eastAsia="Times New Roman"/>
        </w:rPr>
        <w:t>each</w:t>
      </w:r>
      <w:r w:rsidR="00FA742C" w:rsidRPr="008137D7">
        <w:rPr>
          <w:rFonts w:eastAsia="Times New Roman"/>
        </w:rPr>
        <w:t xml:space="preserve"> </w:t>
      </w:r>
      <w:r w:rsidR="002F7C1C" w:rsidRPr="008137D7">
        <w:rPr>
          <w:rFonts w:eastAsia="Times New Roman"/>
        </w:rPr>
        <w:t xml:space="preserve">country’s </w:t>
      </w:r>
      <w:r w:rsidR="00FA742C" w:rsidRPr="008137D7">
        <w:rPr>
          <w:rFonts w:eastAsia="Times New Roman"/>
        </w:rPr>
        <w:t xml:space="preserve">long-term commitment to </w:t>
      </w:r>
      <w:r w:rsidR="002F6528" w:rsidRPr="008137D7">
        <w:rPr>
          <w:rFonts w:eastAsia="Times New Roman"/>
        </w:rPr>
        <w:t xml:space="preserve">welfare </w:t>
      </w:r>
      <w:r w:rsidR="00FA742C" w:rsidRPr="008137D7">
        <w:rPr>
          <w:rFonts w:eastAsia="Times New Roman"/>
        </w:rPr>
        <w:t>spending</w:t>
      </w:r>
      <w:r w:rsidR="002F7C1C" w:rsidRPr="008137D7">
        <w:rPr>
          <w:rFonts w:eastAsia="Times New Roman"/>
        </w:rPr>
        <w:t>.</w:t>
      </w:r>
      <w:r w:rsidR="00585A0E" w:rsidRPr="008137D7">
        <w:rPr>
          <w:rFonts w:eastAsia="Times New Roman"/>
        </w:rPr>
        <w:t xml:space="preserve">  </w:t>
      </w:r>
      <w:r w:rsidR="002F6528" w:rsidRPr="008137D7">
        <w:rPr>
          <w:rFonts w:eastAsia="Times New Roman"/>
        </w:rPr>
        <w:t>This idea is that the a</w:t>
      </w:r>
      <w:r w:rsidR="00334D96" w:rsidRPr="008137D7">
        <w:rPr>
          <w:rFonts w:eastAsia="Times New Roman"/>
        </w:rPr>
        <w:t xml:space="preserve">verage level of support for welfare </w:t>
      </w:r>
      <w:r w:rsidR="00334D96" w:rsidRPr="008137D7">
        <w:rPr>
          <w:rFonts w:eastAsia="Times New Roman"/>
        </w:rPr>
        <w:lastRenderedPageBreak/>
        <w:t xml:space="preserve">spending </w:t>
      </w:r>
      <w:r w:rsidR="002F7C1C" w:rsidRPr="008137D7">
        <w:rPr>
          <w:rFonts w:eastAsia="Times New Roman"/>
        </w:rPr>
        <w:t xml:space="preserve">will </w:t>
      </w:r>
      <w:r w:rsidR="000378C2" w:rsidRPr="008137D7">
        <w:rPr>
          <w:rFonts w:eastAsia="Times New Roman"/>
        </w:rPr>
        <w:t xml:space="preserve">be </w:t>
      </w:r>
      <w:r w:rsidR="00334D96" w:rsidRPr="008137D7">
        <w:rPr>
          <w:rFonts w:eastAsia="Times New Roman"/>
        </w:rPr>
        <w:t>“baked in</w:t>
      </w:r>
      <w:r w:rsidR="00C01EEE" w:rsidRPr="008137D7">
        <w:rPr>
          <w:rFonts w:eastAsia="Times New Roman"/>
        </w:rPr>
        <w:t xml:space="preserve">” to </w:t>
      </w:r>
      <w:r w:rsidR="00330C33" w:rsidRPr="008137D7">
        <w:rPr>
          <w:rFonts w:eastAsia="Times New Roman"/>
        </w:rPr>
        <w:t>average level of spending</w:t>
      </w:r>
      <w:r w:rsidR="002F7C1C" w:rsidRPr="008137D7">
        <w:rPr>
          <w:rFonts w:eastAsia="Times New Roman"/>
        </w:rPr>
        <w:t>,</w:t>
      </w:r>
      <w:r w:rsidR="00051EE3" w:rsidRPr="008137D7">
        <w:rPr>
          <w:rFonts w:eastAsia="Times New Roman"/>
        </w:rPr>
        <w:t xml:space="preserve"> </w:t>
      </w:r>
      <w:r w:rsidR="00330C33" w:rsidRPr="008137D7">
        <w:rPr>
          <w:rFonts w:eastAsia="Times New Roman"/>
        </w:rPr>
        <w:t>tap</w:t>
      </w:r>
      <w:r w:rsidR="002F6528" w:rsidRPr="008137D7">
        <w:rPr>
          <w:rFonts w:eastAsia="Times New Roman"/>
        </w:rPr>
        <w:t>ping</w:t>
      </w:r>
      <w:r w:rsidR="00330C33" w:rsidRPr="008137D7">
        <w:rPr>
          <w:rFonts w:eastAsia="Times New Roman"/>
        </w:rPr>
        <w:t xml:space="preserve"> </w:t>
      </w:r>
      <w:r w:rsidR="002F7C1C" w:rsidRPr="008137D7">
        <w:rPr>
          <w:rFonts w:eastAsia="Times New Roman"/>
        </w:rPr>
        <w:t xml:space="preserve">otherwise uncontrolled-for differences in </w:t>
      </w:r>
      <w:r w:rsidR="00330C33" w:rsidRPr="008137D7">
        <w:rPr>
          <w:rFonts w:eastAsia="Times New Roman"/>
        </w:rPr>
        <w:t>support</w:t>
      </w:r>
      <w:r w:rsidR="00223320" w:rsidRPr="008137D7">
        <w:rPr>
          <w:rFonts w:eastAsia="Times New Roman"/>
        </w:rPr>
        <w:t xml:space="preserve"> (</w:t>
      </w:r>
      <w:r w:rsidR="00466AFE" w:rsidRPr="008137D7">
        <w:rPr>
          <w:rFonts w:eastAsia="Times New Roman"/>
        </w:rPr>
        <w:t>e.g., Brooks and Manza 2007</w:t>
      </w:r>
      <w:r w:rsidR="00951068" w:rsidRPr="008137D7">
        <w:rPr>
          <w:rFonts w:eastAsia="Times New Roman"/>
        </w:rPr>
        <w:t>)</w:t>
      </w:r>
      <w:r w:rsidR="00223320" w:rsidRPr="008137D7">
        <w:rPr>
          <w:rFonts w:eastAsia="Times New Roman"/>
        </w:rPr>
        <w:t>.</w:t>
      </w:r>
      <w:r w:rsidR="00951068" w:rsidRPr="008137D7">
        <w:rPr>
          <w:rFonts w:eastAsia="Times New Roman"/>
        </w:rPr>
        <w:t xml:space="preserve"> </w:t>
      </w:r>
      <w:r w:rsidR="00330C33" w:rsidRPr="008137D7">
        <w:rPr>
          <w:rFonts w:eastAsia="Times New Roman"/>
        </w:rPr>
        <w:t xml:space="preserve"> </w:t>
      </w:r>
      <w:r w:rsidR="00382392" w:rsidRPr="008137D7">
        <w:rPr>
          <w:rFonts w:eastAsia="Times New Roman"/>
        </w:rPr>
        <w:t xml:space="preserve">We </w:t>
      </w:r>
      <w:r w:rsidR="00951068" w:rsidRPr="008137D7">
        <w:rPr>
          <w:rFonts w:eastAsia="Times New Roman"/>
        </w:rPr>
        <w:t>accordingly</w:t>
      </w:r>
      <w:r w:rsidR="00382392" w:rsidRPr="008137D7">
        <w:rPr>
          <w:rFonts w:eastAsia="Times New Roman"/>
        </w:rPr>
        <w:t xml:space="preserve"> include </w:t>
      </w:r>
      <w:r w:rsidR="002230A8" w:rsidRPr="008137D7">
        <w:rPr>
          <w:rFonts w:eastAsia="Times New Roman"/>
        </w:rPr>
        <w:t xml:space="preserve">a measure of mean </w:t>
      </w:r>
      <w:r w:rsidR="00407C6E" w:rsidRPr="008137D7">
        <w:rPr>
          <w:rFonts w:eastAsia="Times New Roman"/>
        </w:rPr>
        <w:t xml:space="preserve">social assistance </w:t>
      </w:r>
      <w:r w:rsidR="002230A8" w:rsidRPr="008137D7">
        <w:rPr>
          <w:rFonts w:eastAsia="Times New Roman"/>
        </w:rPr>
        <w:t>spending</w:t>
      </w:r>
      <w:r w:rsidR="002F7C1C" w:rsidRPr="008137D7">
        <w:rPr>
          <w:rFonts w:eastAsia="Times New Roman"/>
        </w:rPr>
        <w:t xml:space="preserve">, </w:t>
      </w:r>
      <w:r w:rsidR="00407C6E" w:rsidRPr="008137D7">
        <w:rPr>
          <w:rFonts w:eastAsia="Times New Roman"/>
        </w:rPr>
        <w:t xml:space="preserve">based on the same </w:t>
      </w:r>
      <w:r w:rsidR="00C05245" w:rsidRPr="008137D7">
        <w:rPr>
          <w:rFonts w:eastAsia="Times New Roman"/>
        </w:rPr>
        <w:t xml:space="preserve">domain </w:t>
      </w:r>
      <w:r w:rsidR="00407C6E" w:rsidRPr="008137D7">
        <w:rPr>
          <w:rFonts w:eastAsia="Times New Roman"/>
        </w:rPr>
        <w:t>definition described above</w:t>
      </w:r>
      <w:r w:rsidR="002230A8" w:rsidRPr="008137D7">
        <w:rPr>
          <w:rFonts w:eastAsia="Times New Roman"/>
        </w:rPr>
        <w:t>, averaged from 1990 to 2006</w:t>
      </w:r>
      <w:r w:rsidR="00E22275" w:rsidRPr="008137D7">
        <w:rPr>
          <w:rFonts w:eastAsia="Times New Roman"/>
        </w:rPr>
        <w:t xml:space="preserve"> – a period well before the </w:t>
      </w:r>
      <w:r w:rsidR="00951068" w:rsidRPr="008137D7">
        <w:rPr>
          <w:rFonts w:eastAsia="Times New Roman"/>
        </w:rPr>
        <w:t>period</w:t>
      </w:r>
      <w:r w:rsidR="00E22275" w:rsidRPr="008137D7">
        <w:rPr>
          <w:rFonts w:eastAsia="Times New Roman"/>
        </w:rPr>
        <w:t xml:space="preserve"> for which we use current spending across all countries</w:t>
      </w:r>
      <w:r w:rsidR="00E44199" w:rsidRPr="008137D7">
        <w:rPr>
          <w:rFonts w:eastAsia="Times New Roman"/>
        </w:rPr>
        <w:t xml:space="preserve">. </w:t>
      </w:r>
      <w:r w:rsidR="00982550" w:rsidRPr="008137D7">
        <w:rPr>
          <w:rFonts w:eastAsia="Times New Roman"/>
        </w:rPr>
        <w:t>(Current spending is based on the survey year, which ranges from 201</w:t>
      </w:r>
      <w:r w:rsidR="008D636E" w:rsidRPr="008137D7">
        <w:rPr>
          <w:rFonts w:eastAsia="Times New Roman"/>
        </w:rPr>
        <w:t>0</w:t>
      </w:r>
      <w:r w:rsidR="00982550" w:rsidRPr="008137D7">
        <w:rPr>
          <w:rFonts w:eastAsia="Times New Roman"/>
        </w:rPr>
        <w:t xml:space="preserve"> to 201</w:t>
      </w:r>
      <w:r w:rsidR="008D636E" w:rsidRPr="008137D7">
        <w:rPr>
          <w:rFonts w:eastAsia="Times New Roman"/>
        </w:rPr>
        <w:t>5</w:t>
      </w:r>
      <w:r w:rsidR="00982550" w:rsidRPr="008137D7">
        <w:rPr>
          <w:rFonts w:eastAsia="Times New Roman"/>
        </w:rPr>
        <w:t xml:space="preserve">. See Appendix Table </w:t>
      </w:r>
      <w:r w:rsidR="00104240" w:rsidRPr="008137D7">
        <w:rPr>
          <w:rFonts w:eastAsia="Times New Roman"/>
        </w:rPr>
        <w:t>5</w:t>
      </w:r>
      <w:r w:rsidR="00982550" w:rsidRPr="008137D7">
        <w:rPr>
          <w:rFonts w:eastAsia="Times New Roman"/>
        </w:rPr>
        <w:t>)</w:t>
      </w:r>
      <w:r w:rsidR="00104240" w:rsidRPr="008137D7">
        <w:rPr>
          <w:rFonts w:eastAsia="Times New Roman"/>
        </w:rPr>
        <w:t>.</w:t>
      </w:r>
      <w:r w:rsidR="00E44199" w:rsidRPr="008137D7">
        <w:rPr>
          <w:rFonts w:eastAsia="Times New Roman"/>
        </w:rPr>
        <w:t xml:space="preserve"> </w:t>
      </w:r>
      <w:r w:rsidR="00467E4B" w:rsidRPr="008137D7">
        <w:rPr>
          <w:rFonts w:eastAsia="Times New Roman"/>
        </w:rPr>
        <w:t>Note that this</w:t>
      </w:r>
      <w:r w:rsidR="00C8478B" w:rsidRPr="008137D7">
        <w:rPr>
          <w:rFonts w:eastAsia="Times New Roman"/>
        </w:rPr>
        <w:t xml:space="preserve"> variable is intended to control for variation in public support across countries, not explain it; and our expectation is that there will be a positive estimated effect of long-term spending on preferences, even as current spending has a negative effect.</w:t>
      </w:r>
      <w:r w:rsidR="00F659AB" w:rsidRPr="008137D7">
        <w:rPr>
          <w:rFonts w:eastAsia="Times New Roman"/>
        </w:rPr>
        <w:t xml:space="preserve">  </w:t>
      </w:r>
      <w:r w:rsidR="00466AFE" w:rsidRPr="008137D7">
        <w:rPr>
          <w:rFonts w:eastAsia="Times New Roman"/>
        </w:rPr>
        <w:t>The difference in the two coefficients is quite important</w:t>
      </w:r>
      <w:r w:rsidR="00552F43" w:rsidRPr="008137D7">
        <w:rPr>
          <w:rFonts w:eastAsia="Times New Roman"/>
        </w:rPr>
        <w:t xml:space="preserve"> for our drawing inferences about both effects</w:t>
      </w:r>
      <w:r w:rsidR="00466AFE" w:rsidRPr="008137D7">
        <w:rPr>
          <w:rFonts w:eastAsia="Times New Roman"/>
        </w:rPr>
        <w:t>, as</w:t>
      </w:r>
      <w:r w:rsidR="00552F43" w:rsidRPr="008137D7">
        <w:rPr>
          <w:rFonts w:eastAsia="Times New Roman"/>
        </w:rPr>
        <w:t xml:space="preserve"> they</w:t>
      </w:r>
      <w:r w:rsidR="00466AFE" w:rsidRPr="008137D7">
        <w:rPr>
          <w:rFonts w:eastAsia="Times New Roman"/>
        </w:rPr>
        <w:t xml:space="preserve"> are not competing </w:t>
      </w:r>
      <w:r w:rsidR="00552F43" w:rsidRPr="008137D7">
        <w:rPr>
          <w:rFonts w:eastAsia="Times New Roman"/>
        </w:rPr>
        <w:t>but complementary</w:t>
      </w:r>
      <w:r w:rsidR="00017544" w:rsidRPr="008137D7">
        <w:rPr>
          <w:rFonts w:eastAsia="Times New Roman"/>
        </w:rPr>
        <w:t>, with one tapping long-term positive effects and the other short-term negative ones</w:t>
      </w:r>
      <w:r w:rsidR="00552F43" w:rsidRPr="008137D7">
        <w:rPr>
          <w:rFonts w:eastAsia="Times New Roman"/>
        </w:rPr>
        <w:t>.</w:t>
      </w:r>
    </w:p>
    <w:p w14:paraId="3E742788" w14:textId="4D0BF793" w:rsidR="004E1235" w:rsidRPr="008137D7" w:rsidRDefault="00C05245" w:rsidP="00D64FD6">
      <w:pPr>
        <w:spacing w:line="480" w:lineRule="auto"/>
        <w:jc w:val="both"/>
        <w:rPr>
          <w:rFonts w:eastAsia="Times New Roman"/>
        </w:rPr>
      </w:pPr>
      <w:r w:rsidRPr="008137D7">
        <w:rPr>
          <w:rFonts w:eastAsia="Times New Roman"/>
        </w:rPr>
        <w:tab/>
      </w:r>
      <w:r w:rsidR="002230A8" w:rsidRPr="008137D7">
        <w:rPr>
          <w:rFonts w:eastAsia="Times New Roman"/>
        </w:rPr>
        <w:t>Finally, we include</w:t>
      </w:r>
      <w:r w:rsidR="00423F56" w:rsidRPr="008137D7">
        <w:rPr>
          <w:rFonts w:eastAsia="Times New Roman"/>
        </w:rPr>
        <w:t xml:space="preserve"> </w:t>
      </w:r>
      <w:r w:rsidR="00467E4B" w:rsidRPr="008137D7">
        <w:rPr>
          <w:rFonts w:eastAsia="Times New Roman"/>
        </w:rPr>
        <w:t xml:space="preserve">measures of </w:t>
      </w:r>
      <w:r w:rsidR="002230A8" w:rsidRPr="008137D7">
        <w:rPr>
          <w:rFonts w:eastAsia="Times New Roman"/>
        </w:rPr>
        <w:t>freedom of the press</w:t>
      </w:r>
      <w:r w:rsidR="00467E4B" w:rsidRPr="008137D7">
        <w:rPr>
          <w:rFonts w:eastAsia="Times New Roman"/>
        </w:rPr>
        <w:t xml:space="preserve">. </w:t>
      </w:r>
      <w:r w:rsidR="00552F43" w:rsidRPr="008137D7">
        <w:rPr>
          <w:rFonts w:eastAsia="Times New Roman"/>
        </w:rPr>
        <w:t>To begin with, w</w:t>
      </w:r>
      <w:r w:rsidR="00467E4B" w:rsidRPr="008137D7">
        <w:rPr>
          <w:rFonts w:eastAsia="Times New Roman"/>
        </w:rPr>
        <w:t>e rely on the</w:t>
      </w:r>
      <w:r w:rsidR="00877132" w:rsidRPr="008137D7">
        <w:rPr>
          <w:rFonts w:eastAsia="Times New Roman"/>
        </w:rPr>
        <w:t xml:space="preserve"> annual </w:t>
      </w:r>
      <w:r w:rsidR="00B60198" w:rsidRPr="008137D7">
        <w:rPr>
          <w:rFonts w:eastAsia="Times New Roman"/>
        </w:rPr>
        <w:t>Freedom of the Press index</w:t>
      </w:r>
      <w:r w:rsidR="00467E4B" w:rsidRPr="008137D7">
        <w:rPr>
          <w:rFonts w:eastAsia="Times New Roman"/>
        </w:rPr>
        <w:t xml:space="preserve"> from the Freedom House</w:t>
      </w:r>
      <w:r w:rsidR="00EA1492" w:rsidRPr="008137D7">
        <w:rPr>
          <w:rFonts w:eastAsia="Times New Roman"/>
        </w:rPr>
        <w:t xml:space="preserve">.  </w:t>
      </w:r>
      <w:r w:rsidR="00877132" w:rsidRPr="008137D7">
        <w:rPr>
          <w:rFonts w:eastAsia="Times New Roman"/>
        </w:rPr>
        <w:t>Th</w:t>
      </w:r>
      <w:r w:rsidR="008A14F4" w:rsidRPr="008137D7">
        <w:rPr>
          <w:rFonts w:eastAsia="Times New Roman"/>
        </w:rPr>
        <w:t>e</w:t>
      </w:r>
      <w:r w:rsidR="00877132" w:rsidRPr="008137D7">
        <w:rPr>
          <w:rFonts w:eastAsia="Times New Roman"/>
        </w:rPr>
        <w:t xml:space="preserve"> index </w:t>
      </w:r>
      <w:r w:rsidR="008A14F4" w:rsidRPr="008137D7">
        <w:rPr>
          <w:rFonts w:eastAsia="Times New Roman"/>
        </w:rPr>
        <w:t xml:space="preserve">combines measures that fall into </w:t>
      </w:r>
      <w:r w:rsidR="00B60198" w:rsidRPr="008137D7">
        <w:rPr>
          <w:rFonts w:eastAsia="Times New Roman"/>
        </w:rPr>
        <w:t>three categories</w:t>
      </w:r>
      <w:r w:rsidR="00206528" w:rsidRPr="008137D7">
        <w:rPr>
          <w:rFonts w:eastAsia="Times New Roman"/>
        </w:rPr>
        <w:t>:</w:t>
      </w:r>
      <w:r w:rsidR="002230A8" w:rsidRPr="008137D7">
        <w:rPr>
          <w:rFonts w:eastAsia="Times New Roman"/>
        </w:rPr>
        <w:t xml:space="preserve"> economic environment, legal environment, and political environment</w:t>
      </w:r>
      <w:r w:rsidR="00877132" w:rsidRPr="008137D7">
        <w:rPr>
          <w:rFonts w:eastAsia="Times New Roman"/>
        </w:rPr>
        <w:t xml:space="preserve">. </w:t>
      </w:r>
      <w:r w:rsidR="008A14F4" w:rsidRPr="008137D7">
        <w:rPr>
          <w:rFonts w:eastAsia="Times New Roman"/>
        </w:rPr>
        <w:t xml:space="preserve">Each sub-index is </w:t>
      </w:r>
      <w:r w:rsidR="002230A8" w:rsidRPr="008137D7">
        <w:rPr>
          <w:rFonts w:eastAsia="Times New Roman"/>
        </w:rPr>
        <w:t xml:space="preserve">highly correlated </w:t>
      </w:r>
      <w:r w:rsidR="00B84B12" w:rsidRPr="008137D7">
        <w:rPr>
          <w:rFonts w:eastAsia="Times New Roman"/>
        </w:rPr>
        <w:t xml:space="preserve">with the overall measure </w:t>
      </w:r>
      <w:r w:rsidR="006665C7" w:rsidRPr="008137D7">
        <w:rPr>
          <w:rFonts w:eastAsia="Times New Roman"/>
        </w:rPr>
        <w:t>(Pearson’s r = 0.96-0.98</w:t>
      </w:r>
      <w:r w:rsidR="00515C2B" w:rsidRPr="008137D7">
        <w:rPr>
          <w:rFonts w:eastAsia="Times New Roman"/>
        </w:rPr>
        <w:t xml:space="preserve"> in our sample</w:t>
      </w:r>
      <w:r w:rsidR="006665C7" w:rsidRPr="008137D7">
        <w:rPr>
          <w:rFonts w:eastAsia="Times New Roman"/>
        </w:rPr>
        <w:t>)</w:t>
      </w:r>
      <w:r w:rsidR="002230A8" w:rsidRPr="008137D7">
        <w:rPr>
          <w:rFonts w:eastAsia="Times New Roman"/>
        </w:rPr>
        <w:t xml:space="preserve">, and so we rely </w:t>
      </w:r>
      <w:r w:rsidR="00061D5C" w:rsidRPr="008137D7">
        <w:rPr>
          <w:rFonts w:eastAsia="Times New Roman"/>
        </w:rPr>
        <w:t>on</w:t>
      </w:r>
      <w:r w:rsidR="002230A8" w:rsidRPr="008137D7">
        <w:rPr>
          <w:rFonts w:eastAsia="Times New Roman"/>
        </w:rPr>
        <w:t xml:space="preserve"> the </w:t>
      </w:r>
      <w:r w:rsidR="0077203C" w:rsidRPr="008137D7">
        <w:rPr>
          <w:rFonts w:eastAsia="Times New Roman"/>
        </w:rPr>
        <w:t xml:space="preserve">total index </w:t>
      </w:r>
      <w:r w:rsidR="003E7AFC" w:rsidRPr="008137D7">
        <w:rPr>
          <w:rFonts w:eastAsia="Times New Roman"/>
        </w:rPr>
        <w:t xml:space="preserve">in our analyses </w:t>
      </w:r>
      <w:r w:rsidR="002230A8" w:rsidRPr="008137D7">
        <w:rPr>
          <w:rFonts w:eastAsia="Times New Roman"/>
        </w:rPr>
        <w:t>below.  Data are available for all countries in the appropriate year, depending on the timing of elections</w:t>
      </w:r>
      <w:r w:rsidR="00C518D2" w:rsidRPr="008137D7">
        <w:rPr>
          <w:rFonts w:eastAsia="Times New Roman"/>
        </w:rPr>
        <w:t xml:space="preserve"> </w:t>
      </w:r>
      <w:r w:rsidR="002230A8" w:rsidRPr="008137D7">
        <w:rPr>
          <w:rFonts w:eastAsia="Times New Roman"/>
        </w:rPr>
        <w:t>as described above</w:t>
      </w:r>
      <w:r w:rsidR="00481596" w:rsidRPr="008137D7">
        <w:rPr>
          <w:rFonts w:eastAsia="Times New Roman"/>
        </w:rPr>
        <w:t xml:space="preserve">.  </w:t>
      </w:r>
    </w:p>
    <w:p w14:paraId="2D357EA6" w14:textId="706332C3" w:rsidR="00CA6AF7" w:rsidRPr="008137D7" w:rsidRDefault="004E1235" w:rsidP="00D64FD6">
      <w:pPr>
        <w:spacing w:line="480" w:lineRule="auto"/>
        <w:jc w:val="both"/>
        <w:rPr>
          <w:rFonts w:eastAsia="Times New Roman"/>
        </w:rPr>
      </w:pPr>
      <w:r w:rsidRPr="008137D7">
        <w:rPr>
          <w:rFonts w:eastAsia="Times New Roman"/>
        </w:rPr>
        <w:tab/>
      </w:r>
      <w:r w:rsidR="00552F43" w:rsidRPr="008137D7">
        <w:rPr>
          <w:rFonts w:eastAsia="Times New Roman"/>
        </w:rPr>
        <w:t>T</w:t>
      </w:r>
      <w:r w:rsidRPr="008137D7">
        <w:rPr>
          <w:rFonts w:eastAsia="Times New Roman"/>
        </w:rPr>
        <w:t xml:space="preserve">he Freedom House measure is not the only possible </w:t>
      </w:r>
      <w:r w:rsidR="0072795A" w:rsidRPr="008137D7">
        <w:rPr>
          <w:rFonts w:eastAsia="Times New Roman"/>
        </w:rPr>
        <w:t>indicator</w:t>
      </w:r>
      <w:r w:rsidRPr="008137D7">
        <w:rPr>
          <w:rFonts w:eastAsia="Times New Roman"/>
        </w:rPr>
        <w:t xml:space="preserve"> of press limits</w:t>
      </w:r>
      <w:r w:rsidR="00AA1090" w:rsidRPr="008137D7">
        <w:rPr>
          <w:rFonts w:eastAsia="Times New Roman"/>
        </w:rPr>
        <w:t xml:space="preserve"> and</w:t>
      </w:r>
      <w:r w:rsidR="00B74E7A" w:rsidRPr="008137D7">
        <w:rPr>
          <w:rFonts w:eastAsia="Times New Roman"/>
        </w:rPr>
        <w:t>,</w:t>
      </w:r>
      <w:r w:rsidR="00AA1090" w:rsidRPr="008137D7">
        <w:rPr>
          <w:rFonts w:eastAsia="Times New Roman"/>
        </w:rPr>
        <w:t xml:space="preserve"> given the importance of the measure for our analysis</w:t>
      </w:r>
      <w:r w:rsidR="00B74E7A" w:rsidRPr="008137D7">
        <w:rPr>
          <w:rFonts w:eastAsia="Times New Roman"/>
        </w:rPr>
        <w:t>,</w:t>
      </w:r>
      <w:r w:rsidR="00AA1090" w:rsidRPr="008137D7">
        <w:rPr>
          <w:rFonts w:eastAsia="Times New Roman"/>
        </w:rPr>
        <w:t xml:space="preserve"> we also consider </w:t>
      </w:r>
      <w:r w:rsidR="00467E4B" w:rsidRPr="008137D7">
        <w:rPr>
          <w:rFonts w:eastAsia="Times New Roman"/>
        </w:rPr>
        <w:t>two other</w:t>
      </w:r>
      <w:r w:rsidR="00552F43" w:rsidRPr="008137D7">
        <w:rPr>
          <w:rFonts w:eastAsia="Times New Roman"/>
        </w:rPr>
        <w:t>s</w:t>
      </w:r>
      <w:r w:rsidR="00E44199" w:rsidRPr="008137D7">
        <w:rPr>
          <w:rFonts w:eastAsia="Times New Roman"/>
        </w:rPr>
        <w:t xml:space="preserve">.  </w:t>
      </w:r>
      <w:r w:rsidR="00467E4B" w:rsidRPr="008137D7">
        <w:rPr>
          <w:rFonts w:eastAsia="Times New Roman"/>
        </w:rPr>
        <w:t>The first is</w:t>
      </w:r>
      <w:r w:rsidRPr="008137D7">
        <w:rPr>
          <w:rFonts w:eastAsia="Times New Roman"/>
        </w:rPr>
        <w:t xml:space="preserve"> from Reporters Without Borders (Reporteurs San Frontiers, RSF</w:t>
      </w:r>
      <w:r w:rsidR="001B67E5" w:rsidRPr="008137D7">
        <w:rPr>
          <w:rFonts w:eastAsia="Times New Roman"/>
        </w:rPr>
        <w:t>; https://rsf.org/en/ranking</w:t>
      </w:r>
      <w:r w:rsidRPr="008137D7">
        <w:rPr>
          <w:rFonts w:eastAsia="Times New Roman"/>
        </w:rPr>
        <w:t>)</w:t>
      </w:r>
      <w:r w:rsidR="00467E4B" w:rsidRPr="008137D7">
        <w:rPr>
          <w:rFonts w:eastAsia="Times New Roman"/>
        </w:rPr>
        <w:t>, and the second is a measure combin</w:t>
      </w:r>
      <w:r w:rsidR="001B67E5" w:rsidRPr="008137D7">
        <w:rPr>
          <w:rFonts w:eastAsia="Times New Roman"/>
        </w:rPr>
        <w:t>ing</w:t>
      </w:r>
      <w:r w:rsidR="00467E4B" w:rsidRPr="008137D7">
        <w:rPr>
          <w:rFonts w:eastAsia="Times New Roman"/>
        </w:rPr>
        <w:t xml:space="preserve"> a series of related </w:t>
      </w:r>
      <w:r w:rsidR="001B67E5" w:rsidRPr="008137D7">
        <w:rPr>
          <w:rFonts w:eastAsia="Times New Roman"/>
        </w:rPr>
        <w:t xml:space="preserve">questions about </w:t>
      </w:r>
      <w:r w:rsidR="00467E4B" w:rsidRPr="008137D7">
        <w:rPr>
          <w:rFonts w:eastAsia="Times New Roman"/>
        </w:rPr>
        <w:t>press freedom from the V-Dem dataset</w:t>
      </w:r>
      <w:r w:rsidR="001B67E5" w:rsidRPr="008137D7">
        <w:rPr>
          <w:rFonts w:eastAsia="Times New Roman"/>
        </w:rPr>
        <w:t xml:space="preserve"> (from the V-Dem Institute at the University of Gothenburg, </w:t>
      </w:r>
      <w:hyperlink r:id="rId9" w:history="1">
        <w:r w:rsidR="007B7728" w:rsidRPr="008137D7">
          <w:rPr>
            <w:rStyle w:val="Hyperlink"/>
            <w:rFonts w:eastAsia="Times New Roman"/>
            <w:color w:val="auto"/>
          </w:rPr>
          <w:t>https://www.v-dem.net/en/</w:t>
        </w:r>
      </w:hyperlink>
      <w:r w:rsidR="007B7728" w:rsidRPr="008137D7">
        <w:rPr>
          <w:rFonts w:eastAsia="Times New Roman"/>
        </w:rPr>
        <w:t>; see Coppedge et al. 2018</w:t>
      </w:r>
      <w:r w:rsidR="001B67E5" w:rsidRPr="008137D7">
        <w:rPr>
          <w:rFonts w:eastAsia="Times New Roman"/>
        </w:rPr>
        <w:t>)</w:t>
      </w:r>
      <w:r w:rsidR="00EA1492" w:rsidRPr="008137D7">
        <w:rPr>
          <w:rFonts w:eastAsia="Times New Roman"/>
        </w:rPr>
        <w:t xml:space="preserve">.  </w:t>
      </w:r>
      <w:r w:rsidR="001B67E5" w:rsidRPr="008137D7">
        <w:rPr>
          <w:rFonts w:eastAsia="Times New Roman"/>
        </w:rPr>
        <w:t xml:space="preserve">Both </w:t>
      </w:r>
      <w:r w:rsidR="00AA1090" w:rsidRPr="008137D7">
        <w:rPr>
          <w:rFonts w:eastAsia="Times New Roman"/>
        </w:rPr>
        <w:t>measure</w:t>
      </w:r>
      <w:r w:rsidR="00552F43" w:rsidRPr="008137D7">
        <w:rPr>
          <w:rFonts w:eastAsia="Times New Roman"/>
        </w:rPr>
        <w:t>s</w:t>
      </w:r>
      <w:r w:rsidRPr="008137D7">
        <w:rPr>
          <w:rFonts w:eastAsia="Times New Roman"/>
        </w:rPr>
        <w:t xml:space="preserve"> capture </w:t>
      </w:r>
      <w:r w:rsidR="00467E4B" w:rsidRPr="008137D7">
        <w:rPr>
          <w:rFonts w:eastAsia="Times New Roman"/>
        </w:rPr>
        <w:t xml:space="preserve">somewhat </w:t>
      </w:r>
      <w:r w:rsidRPr="008137D7">
        <w:rPr>
          <w:rFonts w:eastAsia="Times New Roman"/>
        </w:rPr>
        <w:t>different elements of media systems</w:t>
      </w:r>
      <w:r w:rsidR="001B67E5" w:rsidRPr="008137D7">
        <w:rPr>
          <w:rFonts w:eastAsia="Times New Roman"/>
        </w:rPr>
        <w:t xml:space="preserve">. </w:t>
      </w:r>
      <w:r w:rsidR="001B67E5" w:rsidRPr="008137D7">
        <w:rPr>
          <w:rFonts w:eastAsia="Times New Roman"/>
        </w:rPr>
        <w:lastRenderedPageBreak/>
        <w:t>T</w:t>
      </w:r>
      <w:r w:rsidR="00467E4B" w:rsidRPr="008137D7">
        <w:rPr>
          <w:rFonts w:eastAsia="Times New Roman"/>
        </w:rPr>
        <w:t>he</w:t>
      </w:r>
      <w:r w:rsidRPr="008137D7">
        <w:rPr>
          <w:rFonts w:eastAsia="Times New Roman"/>
        </w:rPr>
        <w:t xml:space="preserve"> RSF </w:t>
      </w:r>
      <w:r w:rsidR="00AA1090" w:rsidRPr="008137D7">
        <w:rPr>
          <w:rFonts w:eastAsia="Times New Roman"/>
        </w:rPr>
        <w:t>index</w:t>
      </w:r>
      <w:r w:rsidRPr="008137D7">
        <w:rPr>
          <w:rFonts w:eastAsia="Times New Roman"/>
        </w:rPr>
        <w:t xml:space="preserve"> focuses more on the treatment of journalists</w:t>
      </w:r>
      <w:r w:rsidR="00206528" w:rsidRPr="008137D7">
        <w:rPr>
          <w:rFonts w:eastAsia="Times New Roman"/>
        </w:rPr>
        <w:t>, both domestic and foreign</w:t>
      </w:r>
      <w:r w:rsidR="001B67E5" w:rsidRPr="008137D7">
        <w:rPr>
          <w:rFonts w:eastAsia="Times New Roman"/>
        </w:rPr>
        <w:t>, than the Freedom House index</w:t>
      </w:r>
      <w:r w:rsidR="005C230F" w:rsidRPr="008137D7">
        <w:rPr>
          <w:rFonts w:eastAsia="Times New Roman"/>
        </w:rPr>
        <w:t xml:space="preserve"> does</w:t>
      </w:r>
      <w:r w:rsidR="00F43AE9" w:rsidRPr="008137D7">
        <w:rPr>
          <w:rFonts w:eastAsia="Times New Roman"/>
        </w:rPr>
        <w:t>.</w:t>
      </w:r>
      <w:r w:rsidR="00710943" w:rsidRPr="008137D7">
        <w:rPr>
          <w:rFonts w:eastAsia="Times New Roman"/>
        </w:rPr>
        <w:t xml:space="preserve"> </w:t>
      </w:r>
      <w:r w:rsidR="00F43AE9" w:rsidRPr="008137D7">
        <w:rPr>
          <w:rFonts w:eastAsia="Times New Roman"/>
        </w:rPr>
        <w:t xml:space="preserve"> </w:t>
      </w:r>
      <w:r w:rsidR="001B67E5" w:rsidRPr="008137D7">
        <w:rPr>
          <w:rFonts w:eastAsia="Times New Roman"/>
        </w:rPr>
        <w:t xml:space="preserve">V-Dem data are based on </w:t>
      </w:r>
      <w:r w:rsidR="007A1F82" w:rsidRPr="008137D7">
        <w:rPr>
          <w:rFonts w:eastAsia="Times New Roman"/>
        </w:rPr>
        <w:t>surveys</w:t>
      </w:r>
      <w:r w:rsidR="001B67E5" w:rsidRPr="008137D7">
        <w:rPr>
          <w:rFonts w:eastAsia="Times New Roman"/>
        </w:rPr>
        <w:t xml:space="preserve"> of country experts, and so focus more on general perceptions of press limitations, </w:t>
      </w:r>
      <w:r w:rsidR="00CA6AF7" w:rsidRPr="008137D7">
        <w:rPr>
          <w:rFonts w:eastAsia="Times New Roman"/>
        </w:rPr>
        <w:t>the frequency with which critiques of government are eviden</w:t>
      </w:r>
      <w:r w:rsidR="008A126D" w:rsidRPr="008137D7">
        <w:rPr>
          <w:rFonts w:eastAsia="Times New Roman"/>
        </w:rPr>
        <w:t>t</w:t>
      </w:r>
      <w:r w:rsidR="00CA6AF7" w:rsidRPr="008137D7">
        <w:rPr>
          <w:rFonts w:eastAsia="Times New Roman"/>
        </w:rPr>
        <w:t xml:space="preserve"> in media coverage, and so on.</w:t>
      </w:r>
      <w:r w:rsidR="001B67E5" w:rsidRPr="008137D7">
        <w:rPr>
          <w:rFonts w:eastAsia="Times New Roman"/>
        </w:rPr>
        <w:t xml:space="preserve"> </w:t>
      </w:r>
      <w:r w:rsidR="00CA6AF7" w:rsidRPr="008137D7">
        <w:rPr>
          <w:rFonts w:eastAsia="Times New Roman"/>
        </w:rPr>
        <w:t xml:space="preserve">There is no single measure of press freedoms in the V-Dem data, so we take an average across seven different items, </w:t>
      </w:r>
      <w:r w:rsidR="00EA1492" w:rsidRPr="008137D7">
        <w:rPr>
          <w:rFonts w:eastAsia="Times New Roman"/>
        </w:rPr>
        <w:t>described</w:t>
      </w:r>
      <w:r w:rsidR="00CA6AF7" w:rsidRPr="008137D7">
        <w:rPr>
          <w:rFonts w:eastAsia="Times New Roman"/>
        </w:rPr>
        <w:t xml:space="preserve"> in detail in the Appendix.</w:t>
      </w:r>
    </w:p>
    <w:p w14:paraId="44701885" w14:textId="79EE568E" w:rsidR="004E1235" w:rsidRPr="008137D7" w:rsidRDefault="00CA6AF7" w:rsidP="001C4573">
      <w:pPr>
        <w:spacing w:line="480" w:lineRule="auto"/>
        <w:ind w:firstLine="720"/>
        <w:jc w:val="both"/>
        <w:rPr>
          <w:rFonts w:eastAsia="Times New Roman"/>
        </w:rPr>
      </w:pPr>
      <w:r w:rsidRPr="008137D7">
        <w:rPr>
          <w:rFonts w:eastAsia="Times New Roman"/>
        </w:rPr>
        <w:t xml:space="preserve">The Freedom House measure most directly captures </w:t>
      </w:r>
      <w:r w:rsidR="00206528" w:rsidRPr="008137D7">
        <w:rPr>
          <w:rFonts w:eastAsia="Times New Roman"/>
        </w:rPr>
        <w:t xml:space="preserve">laws, regulations, and access – aspects of the government-media relationship that </w:t>
      </w:r>
      <w:r w:rsidRPr="008137D7">
        <w:rPr>
          <w:rFonts w:eastAsia="Times New Roman"/>
        </w:rPr>
        <w:t xml:space="preserve">we suspect </w:t>
      </w:r>
      <w:r w:rsidR="00206528" w:rsidRPr="008137D7">
        <w:rPr>
          <w:rFonts w:eastAsia="Times New Roman"/>
        </w:rPr>
        <w:t>bear mo</w:t>
      </w:r>
      <w:r w:rsidRPr="008137D7">
        <w:rPr>
          <w:rFonts w:eastAsia="Times New Roman"/>
        </w:rPr>
        <w:t>st</w:t>
      </w:r>
      <w:r w:rsidR="00206528" w:rsidRPr="008137D7">
        <w:rPr>
          <w:rFonts w:eastAsia="Times New Roman"/>
        </w:rPr>
        <w:t xml:space="preserve"> closely on the availability of accurate information. </w:t>
      </w:r>
      <w:r w:rsidR="004E1235" w:rsidRPr="008137D7">
        <w:rPr>
          <w:rFonts w:eastAsia="Times New Roman"/>
        </w:rPr>
        <w:t xml:space="preserve">Even so, the </w:t>
      </w:r>
      <w:r w:rsidR="00AA1090" w:rsidRPr="008137D7">
        <w:rPr>
          <w:rFonts w:eastAsia="Times New Roman"/>
        </w:rPr>
        <w:t>indices are highly correlated.</w:t>
      </w:r>
      <w:r w:rsidR="004E1235" w:rsidRPr="008137D7">
        <w:rPr>
          <w:rFonts w:eastAsia="Times New Roman"/>
        </w:rPr>
        <w:t xml:space="preserve"> Figure</w:t>
      </w:r>
      <w:r w:rsidRPr="008137D7">
        <w:rPr>
          <w:rFonts w:eastAsia="Times New Roman"/>
        </w:rPr>
        <w:t xml:space="preserve">s in the Appendix </w:t>
      </w:r>
      <w:r w:rsidR="004E1235" w:rsidRPr="008137D7">
        <w:rPr>
          <w:rFonts w:eastAsia="Times New Roman"/>
        </w:rPr>
        <w:t xml:space="preserve">show scatterplot of all countries for which data are available </w:t>
      </w:r>
      <w:r w:rsidRPr="008137D7">
        <w:rPr>
          <w:rFonts w:eastAsia="Times New Roman"/>
        </w:rPr>
        <w:t xml:space="preserve">for (a) </w:t>
      </w:r>
      <w:r w:rsidR="004E1235" w:rsidRPr="008137D7">
        <w:rPr>
          <w:rFonts w:eastAsia="Times New Roman"/>
        </w:rPr>
        <w:t>the Freedom House and RSF</w:t>
      </w:r>
      <w:r w:rsidRPr="008137D7">
        <w:rPr>
          <w:rFonts w:eastAsia="Times New Roman"/>
        </w:rPr>
        <w:t xml:space="preserve"> measures, and (b) the Freedom House and V-Dem measures</w:t>
      </w:r>
      <w:r w:rsidR="00EF4874" w:rsidRPr="008137D7">
        <w:rPr>
          <w:rFonts w:eastAsia="Times New Roman"/>
        </w:rPr>
        <w:t xml:space="preserve">. </w:t>
      </w:r>
      <w:r w:rsidR="00107CB0" w:rsidRPr="008137D7">
        <w:rPr>
          <w:rFonts w:eastAsia="Times New Roman"/>
        </w:rPr>
        <w:t>Across the first pair of measures, t</w:t>
      </w:r>
      <w:r w:rsidR="00430249" w:rsidRPr="008137D7">
        <w:rPr>
          <w:rFonts w:eastAsia="Times New Roman"/>
        </w:rPr>
        <w:t xml:space="preserve">he </w:t>
      </w:r>
      <w:r w:rsidR="00EA1492" w:rsidRPr="008137D7">
        <w:rPr>
          <w:rFonts w:eastAsia="Times New Roman"/>
        </w:rPr>
        <w:t>Pearson’s</w:t>
      </w:r>
      <w:r w:rsidR="00430249" w:rsidRPr="008137D7">
        <w:rPr>
          <w:rFonts w:eastAsia="Times New Roman"/>
        </w:rPr>
        <w:t xml:space="preserve"> r for all countries is .89, </w:t>
      </w:r>
      <w:r w:rsidR="009F53F0" w:rsidRPr="008137D7">
        <w:rPr>
          <w:rFonts w:eastAsia="Times New Roman"/>
        </w:rPr>
        <w:t xml:space="preserve">and </w:t>
      </w:r>
      <w:r w:rsidR="00430249" w:rsidRPr="008137D7">
        <w:rPr>
          <w:rFonts w:eastAsia="Times New Roman"/>
        </w:rPr>
        <w:t>.95 for the in-sample countries</w:t>
      </w:r>
      <w:r w:rsidR="00107CB0" w:rsidRPr="008137D7">
        <w:rPr>
          <w:rFonts w:eastAsia="Times New Roman"/>
        </w:rPr>
        <w:t xml:space="preserve">; across the second </w:t>
      </w:r>
      <w:r w:rsidR="00EA1492" w:rsidRPr="008137D7">
        <w:rPr>
          <w:rFonts w:eastAsia="Times New Roman"/>
        </w:rPr>
        <w:t>pair, the</w:t>
      </w:r>
      <w:r w:rsidR="00107CB0" w:rsidRPr="008137D7">
        <w:rPr>
          <w:rFonts w:eastAsia="Times New Roman"/>
        </w:rPr>
        <w:t xml:space="preserve"> </w:t>
      </w:r>
      <w:r w:rsidR="00937811" w:rsidRPr="008137D7">
        <w:rPr>
          <w:rFonts w:eastAsia="Times New Roman"/>
        </w:rPr>
        <w:t xml:space="preserve">respective </w:t>
      </w:r>
      <w:r w:rsidR="00E44199" w:rsidRPr="008137D7">
        <w:rPr>
          <w:rFonts w:eastAsia="Times New Roman"/>
        </w:rPr>
        <w:t>correlations</w:t>
      </w:r>
      <w:r w:rsidR="00937811" w:rsidRPr="008137D7">
        <w:rPr>
          <w:rFonts w:eastAsia="Times New Roman"/>
        </w:rPr>
        <w:t xml:space="preserve"> are</w:t>
      </w:r>
      <w:r w:rsidR="00107CB0" w:rsidRPr="008137D7">
        <w:rPr>
          <w:rFonts w:eastAsia="Times New Roman"/>
        </w:rPr>
        <w:t xml:space="preserve"> .88 and .80</w:t>
      </w:r>
      <w:r w:rsidR="00840E76" w:rsidRPr="008137D7">
        <w:rPr>
          <w:rFonts w:eastAsia="Times New Roman"/>
        </w:rPr>
        <w:t>.</w:t>
      </w:r>
    </w:p>
    <w:p w14:paraId="2FF4E472" w14:textId="477B8D48" w:rsidR="00A16E33" w:rsidRPr="008137D7" w:rsidRDefault="00430249" w:rsidP="00D64FD6">
      <w:pPr>
        <w:spacing w:line="480" w:lineRule="auto"/>
        <w:jc w:val="both"/>
        <w:rPr>
          <w:rFonts w:eastAsia="Times New Roman"/>
        </w:rPr>
      </w:pPr>
      <w:r w:rsidRPr="008137D7">
        <w:rPr>
          <w:rFonts w:eastAsia="Times New Roman"/>
        </w:rPr>
        <w:tab/>
      </w:r>
      <w:r w:rsidR="00107CB0" w:rsidRPr="008137D7">
        <w:rPr>
          <w:rFonts w:eastAsia="Times New Roman"/>
        </w:rPr>
        <w:t xml:space="preserve">We thus focus our </w:t>
      </w:r>
      <w:r w:rsidR="00C8791D" w:rsidRPr="008137D7">
        <w:rPr>
          <w:rFonts w:eastAsia="Times New Roman"/>
        </w:rPr>
        <w:t>analyses</w:t>
      </w:r>
      <w:r w:rsidRPr="008137D7">
        <w:rPr>
          <w:rFonts w:eastAsia="Times New Roman"/>
        </w:rPr>
        <w:t xml:space="preserve"> on </w:t>
      </w:r>
      <w:r w:rsidR="00206528" w:rsidRPr="008137D7">
        <w:rPr>
          <w:rFonts w:eastAsia="Times New Roman"/>
        </w:rPr>
        <w:t>the Freedom House measure</w:t>
      </w:r>
      <w:r w:rsidR="00107CB0" w:rsidRPr="008137D7">
        <w:rPr>
          <w:rFonts w:eastAsia="Times New Roman"/>
        </w:rPr>
        <w:t>, but we include additional results using all measures in the Appendix</w:t>
      </w:r>
      <w:r w:rsidR="00206528" w:rsidRPr="008137D7">
        <w:rPr>
          <w:rFonts w:eastAsia="Times New Roman"/>
        </w:rPr>
        <w:t>. T</w:t>
      </w:r>
      <w:r w:rsidR="002230A8" w:rsidRPr="008137D7">
        <w:rPr>
          <w:rFonts w:eastAsia="Times New Roman"/>
        </w:rPr>
        <w:t xml:space="preserve">he original </w:t>
      </w:r>
      <w:r w:rsidR="00107CB0" w:rsidRPr="008137D7">
        <w:rPr>
          <w:rFonts w:eastAsia="Times New Roman"/>
        </w:rPr>
        <w:t xml:space="preserve">Freedom House </w:t>
      </w:r>
      <w:r w:rsidR="002230A8" w:rsidRPr="008137D7">
        <w:rPr>
          <w:rFonts w:eastAsia="Times New Roman"/>
        </w:rPr>
        <w:t>index measure ranges from 0-100, with zero representing complete press freedom</w:t>
      </w:r>
      <w:r w:rsidR="00481596" w:rsidRPr="008137D7">
        <w:rPr>
          <w:rFonts w:eastAsia="Times New Roman"/>
        </w:rPr>
        <w:t xml:space="preserve">.  </w:t>
      </w:r>
      <w:r w:rsidR="002230A8" w:rsidRPr="008137D7">
        <w:rPr>
          <w:rFonts w:eastAsia="Times New Roman"/>
        </w:rPr>
        <w:t xml:space="preserve">For our </w:t>
      </w:r>
      <w:r w:rsidR="00643257" w:rsidRPr="008137D7">
        <w:rPr>
          <w:rFonts w:eastAsia="Times New Roman"/>
        </w:rPr>
        <w:t>estimation</w:t>
      </w:r>
      <w:r w:rsidR="002230A8" w:rsidRPr="008137D7">
        <w:rPr>
          <w:rFonts w:eastAsia="Times New Roman"/>
        </w:rPr>
        <w:t>, we rescale the index from 0-1</w:t>
      </w:r>
      <w:r w:rsidR="00A45B37" w:rsidRPr="008137D7">
        <w:rPr>
          <w:rFonts w:eastAsia="Times New Roman"/>
        </w:rPr>
        <w:t xml:space="preserve">; and to reflect the fact that </w:t>
      </w:r>
      <w:r w:rsidR="00022647" w:rsidRPr="008137D7">
        <w:rPr>
          <w:rFonts w:eastAsia="Times New Roman"/>
        </w:rPr>
        <w:t>it</w:t>
      </w:r>
      <w:r w:rsidR="00A45B37" w:rsidRPr="008137D7">
        <w:rPr>
          <w:rFonts w:eastAsia="Times New Roman"/>
        </w:rPr>
        <w:t xml:space="preserve"> captures increasing constraints rather than freedoms, we label it </w:t>
      </w:r>
      <w:r w:rsidR="00A45B37" w:rsidRPr="008137D7">
        <w:rPr>
          <w:rFonts w:eastAsia="Times New Roman"/>
          <w:i/>
        </w:rPr>
        <w:t>Press Limits</w:t>
      </w:r>
      <w:r w:rsidR="00A45B37" w:rsidRPr="008137D7">
        <w:rPr>
          <w:rFonts w:eastAsia="Times New Roman"/>
        </w:rPr>
        <w:t>.</w:t>
      </w:r>
      <w:r w:rsidR="002F6A0A" w:rsidRPr="008137D7">
        <w:rPr>
          <w:rStyle w:val="FootnoteReference"/>
          <w:rFonts w:eastAsia="Times New Roman"/>
        </w:rPr>
        <w:footnoteReference w:id="6"/>
      </w:r>
      <w:r w:rsidR="00CE3A85" w:rsidRPr="008137D7">
        <w:rPr>
          <w:rFonts w:eastAsia="Times New Roman"/>
        </w:rPr>
        <w:t xml:space="preserve"> </w:t>
      </w:r>
      <w:r w:rsidR="00420EFA" w:rsidRPr="008137D7">
        <w:rPr>
          <w:rFonts w:eastAsia="Times New Roman"/>
        </w:rPr>
        <w:t xml:space="preserve"> </w:t>
      </w:r>
      <w:r w:rsidR="00E11BF2" w:rsidRPr="008137D7">
        <w:rPr>
          <w:rFonts w:eastAsia="Times New Roman"/>
        </w:rPr>
        <w:t xml:space="preserve">  </w:t>
      </w:r>
    </w:p>
    <w:p w14:paraId="60ECA68E" w14:textId="2C654E00" w:rsidR="00A16E33" w:rsidRPr="008137D7" w:rsidRDefault="002230A8" w:rsidP="006E5BCC">
      <w:pPr>
        <w:spacing w:line="480" w:lineRule="auto"/>
        <w:ind w:firstLine="720"/>
        <w:jc w:val="both"/>
        <w:rPr>
          <w:rFonts w:eastAsia="Times New Roman"/>
        </w:rPr>
      </w:pPr>
      <w:r w:rsidRPr="008137D7">
        <w:rPr>
          <w:rFonts w:eastAsia="Times New Roman"/>
        </w:rPr>
        <w:lastRenderedPageBreak/>
        <w:t xml:space="preserve">All </w:t>
      </w:r>
      <w:r w:rsidR="001E23F2" w:rsidRPr="008137D7">
        <w:rPr>
          <w:rFonts w:eastAsia="Times New Roman"/>
        </w:rPr>
        <w:t xml:space="preserve">the </w:t>
      </w:r>
      <w:r w:rsidR="00494872" w:rsidRPr="008137D7">
        <w:rPr>
          <w:rFonts w:eastAsia="Times New Roman"/>
        </w:rPr>
        <w:t xml:space="preserve">equations that follow </w:t>
      </w:r>
      <w:r w:rsidRPr="008137D7">
        <w:rPr>
          <w:rFonts w:eastAsia="Times New Roman"/>
        </w:rPr>
        <w:t xml:space="preserve">are </w:t>
      </w:r>
      <w:r w:rsidR="00494872" w:rsidRPr="008137D7">
        <w:rPr>
          <w:rFonts w:eastAsia="Times New Roman"/>
        </w:rPr>
        <w:t>estimated using ordinary least squares (</w:t>
      </w:r>
      <w:r w:rsidRPr="008137D7">
        <w:rPr>
          <w:rFonts w:eastAsia="Times New Roman"/>
        </w:rPr>
        <w:t>OLS</w:t>
      </w:r>
      <w:r w:rsidR="00494872" w:rsidRPr="008137D7">
        <w:rPr>
          <w:rFonts w:eastAsia="Times New Roman"/>
        </w:rPr>
        <w:t>)</w:t>
      </w:r>
      <w:r w:rsidRPr="008137D7">
        <w:rPr>
          <w:rFonts w:eastAsia="Times New Roman"/>
        </w:rPr>
        <w:t xml:space="preserve">, </w:t>
      </w:r>
      <w:r w:rsidR="00494872" w:rsidRPr="008137D7">
        <w:rPr>
          <w:rFonts w:eastAsia="Times New Roman"/>
        </w:rPr>
        <w:t>with</w:t>
      </w:r>
      <w:r w:rsidRPr="008137D7">
        <w:rPr>
          <w:rFonts w:eastAsia="Times New Roman"/>
        </w:rPr>
        <w:t xml:space="preserve"> standard errors</w:t>
      </w:r>
      <w:r w:rsidR="00DB6C66" w:rsidRPr="008137D7">
        <w:rPr>
          <w:rFonts w:eastAsia="Times New Roman"/>
        </w:rPr>
        <w:t xml:space="preserve"> clustered</w:t>
      </w:r>
      <w:r w:rsidR="00E4294C" w:rsidRPr="008137D7">
        <w:rPr>
          <w:rFonts w:eastAsia="Times New Roman"/>
        </w:rPr>
        <w:t xml:space="preserve"> </w:t>
      </w:r>
      <w:r w:rsidR="00643257" w:rsidRPr="008137D7">
        <w:rPr>
          <w:rFonts w:eastAsia="Times New Roman"/>
        </w:rPr>
        <w:t xml:space="preserve">by </w:t>
      </w:r>
      <w:r w:rsidR="0088715E" w:rsidRPr="008137D7">
        <w:rPr>
          <w:rFonts w:eastAsia="Times New Roman"/>
        </w:rPr>
        <w:t>country</w:t>
      </w:r>
      <w:r w:rsidR="00E4294C" w:rsidRPr="008137D7">
        <w:rPr>
          <w:rFonts w:eastAsia="Times New Roman"/>
        </w:rPr>
        <w:t xml:space="preserve"> (see Cameron, Gelbach &amp; Miller 2011)</w:t>
      </w:r>
      <w:r w:rsidRPr="008137D7">
        <w:rPr>
          <w:rFonts w:eastAsia="Times New Roman"/>
        </w:rPr>
        <w:t xml:space="preserve">, where </w:t>
      </w:r>
      <w:r w:rsidR="00407C6E" w:rsidRPr="008137D7">
        <w:rPr>
          <w:rFonts w:eastAsia="Times New Roman"/>
        </w:rPr>
        <w:t>individual</w:t>
      </w:r>
      <w:r w:rsidR="00F0354C" w:rsidRPr="008137D7">
        <w:rPr>
          <w:rFonts w:eastAsia="Times New Roman"/>
        </w:rPr>
        <w:t>-</w:t>
      </w:r>
      <w:r w:rsidR="00407C6E" w:rsidRPr="008137D7">
        <w:rPr>
          <w:rFonts w:eastAsia="Times New Roman"/>
        </w:rPr>
        <w:t xml:space="preserve">level spending preferences </w:t>
      </w:r>
      <w:r w:rsidRPr="008137D7">
        <w:rPr>
          <w:rFonts w:eastAsia="Times New Roman"/>
        </w:rPr>
        <w:t xml:space="preserve">are the dependent variable.  </w:t>
      </w:r>
    </w:p>
    <w:p w14:paraId="71BE77D0" w14:textId="77777777" w:rsidR="00A16E33" w:rsidRPr="008137D7" w:rsidRDefault="002230A8" w:rsidP="006E00A2">
      <w:pPr>
        <w:keepNext/>
        <w:spacing w:line="480" w:lineRule="auto"/>
        <w:jc w:val="center"/>
        <w:rPr>
          <w:rFonts w:eastAsia="Times New Roman"/>
          <w:sz w:val="28"/>
          <w:szCs w:val="28"/>
        </w:rPr>
      </w:pPr>
      <w:r w:rsidRPr="008137D7">
        <w:rPr>
          <w:rFonts w:eastAsia="Times New Roman"/>
          <w:sz w:val="28"/>
          <w:szCs w:val="28"/>
        </w:rPr>
        <w:t>Freedom of the Press &amp; Responsiveness to Welfare Spending</w:t>
      </w:r>
    </w:p>
    <w:p w14:paraId="33076BC9" w14:textId="3934F99B" w:rsidR="001F0340" w:rsidRPr="008137D7" w:rsidRDefault="008225A5" w:rsidP="00A35CBF">
      <w:pPr>
        <w:spacing w:line="480" w:lineRule="auto"/>
        <w:ind w:firstLine="720"/>
        <w:jc w:val="both"/>
        <w:rPr>
          <w:rFonts w:eastAsia="Times New Roman"/>
        </w:rPr>
      </w:pPr>
      <w:r w:rsidRPr="008137D7">
        <w:rPr>
          <w:rFonts w:eastAsia="Times New Roman"/>
        </w:rPr>
        <w:t xml:space="preserve">While the CSES </w:t>
      </w:r>
      <w:r w:rsidR="00206528" w:rsidRPr="008137D7">
        <w:rPr>
          <w:rFonts w:eastAsia="Times New Roman"/>
        </w:rPr>
        <w:t>captures</w:t>
      </w:r>
      <w:r w:rsidRPr="008137D7">
        <w:rPr>
          <w:rFonts w:eastAsia="Times New Roman"/>
        </w:rPr>
        <w:t xml:space="preserve"> respondent preferences </w:t>
      </w:r>
      <w:r w:rsidR="00206528" w:rsidRPr="008137D7">
        <w:rPr>
          <w:rFonts w:eastAsia="Times New Roman"/>
        </w:rPr>
        <w:t>for</w:t>
      </w:r>
      <w:r w:rsidRPr="008137D7">
        <w:rPr>
          <w:rFonts w:eastAsia="Times New Roman"/>
        </w:rPr>
        <w:t xml:space="preserve"> a </w:t>
      </w:r>
      <w:r w:rsidR="00206528" w:rsidRPr="008137D7">
        <w:rPr>
          <w:rFonts w:eastAsia="Times New Roman"/>
        </w:rPr>
        <w:t>range</w:t>
      </w:r>
      <w:r w:rsidRPr="008137D7">
        <w:rPr>
          <w:rFonts w:eastAsia="Times New Roman"/>
        </w:rPr>
        <w:t xml:space="preserve"> of different </w:t>
      </w:r>
      <w:r w:rsidR="00206528" w:rsidRPr="008137D7">
        <w:rPr>
          <w:rFonts w:eastAsia="Times New Roman"/>
        </w:rPr>
        <w:t xml:space="preserve">policy </w:t>
      </w:r>
      <w:r w:rsidRPr="008137D7">
        <w:rPr>
          <w:rFonts w:eastAsia="Times New Roman"/>
        </w:rPr>
        <w:t xml:space="preserve">domains, we focus on three </w:t>
      </w:r>
      <w:r w:rsidR="008654D3" w:rsidRPr="008137D7">
        <w:rPr>
          <w:rFonts w:eastAsia="Times New Roman"/>
        </w:rPr>
        <w:t>that</w:t>
      </w:r>
      <w:r w:rsidRPr="008137D7">
        <w:rPr>
          <w:rFonts w:eastAsia="Times New Roman"/>
        </w:rPr>
        <w:t xml:space="preserve"> are both highly salient to voters and for which </w:t>
      </w:r>
      <w:r w:rsidR="00206528" w:rsidRPr="008137D7">
        <w:rPr>
          <w:rFonts w:eastAsia="Times New Roman"/>
        </w:rPr>
        <w:t xml:space="preserve">there are available measures of </w:t>
      </w:r>
      <w:r w:rsidRPr="008137D7">
        <w:rPr>
          <w:rFonts w:eastAsia="Times New Roman"/>
        </w:rPr>
        <w:t xml:space="preserve">spending. </w:t>
      </w:r>
      <w:r w:rsidR="002230A8" w:rsidRPr="008137D7">
        <w:rPr>
          <w:rFonts w:eastAsia="Times New Roman"/>
        </w:rPr>
        <w:t xml:space="preserve">We begin </w:t>
      </w:r>
      <w:r w:rsidR="00EF1932" w:rsidRPr="008137D7">
        <w:rPr>
          <w:rFonts w:eastAsia="Times New Roman"/>
        </w:rPr>
        <w:t>with</w:t>
      </w:r>
      <w:r w:rsidR="002230A8" w:rsidRPr="008137D7">
        <w:rPr>
          <w:rFonts w:eastAsia="Times New Roman"/>
        </w:rPr>
        <w:t xml:space="preserve"> welfare spending</w:t>
      </w:r>
      <w:r w:rsidRPr="008137D7">
        <w:rPr>
          <w:rFonts w:eastAsia="Times New Roman"/>
        </w:rPr>
        <w:t xml:space="preserve">. </w:t>
      </w:r>
      <w:r w:rsidR="002230A8" w:rsidRPr="008137D7">
        <w:rPr>
          <w:rFonts w:eastAsia="Times New Roman"/>
        </w:rPr>
        <w:t>Table 1 shows four models regressing welfare spending preferences on a basic set of demographics a</w:t>
      </w:r>
      <w:r w:rsidR="003C6654" w:rsidRPr="008137D7">
        <w:rPr>
          <w:rFonts w:eastAsia="Times New Roman"/>
        </w:rPr>
        <w:t>nd</w:t>
      </w:r>
      <w:r w:rsidR="002230A8" w:rsidRPr="008137D7">
        <w:rPr>
          <w:rFonts w:eastAsia="Times New Roman"/>
        </w:rPr>
        <w:t xml:space="preserve"> </w:t>
      </w:r>
      <w:r w:rsidR="003C6654" w:rsidRPr="008137D7">
        <w:rPr>
          <w:rFonts w:eastAsia="Times New Roman"/>
        </w:rPr>
        <w:t xml:space="preserve">our measure of </w:t>
      </w:r>
      <w:r w:rsidR="002230A8" w:rsidRPr="008137D7">
        <w:rPr>
          <w:rFonts w:eastAsia="Times New Roman"/>
        </w:rPr>
        <w:t xml:space="preserve">country-level spending at </w:t>
      </w:r>
      <w:r w:rsidR="002230A8" w:rsidRPr="008137D7">
        <w:rPr>
          <w:rFonts w:eastAsia="Times New Roman"/>
          <w:i/>
        </w:rPr>
        <w:t>t</w:t>
      </w:r>
      <w:r w:rsidR="002230A8" w:rsidRPr="008137D7">
        <w:rPr>
          <w:rFonts w:eastAsia="Times New Roman"/>
        </w:rPr>
        <w:t>.  Our focus here is on the coefficient in the top row of the table</w:t>
      </w:r>
      <w:r w:rsidR="00AF789D" w:rsidRPr="008137D7">
        <w:rPr>
          <w:rFonts w:eastAsia="Times New Roman"/>
        </w:rPr>
        <w:t>,</w:t>
      </w:r>
      <w:r w:rsidR="002230A8" w:rsidRPr="008137D7">
        <w:rPr>
          <w:rFonts w:eastAsia="Times New Roman"/>
        </w:rPr>
        <w:t xml:space="preserve"> </w:t>
      </w:r>
      <w:r w:rsidR="00B96570" w:rsidRPr="008137D7">
        <w:rPr>
          <w:rFonts w:eastAsia="Times New Roman"/>
        </w:rPr>
        <w:t>which</w:t>
      </w:r>
      <w:r w:rsidR="002230A8" w:rsidRPr="008137D7">
        <w:rPr>
          <w:rFonts w:eastAsia="Times New Roman"/>
        </w:rPr>
        <w:t xml:space="preserve"> captures responsiveness to policy</w:t>
      </w:r>
      <w:r w:rsidR="00481596" w:rsidRPr="008137D7">
        <w:rPr>
          <w:rFonts w:eastAsia="Times New Roman"/>
        </w:rPr>
        <w:t xml:space="preserve">.  </w:t>
      </w:r>
      <w:r w:rsidR="002230A8" w:rsidRPr="008137D7">
        <w:rPr>
          <w:rFonts w:eastAsia="Times New Roman"/>
        </w:rPr>
        <w:t>Th</w:t>
      </w:r>
      <w:r w:rsidR="003C6654" w:rsidRPr="008137D7">
        <w:rPr>
          <w:rFonts w:eastAsia="Times New Roman"/>
        </w:rPr>
        <w:t>e</w:t>
      </w:r>
      <w:r w:rsidR="002230A8" w:rsidRPr="008137D7">
        <w:rPr>
          <w:rFonts w:eastAsia="Times New Roman"/>
        </w:rPr>
        <w:t xml:space="preserve"> coefficient </w:t>
      </w:r>
      <w:r w:rsidR="003C6654" w:rsidRPr="008137D7">
        <w:rPr>
          <w:rFonts w:eastAsia="Times New Roman"/>
        </w:rPr>
        <w:t xml:space="preserve">in column 1 </w:t>
      </w:r>
      <w:r w:rsidR="002230A8" w:rsidRPr="008137D7">
        <w:rPr>
          <w:rFonts w:eastAsia="Times New Roman"/>
        </w:rPr>
        <w:t>is</w:t>
      </w:r>
      <w:r w:rsidR="003C6654" w:rsidRPr="008137D7">
        <w:rPr>
          <w:rFonts w:eastAsia="Times New Roman"/>
        </w:rPr>
        <w:t xml:space="preserve"> expect</w:t>
      </w:r>
      <w:r w:rsidR="00AF789D" w:rsidRPr="008137D7">
        <w:rPr>
          <w:rFonts w:eastAsia="Times New Roman"/>
        </w:rPr>
        <w:t>edly</w:t>
      </w:r>
      <w:r w:rsidR="002230A8" w:rsidRPr="008137D7">
        <w:rPr>
          <w:rFonts w:eastAsia="Times New Roman"/>
        </w:rPr>
        <w:t xml:space="preserve"> negative</w:t>
      </w:r>
      <w:r w:rsidR="00F5534D" w:rsidRPr="008137D7">
        <w:rPr>
          <w:rFonts w:eastAsia="Times New Roman"/>
        </w:rPr>
        <w:t>; a</w:t>
      </w:r>
      <w:r w:rsidR="00987C77" w:rsidRPr="008137D7">
        <w:rPr>
          <w:rFonts w:eastAsia="Times New Roman"/>
        </w:rPr>
        <w:t xml:space="preserve">s levels of spending increase, </w:t>
      </w:r>
      <w:r w:rsidR="00446F59" w:rsidRPr="008137D7">
        <w:rPr>
          <w:rFonts w:eastAsia="Times New Roman"/>
        </w:rPr>
        <w:t xml:space="preserve">the </w:t>
      </w:r>
      <w:r w:rsidR="00987C77" w:rsidRPr="008137D7">
        <w:rPr>
          <w:rFonts w:eastAsia="Times New Roman"/>
        </w:rPr>
        <w:t xml:space="preserve">demand for more spending decrease.  That said, the coefficient is </w:t>
      </w:r>
      <w:r w:rsidR="00AF789D" w:rsidRPr="008137D7">
        <w:rPr>
          <w:rFonts w:eastAsia="Times New Roman"/>
        </w:rPr>
        <w:t xml:space="preserve">not </w:t>
      </w:r>
      <w:r w:rsidR="003C6654" w:rsidRPr="008137D7">
        <w:rPr>
          <w:rFonts w:eastAsia="Times New Roman"/>
        </w:rPr>
        <w:t xml:space="preserve">statistically </w:t>
      </w:r>
      <w:r w:rsidR="002230A8" w:rsidRPr="008137D7">
        <w:rPr>
          <w:rFonts w:eastAsia="Times New Roman"/>
        </w:rPr>
        <w:t xml:space="preserve">insignificant.  There </w:t>
      </w:r>
      <w:r w:rsidR="00BF0B5D" w:rsidRPr="008137D7">
        <w:rPr>
          <w:rFonts w:eastAsia="Times New Roman"/>
        </w:rPr>
        <w:t xml:space="preserve">thus </w:t>
      </w:r>
      <w:r w:rsidR="00814B4C" w:rsidRPr="008137D7">
        <w:rPr>
          <w:rFonts w:eastAsia="Times New Roman"/>
        </w:rPr>
        <w:t>is</w:t>
      </w:r>
      <w:r w:rsidR="003C6654" w:rsidRPr="008137D7">
        <w:rPr>
          <w:rFonts w:eastAsia="Times New Roman"/>
        </w:rPr>
        <w:t xml:space="preserve"> </w:t>
      </w:r>
      <w:r w:rsidR="002230A8" w:rsidRPr="008137D7">
        <w:rPr>
          <w:rFonts w:eastAsia="Times New Roman"/>
        </w:rPr>
        <w:t xml:space="preserve">only a hint of thermostatic responsiveness </w:t>
      </w:r>
      <w:r w:rsidR="00494872" w:rsidRPr="008137D7">
        <w:rPr>
          <w:rFonts w:eastAsia="Times New Roman"/>
        </w:rPr>
        <w:t>based on th</w:t>
      </w:r>
      <w:r w:rsidR="00BF0B5D" w:rsidRPr="008137D7">
        <w:rPr>
          <w:rFonts w:eastAsia="Times New Roman"/>
        </w:rPr>
        <w:t>ese results</w:t>
      </w:r>
      <w:r w:rsidR="002230A8" w:rsidRPr="008137D7">
        <w:rPr>
          <w:rFonts w:eastAsia="Times New Roman"/>
        </w:rPr>
        <w:t>.</w:t>
      </w:r>
    </w:p>
    <w:p w14:paraId="5021C9E4" w14:textId="447CD7BB" w:rsidR="001D176F" w:rsidRPr="008137D7" w:rsidRDefault="001D176F" w:rsidP="001D176F">
      <w:pPr>
        <w:spacing w:line="480" w:lineRule="auto"/>
        <w:ind w:firstLine="720"/>
        <w:jc w:val="both"/>
        <w:rPr>
          <w:rFonts w:eastAsia="Times New Roman"/>
        </w:rPr>
      </w:pPr>
      <w:r w:rsidRPr="008137D7">
        <w:t>The first model in Table 1 includes only demographic variables, however</w:t>
      </w:r>
      <w:r w:rsidRPr="008137D7">
        <w:rPr>
          <w:rFonts w:eastAsia="Times New Roman"/>
        </w:rPr>
        <w:t xml:space="preserve">.  The second and third models in the table incorporate a range of other control variables: the second adds mean spending levels from 1990 to 2006 and the third model adds more proximate individual-level measures – support for government reducing income disparities and left-right ideology.  All </w:t>
      </w:r>
      <w:r w:rsidRPr="008137D7">
        <w:rPr>
          <w:rFonts w:eastAsia="Times New Roman"/>
        </w:rPr>
        <w:lastRenderedPageBreak/>
        <w:t>variables have significant effects in the expected direction(s).  Moreover, adding these critical controls reveals statistically significant (and substantial) thermostatic responsiveness to current levels of spending.  Recall that our expectation is that as spending increases, public preferences for more spending should decrease, which is exactly what we observe in Models 2 and 3, where the coefficient is -0.876 and -0.849</w:t>
      </w:r>
      <w:r w:rsidR="006D7D3C" w:rsidRPr="008137D7">
        <w:rPr>
          <w:rFonts w:eastAsia="Times New Roman"/>
        </w:rPr>
        <w:t>, respectively</w:t>
      </w:r>
      <w:r w:rsidRPr="008137D7">
        <w:rPr>
          <w:rFonts w:eastAsia="Times New Roman"/>
        </w:rPr>
        <w:t xml:space="preserve">.  These </w:t>
      </w:r>
      <w:r w:rsidR="006D7D3C" w:rsidRPr="008137D7">
        <w:rPr>
          <w:rFonts w:eastAsia="Times New Roman"/>
        </w:rPr>
        <w:t xml:space="preserve">estimates </w:t>
      </w:r>
      <w:r w:rsidRPr="008137D7">
        <w:rPr>
          <w:rFonts w:eastAsia="Times New Roman"/>
        </w:rPr>
        <w:t xml:space="preserve">imply that a one percent increase (across countries) in the welfare spending share of GDP is associated with nearly a one point drop in support for more spending, which is nearly 25% of the range of the variable. That said, a one percent difference in the spending share is a lot, as the in-sample standard deviation is .39.  Given the coefficient in Model 3, a .39 increase in spending predicts a .33-point decrease in preferences, controlling for mean spending.  This is a notable effect, approximately 8% of the range of preferences, and 31% of its standard deviation (1.05). </w:t>
      </w:r>
    </w:p>
    <w:p w14:paraId="2C4B55E7" w14:textId="77777777" w:rsidR="002F2D37" w:rsidRPr="008137D7" w:rsidRDefault="002F2D37" w:rsidP="00C923C7">
      <w:pPr>
        <w:keepNext/>
        <w:ind w:left="990"/>
      </w:pPr>
      <w:r w:rsidRPr="008137D7">
        <w:t>Table 1. Modeling Relative Preferences for Welfare Spending</w:t>
      </w:r>
    </w:p>
    <w:tbl>
      <w:tblPr>
        <w:tblW w:w="0" w:type="auto"/>
        <w:tblCellSpacing w:w="0" w:type="dxa"/>
        <w:tblInd w:w="990" w:type="dxa"/>
        <w:tblLayout w:type="fixed"/>
        <w:tblCellMar>
          <w:left w:w="15" w:type="dxa"/>
          <w:bottom w:w="15" w:type="dxa"/>
          <w:right w:w="15" w:type="dxa"/>
        </w:tblCellMar>
        <w:tblLook w:val="04A0" w:firstRow="1" w:lastRow="0" w:firstColumn="1" w:lastColumn="0" w:noHBand="0" w:noVBand="1"/>
      </w:tblPr>
      <w:tblGrid>
        <w:gridCol w:w="1845"/>
        <w:gridCol w:w="1152"/>
        <w:gridCol w:w="1152"/>
        <w:gridCol w:w="1152"/>
        <w:gridCol w:w="1152"/>
      </w:tblGrid>
      <w:tr w:rsidR="008137D7" w:rsidRPr="008137D7" w14:paraId="6397288F" w14:textId="77777777" w:rsidTr="00C923C7">
        <w:trPr>
          <w:tblCellSpacing w:w="0" w:type="dxa"/>
        </w:trPr>
        <w:tc>
          <w:tcPr>
            <w:tcW w:w="1845" w:type="dxa"/>
            <w:tcBorders>
              <w:top w:val="single" w:sz="8" w:space="0" w:color="auto"/>
              <w:bottom w:val="single" w:sz="8" w:space="0" w:color="auto"/>
            </w:tcBorders>
            <w:vAlign w:val="center"/>
          </w:tcPr>
          <w:p w14:paraId="612B4413" w14:textId="77777777" w:rsidR="002F6A0A" w:rsidRPr="008137D7" w:rsidRDefault="002F6A0A" w:rsidP="00D27C95">
            <w:pPr>
              <w:rPr>
                <w:rFonts w:eastAsia="Times New Roman"/>
                <w:sz w:val="18"/>
                <w:szCs w:val="18"/>
              </w:rPr>
            </w:pPr>
          </w:p>
        </w:tc>
        <w:tc>
          <w:tcPr>
            <w:tcW w:w="1152" w:type="dxa"/>
            <w:tcBorders>
              <w:top w:val="single" w:sz="8" w:space="0" w:color="auto"/>
              <w:bottom w:val="single" w:sz="8" w:space="0" w:color="auto"/>
            </w:tcBorders>
            <w:vAlign w:val="center"/>
          </w:tcPr>
          <w:p w14:paraId="53DF7FD7" w14:textId="77777777" w:rsidR="002F6A0A" w:rsidRPr="008137D7" w:rsidRDefault="002F6A0A" w:rsidP="00D27C95">
            <w:pPr>
              <w:jc w:val="center"/>
              <w:rPr>
                <w:rFonts w:eastAsia="Times New Roman"/>
                <w:sz w:val="18"/>
                <w:szCs w:val="18"/>
              </w:rPr>
            </w:pPr>
            <w:r w:rsidRPr="008137D7">
              <w:rPr>
                <w:rFonts w:eastAsia="Times New Roman"/>
                <w:sz w:val="18"/>
                <w:szCs w:val="18"/>
              </w:rPr>
              <w:t>Model 1</w:t>
            </w:r>
          </w:p>
        </w:tc>
        <w:tc>
          <w:tcPr>
            <w:tcW w:w="1152" w:type="dxa"/>
            <w:tcBorders>
              <w:top w:val="single" w:sz="8" w:space="0" w:color="auto"/>
              <w:bottom w:val="single" w:sz="8" w:space="0" w:color="auto"/>
            </w:tcBorders>
            <w:vAlign w:val="center"/>
          </w:tcPr>
          <w:p w14:paraId="40384D5F" w14:textId="77777777" w:rsidR="002F6A0A" w:rsidRPr="008137D7" w:rsidRDefault="002F6A0A" w:rsidP="00D27C95">
            <w:pPr>
              <w:jc w:val="center"/>
              <w:rPr>
                <w:rFonts w:eastAsia="Times New Roman"/>
                <w:sz w:val="18"/>
                <w:szCs w:val="18"/>
              </w:rPr>
            </w:pPr>
            <w:r w:rsidRPr="008137D7">
              <w:rPr>
                <w:rFonts w:eastAsia="Times New Roman"/>
                <w:sz w:val="18"/>
                <w:szCs w:val="18"/>
              </w:rPr>
              <w:t>Model 2</w:t>
            </w:r>
          </w:p>
        </w:tc>
        <w:tc>
          <w:tcPr>
            <w:tcW w:w="1152" w:type="dxa"/>
            <w:tcBorders>
              <w:top w:val="single" w:sz="8" w:space="0" w:color="auto"/>
              <w:bottom w:val="single" w:sz="8" w:space="0" w:color="auto"/>
            </w:tcBorders>
            <w:vAlign w:val="center"/>
          </w:tcPr>
          <w:p w14:paraId="4AFD0F6D" w14:textId="77777777" w:rsidR="002F6A0A" w:rsidRPr="008137D7" w:rsidRDefault="002F6A0A" w:rsidP="00D27C95">
            <w:pPr>
              <w:jc w:val="center"/>
              <w:rPr>
                <w:rFonts w:eastAsia="Times New Roman"/>
                <w:sz w:val="18"/>
                <w:szCs w:val="18"/>
              </w:rPr>
            </w:pPr>
            <w:r w:rsidRPr="008137D7">
              <w:rPr>
                <w:rFonts w:eastAsia="Times New Roman"/>
                <w:sz w:val="18"/>
                <w:szCs w:val="18"/>
              </w:rPr>
              <w:t>Model 3</w:t>
            </w:r>
          </w:p>
        </w:tc>
        <w:tc>
          <w:tcPr>
            <w:tcW w:w="1152" w:type="dxa"/>
            <w:tcBorders>
              <w:top w:val="single" w:sz="8" w:space="0" w:color="auto"/>
              <w:bottom w:val="single" w:sz="8" w:space="0" w:color="auto"/>
            </w:tcBorders>
            <w:vAlign w:val="center"/>
          </w:tcPr>
          <w:p w14:paraId="6945A13C" w14:textId="77777777" w:rsidR="002F6A0A" w:rsidRPr="008137D7" w:rsidRDefault="002F6A0A" w:rsidP="00D27C95">
            <w:pPr>
              <w:jc w:val="center"/>
              <w:rPr>
                <w:rFonts w:eastAsia="Times New Roman"/>
                <w:sz w:val="18"/>
                <w:szCs w:val="18"/>
              </w:rPr>
            </w:pPr>
            <w:r w:rsidRPr="008137D7">
              <w:rPr>
                <w:rFonts w:eastAsia="Times New Roman"/>
                <w:sz w:val="18"/>
                <w:szCs w:val="18"/>
              </w:rPr>
              <w:t>Model 4</w:t>
            </w:r>
          </w:p>
        </w:tc>
      </w:tr>
      <w:tr w:rsidR="008137D7" w:rsidRPr="008137D7" w14:paraId="6EA45DD4" w14:textId="77777777" w:rsidTr="00942B31">
        <w:trPr>
          <w:tblCellSpacing w:w="0" w:type="dxa"/>
        </w:trPr>
        <w:tc>
          <w:tcPr>
            <w:tcW w:w="1845" w:type="dxa"/>
            <w:vAlign w:val="center"/>
            <w:hideMark/>
          </w:tcPr>
          <w:p w14:paraId="38FBE48B" w14:textId="77777777" w:rsidR="002F6A0A" w:rsidRPr="008137D7" w:rsidRDefault="002F6A0A" w:rsidP="00942B31">
            <w:pPr>
              <w:rPr>
                <w:rFonts w:eastAsia="Times New Roman"/>
                <w:sz w:val="18"/>
                <w:szCs w:val="18"/>
              </w:rPr>
            </w:pPr>
            <w:r w:rsidRPr="008137D7">
              <w:rPr>
                <w:rFonts w:eastAsia="Times New Roman"/>
                <w:sz w:val="18"/>
                <w:szCs w:val="18"/>
              </w:rPr>
              <w:t>Spending</w:t>
            </w:r>
          </w:p>
        </w:tc>
        <w:tc>
          <w:tcPr>
            <w:tcW w:w="1152" w:type="dxa"/>
            <w:vAlign w:val="center"/>
            <w:hideMark/>
          </w:tcPr>
          <w:p w14:paraId="327B863C" w14:textId="77777777" w:rsidR="002F6A0A" w:rsidRPr="008137D7" w:rsidRDefault="002F6A0A" w:rsidP="00942B31">
            <w:pPr>
              <w:jc w:val="center"/>
              <w:rPr>
                <w:rFonts w:eastAsia="Times New Roman"/>
                <w:sz w:val="18"/>
                <w:szCs w:val="18"/>
              </w:rPr>
            </w:pPr>
            <w:r w:rsidRPr="008137D7">
              <w:rPr>
                <w:rFonts w:eastAsia="Times New Roman"/>
                <w:sz w:val="18"/>
                <w:szCs w:val="18"/>
              </w:rPr>
              <w:t>-0.225</w:t>
            </w:r>
          </w:p>
        </w:tc>
        <w:tc>
          <w:tcPr>
            <w:tcW w:w="1152" w:type="dxa"/>
            <w:vAlign w:val="center"/>
            <w:hideMark/>
          </w:tcPr>
          <w:p w14:paraId="47D96830" w14:textId="77777777" w:rsidR="002F6A0A" w:rsidRPr="008137D7" w:rsidRDefault="002F6A0A" w:rsidP="00942B31">
            <w:pPr>
              <w:jc w:val="center"/>
              <w:rPr>
                <w:rFonts w:eastAsia="Times New Roman"/>
                <w:sz w:val="18"/>
                <w:szCs w:val="18"/>
              </w:rPr>
            </w:pPr>
            <w:r w:rsidRPr="008137D7">
              <w:rPr>
                <w:rFonts w:eastAsia="Times New Roman"/>
                <w:sz w:val="18"/>
                <w:szCs w:val="18"/>
              </w:rPr>
              <w:t>-0.876***</w:t>
            </w:r>
          </w:p>
        </w:tc>
        <w:tc>
          <w:tcPr>
            <w:tcW w:w="1152" w:type="dxa"/>
            <w:vAlign w:val="center"/>
            <w:hideMark/>
          </w:tcPr>
          <w:p w14:paraId="7A7EE2B5" w14:textId="77777777" w:rsidR="002F6A0A" w:rsidRPr="008137D7" w:rsidRDefault="002F6A0A" w:rsidP="00942B31">
            <w:pPr>
              <w:jc w:val="center"/>
              <w:rPr>
                <w:rFonts w:eastAsia="Times New Roman"/>
                <w:sz w:val="18"/>
                <w:szCs w:val="18"/>
              </w:rPr>
            </w:pPr>
            <w:r w:rsidRPr="008137D7">
              <w:rPr>
                <w:rFonts w:eastAsia="Times New Roman"/>
                <w:sz w:val="18"/>
                <w:szCs w:val="18"/>
              </w:rPr>
              <w:t>-0.849***</w:t>
            </w:r>
          </w:p>
        </w:tc>
        <w:tc>
          <w:tcPr>
            <w:tcW w:w="1152" w:type="dxa"/>
            <w:vAlign w:val="center"/>
            <w:hideMark/>
          </w:tcPr>
          <w:p w14:paraId="70CC41D2" w14:textId="77777777" w:rsidR="002F6A0A" w:rsidRPr="008137D7" w:rsidRDefault="002F6A0A" w:rsidP="00942B31">
            <w:pPr>
              <w:jc w:val="center"/>
              <w:rPr>
                <w:rFonts w:eastAsia="Times New Roman"/>
                <w:sz w:val="18"/>
                <w:szCs w:val="18"/>
              </w:rPr>
            </w:pPr>
            <w:r w:rsidRPr="008137D7">
              <w:rPr>
                <w:rFonts w:eastAsia="Times New Roman"/>
                <w:sz w:val="18"/>
                <w:szCs w:val="18"/>
              </w:rPr>
              <w:t>-0.936*</w:t>
            </w:r>
          </w:p>
        </w:tc>
      </w:tr>
      <w:tr w:rsidR="008137D7" w:rsidRPr="008137D7" w14:paraId="178A2A09" w14:textId="77777777" w:rsidTr="00942B31">
        <w:trPr>
          <w:tblCellSpacing w:w="0" w:type="dxa"/>
        </w:trPr>
        <w:tc>
          <w:tcPr>
            <w:tcW w:w="1845" w:type="dxa"/>
            <w:vAlign w:val="center"/>
            <w:hideMark/>
          </w:tcPr>
          <w:p w14:paraId="32B08A8C" w14:textId="77777777" w:rsidR="002F6A0A" w:rsidRPr="008137D7" w:rsidRDefault="002F6A0A" w:rsidP="00942B31">
            <w:pPr>
              <w:jc w:val="center"/>
              <w:rPr>
                <w:rFonts w:eastAsia="Times New Roman"/>
                <w:sz w:val="18"/>
                <w:szCs w:val="18"/>
              </w:rPr>
            </w:pPr>
          </w:p>
        </w:tc>
        <w:tc>
          <w:tcPr>
            <w:tcW w:w="1152" w:type="dxa"/>
            <w:vAlign w:val="center"/>
            <w:hideMark/>
          </w:tcPr>
          <w:p w14:paraId="39BFF281" w14:textId="77777777" w:rsidR="002F6A0A" w:rsidRPr="008137D7" w:rsidRDefault="002F6A0A" w:rsidP="00942B31">
            <w:pPr>
              <w:jc w:val="center"/>
              <w:rPr>
                <w:rFonts w:eastAsia="Times New Roman"/>
                <w:sz w:val="18"/>
                <w:szCs w:val="18"/>
              </w:rPr>
            </w:pPr>
            <w:r w:rsidRPr="008137D7">
              <w:rPr>
                <w:rFonts w:eastAsia="Times New Roman"/>
                <w:sz w:val="18"/>
                <w:szCs w:val="18"/>
              </w:rPr>
              <w:t>(0.193)</w:t>
            </w:r>
          </w:p>
        </w:tc>
        <w:tc>
          <w:tcPr>
            <w:tcW w:w="1152" w:type="dxa"/>
            <w:vAlign w:val="center"/>
            <w:hideMark/>
          </w:tcPr>
          <w:p w14:paraId="13C709F2" w14:textId="77777777" w:rsidR="002F6A0A" w:rsidRPr="008137D7" w:rsidRDefault="002F6A0A" w:rsidP="00942B31">
            <w:pPr>
              <w:jc w:val="center"/>
              <w:rPr>
                <w:rFonts w:eastAsia="Times New Roman"/>
                <w:sz w:val="18"/>
                <w:szCs w:val="18"/>
              </w:rPr>
            </w:pPr>
            <w:r w:rsidRPr="008137D7">
              <w:rPr>
                <w:rFonts w:eastAsia="Times New Roman"/>
                <w:sz w:val="18"/>
                <w:szCs w:val="18"/>
              </w:rPr>
              <w:t>(0.273)</w:t>
            </w:r>
          </w:p>
        </w:tc>
        <w:tc>
          <w:tcPr>
            <w:tcW w:w="1152" w:type="dxa"/>
            <w:vAlign w:val="center"/>
            <w:hideMark/>
          </w:tcPr>
          <w:p w14:paraId="55D53C8A" w14:textId="77777777" w:rsidR="002F6A0A" w:rsidRPr="008137D7" w:rsidRDefault="002F6A0A" w:rsidP="00942B31">
            <w:pPr>
              <w:jc w:val="center"/>
              <w:rPr>
                <w:rFonts w:eastAsia="Times New Roman"/>
                <w:sz w:val="18"/>
                <w:szCs w:val="18"/>
              </w:rPr>
            </w:pPr>
            <w:r w:rsidRPr="008137D7">
              <w:rPr>
                <w:rFonts w:eastAsia="Times New Roman"/>
                <w:sz w:val="18"/>
                <w:szCs w:val="18"/>
              </w:rPr>
              <w:t>(0.221)</w:t>
            </w:r>
          </w:p>
        </w:tc>
        <w:tc>
          <w:tcPr>
            <w:tcW w:w="1152" w:type="dxa"/>
            <w:vAlign w:val="center"/>
            <w:hideMark/>
          </w:tcPr>
          <w:p w14:paraId="708059BD" w14:textId="77777777" w:rsidR="002F6A0A" w:rsidRPr="008137D7" w:rsidRDefault="002F6A0A" w:rsidP="00942B31">
            <w:pPr>
              <w:jc w:val="center"/>
              <w:rPr>
                <w:rFonts w:eastAsia="Times New Roman"/>
                <w:sz w:val="18"/>
                <w:szCs w:val="18"/>
              </w:rPr>
            </w:pPr>
            <w:r w:rsidRPr="008137D7">
              <w:rPr>
                <w:rFonts w:eastAsia="Times New Roman"/>
                <w:sz w:val="18"/>
                <w:szCs w:val="18"/>
              </w:rPr>
              <w:t>(0.417)</w:t>
            </w:r>
          </w:p>
        </w:tc>
      </w:tr>
      <w:tr w:rsidR="008137D7" w:rsidRPr="008137D7" w14:paraId="6A425AC9" w14:textId="77777777" w:rsidTr="00942B31">
        <w:trPr>
          <w:tblCellSpacing w:w="0" w:type="dxa"/>
        </w:trPr>
        <w:tc>
          <w:tcPr>
            <w:tcW w:w="1845" w:type="dxa"/>
            <w:vAlign w:val="center"/>
            <w:hideMark/>
          </w:tcPr>
          <w:p w14:paraId="2A7B66F3" w14:textId="77777777" w:rsidR="002F6A0A" w:rsidRPr="008137D7" w:rsidRDefault="002F6A0A" w:rsidP="00942B31">
            <w:pPr>
              <w:rPr>
                <w:rFonts w:eastAsia="Times New Roman"/>
                <w:sz w:val="18"/>
                <w:szCs w:val="18"/>
              </w:rPr>
            </w:pPr>
            <w:r w:rsidRPr="008137D7">
              <w:rPr>
                <w:rFonts w:eastAsia="Times New Roman"/>
                <w:sz w:val="18"/>
                <w:szCs w:val="18"/>
              </w:rPr>
              <w:t>Press Limits</w:t>
            </w:r>
          </w:p>
        </w:tc>
        <w:tc>
          <w:tcPr>
            <w:tcW w:w="1152" w:type="dxa"/>
            <w:vAlign w:val="center"/>
            <w:hideMark/>
          </w:tcPr>
          <w:p w14:paraId="5B293D49" w14:textId="77777777" w:rsidR="002F6A0A" w:rsidRPr="008137D7" w:rsidRDefault="002F6A0A" w:rsidP="00942B31">
            <w:pPr>
              <w:rPr>
                <w:rFonts w:eastAsia="Times New Roman"/>
                <w:sz w:val="18"/>
                <w:szCs w:val="18"/>
              </w:rPr>
            </w:pPr>
          </w:p>
        </w:tc>
        <w:tc>
          <w:tcPr>
            <w:tcW w:w="1152" w:type="dxa"/>
            <w:vAlign w:val="center"/>
            <w:hideMark/>
          </w:tcPr>
          <w:p w14:paraId="5820FE86" w14:textId="77777777" w:rsidR="002F6A0A" w:rsidRPr="008137D7" w:rsidRDefault="002F6A0A" w:rsidP="00942B31">
            <w:pPr>
              <w:jc w:val="center"/>
              <w:rPr>
                <w:rFonts w:eastAsia="Times New Roman"/>
                <w:sz w:val="18"/>
                <w:szCs w:val="18"/>
              </w:rPr>
            </w:pPr>
          </w:p>
        </w:tc>
        <w:tc>
          <w:tcPr>
            <w:tcW w:w="1152" w:type="dxa"/>
            <w:vAlign w:val="center"/>
            <w:hideMark/>
          </w:tcPr>
          <w:p w14:paraId="04D12ED4" w14:textId="77777777" w:rsidR="002F6A0A" w:rsidRPr="008137D7" w:rsidRDefault="002F6A0A" w:rsidP="00942B31">
            <w:pPr>
              <w:jc w:val="center"/>
              <w:rPr>
                <w:rFonts w:eastAsia="Times New Roman"/>
                <w:sz w:val="18"/>
                <w:szCs w:val="18"/>
              </w:rPr>
            </w:pPr>
          </w:p>
        </w:tc>
        <w:tc>
          <w:tcPr>
            <w:tcW w:w="1152" w:type="dxa"/>
            <w:vAlign w:val="center"/>
            <w:hideMark/>
          </w:tcPr>
          <w:p w14:paraId="67FE2DD1" w14:textId="77777777" w:rsidR="002F6A0A" w:rsidRPr="008137D7" w:rsidRDefault="002F6A0A" w:rsidP="00942B31">
            <w:pPr>
              <w:jc w:val="center"/>
              <w:rPr>
                <w:rFonts w:eastAsia="Times New Roman"/>
                <w:sz w:val="18"/>
                <w:szCs w:val="18"/>
              </w:rPr>
            </w:pPr>
            <w:r w:rsidRPr="008137D7">
              <w:rPr>
                <w:rFonts w:eastAsia="Times New Roman"/>
                <w:sz w:val="18"/>
                <w:szCs w:val="18"/>
              </w:rPr>
              <w:t>1.006*</w:t>
            </w:r>
          </w:p>
        </w:tc>
      </w:tr>
      <w:tr w:rsidR="008137D7" w:rsidRPr="008137D7" w14:paraId="0D51F820" w14:textId="77777777" w:rsidTr="00942B31">
        <w:trPr>
          <w:tblCellSpacing w:w="0" w:type="dxa"/>
        </w:trPr>
        <w:tc>
          <w:tcPr>
            <w:tcW w:w="1845" w:type="dxa"/>
            <w:vAlign w:val="center"/>
            <w:hideMark/>
          </w:tcPr>
          <w:p w14:paraId="0EA1C23D" w14:textId="77777777" w:rsidR="002F6A0A" w:rsidRPr="008137D7" w:rsidRDefault="002F6A0A" w:rsidP="00942B31">
            <w:pPr>
              <w:jc w:val="center"/>
              <w:rPr>
                <w:rFonts w:eastAsia="Times New Roman"/>
                <w:sz w:val="18"/>
                <w:szCs w:val="18"/>
              </w:rPr>
            </w:pPr>
          </w:p>
        </w:tc>
        <w:tc>
          <w:tcPr>
            <w:tcW w:w="1152" w:type="dxa"/>
            <w:vAlign w:val="center"/>
            <w:hideMark/>
          </w:tcPr>
          <w:p w14:paraId="6EA5633E" w14:textId="77777777" w:rsidR="002F6A0A" w:rsidRPr="008137D7" w:rsidRDefault="002F6A0A" w:rsidP="00942B31">
            <w:pPr>
              <w:rPr>
                <w:rFonts w:eastAsia="Times New Roman"/>
                <w:sz w:val="18"/>
                <w:szCs w:val="18"/>
              </w:rPr>
            </w:pPr>
          </w:p>
        </w:tc>
        <w:tc>
          <w:tcPr>
            <w:tcW w:w="1152" w:type="dxa"/>
            <w:vAlign w:val="center"/>
            <w:hideMark/>
          </w:tcPr>
          <w:p w14:paraId="59DD2D7E" w14:textId="77777777" w:rsidR="002F6A0A" w:rsidRPr="008137D7" w:rsidRDefault="002F6A0A" w:rsidP="00942B31">
            <w:pPr>
              <w:jc w:val="center"/>
              <w:rPr>
                <w:rFonts w:eastAsia="Times New Roman"/>
                <w:sz w:val="18"/>
                <w:szCs w:val="18"/>
              </w:rPr>
            </w:pPr>
          </w:p>
        </w:tc>
        <w:tc>
          <w:tcPr>
            <w:tcW w:w="1152" w:type="dxa"/>
            <w:vAlign w:val="center"/>
            <w:hideMark/>
          </w:tcPr>
          <w:p w14:paraId="1527313D" w14:textId="77777777" w:rsidR="002F6A0A" w:rsidRPr="008137D7" w:rsidRDefault="002F6A0A" w:rsidP="00942B31">
            <w:pPr>
              <w:jc w:val="center"/>
              <w:rPr>
                <w:rFonts w:eastAsia="Times New Roman"/>
                <w:sz w:val="18"/>
                <w:szCs w:val="18"/>
              </w:rPr>
            </w:pPr>
          </w:p>
        </w:tc>
        <w:tc>
          <w:tcPr>
            <w:tcW w:w="1152" w:type="dxa"/>
            <w:vAlign w:val="center"/>
            <w:hideMark/>
          </w:tcPr>
          <w:p w14:paraId="1B98AB4F" w14:textId="77777777" w:rsidR="002F6A0A" w:rsidRPr="008137D7" w:rsidRDefault="002F6A0A" w:rsidP="00942B31">
            <w:pPr>
              <w:jc w:val="center"/>
              <w:rPr>
                <w:rFonts w:eastAsia="Times New Roman"/>
                <w:sz w:val="18"/>
                <w:szCs w:val="18"/>
              </w:rPr>
            </w:pPr>
            <w:r w:rsidRPr="008137D7">
              <w:rPr>
                <w:rFonts w:eastAsia="Times New Roman"/>
                <w:sz w:val="18"/>
                <w:szCs w:val="18"/>
              </w:rPr>
              <w:t>(0.465)</w:t>
            </w:r>
          </w:p>
        </w:tc>
      </w:tr>
      <w:tr w:rsidR="008137D7" w:rsidRPr="008137D7" w14:paraId="759F6A5B" w14:textId="77777777" w:rsidTr="00942B31">
        <w:trPr>
          <w:tblCellSpacing w:w="0" w:type="dxa"/>
        </w:trPr>
        <w:tc>
          <w:tcPr>
            <w:tcW w:w="1845" w:type="dxa"/>
            <w:vAlign w:val="center"/>
          </w:tcPr>
          <w:p w14:paraId="1CA8ACD5" w14:textId="77777777" w:rsidR="002F6A0A" w:rsidRPr="008137D7" w:rsidRDefault="002F6A0A" w:rsidP="00942B31">
            <w:pPr>
              <w:rPr>
                <w:rFonts w:eastAsia="Times New Roman"/>
                <w:i/>
                <w:sz w:val="18"/>
                <w:szCs w:val="18"/>
              </w:rPr>
            </w:pPr>
            <w:r w:rsidRPr="008137D7">
              <w:rPr>
                <w:rFonts w:eastAsia="Times New Roman"/>
                <w:sz w:val="18"/>
                <w:szCs w:val="18"/>
              </w:rPr>
              <w:t xml:space="preserve">  </w:t>
            </w:r>
            <w:r w:rsidRPr="008137D7">
              <w:rPr>
                <w:rFonts w:eastAsia="Times New Roman"/>
                <w:i/>
                <w:sz w:val="18"/>
                <w:szCs w:val="18"/>
              </w:rPr>
              <w:t>interaction</w:t>
            </w:r>
          </w:p>
        </w:tc>
        <w:tc>
          <w:tcPr>
            <w:tcW w:w="1152" w:type="dxa"/>
            <w:vAlign w:val="center"/>
          </w:tcPr>
          <w:p w14:paraId="0DFB2C9E" w14:textId="77777777" w:rsidR="002F6A0A" w:rsidRPr="008137D7" w:rsidRDefault="002F6A0A" w:rsidP="00942B31">
            <w:pPr>
              <w:jc w:val="center"/>
              <w:rPr>
                <w:rFonts w:eastAsia="Times New Roman"/>
                <w:sz w:val="18"/>
                <w:szCs w:val="18"/>
              </w:rPr>
            </w:pPr>
          </w:p>
        </w:tc>
        <w:tc>
          <w:tcPr>
            <w:tcW w:w="1152" w:type="dxa"/>
            <w:vAlign w:val="center"/>
          </w:tcPr>
          <w:p w14:paraId="77EB5694" w14:textId="77777777" w:rsidR="002F6A0A" w:rsidRPr="008137D7" w:rsidRDefault="002F6A0A" w:rsidP="00942B31">
            <w:pPr>
              <w:jc w:val="center"/>
              <w:rPr>
                <w:rFonts w:eastAsia="Times New Roman"/>
                <w:sz w:val="18"/>
                <w:szCs w:val="18"/>
              </w:rPr>
            </w:pPr>
          </w:p>
        </w:tc>
        <w:tc>
          <w:tcPr>
            <w:tcW w:w="1152" w:type="dxa"/>
            <w:vAlign w:val="center"/>
          </w:tcPr>
          <w:p w14:paraId="1A6559EA" w14:textId="77777777" w:rsidR="002F6A0A" w:rsidRPr="008137D7" w:rsidRDefault="002F6A0A" w:rsidP="00942B31">
            <w:pPr>
              <w:jc w:val="center"/>
              <w:rPr>
                <w:rFonts w:eastAsia="Times New Roman"/>
                <w:sz w:val="18"/>
                <w:szCs w:val="18"/>
              </w:rPr>
            </w:pPr>
          </w:p>
        </w:tc>
        <w:tc>
          <w:tcPr>
            <w:tcW w:w="1152" w:type="dxa"/>
            <w:vAlign w:val="center"/>
          </w:tcPr>
          <w:p w14:paraId="3D371A15" w14:textId="77777777" w:rsidR="002F6A0A" w:rsidRPr="008137D7" w:rsidRDefault="002F6A0A" w:rsidP="00942B31">
            <w:pPr>
              <w:jc w:val="center"/>
              <w:rPr>
                <w:rFonts w:eastAsia="Times New Roman"/>
                <w:sz w:val="18"/>
                <w:szCs w:val="18"/>
              </w:rPr>
            </w:pPr>
            <w:r w:rsidRPr="008137D7">
              <w:rPr>
                <w:rFonts w:eastAsia="Times New Roman"/>
                <w:sz w:val="18"/>
                <w:szCs w:val="18"/>
              </w:rPr>
              <w:t>2.428</w:t>
            </w:r>
          </w:p>
        </w:tc>
      </w:tr>
      <w:tr w:rsidR="008137D7" w:rsidRPr="008137D7" w14:paraId="3FFAA165" w14:textId="77777777" w:rsidTr="00942B31">
        <w:trPr>
          <w:tblCellSpacing w:w="0" w:type="dxa"/>
        </w:trPr>
        <w:tc>
          <w:tcPr>
            <w:tcW w:w="1845" w:type="dxa"/>
            <w:vAlign w:val="center"/>
          </w:tcPr>
          <w:p w14:paraId="7FC01CA4" w14:textId="77777777" w:rsidR="002F6A0A" w:rsidRPr="008137D7" w:rsidRDefault="002F6A0A" w:rsidP="00942B31">
            <w:pPr>
              <w:rPr>
                <w:rFonts w:eastAsia="Times New Roman"/>
                <w:sz w:val="18"/>
                <w:szCs w:val="18"/>
              </w:rPr>
            </w:pPr>
          </w:p>
        </w:tc>
        <w:tc>
          <w:tcPr>
            <w:tcW w:w="1152" w:type="dxa"/>
            <w:vAlign w:val="center"/>
          </w:tcPr>
          <w:p w14:paraId="0817BBE3" w14:textId="77777777" w:rsidR="002F6A0A" w:rsidRPr="008137D7" w:rsidRDefault="002F6A0A" w:rsidP="00942B31">
            <w:pPr>
              <w:jc w:val="center"/>
              <w:rPr>
                <w:rFonts w:eastAsia="Times New Roman"/>
                <w:sz w:val="18"/>
                <w:szCs w:val="18"/>
              </w:rPr>
            </w:pPr>
          </w:p>
        </w:tc>
        <w:tc>
          <w:tcPr>
            <w:tcW w:w="1152" w:type="dxa"/>
            <w:vAlign w:val="center"/>
          </w:tcPr>
          <w:p w14:paraId="118FB422" w14:textId="77777777" w:rsidR="002F6A0A" w:rsidRPr="008137D7" w:rsidRDefault="002F6A0A" w:rsidP="00942B31">
            <w:pPr>
              <w:jc w:val="center"/>
              <w:rPr>
                <w:rFonts w:eastAsia="Times New Roman"/>
                <w:sz w:val="18"/>
                <w:szCs w:val="18"/>
              </w:rPr>
            </w:pPr>
          </w:p>
        </w:tc>
        <w:tc>
          <w:tcPr>
            <w:tcW w:w="1152" w:type="dxa"/>
            <w:vAlign w:val="center"/>
          </w:tcPr>
          <w:p w14:paraId="50FE2676" w14:textId="77777777" w:rsidR="002F6A0A" w:rsidRPr="008137D7" w:rsidRDefault="002F6A0A" w:rsidP="00942B31">
            <w:pPr>
              <w:jc w:val="center"/>
              <w:rPr>
                <w:rFonts w:eastAsia="Times New Roman"/>
                <w:sz w:val="18"/>
                <w:szCs w:val="18"/>
              </w:rPr>
            </w:pPr>
          </w:p>
        </w:tc>
        <w:tc>
          <w:tcPr>
            <w:tcW w:w="1152" w:type="dxa"/>
            <w:vAlign w:val="center"/>
          </w:tcPr>
          <w:p w14:paraId="411659DA" w14:textId="77777777" w:rsidR="002F6A0A" w:rsidRPr="008137D7" w:rsidRDefault="002F6A0A" w:rsidP="00942B31">
            <w:pPr>
              <w:jc w:val="center"/>
              <w:rPr>
                <w:rFonts w:eastAsia="Times New Roman"/>
                <w:sz w:val="18"/>
                <w:szCs w:val="18"/>
              </w:rPr>
            </w:pPr>
            <w:r w:rsidRPr="008137D7">
              <w:rPr>
                <w:rFonts w:eastAsia="Times New Roman"/>
                <w:sz w:val="18"/>
                <w:szCs w:val="18"/>
              </w:rPr>
              <w:t>(1.444)</w:t>
            </w:r>
          </w:p>
        </w:tc>
      </w:tr>
      <w:tr w:rsidR="008137D7" w:rsidRPr="008137D7" w14:paraId="02CE39E7" w14:textId="77777777" w:rsidTr="00942B31">
        <w:trPr>
          <w:tblCellSpacing w:w="0" w:type="dxa"/>
        </w:trPr>
        <w:tc>
          <w:tcPr>
            <w:tcW w:w="1845" w:type="dxa"/>
            <w:vAlign w:val="center"/>
            <w:hideMark/>
          </w:tcPr>
          <w:p w14:paraId="015D26FA" w14:textId="77777777" w:rsidR="002F6A0A" w:rsidRPr="008137D7" w:rsidRDefault="002F6A0A" w:rsidP="00942B31">
            <w:pPr>
              <w:rPr>
                <w:rFonts w:eastAsia="Times New Roman"/>
                <w:sz w:val="18"/>
                <w:szCs w:val="18"/>
              </w:rPr>
            </w:pPr>
            <w:r w:rsidRPr="008137D7">
              <w:rPr>
                <w:rFonts w:eastAsia="Times New Roman"/>
                <w:sz w:val="18"/>
                <w:szCs w:val="18"/>
              </w:rPr>
              <w:t>Female</w:t>
            </w:r>
          </w:p>
        </w:tc>
        <w:tc>
          <w:tcPr>
            <w:tcW w:w="1152" w:type="dxa"/>
            <w:vAlign w:val="center"/>
            <w:hideMark/>
          </w:tcPr>
          <w:p w14:paraId="6DACF73F" w14:textId="77777777" w:rsidR="002F6A0A" w:rsidRPr="008137D7" w:rsidRDefault="002F6A0A" w:rsidP="00942B31">
            <w:pPr>
              <w:jc w:val="center"/>
              <w:rPr>
                <w:rFonts w:eastAsia="Times New Roman"/>
                <w:sz w:val="18"/>
                <w:szCs w:val="18"/>
              </w:rPr>
            </w:pPr>
            <w:r w:rsidRPr="008137D7">
              <w:rPr>
                <w:rFonts w:eastAsia="Times New Roman"/>
                <w:sz w:val="18"/>
                <w:szCs w:val="18"/>
              </w:rPr>
              <w:t>0.071***</w:t>
            </w:r>
          </w:p>
        </w:tc>
        <w:tc>
          <w:tcPr>
            <w:tcW w:w="1152" w:type="dxa"/>
            <w:vAlign w:val="center"/>
            <w:hideMark/>
          </w:tcPr>
          <w:p w14:paraId="1F960F18" w14:textId="77777777" w:rsidR="002F6A0A" w:rsidRPr="008137D7" w:rsidRDefault="002F6A0A" w:rsidP="00942B31">
            <w:pPr>
              <w:jc w:val="center"/>
              <w:rPr>
                <w:rFonts w:eastAsia="Times New Roman"/>
                <w:sz w:val="18"/>
                <w:szCs w:val="18"/>
              </w:rPr>
            </w:pPr>
            <w:r w:rsidRPr="008137D7">
              <w:rPr>
                <w:rFonts w:eastAsia="Times New Roman"/>
                <w:sz w:val="18"/>
                <w:szCs w:val="18"/>
              </w:rPr>
              <w:t>0.067***</w:t>
            </w:r>
          </w:p>
        </w:tc>
        <w:tc>
          <w:tcPr>
            <w:tcW w:w="1152" w:type="dxa"/>
            <w:vAlign w:val="center"/>
            <w:hideMark/>
          </w:tcPr>
          <w:p w14:paraId="5ACDDD9D" w14:textId="77777777" w:rsidR="002F6A0A" w:rsidRPr="008137D7" w:rsidRDefault="002F6A0A" w:rsidP="00942B31">
            <w:pPr>
              <w:jc w:val="center"/>
              <w:rPr>
                <w:rFonts w:eastAsia="Times New Roman"/>
                <w:sz w:val="18"/>
                <w:szCs w:val="18"/>
              </w:rPr>
            </w:pPr>
            <w:r w:rsidRPr="008137D7">
              <w:rPr>
                <w:rFonts w:eastAsia="Times New Roman"/>
                <w:sz w:val="18"/>
                <w:szCs w:val="18"/>
              </w:rPr>
              <w:t>0.042*</w:t>
            </w:r>
          </w:p>
        </w:tc>
        <w:tc>
          <w:tcPr>
            <w:tcW w:w="1152" w:type="dxa"/>
            <w:vAlign w:val="center"/>
            <w:hideMark/>
          </w:tcPr>
          <w:p w14:paraId="26BBBE55" w14:textId="77777777" w:rsidR="002F6A0A" w:rsidRPr="008137D7" w:rsidRDefault="002F6A0A" w:rsidP="00942B31">
            <w:pPr>
              <w:jc w:val="center"/>
              <w:rPr>
                <w:rFonts w:eastAsia="Times New Roman"/>
                <w:sz w:val="18"/>
                <w:szCs w:val="18"/>
              </w:rPr>
            </w:pPr>
            <w:r w:rsidRPr="008137D7">
              <w:rPr>
                <w:rFonts w:eastAsia="Times New Roman"/>
                <w:sz w:val="18"/>
                <w:szCs w:val="18"/>
              </w:rPr>
              <w:t>0.042***</w:t>
            </w:r>
          </w:p>
        </w:tc>
      </w:tr>
      <w:tr w:rsidR="008137D7" w:rsidRPr="008137D7" w14:paraId="5022FB44" w14:textId="77777777" w:rsidTr="00942B31">
        <w:trPr>
          <w:tblCellSpacing w:w="0" w:type="dxa"/>
        </w:trPr>
        <w:tc>
          <w:tcPr>
            <w:tcW w:w="1845" w:type="dxa"/>
            <w:vAlign w:val="center"/>
            <w:hideMark/>
          </w:tcPr>
          <w:p w14:paraId="3C901455" w14:textId="77777777" w:rsidR="002F6A0A" w:rsidRPr="008137D7" w:rsidRDefault="002F6A0A" w:rsidP="00942B31">
            <w:pPr>
              <w:jc w:val="center"/>
              <w:rPr>
                <w:rFonts w:eastAsia="Times New Roman"/>
                <w:sz w:val="18"/>
                <w:szCs w:val="18"/>
              </w:rPr>
            </w:pPr>
          </w:p>
        </w:tc>
        <w:tc>
          <w:tcPr>
            <w:tcW w:w="1152" w:type="dxa"/>
            <w:vAlign w:val="center"/>
            <w:hideMark/>
          </w:tcPr>
          <w:p w14:paraId="7E68CA4F" w14:textId="77777777" w:rsidR="002F6A0A" w:rsidRPr="008137D7" w:rsidRDefault="002F6A0A" w:rsidP="00942B31">
            <w:pPr>
              <w:jc w:val="center"/>
              <w:rPr>
                <w:rFonts w:eastAsia="Times New Roman"/>
                <w:sz w:val="18"/>
                <w:szCs w:val="18"/>
              </w:rPr>
            </w:pPr>
            <w:r w:rsidRPr="008137D7">
              <w:rPr>
                <w:rFonts w:eastAsia="Times New Roman"/>
                <w:sz w:val="18"/>
                <w:szCs w:val="18"/>
              </w:rPr>
              <w:t>(0.019)</w:t>
            </w:r>
          </w:p>
        </w:tc>
        <w:tc>
          <w:tcPr>
            <w:tcW w:w="1152" w:type="dxa"/>
            <w:vAlign w:val="center"/>
            <w:hideMark/>
          </w:tcPr>
          <w:p w14:paraId="152629D8" w14:textId="77777777" w:rsidR="002F6A0A" w:rsidRPr="008137D7" w:rsidRDefault="002F6A0A" w:rsidP="00942B31">
            <w:pPr>
              <w:jc w:val="center"/>
              <w:rPr>
                <w:rFonts w:eastAsia="Times New Roman"/>
                <w:sz w:val="18"/>
                <w:szCs w:val="18"/>
              </w:rPr>
            </w:pPr>
            <w:r w:rsidRPr="008137D7">
              <w:rPr>
                <w:rFonts w:eastAsia="Times New Roman"/>
                <w:sz w:val="18"/>
                <w:szCs w:val="18"/>
              </w:rPr>
              <w:t>(0.019)</w:t>
            </w:r>
          </w:p>
        </w:tc>
        <w:tc>
          <w:tcPr>
            <w:tcW w:w="1152" w:type="dxa"/>
            <w:vAlign w:val="center"/>
            <w:hideMark/>
          </w:tcPr>
          <w:p w14:paraId="742001BB" w14:textId="77777777" w:rsidR="002F6A0A" w:rsidRPr="008137D7" w:rsidRDefault="002F6A0A" w:rsidP="00942B31">
            <w:pPr>
              <w:jc w:val="center"/>
              <w:rPr>
                <w:rFonts w:eastAsia="Times New Roman"/>
                <w:sz w:val="18"/>
                <w:szCs w:val="18"/>
              </w:rPr>
            </w:pPr>
            <w:r w:rsidRPr="008137D7">
              <w:rPr>
                <w:rFonts w:eastAsia="Times New Roman"/>
                <w:sz w:val="18"/>
                <w:szCs w:val="18"/>
              </w:rPr>
              <w:t>(0.016)</w:t>
            </w:r>
          </w:p>
        </w:tc>
        <w:tc>
          <w:tcPr>
            <w:tcW w:w="1152" w:type="dxa"/>
            <w:vAlign w:val="center"/>
            <w:hideMark/>
          </w:tcPr>
          <w:p w14:paraId="0AEF60F7" w14:textId="77777777" w:rsidR="002F6A0A" w:rsidRPr="008137D7" w:rsidRDefault="002F6A0A" w:rsidP="00942B31">
            <w:pPr>
              <w:jc w:val="center"/>
              <w:rPr>
                <w:rFonts w:eastAsia="Times New Roman"/>
                <w:sz w:val="18"/>
                <w:szCs w:val="18"/>
              </w:rPr>
            </w:pPr>
            <w:r w:rsidRPr="008137D7">
              <w:rPr>
                <w:rFonts w:eastAsia="Times New Roman"/>
                <w:sz w:val="18"/>
                <w:szCs w:val="18"/>
              </w:rPr>
              <w:t>(0.013)</w:t>
            </w:r>
          </w:p>
        </w:tc>
      </w:tr>
      <w:tr w:rsidR="008137D7" w:rsidRPr="008137D7" w14:paraId="30732693" w14:textId="77777777" w:rsidTr="00942B31">
        <w:trPr>
          <w:tblCellSpacing w:w="0" w:type="dxa"/>
        </w:trPr>
        <w:tc>
          <w:tcPr>
            <w:tcW w:w="1845" w:type="dxa"/>
            <w:vAlign w:val="center"/>
            <w:hideMark/>
          </w:tcPr>
          <w:p w14:paraId="690E412F" w14:textId="77777777" w:rsidR="002F6A0A" w:rsidRPr="008137D7" w:rsidRDefault="002F6A0A" w:rsidP="00942B31">
            <w:pPr>
              <w:rPr>
                <w:rFonts w:eastAsia="Times New Roman"/>
                <w:sz w:val="18"/>
                <w:szCs w:val="18"/>
              </w:rPr>
            </w:pPr>
            <w:r w:rsidRPr="008137D7">
              <w:rPr>
                <w:rFonts w:eastAsia="Times New Roman"/>
                <w:sz w:val="18"/>
                <w:szCs w:val="18"/>
              </w:rPr>
              <w:t>Age</w:t>
            </w:r>
          </w:p>
        </w:tc>
        <w:tc>
          <w:tcPr>
            <w:tcW w:w="1152" w:type="dxa"/>
            <w:vAlign w:val="center"/>
            <w:hideMark/>
          </w:tcPr>
          <w:p w14:paraId="62E78DFA" w14:textId="77777777" w:rsidR="002F6A0A" w:rsidRPr="008137D7" w:rsidRDefault="002F6A0A" w:rsidP="00942B31">
            <w:pPr>
              <w:jc w:val="center"/>
              <w:rPr>
                <w:rFonts w:eastAsia="Times New Roman"/>
                <w:sz w:val="18"/>
                <w:szCs w:val="18"/>
              </w:rPr>
            </w:pPr>
            <w:r w:rsidRPr="008137D7">
              <w:rPr>
                <w:rFonts w:eastAsia="Times New Roman"/>
                <w:sz w:val="18"/>
                <w:szCs w:val="18"/>
              </w:rPr>
              <w:t>-0.001</w:t>
            </w:r>
          </w:p>
        </w:tc>
        <w:tc>
          <w:tcPr>
            <w:tcW w:w="1152" w:type="dxa"/>
            <w:vAlign w:val="center"/>
            <w:hideMark/>
          </w:tcPr>
          <w:p w14:paraId="683E8ADB" w14:textId="77777777" w:rsidR="002F6A0A" w:rsidRPr="008137D7" w:rsidRDefault="002F6A0A" w:rsidP="00942B31">
            <w:pPr>
              <w:jc w:val="center"/>
              <w:rPr>
                <w:rFonts w:eastAsia="Times New Roman"/>
                <w:sz w:val="18"/>
                <w:szCs w:val="18"/>
              </w:rPr>
            </w:pPr>
            <w:r w:rsidRPr="008137D7">
              <w:rPr>
                <w:rFonts w:eastAsia="Times New Roman"/>
                <w:sz w:val="18"/>
                <w:szCs w:val="18"/>
              </w:rPr>
              <w:t>0.000</w:t>
            </w:r>
          </w:p>
        </w:tc>
        <w:tc>
          <w:tcPr>
            <w:tcW w:w="1152" w:type="dxa"/>
            <w:vAlign w:val="center"/>
            <w:hideMark/>
          </w:tcPr>
          <w:p w14:paraId="4261E7FF" w14:textId="77777777" w:rsidR="002F6A0A" w:rsidRPr="008137D7" w:rsidRDefault="002F6A0A" w:rsidP="00942B31">
            <w:pPr>
              <w:jc w:val="center"/>
              <w:rPr>
                <w:rFonts w:eastAsia="Times New Roman"/>
                <w:sz w:val="18"/>
                <w:szCs w:val="18"/>
              </w:rPr>
            </w:pPr>
            <w:r w:rsidRPr="008137D7">
              <w:rPr>
                <w:rFonts w:eastAsia="Times New Roman"/>
                <w:sz w:val="18"/>
                <w:szCs w:val="18"/>
              </w:rPr>
              <w:t>0.001</w:t>
            </w:r>
          </w:p>
        </w:tc>
        <w:tc>
          <w:tcPr>
            <w:tcW w:w="1152" w:type="dxa"/>
            <w:vAlign w:val="center"/>
            <w:hideMark/>
          </w:tcPr>
          <w:p w14:paraId="410E05D1" w14:textId="77777777" w:rsidR="002F6A0A" w:rsidRPr="008137D7" w:rsidRDefault="002F6A0A" w:rsidP="00942B31">
            <w:pPr>
              <w:jc w:val="center"/>
              <w:rPr>
                <w:rFonts w:eastAsia="Times New Roman"/>
                <w:sz w:val="18"/>
                <w:szCs w:val="18"/>
              </w:rPr>
            </w:pPr>
            <w:r w:rsidRPr="008137D7">
              <w:rPr>
                <w:rFonts w:eastAsia="Times New Roman"/>
                <w:sz w:val="18"/>
                <w:szCs w:val="18"/>
              </w:rPr>
              <w:t>0.002</w:t>
            </w:r>
          </w:p>
        </w:tc>
      </w:tr>
      <w:tr w:rsidR="008137D7" w:rsidRPr="008137D7" w14:paraId="277CC8DB" w14:textId="77777777" w:rsidTr="00942B31">
        <w:trPr>
          <w:tblCellSpacing w:w="0" w:type="dxa"/>
        </w:trPr>
        <w:tc>
          <w:tcPr>
            <w:tcW w:w="1845" w:type="dxa"/>
            <w:vAlign w:val="center"/>
            <w:hideMark/>
          </w:tcPr>
          <w:p w14:paraId="4C9BB0F7" w14:textId="77777777" w:rsidR="002F6A0A" w:rsidRPr="008137D7" w:rsidRDefault="002F6A0A" w:rsidP="00942B31">
            <w:pPr>
              <w:jc w:val="center"/>
              <w:rPr>
                <w:rFonts w:eastAsia="Times New Roman"/>
                <w:sz w:val="18"/>
                <w:szCs w:val="18"/>
              </w:rPr>
            </w:pPr>
          </w:p>
        </w:tc>
        <w:tc>
          <w:tcPr>
            <w:tcW w:w="1152" w:type="dxa"/>
            <w:vAlign w:val="center"/>
            <w:hideMark/>
          </w:tcPr>
          <w:p w14:paraId="0BE0CC39" w14:textId="77777777" w:rsidR="002F6A0A" w:rsidRPr="008137D7" w:rsidRDefault="002F6A0A" w:rsidP="00942B31">
            <w:pPr>
              <w:jc w:val="center"/>
              <w:rPr>
                <w:rFonts w:eastAsia="Times New Roman"/>
                <w:sz w:val="18"/>
                <w:szCs w:val="18"/>
              </w:rPr>
            </w:pPr>
            <w:r w:rsidRPr="008137D7">
              <w:rPr>
                <w:rFonts w:eastAsia="Times New Roman"/>
                <w:sz w:val="18"/>
                <w:szCs w:val="18"/>
              </w:rPr>
              <w:t>(0.002)</w:t>
            </w:r>
          </w:p>
        </w:tc>
        <w:tc>
          <w:tcPr>
            <w:tcW w:w="1152" w:type="dxa"/>
            <w:vAlign w:val="center"/>
            <w:hideMark/>
          </w:tcPr>
          <w:p w14:paraId="4A076E0A" w14:textId="77777777" w:rsidR="002F6A0A" w:rsidRPr="008137D7" w:rsidRDefault="002F6A0A" w:rsidP="00942B31">
            <w:pPr>
              <w:jc w:val="center"/>
              <w:rPr>
                <w:rFonts w:eastAsia="Times New Roman"/>
                <w:sz w:val="18"/>
                <w:szCs w:val="18"/>
              </w:rPr>
            </w:pPr>
            <w:r w:rsidRPr="008137D7">
              <w:rPr>
                <w:rFonts w:eastAsia="Times New Roman"/>
                <w:sz w:val="18"/>
                <w:szCs w:val="18"/>
              </w:rPr>
              <w:t>(0.002)</w:t>
            </w:r>
          </w:p>
        </w:tc>
        <w:tc>
          <w:tcPr>
            <w:tcW w:w="1152" w:type="dxa"/>
            <w:vAlign w:val="center"/>
            <w:hideMark/>
          </w:tcPr>
          <w:p w14:paraId="1A154C7A" w14:textId="77777777" w:rsidR="002F6A0A" w:rsidRPr="008137D7" w:rsidRDefault="002F6A0A" w:rsidP="00942B31">
            <w:pPr>
              <w:jc w:val="center"/>
              <w:rPr>
                <w:rFonts w:eastAsia="Times New Roman"/>
                <w:sz w:val="18"/>
                <w:szCs w:val="18"/>
              </w:rPr>
            </w:pPr>
            <w:r w:rsidRPr="008137D7">
              <w:rPr>
                <w:rFonts w:eastAsia="Times New Roman"/>
                <w:sz w:val="18"/>
                <w:szCs w:val="18"/>
              </w:rPr>
              <w:t>(0.002)</w:t>
            </w:r>
          </w:p>
        </w:tc>
        <w:tc>
          <w:tcPr>
            <w:tcW w:w="1152" w:type="dxa"/>
            <w:vAlign w:val="center"/>
            <w:hideMark/>
          </w:tcPr>
          <w:p w14:paraId="3E23ABCD" w14:textId="77777777" w:rsidR="002F6A0A" w:rsidRPr="008137D7" w:rsidRDefault="002F6A0A" w:rsidP="00942B31">
            <w:pPr>
              <w:jc w:val="center"/>
              <w:rPr>
                <w:rFonts w:eastAsia="Times New Roman"/>
                <w:sz w:val="18"/>
                <w:szCs w:val="18"/>
              </w:rPr>
            </w:pPr>
            <w:r w:rsidRPr="008137D7">
              <w:rPr>
                <w:rFonts w:eastAsia="Times New Roman"/>
                <w:sz w:val="18"/>
                <w:szCs w:val="18"/>
              </w:rPr>
              <w:t>(0.001)</w:t>
            </w:r>
          </w:p>
        </w:tc>
      </w:tr>
      <w:tr w:rsidR="008137D7" w:rsidRPr="008137D7" w14:paraId="6956FD41" w14:textId="77777777" w:rsidTr="00942B31">
        <w:trPr>
          <w:tblCellSpacing w:w="0" w:type="dxa"/>
        </w:trPr>
        <w:tc>
          <w:tcPr>
            <w:tcW w:w="1845" w:type="dxa"/>
            <w:vAlign w:val="center"/>
            <w:hideMark/>
          </w:tcPr>
          <w:p w14:paraId="793238B8" w14:textId="77777777" w:rsidR="002F6A0A" w:rsidRPr="008137D7" w:rsidRDefault="002F6A0A" w:rsidP="00942B31">
            <w:pPr>
              <w:rPr>
                <w:rFonts w:eastAsia="Times New Roman"/>
                <w:sz w:val="18"/>
                <w:szCs w:val="18"/>
              </w:rPr>
            </w:pPr>
            <w:r w:rsidRPr="008137D7">
              <w:rPr>
                <w:rFonts w:eastAsia="Times New Roman"/>
                <w:sz w:val="18"/>
                <w:szCs w:val="18"/>
              </w:rPr>
              <w:t>Education</w:t>
            </w:r>
          </w:p>
        </w:tc>
        <w:tc>
          <w:tcPr>
            <w:tcW w:w="1152" w:type="dxa"/>
            <w:vAlign w:val="center"/>
            <w:hideMark/>
          </w:tcPr>
          <w:p w14:paraId="16B6EFC5" w14:textId="77777777" w:rsidR="002F6A0A" w:rsidRPr="008137D7" w:rsidRDefault="002F6A0A" w:rsidP="00942B31">
            <w:pPr>
              <w:jc w:val="center"/>
              <w:rPr>
                <w:rFonts w:eastAsia="Times New Roman"/>
                <w:sz w:val="18"/>
                <w:szCs w:val="18"/>
              </w:rPr>
            </w:pPr>
            <w:r w:rsidRPr="008137D7">
              <w:rPr>
                <w:rFonts w:eastAsia="Times New Roman"/>
                <w:sz w:val="18"/>
                <w:szCs w:val="18"/>
              </w:rPr>
              <w:t>-0.265***</w:t>
            </w:r>
          </w:p>
        </w:tc>
        <w:tc>
          <w:tcPr>
            <w:tcW w:w="1152" w:type="dxa"/>
            <w:vAlign w:val="center"/>
            <w:hideMark/>
          </w:tcPr>
          <w:p w14:paraId="0319150A" w14:textId="77777777" w:rsidR="002F6A0A" w:rsidRPr="008137D7" w:rsidRDefault="002F6A0A" w:rsidP="00942B31">
            <w:pPr>
              <w:jc w:val="center"/>
              <w:rPr>
                <w:rFonts w:eastAsia="Times New Roman"/>
                <w:sz w:val="18"/>
                <w:szCs w:val="18"/>
              </w:rPr>
            </w:pPr>
            <w:r w:rsidRPr="008137D7">
              <w:rPr>
                <w:rFonts w:eastAsia="Times New Roman"/>
                <w:sz w:val="18"/>
                <w:szCs w:val="18"/>
              </w:rPr>
              <w:t>-0.238***</w:t>
            </w:r>
          </w:p>
        </w:tc>
        <w:tc>
          <w:tcPr>
            <w:tcW w:w="1152" w:type="dxa"/>
            <w:vAlign w:val="center"/>
            <w:hideMark/>
          </w:tcPr>
          <w:p w14:paraId="7448C425" w14:textId="77777777" w:rsidR="002F6A0A" w:rsidRPr="008137D7" w:rsidRDefault="002F6A0A" w:rsidP="00942B31">
            <w:pPr>
              <w:jc w:val="center"/>
              <w:rPr>
                <w:rFonts w:eastAsia="Times New Roman"/>
                <w:sz w:val="18"/>
                <w:szCs w:val="18"/>
              </w:rPr>
            </w:pPr>
            <w:r w:rsidRPr="008137D7">
              <w:rPr>
                <w:rFonts w:eastAsia="Times New Roman"/>
                <w:sz w:val="18"/>
                <w:szCs w:val="18"/>
              </w:rPr>
              <w:t>-0.192***</w:t>
            </w:r>
          </w:p>
        </w:tc>
        <w:tc>
          <w:tcPr>
            <w:tcW w:w="1152" w:type="dxa"/>
            <w:vAlign w:val="center"/>
            <w:hideMark/>
          </w:tcPr>
          <w:p w14:paraId="2699C365" w14:textId="77777777" w:rsidR="002F6A0A" w:rsidRPr="008137D7" w:rsidRDefault="002F6A0A" w:rsidP="00942B31">
            <w:pPr>
              <w:jc w:val="center"/>
              <w:rPr>
                <w:rFonts w:eastAsia="Times New Roman"/>
                <w:sz w:val="18"/>
                <w:szCs w:val="18"/>
              </w:rPr>
            </w:pPr>
            <w:r w:rsidRPr="008137D7">
              <w:rPr>
                <w:rFonts w:eastAsia="Times New Roman"/>
                <w:sz w:val="18"/>
                <w:szCs w:val="18"/>
              </w:rPr>
              <w:t>-0.155***</w:t>
            </w:r>
          </w:p>
        </w:tc>
      </w:tr>
      <w:tr w:rsidR="008137D7" w:rsidRPr="008137D7" w14:paraId="379D3475" w14:textId="77777777" w:rsidTr="00942B31">
        <w:trPr>
          <w:tblCellSpacing w:w="0" w:type="dxa"/>
        </w:trPr>
        <w:tc>
          <w:tcPr>
            <w:tcW w:w="1845" w:type="dxa"/>
            <w:vAlign w:val="center"/>
            <w:hideMark/>
          </w:tcPr>
          <w:p w14:paraId="493E888B" w14:textId="77777777" w:rsidR="002F6A0A" w:rsidRPr="008137D7" w:rsidRDefault="002F6A0A" w:rsidP="00942B31">
            <w:pPr>
              <w:jc w:val="center"/>
              <w:rPr>
                <w:rFonts w:eastAsia="Times New Roman"/>
                <w:sz w:val="18"/>
                <w:szCs w:val="18"/>
              </w:rPr>
            </w:pPr>
          </w:p>
        </w:tc>
        <w:tc>
          <w:tcPr>
            <w:tcW w:w="1152" w:type="dxa"/>
            <w:vAlign w:val="center"/>
            <w:hideMark/>
          </w:tcPr>
          <w:p w14:paraId="7F0925D7" w14:textId="77777777" w:rsidR="002F6A0A" w:rsidRPr="008137D7" w:rsidRDefault="002F6A0A" w:rsidP="00942B31">
            <w:pPr>
              <w:jc w:val="center"/>
              <w:rPr>
                <w:rFonts w:eastAsia="Times New Roman"/>
                <w:sz w:val="18"/>
                <w:szCs w:val="18"/>
              </w:rPr>
            </w:pPr>
            <w:r w:rsidRPr="008137D7">
              <w:rPr>
                <w:rFonts w:eastAsia="Times New Roman"/>
                <w:sz w:val="18"/>
                <w:szCs w:val="18"/>
              </w:rPr>
              <w:t>(0.079)</w:t>
            </w:r>
          </w:p>
        </w:tc>
        <w:tc>
          <w:tcPr>
            <w:tcW w:w="1152" w:type="dxa"/>
            <w:vAlign w:val="center"/>
            <w:hideMark/>
          </w:tcPr>
          <w:p w14:paraId="1CFDB825" w14:textId="77777777" w:rsidR="002F6A0A" w:rsidRPr="008137D7" w:rsidRDefault="002F6A0A" w:rsidP="00942B31">
            <w:pPr>
              <w:jc w:val="center"/>
              <w:rPr>
                <w:rFonts w:eastAsia="Times New Roman"/>
                <w:sz w:val="18"/>
                <w:szCs w:val="18"/>
              </w:rPr>
            </w:pPr>
            <w:r w:rsidRPr="008137D7">
              <w:rPr>
                <w:rFonts w:eastAsia="Times New Roman"/>
                <w:sz w:val="18"/>
                <w:szCs w:val="18"/>
              </w:rPr>
              <w:t>(0.074)</w:t>
            </w:r>
          </w:p>
        </w:tc>
        <w:tc>
          <w:tcPr>
            <w:tcW w:w="1152" w:type="dxa"/>
            <w:vAlign w:val="center"/>
            <w:hideMark/>
          </w:tcPr>
          <w:p w14:paraId="4C8E33D7" w14:textId="77777777" w:rsidR="002F6A0A" w:rsidRPr="008137D7" w:rsidRDefault="002F6A0A" w:rsidP="00942B31">
            <w:pPr>
              <w:jc w:val="center"/>
              <w:rPr>
                <w:rFonts w:eastAsia="Times New Roman"/>
                <w:sz w:val="18"/>
                <w:szCs w:val="18"/>
              </w:rPr>
            </w:pPr>
            <w:r w:rsidRPr="008137D7">
              <w:rPr>
                <w:rFonts w:eastAsia="Times New Roman"/>
                <w:sz w:val="18"/>
                <w:szCs w:val="18"/>
              </w:rPr>
              <w:t>(0.059)</w:t>
            </w:r>
          </w:p>
        </w:tc>
        <w:tc>
          <w:tcPr>
            <w:tcW w:w="1152" w:type="dxa"/>
            <w:vAlign w:val="center"/>
            <w:hideMark/>
          </w:tcPr>
          <w:p w14:paraId="06679521" w14:textId="77777777" w:rsidR="002F6A0A" w:rsidRPr="008137D7" w:rsidRDefault="002F6A0A" w:rsidP="00942B31">
            <w:pPr>
              <w:jc w:val="center"/>
              <w:rPr>
                <w:rFonts w:eastAsia="Times New Roman"/>
                <w:sz w:val="18"/>
                <w:szCs w:val="18"/>
              </w:rPr>
            </w:pPr>
            <w:r w:rsidRPr="008137D7">
              <w:rPr>
                <w:rFonts w:eastAsia="Times New Roman"/>
                <w:sz w:val="18"/>
                <w:szCs w:val="18"/>
              </w:rPr>
              <w:t>(0.053)</w:t>
            </w:r>
          </w:p>
        </w:tc>
      </w:tr>
      <w:tr w:rsidR="008137D7" w:rsidRPr="008137D7" w14:paraId="59EC46CC" w14:textId="77777777" w:rsidTr="00942B31">
        <w:trPr>
          <w:tblCellSpacing w:w="0" w:type="dxa"/>
        </w:trPr>
        <w:tc>
          <w:tcPr>
            <w:tcW w:w="1845" w:type="dxa"/>
            <w:vAlign w:val="center"/>
            <w:hideMark/>
          </w:tcPr>
          <w:p w14:paraId="24F24DFD" w14:textId="77777777" w:rsidR="002F6A0A" w:rsidRPr="008137D7" w:rsidRDefault="002F6A0A" w:rsidP="00942B31">
            <w:pPr>
              <w:rPr>
                <w:rFonts w:eastAsia="Times New Roman"/>
                <w:sz w:val="18"/>
                <w:szCs w:val="18"/>
              </w:rPr>
            </w:pPr>
            <w:r w:rsidRPr="008137D7">
              <w:rPr>
                <w:rFonts w:eastAsia="Times New Roman"/>
                <w:sz w:val="18"/>
                <w:szCs w:val="18"/>
              </w:rPr>
              <w:t>Std Living</w:t>
            </w:r>
          </w:p>
        </w:tc>
        <w:tc>
          <w:tcPr>
            <w:tcW w:w="1152" w:type="dxa"/>
            <w:vAlign w:val="center"/>
            <w:hideMark/>
          </w:tcPr>
          <w:p w14:paraId="7EA6A272" w14:textId="77777777" w:rsidR="002F6A0A" w:rsidRPr="008137D7" w:rsidRDefault="002F6A0A" w:rsidP="00942B31">
            <w:pPr>
              <w:jc w:val="center"/>
              <w:rPr>
                <w:rFonts w:eastAsia="Times New Roman"/>
                <w:sz w:val="18"/>
                <w:szCs w:val="18"/>
              </w:rPr>
            </w:pPr>
            <w:r w:rsidRPr="008137D7">
              <w:rPr>
                <w:rFonts w:eastAsia="Times New Roman"/>
                <w:sz w:val="18"/>
                <w:szCs w:val="18"/>
              </w:rPr>
              <w:t>-0.136</w:t>
            </w:r>
          </w:p>
        </w:tc>
        <w:tc>
          <w:tcPr>
            <w:tcW w:w="1152" w:type="dxa"/>
            <w:vAlign w:val="center"/>
            <w:hideMark/>
          </w:tcPr>
          <w:p w14:paraId="59B2F0D0" w14:textId="77777777" w:rsidR="002F6A0A" w:rsidRPr="008137D7" w:rsidRDefault="002F6A0A" w:rsidP="00942B31">
            <w:pPr>
              <w:jc w:val="center"/>
              <w:rPr>
                <w:rFonts w:eastAsia="Times New Roman"/>
                <w:sz w:val="18"/>
                <w:szCs w:val="18"/>
              </w:rPr>
            </w:pPr>
            <w:r w:rsidRPr="008137D7">
              <w:rPr>
                <w:rFonts w:eastAsia="Times New Roman"/>
                <w:sz w:val="18"/>
                <w:szCs w:val="18"/>
              </w:rPr>
              <w:t>-0.137</w:t>
            </w:r>
          </w:p>
        </w:tc>
        <w:tc>
          <w:tcPr>
            <w:tcW w:w="1152" w:type="dxa"/>
            <w:vAlign w:val="center"/>
            <w:hideMark/>
          </w:tcPr>
          <w:p w14:paraId="40CD5014" w14:textId="77777777" w:rsidR="002F6A0A" w:rsidRPr="008137D7" w:rsidRDefault="002F6A0A" w:rsidP="00942B31">
            <w:pPr>
              <w:jc w:val="center"/>
              <w:rPr>
                <w:rFonts w:eastAsia="Times New Roman"/>
                <w:sz w:val="18"/>
                <w:szCs w:val="18"/>
              </w:rPr>
            </w:pPr>
            <w:r w:rsidRPr="008137D7">
              <w:rPr>
                <w:rFonts w:eastAsia="Times New Roman"/>
                <w:sz w:val="18"/>
                <w:szCs w:val="18"/>
              </w:rPr>
              <w:t>-0.011</w:t>
            </w:r>
          </w:p>
        </w:tc>
        <w:tc>
          <w:tcPr>
            <w:tcW w:w="1152" w:type="dxa"/>
            <w:vAlign w:val="center"/>
            <w:hideMark/>
          </w:tcPr>
          <w:p w14:paraId="1F85D40D" w14:textId="77777777" w:rsidR="002F6A0A" w:rsidRPr="008137D7" w:rsidRDefault="002F6A0A" w:rsidP="00942B31">
            <w:pPr>
              <w:jc w:val="center"/>
              <w:rPr>
                <w:rFonts w:eastAsia="Times New Roman"/>
                <w:sz w:val="18"/>
                <w:szCs w:val="18"/>
              </w:rPr>
            </w:pPr>
            <w:r w:rsidRPr="008137D7">
              <w:rPr>
                <w:rFonts w:eastAsia="Times New Roman"/>
                <w:sz w:val="18"/>
                <w:szCs w:val="18"/>
              </w:rPr>
              <w:t>-0.001</w:t>
            </w:r>
          </w:p>
        </w:tc>
      </w:tr>
      <w:tr w:rsidR="008137D7" w:rsidRPr="008137D7" w14:paraId="140EBD46" w14:textId="77777777" w:rsidTr="00942B31">
        <w:trPr>
          <w:tblCellSpacing w:w="0" w:type="dxa"/>
        </w:trPr>
        <w:tc>
          <w:tcPr>
            <w:tcW w:w="1845" w:type="dxa"/>
            <w:vAlign w:val="center"/>
            <w:hideMark/>
          </w:tcPr>
          <w:p w14:paraId="5864D826" w14:textId="77777777" w:rsidR="002F6A0A" w:rsidRPr="008137D7" w:rsidRDefault="002F6A0A" w:rsidP="00942B31">
            <w:pPr>
              <w:jc w:val="center"/>
              <w:rPr>
                <w:rFonts w:eastAsia="Times New Roman"/>
                <w:sz w:val="18"/>
                <w:szCs w:val="18"/>
              </w:rPr>
            </w:pPr>
          </w:p>
        </w:tc>
        <w:tc>
          <w:tcPr>
            <w:tcW w:w="1152" w:type="dxa"/>
            <w:vAlign w:val="center"/>
            <w:hideMark/>
          </w:tcPr>
          <w:p w14:paraId="2FC5140E" w14:textId="77777777" w:rsidR="002F6A0A" w:rsidRPr="008137D7" w:rsidRDefault="002F6A0A" w:rsidP="00942B31">
            <w:pPr>
              <w:jc w:val="center"/>
              <w:rPr>
                <w:rFonts w:eastAsia="Times New Roman"/>
                <w:sz w:val="18"/>
                <w:szCs w:val="18"/>
              </w:rPr>
            </w:pPr>
            <w:r w:rsidRPr="008137D7">
              <w:rPr>
                <w:rFonts w:eastAsia="Times New Roman"/>
                <w:sz w:val="18"/>
                <w:szCs w:val="18"/>
              </w:rPr>
              <w:t>(0.101)</w:t>
            </w:r>
          </w:p>
        </w:tc>
        <w:tc>
          <w:tcPr>
            <w:tcW w:w="1152" w:type="dxa"/>
            <w:vAlign w:val="center"/>
            <w:hideMark/>
          </w:tcPr>
          <w:p w14:paraId="369F264B" w14:textId="77777777" w:rsidR="002F6A0A" w:rsidRPr="008137D7" w:rsidRDefault="002F6A0A" w:rsidP="00942B31">
            <w:pPr>
              <w:jc w:val="center"/>
              <w:rPr>
                <w:rFonts w:eastAsia="Times New Roman"/>
                <w:sz w:val="18"/>
                <w:szCs w:val="18"/>
              </w:rPr>
            </w:pPr>
            <w:r w:rsidRPr="008137D7">
              <w:rPr>
                <w:rFonts w:eastAsia="Times New Roman"/>
                <w:sz w:val="18"/>
                <w:szCs w:val="18"/>
              </w:rPr>
              <w:t>(0.089)</w:t>
            </w:r>
          </w:p>
        </w:tc>
        <w:tc>
          <w:tcPr>
            <w:tcW w:w="1152" w:type="dxa"/>
            <w:vAlign w:val="center"/>
            <w:hideMark/>
          </w:tcPr>
          <w:p w14:paraId="128CD07C" w14:textId="77777777" w:rsidR="002F6A0A" w:rsidRPr="008137D7" w:rsidRDefault="002F6A0A" w:rsidP="00942B31">
            <w:pPr>
              <w:jc w:val="center"/>
              <w:rPr>
                <w:rFonts w:eastAsia="Times New Roman"/>
                <w:sz w:val="18"/>
                <w:szCs w:val="18"/>
              </w:rPr>
            </w:pPr>
            <w:r w:rsidRPr="008137D7">
              <w:rPr>
                <w:rFonts w:eastAsia="Times New Roman"/>
                <w:sz w:val="18"/>
                <w:szCs w:val="18"/>
              </w:rPr>
              <w:t>(0.078)</w:t>
            </w:r>
          </w:p>
        </w:tc>
        <w:tc>
          <w:tcPr>
            <w:tcW w:w="1152" w:type="dxa"/>
            <w:vAlign w:val="center"/>
            <w:hideMark/>
          </w:tcPr>
          <w:p w14:paraId="3F26D23B" w14:textId="77777777" w:rsidR="002F6A0A" w:rsidRPr="008137D7" w:rsidRDefault="002F6A0A" w:rsidP="00942B31">
            <w:pPr>
              <w:jc w:val="center"/>
              <w:rPr>
                <w:rFonts w:eastAsia="Times New Roman"/>
                <w:sz w:val="18"/>
                <w:szCs w:val="18"/>
              </w:rPr>
            </w:pPr>
            <w:r w:rsidRPr="008137D7">
              <w:rPr>
                <w:rFonts w:eastAsia="Times New Roman"/>
                <w:sz w:val="18"/>
                <w:szCs w:val="18"/>
              </w:rPr>
              <w:t>(0.070)</w:t>
            </w:r>
          </w:p>
        </w:tc>
      </w:tr>
      <w:tr w:rsidR="008137D7" w:rsidRPr="008137D7" w14:paraId="58C8862B" w14:textId="77777777" w:rsidTr="00942B31">
        <w:trPr>
          <w:tblCellSpacing w:w="0" w:type="dxa"/>
        </w:trPr>
        <w:tc>
          <w:tcPr>
            <w:tcW w:w="1845" w:type="dxa"/>
            <w:vAlign w:val="center"/>
            <w:hideMark/>
          </w:tcPr>
          <w:p w14:paraId="147FD530" w14:textId="77777777" w:rsidR="002F6A0A" w:rsidRPr="008137D7" w:rsidRDefault="002F6A0A" w:rsidP="00942B31">
            <w:pPr>
              <w:rPr>
                <w:rFonts w:eastAsia="Times New Roman"/>
                <w:sz w:val="18"/>
                <w:szCs w:val="18"/>
              </w:rPr>
            </w:pPr>
            <w:r w:rsidRPr="008137D7">
              <w:rPr>
                <w:rFonts w:eastAsia="Times New Roman"/>
                <w:sz w:val="18"/>
                <w:szCs w:val="18"/>
              </w:rPr>
              <w:t>Mean Spending</w:t>
            </w:r>
          </w:p>
        </w:tc>
        <w:tc>
          <w:tcPr>
            <w:tcW w:w="1152" w:type="dxa"/>
            <w:vAlign w:val="center"/>
            <w:hideMark/>
          </w:tcPr>
          <w:p w14:paraId="0722531B" w14:textId="77777777" w:rsidR="002F6A0A" w:rsidRPr="008137D7" w:rsidRDefault="002F6A0A" w:rsidP="00942B31">
            <w:pPr>
              <w:rPr>
                <w:rFonts w:eastAsia="Times New Roman"/>
                <w:sz w:val="18"/>
                <w:szCs w:val="18"/>
              </w:rPr>
            </w:pPr>
          </w:p>
        </w:tc>
        <w:tc>
          <w:tcPr>
            <w:tcW w:w="1152" w:type="dxa"/>
            <w:vAlign w:val="center"/>
            <w:hideMark/>
          </w:tcPr>
          <w:p w14:paraId="4ADADCEB" w14:textId="77777777" w:rsidR="002F6A0A" w:rsidRPr="008137D7" w:rsidRDefault="002F6A0A" w:rsidP="00942B31">
            <w:pPr>
              <w:jc w:val="center"/>
              <w:rPr>
                <w:rFonts w:eastAsia="Times New Roman"/>
                <w:sz w:val="18"/>
                <w:szCs w:val="18"/>
              </w:rPr>
            </w:pPr>
            <w:r w:rsidRPr="008137D7">
              <w:rPr>
                <w:rFonts w:eastAsia="Times New Roman"/>
                <w:sz w:val="18"/>
                <w:szCs w:val="18"/>
              </w:rPr>
              <w:t>0.641***</w:t>
            </w:r>
          </w:p>
        </w:tc>
        <w:tc>
          <w:tcPr>
            <w:tcW w:w="1152" w:type="dxa"/>
            <w:vAlign w:val="center"/>
            <w:hideMark/>
          </w:tcPr>
          <w:p w14:paraId="495A005B" w14:textId="77777777" w:rsidR="002F6A0A" w:rsidRPr="008137D7" w:rsidRDefault="002F6A0A" w:rsidP="00942B31">
            <w:pPr>
              <w:jc w:val="center"/>
              <w:rPr>
                <w:rFonts w:eastAsia="Times New Roman"/>
                <w:sz w:val="18"/>
                <w:szCs w:val="18"/>
              </w:rPr>
            </w:pPr>
            <w:r w:rsidRPr="008137D7">
              <w:rPr>
                <w:rFonts w:eastAsia="Times New Roman"/>
                <w:sz w:val="18"/>
                <w:szCs w:val="18"/>
              </w:rPr>
              <w:t>0.658***</w:t>
            </w:r>
          </w:p>
        </w:tc>
        <w:tc>
          <w:tcPr>
            <w:tcW w:w="1152" w:type="dxa"/>
            <w:vAlign w:val="center"/>
            <w:hideMark/>
          </w:tcPr>
          <w:p w14:paraId="1CCC8CDC" w14:textId="77777777" w:rsidR="002F6A0A" w:rsidRPr="008137D7" w:rsidRDefault="002F6A0A" w:rsidP="00942B31">
            <w:pPr>
              <w:jc w:val="center"/>
              <w:rPr>
                <w:rFonts w:eastAsia="Times New Roman"/>
                <w:sz w:val="18"/>
                <w:szCs w:val="18"/>
              </w:rPr>
            </w:pPr>
            <w:r w:rsidRPr="008137D7">
              <w:rPr>
                <w:rFonts w:eastAsia="Times New Roman"/>
                <w:sz w:val="18"/>
                <w:szCs w:val="18"/>
              </w:rPr>
              <w:t>0.459*</w:t>
            </w:r>
          </w:p>
        </w:tc>
      </w:tr>
      <w:tr w:rsidR="008137D7" w:rsidRPr="008137D7" w14:paraId="348C828E" w14:textId="77777777" w:rsidTr="00942B31">
        <w:trPr>
          <w:tblCellSpacing w:w="0" w:type="dxa"/>
        </w:trPr>
        <w:tc>
          <w:tcPr>
            <w:tcW w:w="1845" w:type="dxa"/>
            <w:vAlign w:val="center"/>
            <w:hideMark/>
          </w:tcPr>
          <w:p w14:paraId="1FD0176F" w14:textId="77777777" w:rsidR="002F6A0A" w:rsidRPr="008137D7" w:rsidRDefault="002F6A0A" w:rsidP="00942B31">
            <w:pPr>
              <w:jc w:val="center"/>
              <w:rPr>
                <w:rFonts w:eastAsia="Times New Roman"/>
                <w:sz w:val="18"/>
                <w:szCs w:val="18"/>
              </w:rPr>
            </w:pPr>
          </w:p>
        </w:tc>
        <w:tc>
          <w:tcPr>
            <w:tcW w:w="1152" w:type="dxa"/>
            <w:vAlign w:val="center"/>
            <w:hideMark/>
          </w:tcPr>
          <w:p w14:paraId="0D1FC1D0" w14:textId="77777777" w:rsidR="002F6A0A" w:rsidRPr="008137D7" w:rsidRDefault="002F6A0A" w:rsidP="00942B31">
            <w:pPr>
              <w:rPr>
                <w:rFonts w:eastAsia="Times New Roman"/>
                <w:sz w:val="18"/>
                <w:szCs w:val="18"/>
              </w:rPr>
            </w:pPr>
          </w:p>
        </w:tc>
        <w:tc>
          <w:tcPr>
            <w:tcW w:w="1152" w:type="dxa"/>
            <w:vAlign w:val="center"/>
            <w:hideMark/>
          </w:tcPr>
          <w:p w14:paraId="165AFCCA" w14:textId="77777777" w:rsidR="002F6A0A" w:rsidRPr="008137D7" w:rsidRDefault="002F6A0A" w:rsidP="00942B31">
            <w:pPr>
              <w:jc w:val="center"/>
              <w:rPr>
                <w:rFonts w:eastAsia="Times New Roman"/>
                <w:sz w:val="18"/>
                <w:szCs w:val="18"/>
              </w:rPr>
            </w:pPr>
            <w:r w:rsidRPr="008137D7">
              <w:rPr>
                <w:rFonts w:eastAsia="Times New Roman"/>
                <w:sz w:val="18"/>
                <w:szCs w:val="18"/>
              </w:rPr>
              <w:t>(0.227)</w:t>
            </w:r>
          </w:p>
        </w:tc>
        <w:tc>
          <w:tcPr>
            <w:tcW w:w="1152" w:type="dxa"/>
            <w:vAlign w:val="center"/>
            <w:hideMark/>
          </w:tcPr>
          <w:p w14:paraId="3BA09C03" w14:textId="77777777" w:rsidR="002F6A0A" w:rsidRPr="008137D7" w:rsidRDefault="002F6A0A" w:rsidP="00942B31">
            <w:pPr>
              <w:jc w:val="center"/>
              <w:rPr>
                <w:rFonts w:eastAsia="Times New Roman"/>
                <w:sz w:val="18"/>
                <w:szCs w:val="18"/>
              </w:rPr>
            </w:pPr>
            <w:r w:rsidRPr="008137D7">
              <w:rPr>
                <w:rFonts w:eastAsia="Times New Roman"/>
                <w:sz w:val="18"/>
                <w:szCs w:val="18"/>
              </w:rPr>
              <w:t>(0.193)</w:t>
            </w:r>
          </w:p>
        </w:tc>
        <w:tc>
          <w:tcPr>
            <w:tcW w:w="1152" w:type="dxa"/>
            <w:vAlign w:val="center"/>
            <w:hideMark/>
          </w:tcPr>
          <w:p w14:paraId="1B8DF5A2" w14:textId="77777777" w:rsidR="002F6A0A" w:rsidRPr="008137D7" w:rsidRDefault="002F6A0A" w:rsidP="00942B31">
            <w:pPr>
              <w:jc w:val="center"/>
              <w:rPr>
                <w:rFonts w:eastAsia="Times New Roman"/>
                <w:sz w:val="18"/>
                <w:szCs w:val="18"/>
              </w:rPr>
            </w:pPr>
            <w:r w:rsidRPr="008137D7">
              <w:rPr>
                <w:rFonts w:eastAsia="Times New Roman"/>
                <w:sz w:val="18"/>
                <w:szCs w:val="18"/>
              </w:rPr>
              <w:t>(0.214)</w:t>
            </w:r>
          </w:p>
        </w:tc>
      </w:tr>
      <w:tr w:rsidR="008137D7" w:rsidRPr="008137D7" w14:paraId="2DC9AC60" w14:textId="77777777" w:rsidTr="00942B31">
        <w:trPr>
          <w:tblCellSpacing w:w="0" w:type="dxa"/>
        </w:trPr>
        <w:tc>
          <w:tcPr>
            <w:tcW w:w="1845" w:type="dxa"/>
            <w:vAlign w:val="center"/>
            <w:hideMark/>
          </w:tcPr>
          <w:p w14:paraId="0D793F55" w14:textId="77777777" w:rsidR="002F6A0A" w:rsidRPr="008137D7" w:rsidRDefault="002F6A0A" w:rsidP="00942B31">
            <w:pPr>
              <w:rPr>
                <w:rFonts w:eastAsia="Times New Roman"/>
                <w:sz w:val="18"/>
                <w:szCs w:val="18"/>
              </w:rPr>
            </w:pPr>
            <w:r w:rsidRPr="008137D7">
              <w:rPr>
                <w:rFonts w:eastAsia="Times New Roman"/>
                <w:sz w:val="18"/>
                <w:szCs w:val="18"/>
              </w:rPr>
              <w:t>Gov Reduce</w:t>
            </w:r>
          </w:p>
        </w:tc>
        <w:tc>
          <w:tcPr>
            <w:tcW w:w="1152" w:type="dxa"/>
            <w:vAlign w:val="center"/>
            <w:hideMark/>
          </w:tcPr>
          <w:p w14:paraId="7F7F46C3" w14:textId="77777777" w:rsidR="002F6A0A" w:rsidRPr="008137D7" w:rsidRDefault="002F6A0A" w:rsidP="00942B31">
            <w:pPr>
              <w:rPr>
                <w:rFonts w:eastAsia="Times New Roman"/>
                <w:sz w:val="18"/>
                <w:szCs w:val="18"/>
              </w:rPr>
            </w:pPr>
          </w:p>
        </w:tc>
        <w:tc>
          <w:tcPr>
            <w:tcW w:w="1152" w:type="dxa"/>
            <w:vAlign w:val="center"/>
            <w:hideMark/>
          </w:tcPr>
          <w:p w14:paraId="50CAB175" w14:textId="77777777" w:rsidR="002F6A0A" w:rsidRPr="008137D7" w:rsidRDefault="002F6A0A" w:rsidP="00942B31">
            <w:pPr>
              <w:jc w:val="center"/>
              <w:rPr>
                <w:rFonts w:eastAsia="Times New Roman"/>
                <w:sz w:val="18"/>
                <w:szCs w:val="18"/>
              </w:rPr>
            </w:pPr>
          </w:p>
        </w:tc>
        <w:tc>
          <w:tcPr>
            <w:tcW w:w="1152" w:type="dxa"/>
            <w:vAlign w:val="center"/>
            <w:hideMark/>
          </w:tcPr>
          <w:p w14:paraId="0B06B0D8" w14:textId="77777777" w:rsidR="002F6A0A" w:rsidRPr="008137D7" w:rsidRDefault="002F6A0A" w:rsidP="00942B31">
            <w:pPr>
              <w:jc w:val="center"/>
              <w:rPr>
                <w:rFonts w:eastAsia="Times New Roman"/>
                <w:sz w:val="18"/>
                <w:szCs w:val="18"/>
              </w:rPr>
            </w:pPr>
            <w:r w:rsidRPr="008137D7">
              <w:rPr>
                <w:rFonts w:eastAsia="Times New Roman"/>
                <w:sz w:val="18"/>
                <w:szCs w:val="18"/>
              </w:rPr>
              <w:t>0.816***</w:t>
            </w:r>
          </w:p>
        </w:tc>
        <w:tc>
          <w:tcPr>
            <w:tcW w:w="1152" w:type="dxa"/>
            <w:vAlign w:val="center"/>
            <w:hideMark/>
          </w:tcPr>
          <w:p w14:paraId="1ABB120F" w14:textId="77777777" w:rsidR="002F6A0A" w:rsidRPr="008137D7" w:rsidRDefault="002F6A0A" w:rsidP="00942B31">
            <w:pPr>
              <w:jc w:val="center"/>
              <w:rPr>
                <w:rFonts w:eastAsia="Times New Roman"/>
                <w:sz w:val="18"/>
                <w:szCs w:val="18"/>
              </w:rPr>
            </w:pPr>
            <w:r w:rsidRPr="008137D7">
              <w:rPr>
                <w:rFonts w:eastAsia="Times New Roman"/>
                <w:sz w:val="18"/>
                <w:szCs w:val="18"/>
              </w:rPr>
              <w:t>0.785***</w:t>
            </w:r>
          </w:p>
        </w:tc>
      </w:tr>
      <w:tr w:rsidR="008137D7" w:rsidRPr="008137D7" w14:paraId="4F1791EC" w14:textId="77777777" w:rsidTr="00942B31">
        <w:trPr>
          <w:tblCellSpacing w:w="0" w:type="dxa"/>
        </w:trPr>
        <w:tc>
          <w:tcPr>
            <w:tcW w:w="1845" w:type="dxa"/>
            <w:vAlign w:val="center"/>
            <w:hideMark/>
          </w:tcPr>
          <w:p w14:paraId="2CE6B0EC" w14:textId="77777777" w:rsidR="002F6A0A" w:rsidRPr="008137D7" w:rsidRDefault="002F6A0A" w:rsidP="00942B31">
            <w:pPr>
              <w:jc w:val="center"/>
              <w:rPr>
                <w:rFonts w:eastAsia="Times New Roman"/>
                <w:sz w:val="18"/>
                <w:szCs w:val="18"/>
              </w:rPr>
            </w:pPr>
          </w:p>
        </w:tc>
        <w:tc>
          <w:tcPr>
            <w:tcW w:w="1152" w:type="dxa"/>
            <w:vAlign w:val="center"/>
            <w:hideMark/>
          </w:tcPr>
          <w:p w14:paraId="291E239B" w14:textId="77777777" w:rsidR="002F6A0A" w:rsidRPr="008137D7" w:rsidRDefault="002F6A0A" w:rsidP="00942B31">
            <w:pPr>
              <w:rPr>
                <w:rFonts w:eastAsia="Times New Roman"/>
                <w:sz w:val="18"/>
                <w:szCs w:val="18"/>
              </w:rPr>
            </w:pPr>
          </w:p>
        </w:tc>
        <w:tc>
          <w:tcPr>
            <w:tcW w:w="1152" w:type="dxa"/>
            <w:vAlign w:val="center"/>
            <w:hideMark/>
          </w:tcPr>
          <w:p w14:paraId="0448AAEF" w14:textId="77777777" w:rsidR="002F6A0A" w:rsidRPr="008137D7" w:rsidRDefault="002F6A0A" w:rsidP="00942B31">
            <w:pPr>
              <w:jc w:val="center"/>
              <w:rPr>
                <w:rFonts w:eastAsia="Times New Roman"/>
                <w:sz w:val="18"/>
                <w:szCs w:val="18"/>
              </w:rPr>
            </w:pPr>
          </w:p>
        </w:tc>
        <w:tc>
          <w:tcPr>
            <w:tcW w:w="1152" w:type="dxa"/>
            <w:vAlign w:val="center"/>
            <w:hideMark/>
          </w:tcPr>
          <w:p w14:paraId="72D23A15" w14:textId="77777777" w:rsidR="002F6A0A" w:rsidRPr="008137D7" w:rsidRDefault="002F6A0A" w:rsidP="00942B31">
            <w:pPr>
              <w:jc w:val="center"/>
              <w:rPr>
                <w:rFonts w:eastAsia="Times New Roman"/>
                <w:sz w:val="18"/>
                <w:szCs w:val="18"/>
              </w:rPr>
            </w:pPr>
            <w:r w:rsidRPr="008137D7">
              <w:rPr>
                <w:rFonts w:eastAsia="Times New Roman"/>
                <w:sz w:val="18"/>
                <w:szCs w:val="18"/>
              </w:rPr>
              <w:t>(0.124)</w:t>
            </w:r>
          </w:p>
        </w:tc>
        <w:tc>
          <w:tcPr>
            <w:tcW w:w="1152" w:type="dxa"/>
            <w:vAlign w:val="center"/>
            <w:hideMark/>
          </w:tcPr>
          <w:p w14:paraId="060B3EBA" w14:textId="77777777" w:rsidR="002F6A0A" w:rsidRPr="008137D7" w:rsidRDefault="002F6A0A" w:rsidP="00942B31">
            <w:pPr>
              <w:jc w:val="center"/>
              <w:rPr>
                <w:rFonts w:eastAsia="Times New Roman"/>
                <w:sz w:val="18"/>
                <w:szCs w:val="18"/>
              </w:rPr>
            </w:pPr>
            <w:r w:rsidRPr="008137D7">
              <w:rPr>
                <w:rFonts w:eastAsia="Times New Roman"/>
                <w:sz w:val="18"/>
                <w:szCs w:val="18"/>
              </w:rPr>
              <w:t>(0.101)</w:t>
            </w:r>
          </w:p>
        </w:tc>
      </w:tr>
      <w:tr w:rsidR="008137D7" w:rsidRPr="008137D7" w14:paraId="6F29F186" w14:textId="77777777" w:rsidTr="00942B31">
        <w:trPr>
          <w:tblCellSpacing w:w="0" w:type="dxa"/>
        </w:trPr>
        <w:tc>
          <w:tcPr>
            <w:tcW w:w="1845" w:type="dxa"/>
            <w:vAlign w:val="center"/>
            <w:hideMark/>
          </w:tcPr>
          <w:p w14:paraId="5645F774" w14:textId="77777777" w:rsidR="002F6A0A" w:rsidRPr="008137D7" w:rsidRDefault="002F6A0A" w:rsidP="00942B31">
            <w:pPr>
              <w:rPr>
                <w:rFonts w:eastAsia="Times New Roman"/>
                <w:sz w:val="18"/>
                <w:szCs w:val="18"/>
              </w:rPr>
            </w:pPr>
            <w:r w:rsidRPr="008137D7">
              <w:rPr>
                <w:rFonts w:eastAsia="Times New Roman"/>
                <w:sz w:val="18"/>
                <w:szCs w:val="18"/>
              </w:rPr>
              <w:t>Ideology</w:t>
            </w:r>
          </w:p>
        </w:tc>
        <w:tc>
          <w:tcPr>
            <w:tcW w:w="1152" w:type="dxa"/>
            <w:vAlign w:val="center"/>
            <w:hideMark/>
          </w:tcPr>
          <w:p w14:paraId="55330C7C" w14:textId="77777777" w:rsidR="002F6A0A" w:rsidRPr="008137D7" w:rsidRDefault="002F6A0A" w:rsidP="00942B31">
            <w:pPr>
              <w:rPr>
                <w:rFonts w:eastAsia="Times New Roman"/>
                <w:sz w:val="18"/>
                <w:szCs w:val="18"/>
              </w:rPr>
            </w:pPr>
          </w:p>
        </w:tc>
        <w:tc>
          <w:tcPr>
            <w:tcW w:w="1152" w:type="dxa"/>
            <w:vAlign w:val="center"/>
            <w:hideMark/>
          </w:tcPr>
          <w:p w14:paraId="2272C7BE" w14:textId="77777777" w:rsidR="002F6A0A" w:rsidRPr="008137D7" w:rsidRDefault="002F6A0A" w:rsidP="00942B31">
            <w:pPr>
              <w:jc w:val="center"/>
              <w:rPr>
                <w:rFonts w:eastAsia="Times New Roman"/>
                <w:sz w:val="18"/>
                <w:szCs w:val="18"/>
              </w:rPr>
            </w:pPr>
          </w:p>
        </w:tc>
        <w:tc>
          <w:tcPr>
            <w:tcW w:w="1152" w:type="dxa"/>
            <w:vAlign w:val="center"/>
            <w:hideMark/>
          </w:tcPr>
          <w:p w14:paraId="28657D92" w14:textId="77777777" w:rsidR="002F6A0A" w:rsidRPr="008137D7" w:rsidRDefault="002F6A0A" w:rsidP="00942B31">
            <w:pPr>
              <w:jc w:val="center"/>
              <w:rPr>
                <w:rFonts w:eastAsia="Times New Roman"/>
                <w:sz w:val="18"/>
                <w:szCs w:val="18"/>
              </w:rPr>
            </w:pPr>
            <w:r w:rsidRPr="008137D7">
              <w:rPr>
                <w:rFonts w:eastAsia="Times New Roman"/>
                <w:sz w:val="18"/>
                <w:szCs w:val="18"/>
              </w:rPr>
              <w:t>-0.038***</w:t>
            </w:r>
          </w:p>
        </w:tc>
        <w:tc>
          <w:tcPr>
            <w:tcW w:w="1152" w:type="dxa"/>
            <w:vAlign w:val="center"/>
            <w:hideMark/>
          </w:tcPr>
          <w:p w14:paraId="588F10B2" w14:textId="77777777" w:rsidR="002F6A0A" w:rsidRPr="008137D7" w:rsidRDefault="002F6A0A" w:rsidP="00942B31">
            <w:pPr>
              <w:jc w:val="center"/>
              <w:rPr>
                <w:rFonts w:eastAsia="Times New Roman"/>
                <w:sz w:val="18"/>
                <w:szCs w:val="18"/>
              </w:rPr>
            </w:pPr>
            <w:r w:rsidRPr="008137D7">
              <w:rPr>
                <w:rFonts w:eastAsia="Times New Roman"/>
                <w:sz w:val="18"/>
                <w:szCs w:val="18"/>
              </w:rPr>
              <w:t>-0.042***</w:t>
            </w:r>
          </w:p>
        </w:tc>
      </w:tr>
      <w:tr w:rsidR="008137D7" w:rsidRPr="008137D7" w14:paraId="19EEF7D6" w14:textId="77777777" w:rsidTr="00942B31">
        <w:trPr>
          <w:tblCellSpacing w:w="0" w:type="dxa"/>
        </w:trPr>
        <w:tc>
          <w:tcPr>
            <w:tcW w:w="1845" w:type="dxa"/>
            <w:vAlign w:val="center"/>
            <w:hideMark/>
          </w:tcPr>
          <w:p w14:paraId="37238316" w14:textId="77777777" w:rsidR="002F6A0A" w:rsidRPr="008137D7" w:rsidRDefault="002F6A0A" w:rsidP="00942B31">
            <w:pPr>
              <w:jc w:val="center"/>
              <w:rPr>
                <w:rFonts w:eastAsia="Times New Roman"/>
                <w:sz w:val="18"/>
                <w:szCs w:val="18"/>
              </w:rPr>
            </w:pPr>
          </w:p>
        </w:tc>
        <w:tc>
          <w:tcPr>
            <w:tcW w:w="1152" w:type="dxa"/>
            <w:vAlign w:val="center"/>
            <w:hideMark/>
          </w:tcPr>
          <w:p w14:paraId="6868C1ED" w14:textId="77777777" w:rsidR="002F6A0A" w:rsidRPr="008137D7" w:rsidRDefault="002F6A0A" w:rsidP="00942B31">
            <w:pPr>
              <w:rPr>
                <w:rFonts w:eastAsia="Times New Roman"/>
                <w:sz w:val="18"/>
                <w:szCs w:val="18"/>
              </w:rPr>
            </w:pPr>
          </w:p>
        </w:tc>
        <w:tc>
          <w:tcPr>
            <w:tcW w:w="1152" w:type="dxa"/>
            <w:vAlign w:val="center"/>
            <w:hideMark/>
          </w:tcPr>
          <w:p w14:paraId="15E48042" w14:textId="77777777" w:rsidR="002F6A0A" w:rsidRPr="008137D7" w:rsidRDefault="002F6A0A" w:rsidP="00942B31">
            <w:pPr>
              <w:jc w:val="center"/>
              <w:rPr>
                <w:rFonts w:eastAsia="Times New Roman"/>
                <w:sz w:val="18"/>
                <w:szCs w:val="18"/>
              </w:rPr>
            </w:pPr>
          </w:p>
        </w:tc>
        <w:tc>
          <w:tcPr>
            <w:tcW w:w="1152" w:type="dxa"/>
            <w:vAlign w:val="center"/>
            <w:hideMark/>
          </w:tcPr>
          <w:p w14:paraId="7A1931AD" w14:textId="77777777" w:rsidR="002F6A0A" w:rsidRPr="008137D7" w:rsidRDefault="002F6A0A" w:rsidP="00942B31">
            <w:pPr>
              <w:jc w:val="center"/>
              <w:rPr>
                <w:rFonts w:eastAsia="Times New Roman"/>
                <w:sz w:val="18"/>
                <w:szCs w:val="18"/>
              </w:rPr>
            </w:pPr>
            <w:r w:rsidRPr="008137D7">
              <w:rPr>
                <w:rFonts w:eastAsia="Times New Roman"/>
                <w:sz w:val="18"/>
                <w:szCs w:val="18"/>
              </w:rPr>
              <w:t>(0.011)</w:t>
            </w:r>
          </w:p>
        </w:tc>
        <w:tc>
          <w:tcPr>
            <w:tcW w:w="1152" w:type="dxa"/>
            <w:vAlign w:val="center"/>
            <w:hideMark/>
          </w:tcPr>
          <w:p w14:paraId="3393A18D" w14:textId="77777777" w:rsidR="002F6A0A" w:rsidRPr="008137D7" w:rsidRDefault="002F6A0A" w:rsidP="00942B31">
            <w:pPr>
              <w:jc w:val="center"/>
              <w:rPr>
                <w:rFonts w:eastAsia="Times New Roman"/>
                <w:sz w:val="18"/>
                <w:szCs w:val="18"/>
              </w:rPr>
            </w:pPr>
            <w:r w:rsidRPr="008137D7">
              <w:rPr>
                <w:rFonts w:eastAsia="Times New Roman"/>
                <w:sz w:val="18"/>
                <w:szCs w:val="18"/>
              </w:rPr>
              <w:t>(0.011)</w:t>
            </w:r>
          </w:p>
        </w:tc>
      </w:tr>
      <w:tr w:rsidR="008137D7" w:rsidRPr="008137D7" w14:paraId="3344B591" w14:textId="77777777" w:rsidTr="00942B31">
        <w:trPr>
          <w:tblCellSpacing w:w="0" w:type="dxa"/>
        </w:trPr>
        <w:tc>
          <w:tcPr>
            <w:tcW w:w="1845" w:type="dxa"/>
            <w:vAlign w:val="center"/>
            <w:hideMark/>
          </w:tcPr>
          <w:p w14:paraId="7FA6938C" w14:textId="77777777" w:rsidR="002F6A0A" w:rsidRPr="008137D7" w:rsidRDefault="002F6A0A" w:rsidP="00942B31">
            <w:pPr>
              <w:rPr>
                <w:rFonts w:eastAsia="Times New Roman"/>
                <w:sz w:val="18"/>
                <w:szCs w:val="18"/>
              </w:rPr>
            </w:pPr>
            <w:r w:rsidRPr="008137D7">
              <w:rPr>
                <w:rFonts w:eastAsia="Times New Roman"/>
                <w:sz w:val="18"/>
                <w:szCs w:val="18"/>
              </w:rPr>
              <w:t>Constant</w:t>
            </w:r>
          </w:p>
        </w:tc>
        <w:tc>
          <w:tcPr>
            <w:tcW w:w="1152" w:type="dxa"/>
            <w:vAlign w:val="center"/>
            <w:hideMark/>
          </w:tcPr>
          <w:p w14:paraId="347754A7" w14:textId="77777777" w:rsidR="002F6A0A" w:rsidRPr="008137D7" w:rsidRDefault="002F6A0A" w:rsidP="00942B31">
            <w:pPr>
              <w:jc w:val="center"/>
              <w:rPr>
                <w:rFonts w:eastAsia="Times New Roman"/>
                <w:sz w:val="18"/>
                <w:szCs w:val="18"/>
              </w:rPr>
            </w:pPr>
            <w:r w:rsidRPr="008137D7">
              <w:rPr>
                <w:rFonts w:eastAsia="Times New Roman"/>
                <w:sz w:val="18"/>
                <w:szCs w:val="18"/>
              </w:rPr>
              <w:t>0.608***</w:t>
            </w:r>
          </w:p>
        </w:tc>
        <w:tc>
          <w:tcPr>
            <w:tcW w:w="1152" w:type="dxa"/>
            <w:vAlign w:val="center"/>
            <w:hideMark/>
          </w:tcPr>
          <w:p w14:paraId="60F748A2" w14:textId="77777777" w:rsidR="002F6A0A" w:rsidRPr="008137D7" w:rsidRDefault="002F6A0A" w:rsidP="00942B31">
            <w:pPr>
              <w:jc w:val="center"/>
              <w:rPr>
                <w:rFonts w:eastAsia="Times New Roman"/>
                <w:sz w:val="18"/>
                <w:szCs w:val="18"/>
              </w:rPr>
            </w:pPr>
            <w:r w:rsidRPr="008137D7">
              <w:rPr>
                <w:rFonts w:eastAsia="Times New Roman"/>
                <w:sz w:val="18"/>
                <w:szCs w:val="18"/>
              </w:rPr>
              <w:t>0.587***</w:t>
            </w:r>
          </w:p>
        </w:tc>
        <w:tc>
          <w:tcPr>
            <w:tcW w:w="1152" w:type="dxa"/>
            <w:vAlign w:val="center"/>
            <w:hideMark/>
          </w:tcPr>
          <w:p w14:paraId="09AA5103" w14:textId="77777777" w:rsidR="002F6A0A" w:rsidRPr="008137D7" w:rsidRDefault="002F6A0A" w:rsidP="00942B31">
            <w:pPr>
              <w:jc w:val="center"/>
              <w:rPr>
                <w:rFonts w:eastAsia="Times New Roman"/>
                <w:sz w:val="18"/>
                <w:szCs w:val="18"/>
              </w:rPr>
            </w:pPr>
            <w:r w:rsidRPr="008137D7">
              <w:rPr>
                <w:rFonts w:eastAsia="Times New Roman"/>
                <w:sz w:val="18"/>
                <w:szCs w:val="18"/>
              </w:rPr>
              <w:t>0.115</w:t>
            </w:r>
          </w:p>
        </w:tc>
        <w:tc>
          <w:tcPr>
            <w:tcW w:w="1152" w:type="dxa"/>
            <w:vAlign w:val="center"/>
            <w:hideMark/>
          </w:tcPr>
          <w:p w14:paraId="65F2919E" w14:textId="77777777" w:rsidR="002F6A0A" w:rsidRPr="008137D7" w:rsidRDefault="002F6A0A" w:rsidP="00942B31">
            <w:pPr>
              <w:jc w:val="center"/>
              <w:rPr>
                <w:rFonts w:eastAsia="Times New Roman"/>
                <w:sz w:val="18"/>
                <w:szCs w:val="18"/>
              </w:rPr>
            </w:pPr>
            <w:r w:rsidRPr="008137D7">
              <w:rPr>
                <w:rFonts w:eastAsia="Times New Roman"/>
                <w:sz w:val="18"/>
                <w:szCs w:val="18"/>
              </w:rPr>
              <w:t>-0.259</w:t>
            </w:r>
          </w:p>
        </w:tc>
      </w:tr>
      <w:tr w:rsidR="008137D7" w:rsidRPr="008137D7" w14:paraId="2C7A6D5B" w14:textId="77777777" w:rsidTr="00942B31">
        <w:trPr>
          <w:tblCellSpacing w:w="0" w:type="dxa"/>
        </w:trPr>
        <w:tc>
          <w:tcPr>
            <w:tcW w:w="1845" w:type="dxa"/>
            <w:vAlign w:val="center"/>
            <w:hideMark/>
          </w:tcPr>
          <w:p w14:paraId="6DF64028" w14:textId="77777777" w:rsidR="002F6A0A" w:rsidRPr="008137D7" w:rsidRDefault="002F6A0A" w:rsidP="00942B31">
            <w:pPr>
              <w:jc w:val="center"/>
              <w:rPr>
                <w:rFonts w:eastAsia="Times New Roman"/>
                <w:sz w:val="18"/>
                <w:szCs w:val="18"/>
              </w:rPr>
            </w:pPr>
          </w:p>
        </w:tc>
        <w:tc>
          <w:tcPr>
            <w:tcW w:w="1152" w:type="dxa"/>
            <w:vAlign w:val="center"/>
            <w:hideMark/>
          </w:tcPr>
          <w:p w14:paraId="1B083F7C" w14:textId="77777777" w:rsidR="002F6A0A" w:rsidRPr="008137D7" w:rsidRDefault="002F6A0A" w:rsidP="00942B31">
            <w:pPr>
              <w:jc w:val="center"/>
              <w:rPr>
                <w:rFonts w:eastAsia="Times New Roman"/>
                <w:sz w:val="18"/>
                <w:szCs w:val="18"/>
              </w:rPr>
            </w:pPr>
            <w:r w:rsidRPr="008137D7">
              <w:rPr>
                <w:rFonts w:eastAsia="Times New Roman"/>
                <w:sz w:val="18"/>
                <w:szCs w:val="18"/>
              </w:rPr>
              <w:t>(0.190)</w:t>
            </w:r>
          </w:p>
        </w:tc>
        <w:tc>
          <w:tcPr>
            <w:tcW w:w="1152" w:type="dxa"/>
            <w:vAlign w:val="center"/>
            <w:hideMark/>
          </w:tcPr>
          <w:p w14:paraId="267842C1" w14:textId="77777777" w:rsidR="002F6A0A" w:rsidRPr="008137D7" w:rsidRDefault="002F6A0A" w:rsidP="00942B31">
            <w:pPr>
              <w:jc w:val="center"/>
              <w:rPr>
                <w:rFonts w:eastAsia="Times New Roman"/>
                <w:sz w:val="18"/>
                <w:szCs w:val="18"/>
              </w:rPr>
            </w:pPr>
            <w:r w:rsidRPr="008137D7">
              <w:rPr>
                <w:rFonts w:eastAsia="Times New Roman"/>
                <w:sz w:val="18"/>
                <w:szCs w:val="18"/>
              </w:rPr>
              <w:t>(0.188)</w:t>
            </w:r>
          </w:p>
        </w:tc>
        <w:tc>
          <w:tcPr>
            <w:tcW w:w="1152" w:type="dxa"/>
            <w:vAlign w:val="center"/>
            <w:hideMark/>
          </w:tcPr>
          <w:p w14:paraId="6EA59D42" w14:textId="77777777" w:rsidR="002F6A0A" w:rsidRPr="008137D7" w:rsidRDefault="002F6A0A" w:rsidP="00942B31">
            <w:pPr>
              <w:jc w:val="center"/>
              <w:rPr>
                <w:rFonts w:eastAsia="Times New Roman"/>
                <w:sz w:val="18"/>
                <w:szCs w:val="18"/>
              </w:rPr>
            </w:pPr>
            <w:r w:rsidRPr="008137D7">
              <w:rPr>
                <w:rFonts w:eastAsia="Times New Roman"/>
                <w:sz w:val="18"/>
                <w:szCs w:val="18"/>
              </w:rPr>
              <w:t>(0.204)</w:t>
            </w:r>
          </w:p>
        </w:tc>
        <w:tc>
          <w:tcPr>
            <w:tcW w:w="1152" w:type="dxa"/>
            <w:vAlign w:val="center"/>
            <w:hideMark/>
          </w:tcPr>
          <w:p w14:paraId="628EE130" w14:textId="77777777" w:rsidR="002F6A0A" w:rsidRPr="008137D7" w:rsidRDefault="002F6A0A" w:rsidP="00942B31">
            <w:pPr>
              <w:jc w:val="center"/>
              <w:rPr>
                <w:rFonts w:eastAsia="Times New Roman"/>
                <w:sz w:val="18"/>
                <w:szCs w:val="18"/>
              </w:rPr>
            </w:pPr>
            <w:r w:rsidRPr="008137D7">
              <w:rPr>
                <w:rFonts w:eastAsia="Times New Roman"/>
                <w:sz w:val="18"/>
                <w:szCs w:val="18"/>
              </w:rPr>
              <w:t>(0.226)</w:t>
            </w:r>
          </w:p>
        </w:tc>
      </w:tr>
      <w:tr w:rsidR="008137D7" w:rsidRPr="008137D7" w14:paraId="2B328DDF" w14:textId="77777777" w:rsidTr="00C923C7">
        <w:trPr>
          <w:tblCellSpacing w:w="0" w:type="dxa"/>
        </w:trPr>
        <w:tc>
          <w:tcPr>
            <w:tcW w:w="1845" w:type="dxa"/>
            <w:tcBorders>
              <w:top w:val="single" w:sz="8" w:space="0" w:color="auto"/>
            </w:tcBorders>
            <w:vAlign w:val="center"/>
            <w:hideMark/>
          </w:tcPr>
          <w:p w14:paraId="6FC216F2" w14:textId="77777777" w:rsidR="002F6A0A" w:rsidRPr="008137D7" w:rsidRDefault="002F6A0A" w:rsidP="00D27C95">
            <w:pPr>
              <w:rPr>
                <w:rFonts w:eastAsia="Times New Roman"/>
                <w:sz w:val="18"/>
                <w:szCs w:val="18"/>
              </w:rPr>
            </w:pPr>
            <w:r w:rsidRPr="008137D7">
              <w:rPr>
                <w:rFonts w:eastAsia="Times New Roman"/>
                <w:sz w:val="18"/>
                <w:szCs w:val="18"/>
              </w:rPr>
              <w:t>Observations</w:t>
            </w:r>
          </w:p>
        </w:tc>
        <w:tc>
          <w:tcPr>
            <w:tcW w:w="1152" w:type="dxa"/>
            <w:tcBorders>
              <w:top w:val="single" w:sz="8" w:space="0" w:color="auto"/>
            </w:tcBorders>
            <w:vAlign w:val="center"/>
            <w:hideMark/>
          </w:tcPr>
          <w:p w14:paraId="03F7286C" w14:textId="77777777" w:rsidR="002F6A0A" w:rsidRPr="008137D7" w:rsidRDefault="002F6A0A" w:rsidP="00D27C95">
            <w:pPr>
              <w:jc w:val="center"/>
              <w:rPr>
                <w:rFonts w:eastAsia="Times New Roman"/>
                <w:sz w:val="18"/>
                <w:szCs w:val="18"/>
              </w:rPr>
            </w:pPr>
            <w:r w:rsidRPr="008137D7">
              <w:rPr>
                <w:rFonts w:eastAsia="Times New Roman"/>
                <w:sz w:val="18"/>
                <w:szCs w:val="18"/>
              </w:rPr>
              <w:t>28,893</w:t>
            </w:r>
          </w:p>
        </w:tc>
        <w:tc>
          <w:tcPr>
            <w:tcW w:w="1152" w:type="dxa"/>
            <w:tcBorders>
              <w:top w:val="single" w:sz="8" w:space="0" w:color="auto"/>
            </w:tcBorders>
            <w:vAlign w:val="center"/>
            <w:hideMark/>
          </w:tcPr>
          <w:p w14:paraId="3BD656EE" w14:textId="77777777" w:rsidR="002F6A0A" w:rsidRPr="008137D7" w:rsidRDefault="002F6A0A" w:rsidP="00D27C95">
            <w:pPr>
              <w:jc w:val="center"/>
              <w:rPr>
                <w:rFonts w:eastAsia="Times New Roman"/>
                <w:sz w:val="18"/>
                <w:szCs w:val="18"/>
              </w:rPr>
            </w:pPr>
            <w:r w:rsidRPr="008137D7">
              <w:rPr>
                <w:rFonts w:eastAsia="Times New Roman"/>
                <w:sz w:val="18"/>
                <w:szCs w:val="18"/>
              </w:rPr>
              <w:t>28,893</w:t>
            </w:r>
          </w:p>
        </w:tc>
        <w:tc>
          <w:tcPr>
            <w:tcW w:w="1152" w:type="dxa"/>
            <w:tcBorders>
              <w:top w:val="single" w:sz="8" w:space="0" w:color="auto"/>
            </w:tcBorders>
            <w:vAlign w:val="center"/>
            <w:hideMark/>
          </w:tcPr>
          <w:p w14:paraId="28D1BBEF" w14:textId="77777777" w:rsidR="002F6A0A" w:rsidRPr="008137D7" w:rsidRDefault="002F6A0A" w:rsidP="00D27C95">
            <w:pPr>
              <w:jc w:val="center"/>
              <w:rPr>
                <w:rFonts w:eastAsia="Times New Roman"/>
                <w:sz w:val="18"/>
                <w:szCs w:val="18"/>
              </w:rPr>
            </w:pPr>
            <w:r w:rsidRPr="008137D7">
              <w:rPr>
                <w:rFonts w:eastAsia="Times New Roman"/>
                <w:sz w:val="18"/>
                <w:szCs w:val="18"/>
              </w:rPr>
              <w:t>28,893</w:t>
            </w:r>
          </w:p>
        </w:tc>
        <w:tc>
          <w:tcPr>
            <w:tcW w:w="1152" w:type="dxa"/>
            <w:tcBorders>
              <w:top w:val="single" w:sz="8" w:space="0" w:color="auto"/>
            </w:tcBorders>
            <w:vAlign w:val="center"/>
            <w:hideMark/>
          </w:tcPr>
          <w:p w14:paraId="112380A4" w14:textId="77777777" w:rsidR="002F6A0A" w:rsidRPr="008137D7" w:rsidRDefault="002F6A0A" w:rsidP="00D27C95">
            <w:pPr>
              <w:jc w:val="center"/>
              <w:rPr>
                <w:rFonts w:eastAsia="Times New Roman"/>
                <w:sz w:val="18"/>
                <w:szCs w:val="18"/>
              </w:rPr>
            </w:pPr>
            <w:r w:rsidRPr="008137D7">
              <w:rPr>
                <w:rFonts w:eastAsia="Times New Roman"/>
                <w:sz w:val="18"/>
                <w:szCs w:val="18"/>
              </w:rPr>
              <w:t>28,893</w:t>
            </w:r>
          </w:p>
        </w:tc>
      </w:tr>
      <w:tr w:rsidR="008137D7" w:rsidRPr="008137D7" w14:paraId="1ACC45A4" w14:textId="77777777" w:rsidTr="00C923C7">
        <w:trPr>
          <w:tblCellSpacing w:w="0" w:type="dxa"/>
        </w:trPr>
        <w:tc>
          <w:tcPr>
            <w:tcW w:w="1845" w:type="dxa"/>
            <w:tcBorders>
              <w:bottom w:val="single" w:sz="8" w:space="0" w:color="auto"/>
            </w:tcBorders>
            <w:vAlign w:val="center"/>
            <w:hideMark/>
          </w:tcPr>
          <w:p w14:paraId="4D796832" w14:textId="77777777" w:rsidR="002F6A0A" w:rsidRPr="008137D7" w:rsidRDefault="002F6A0A" w:rsidP="00D27C95">
            <w:pPr>
              <w:rPr>
                <w:rFonts w:eastAsia="Times New Roman"/>
                <w:sz w:val="18"/>
                <w:szCs w:val="18"/>
              </w:rPr>
            </w:pPr>
            <w:r w:rsidRPr="008137D7">
              <w:rPr>
                <w:rFonts w:eastAsia="Times New Roman"/>
                <w:sz w:val="18"/>
                <w:szCs w:val="18"/>
              </w:rPr>
              <w:t>R2</w:t>
            </w:r>
          </w:p>
        </w:tc>
        <w:tc>
          <w:tcPr>
            <w:tcW w:w="1152" w:type="dxa"/>
            <w:tcBorders>
              <w:bottom w:val="single" w:sz="8" w:space="0" w:color="auto"/>
            </w:tcBorders>
            <w:vAlign w:val="center"/>
            <w:hideMark/>
          </w:tcPr>
          <w:p w14:paraId="459F2B3E" w14:textId="77777777" w:rsidR="002F6A0A" w:rsidRPr="008137D7" w:rsidRDefault="002F6A0A" w:rsidP="00D27C95">
            <w:pPr>
              <w:jc w:val="center"/>
              <w:rPr>
                <w:rFonts w:eastAsia="Times New Roman"/>
                <w:sz w:val="18"/>
                <w:szCs w:val="18"/>
              </w:rPr>
            </w:pPr>
            <w:r w:rsidRPr="008137D7">
              <w:rPr>
                <w:rFonts w:eastAsia="Times New Roman"/>
                <w:sz w:val="18"/>
                <w:szCs w:val="18"/>
              </w:rPr>
              <w:t>0.029</w:t>
            </w:r>
          </w:p>
        </w:tc>
        <w:tc>
          <w:tcPr>
            <w:tcW w:w="1152" w:type="dxa"/>
            <w:tcBorders>
              <w:bottom w:val="single" w:sz="8" w:space="0" w:color="auto"/>
            </w:tcBorders>
            <w:vAlign w:val="center"/>
            <w:hideMark/>
          </w:tcPr>
          <w:p w14:paraId="064AC4A4" w14:textId="77777777" w:rsidR="002F6A0A" w:rsidRPr="008137D7" w:rsidRDefault="002F6A0A" w:rsidP="00D27C95">
            <w:pPr>
              <w:jc w:val="center"/>
              <w:rPr>
                <w:rFonts w:eastAsia="Times New Roman"/>
                <w:sz w:val="18"/>
                <w:szCs w:val="18"/>
              </w:rPr>
            </w:pPr>
            <w:r w:rsidRPr="008137D7">
              <w:rPr>
                <w:rFonts w:eastAsia="Times New Roman"/>
                <w:sz w:val="18"/>
                <w:szCs w:val="18"/>
              </w:rPr>
              <w:t>0.049</w:t>
            </w:r>
          </w:p>
        </w:tc>
        <w:tc>
          <w:tcPr>
            <w:tcW w:w="1152" w:type="dxa"/>
            <w:tcBorders>
              <w:bottom w:val="single" w:sz="8" w:space="0" w:color="auto"/>
            </w:tcBorders>
            <w:vAlign w:val="center"/>
            <w:hideMark/>
          </w:tcPr>
          <w:p w14:paraId="7D667641" w14:textId="77777777" w:rsidR="002F6A0A" w:rsidRPr="008137D7" w:rsidRDefault="002F6A0A" w:rsidP="00D27C95">
            <w:pPr>
              <w:jc w:val="center"/>
              <w:rPr>
                <w:rFonts w:eastAsia="Times New Roman"/>
                <w:sz w:val="18"/>
                <w:szCs w:val="18"/>
              </w:rPr>
            </w:pPr>
            <w:r w:rsidRPr="008137D7">
              <w:rPr>
                <w:rFonts w:eastAsia="Times New Roman"/>
                <w:sz w:val="18"/>
                <w:szCs w:val="18"/>
              </w:rPr>
              <w:t>0.117</w:t>
            </w:r>
          </w:p>
        </w:tc>
        <w:tc>
          <w:tcPr>
            <w:tcW w:w="1152" w:type="dxa"/>
            <w:tcBorders>
              <w:bottom w:val="single" w:sz="8" w:space="0" w:color="auto"/>
            </w:tcBorders>
            <w:vAlign w:val="center"/>
            <w:hideMark/>
          </w:tcPr>
          <w:p w14:paraId="5ED3A208" w14:textId="77777777" w:rsidR="002F6A0A" w:rsidRPr="008137D7" w:rsidRDefault="002F6A0A" w:rsidP="00D27C95">
            <w:pPr>
              <w:jc w:val="center"/>
              <w:rPr>
                <w:rFonts w:eastAsia="Times New Roman"/>
                <w:sz w:val="18"/>
                <w:szCs w:val="18"/>
              </w:rPr>
            </w:pPr>
            <w:r w:rsidRPr="008137D7">
              <w:rPr>
                <w:rFonts w:eastAsia="Times New Roman"/>
                <w:sz w:val="18"/>
                <w:szCs w:val="18"/>
              </w:rPr>
              <w:t>0.147</w:t>
            </w:r>
          </w:p>
        </w:tc>
      </w:tr>
    </w:tbl>
    <w:p w14:paraId="562BCF19" w14:textId="767A73EC" w:rsidR="002F2D37" w:rsidRPr="008137D7" w:rsidRDefault="002F2D37" w:rsidP="00EF1932">
      <w:pPr>
        <w:ind w:left="990" w:right="1890"/>
        <w:jc w:val="both"/>
        <w:rPr>
          <w:sz w:val="18"/>
          <w:szCs w:val="18"/>
        </w:rPr>
      </w:pPr>
      <w:r w:rsidRPr="008137D7">
        <w:rPr>
          <w:rFonts w:eastAsia="Times New Roman"/>
          <w:sz w:val="18"/>
          <w:szCs w:val="18"/>
          <w:vertAlign w:val="superscript"/>
        </w:rPr>
        <w:t>a</w:t>
      </w:r>
      <w:r w:rsidRPr="008137D7">
        <w:rPr>
          <w:sz w:val="18"/>
          <w:szCs w:val="18"/>
        </w:rPr>
        <w:t xml:space="preserve">  p &lt; .10; * p &lt; .05; ** p &lt; .01; *** p &lt; .001.  Cells contain OLS regression coefficients with clustered standard errors (by country).</w:t>
      </w:r>
    </w:p>
    <w:p w14:paraId="52BE1F8B" w14:textId="77777777" w:rsidR="00F479A5" w:rsidRPr="008137D7" w:rsidRDefault="00F479A5" w:rsidP="002F2D37">
      <w:pPr>
        <w:ind w:left="1440" w:right="1440"/>
        <w:jc w:val="both"/>
        <w:rPr>
          <w:sz w:val="18"/>
          <w:szCs w:val="18"/>
        </w:rPr>
      </w:pPr>
    </w:p>
    <w:p w14:paraId="7D433CAE" w14:textId="7E36536B" w:rsidR="0020054C" w:rsidRPr="008137D7" w:rsidRDefault="00A5278F" w:rsidP="0020054C">
      <w:pPr>
        <w:spacing w:line="480" w:lineRule="auto"/>
        <w:ind w:firstLine="720"/>
        <w:jc w:val="both"/>
        <w:rPr>
          <w:rFonts w:eastAsia="Times New Roman"/>
        </w:rPr>
      </w:pPr>
      <w:r w:rsidRPr="008137D7">
        <w:rPr>
          <w:rFonts w:eastAsia="Times New Roman"/>
        </w:rPr>
        <w:lastRenderedPageBreak/>
        <w:t xml:space="preserve">Including </w:t>
      </w:r>
      <w:r w:rsidR="0020054C" w:rsidRPr="008137D7">
        <w:rPr>
          <w:rFonts w:eastAsia="Times New Roman"/>
        </w:rPr>
        <w:t xml:space="preserve">long-term mean spending makes </w:t>
      </w:r>
      <w:r w:rsidRPr="008137D7">
        <w:rPr>
          <w:rFonts w:eastAsia="Times New Roman"/>
        </w:rPr>
        <w:t xml:space="preserve">a </w:t>
      </w:r>
      <w:r w:rsidR="0020054C" w:rsidRPr="008137D7">
        <w:rPr>
          <w:rFonts w:eastAsia="Times New Roman"/>
        </w:rPr>
        <w:t xml:space="preserve">big difference </w:t>
      </w:r>
      <w:r w:rsidRPr="008137D7">
        <w:rPr>
          <w:rFonts w:eastAsia="Times New Roman"/>
        </w:rPr>
        <w:t>in Table 1 –</w:t>
      </w:r>
      <w:r w:rsidR="00AE3E0F" w:rsidRPr="008137D7">
        <w:rPr>
          <w:rFonts w:eastAsia="Times New Roman"/>
        </w:rPr>
        <w:t xml:space="preserve"> </w:t>
      </w:r>
      <w:r w:rsidR="0020054C" w:rsidRPr="008137D7">
        <w:rPr>
          <w:rFonts w:eastAsia="Times New Roman"/>
        </w:rPr>
        <w:t xml:space="preserve">controlling for it alone reveals thermostatic public responsiveness in Model 2. Recall that we view the positive effect of mean spending as an indication of the public’s </w:t>
      </w:r>
      <w:r w:rsidR="00DB6C66" w:rsidRPr="008137D7">
        <w:rPr>
          <w:rFonts w:eastAsia="Times New Roman"/>
        </w:rPr>
        <w:t>long-term</w:t>
      </w:r>
      <w:r w:rsidR="00A23F35" w:rsidRPr="008137D7">
        <w:rPr>
          <w:rFonts w:eastAsia="Times New Roman"/>
        </w:rPr>
        <w:t xml:space="preserve"> </w:t>
      </w:r>
      <w:r w:rsidR="0020054C" w:rsidRPr="008137D7">
        <w:rPr>
          <w:rFonts w:eastAsia="Times New Roman"/>
        </w:rPr>
        <w:t xml:space="preserve">commitment to welfare, not of </w:t>
      </w:r>
      <w:r w:rsidR="00A23F35" w:rsidRPr="008137D7">
        <w:rPr>
          <w:rFonts w:eastAsia="Times New Roman"/>
        </w:rPr>
        <w:t xml:space="preserve">thermostatic </w:t>
      </w:r>
      <w:r w:rsidR="0020054C" w:rsidRPr="008137D7">
        <w:rPr>
          <w:rFonts w:eastAsia="Times New Roman"/>
        </w:rPr>
        <w:t xml:space="preserve">response to policy change, the latter of which is captured by the </w:t>
      </w:r>
      <w:r w:rsidR="00861724" w:rsidRPr="008137D7">
        <w:rPr>
          <w:rFonts w:eastAsia="Times New Roman"/>
        </w:rPr>
        <w:t xml:space="preserve">negative coefficient on </w:t>
      </w:r>
      <w:r w:rsidR="0020054C" w:rsidRPr="008137D7">
        <w:rPr>
          <w:rFonts w:eastAsia="Times New Roman"/>
        </w:rPr>
        <w:t xml:space="preserve">current spending variable, per the foregoing discussion.  Incorporating the individual-level covariates in Model 3 </w:t>
      </w:r>
      <w:r w:rsidR="00F05FC8" w:rsidRPr="008137D7">
        <w:rPr>
          <w:rFonts w:eastAsia="Times New Roman"/>
        </w:rPr>
        <w:t xml:space="preserve">more than </w:t>
      </w:r>
      <w:r w:rsidR="0020054C" w:rsidRPr="008137D7">
        <w:rPr>
          <w:rFonts w:eastAsia="Times New Roman"/>
        </w:rPr>
        <w:t>doubles the proportion of variance explained</w:t>
      </w:r>
      <w:r w:rsidR="00F05FC8" w:rsidRPr="008137D7">
        <w:rPr>
          <w:rFonts w:eastAsia="Times New Roman"/>
        </w:rPr>
        <w:t>,</w:t>
      </w:r>
      <w:r w:rsidR="0020054C" w:rsidRPr="008137D7">
        <w:rPr>
          <w:rFonts w:eastAsia="Times New Roman"/>
        </w:rPr>
        <w:t xml:space="preserve"> but only trivially impacts estimated thermostatic responsiveness</w:t>
      </w:r>
      <w:r w:rsidR="00017544" w:rsidRPr="008137D7">
        <w:rPr>
          <w:rFonts w:eastAsia="Times New Roman"/>
        </w:rPr>
        <w:t xml:space="preserve"> or the effect of long-term mean spending</w:t>
      </w:r>
      <w:r w:rsidR="0020054C" w:rsidRPr="008137D7">
        <w:rPr>
          <w:rFonts w:eastAsia="Times New Roman"/>
        </w:rPr>
        <w:t>.</w:t>
      </w:r>
    </w:p>
    <w:p w14:paraId="7BCAA895" w14:textId="0F3FA2C3" w:rsidR="00987C77" w:rsidRPr="008137D7" w:rsidRDefault="002230A8" w:rsidP="006E5BCC">
      <w:pPr>
        <w:spacing w:line="480" w:lineRule="auto"/>
        <w:ind w:firstLine="720"/>
        <w:jc w:val="both"/>
        <w:rPr>
          <w:rFonts w:eastAsia="Times New Roman"/>
        </w:rPr>
      </w:pPr>
      <w:r w:rsidRPr="008137D7">
        <w:rPr>
          <w:rFonts w:eastAsia="Times New Roman"/>
        </w:rPr>
        <w:t>We regard findings in Model 3 as rather striking: they demonstrate thermostatic responsiveness in a large dataset across what is</w:t>
      </w:r>
      <w:r w:rsidR="00A36185" w:rsidRPr="008137D7">
        <w:rPr>
          <w:rFonts w:eastAsia="Times New Roman"/>
        </w:rPr>
        <w:t>,</w:t>
      </w:r>
      <w:r w:rsidRPr="008137D7">
        <w:rPr>
          <w:rFonts w:eastAsia="Times New Roman"/>
        </w:rPr>
        <w:t xml:space="preserve"> to our knowledge</w:t>
      </w:r>
      <w:r w:rsidR="00A36185" w:rsidRPr="008137D7">
        <w:rPr>
          <w:rFonts w:eastAsia="Times New Roman"/>
        </w:rPr>
        <w:t>,</w:t>
      </w:r>
      <w:r w:rsidRPr="008137D7">
        <w:rPr>
          <w:rFonts w:eastAsia="Times New Roman"/>
        </w:rPr>
        <w:t xml:space="preserve"> the broadest</w:t>
      </w:r>
      <w:r w:rsidR="00462FEE" w:rsidRPr="008137D7">
        <w:rPr>
          <w:rFonts w:eastAsia="Times New Roman"/>
        </w:rPr>
        <w:t xml:space="preserve"> and </w:t>
      </w:r>
      <w:r w:rsidRPr="008137D7">
        <w:rPr>
          <w:rFonts w:eastAsia="Times New Roman"/>
        </w:rPr>
        <w:t xml:space="preserve">most </w:t>
      </w:r>
      <w:r w:rsidR="00462FEE" w:rsidRPr="008137D7">
        <w:rPr>
          <w:rFonts w:eastAsia="Times New Roman"/>
        </w:rPr>
        <w:t xml:space="preserve">diverse </w:t>
      </w:r>
      <w:r w:rsidRPr="008137D7">
        <w:rPr>
          <w:rFonts w:eastAsia="Times New Roman"/>
        </w:rPr>
        <w:t>cross-national sample to date.</w:t>
      </w:r>
      <w:r w:rsidR="0034383C" w:rsidRPr="008137D7">
        <w:rPr>
          <w:rFonts w:eastAsia="Times New Roman"/>
        </w:rPr>
        <w:t xml:space="preserve"> </w:t>
      </w:r>
      <w:r w:rsidRPr="008137D7">
        <w:rPr>
          <w:rFonts w:eastAsia="Times New Roman"/>
        </w:rPr>
        <w:t xml:space="preserve"> Even so, </w:t>
      </w:r>
      <w:r w:rsidR="00987C77" w:rsidRPr="008137D7">
        <w:rPr>
          <w:rFonts w:eastAsia="Times New Roman"/>
        </w:rPr>
        <w:t>we suspect that there is real heterogeneity in our sample</w:t>
      </w:r>
      <w:r w:rsidR="00AC7999" w:rsidRPr="008137D7">
        <w:rPr>
          <w:rFonts w:eastAsia="Times New Roman"/>
        </w:rPr>
        <w:t>,</w:t>
      </w:r>
      <w:r w:rsidR="007263D7" w:rsidRPr="008137D7">
        <w:rPr>
          <w:rFonts w:eastAsia="Times New Roman"/>
        </w:rPr>
        <w:t xml:space="preserve"> a</w:t>
      </w:r>
      <w:r w:rsidR="00987C77" w:rsidRPr="008137D7">
        <w:rPr>
          <w:rFonts w:eastAsia="Times New Roman"/>
        </w:rPr>
        <w:t>nd o</w:t>
      </w:r>
      <w:r w:rsidRPr="008137D7">
        <w:rPr>
          <w:rFonts w:eastAsia="Times New Roman"/>
        </w:rPr>
        <w:t>ur primary interest is in the possibility that thermostatic responsiveness is moderated by press freedoms.</w:t>
      </w:r>
    </w:p>
    <w:p w14:paraId="24EC5870" w14:textId="1B14B5EB" w:rsidR="001D3EC1" w:rsidRPr="00104A34" w:rsidRDefault="002230A8" w:rsidP="0037244B">
      <w:pPr>
        <w:spacing w:line="480" w:lineRule="auto"/>
        <w:ind w:firstLine="720"/>
        <w:jc w:val="both"/>
        <w:rPr>
          <w:rFonts w:eastAsia="Times New Roman"/>
          <w:color w:val="FF0000"/>
        </w:rPr>
      </w:pPr>
      <w:r w:rsidRPr="008137D7">
        <w:rPr>
          <w:rFonts w:eastAsia="Times New Roman"/>
        </w:rPr>
        <w:t xml:space="preserve">This is the focus of Model 4, which adds our measure of press limits </w:t>
      </w:r>
      <w:r w:rsidR="00971DA7" w:rsidRPr="008137D7">
        <w:rPr>
          <w:rFonts w:eastAsia="Times New Roman"/>
        </w:rPr>
        <w:t xml:space="preserve">as well as the </w:t>
      </w:r>
      <w:r w:rsidRPr="008137D7">
        <w:rPr>
          <w:rFonts w:eastAsia="Times New Roman"/>
        </w:rPr>
        <w:t>interact</w:t>
      </w:r>
      <w:r w:rsidR="00971DA7" w:rsidRPr="008137D7">
        <w:rPr>
          <w:rFonts w:eastAsia="Times New Roman"/>
        </w:rPr>
        <w:t>ion</w:t>
      </w:r>
      <w:r w:rsidRPr="008137D7">
        <w:rPr>
          <w:rFonts w:eastAsia="Times New Roman"/>
        </w:rPr>
        <w:t xml:space="preserve"> with spending levels.  We have no particular expectation about the direct effect of press limits, but we </w:t>
      </w:r>
      <w:r w:rsidR="005A26F9" w:rsidRPr="008137D7">
        <w:rPr>
          <w:rFonts w:eastAsia="Times New Roman"/>
        </w:rPr>
        <w:t>hypothesize that</w:t>
      </w:r>
      <w:r w:rsidRPr="008137D7">
        <w:rPr>
          <w:rFonts w:eastAsia="Times New Roman"/>
        </w:rPr>
        <w:t xml:space="preserve"> the interaction </w:t>
      </w:r>
      <w:r w:rsidR="005A26F9" w:rsidRPr="008137D7">
        <w:rPr>
          <w:rFonts w:eastAsia="Times New Roman"/>
        </w:rPr>
        <w:t>will</w:t>
      </w:r>
      <w:r w:rsidRPr="008137D7">
        <w:rPr>
          <w:rFonts w:eastAsia="Times New Roman"/>
        </w:rPr>
        <w:t xml:space="preserve"> be positive</w:t>
      </w:r>
      <w:r w:rsidR="005A26F9" w:rsidRPr="008137D7">
        <w:rPr>
          <w:rFonts w:eastAsia="Times New Roman"/>
        </w:rPr>
        <w:t xml:space="preserve">, </w:t>
      </w:r>
      <w:r w:rsidRPr="008137D7">
        <w:rPr>
          <w:rFonts w:eastAsia="Times New Roman"/>
        </w:rPr>
        <w:t xml:space="preserve">reducing </w:t>
      </w:r>
      <w:r w:rsidR="005A26F9" w:rsidRPr="008137D7">
        <w:rPr>
          <w:rFonts w:eastAsia="Times New Roman"/>
        </w:rPr>
        <w:t>estimated</w:t>
      </w:r>
      <w:r w:rsidR="009F5F16" w:rsidRPr="008137D7">
        <w:rPr>
          <w:rFonts w:eastAsia="Times New Roman"/>
        </w:rPr>
        <w:t xml:space="preserve"> </w:t>
      </w:r>
      <w:r w:rsidR="005A26F9" w:rsidRPr="008137D7">
        <w:rPr>
          <w:rFonts w:eastAsia="Times New Roman"/>
        </w:rPr>
        <w:t>thermostatic</w:t>
      </w:r>
      <w:r w:rsidRPr="008137D7">
        <w:rPr>
          <w:rFonts w:eastAsia="Times New Roman"/>
        </w:rPr>
        <w:t xml:space="preserve"> responsiveness.  This is </w:t>
      </w:r>
      <w:r w:rsidR="00972D71" w:rsidRPr="00104A34">
        <w:rPr>
          <w:rFonts w:eastAsia="Times New Roman"/>
          <w:color w:val="FF0000"/>
        </w:rPr>
        <w:t xml:space="preserve">roughly </w:t>
      </w:r>
      <w:r w:rsidR="00997F8F" w:rsidRPr="008137D7">
        <w:rPr>
          <w:rFonts w:eastAsia="Times New Roman"/>
        </w:rPr>
        <w:t>what we observe</w:t>
      </w:r>
      <w:r w:rsidR="00481596" w:rsidRPr="008137D7">
        <w:rPr>
          <w:rFonts w:eastAsia="Times New Roman"/>
        </w:rPr>
        <w:t xml:space="preserve">.  </w:t>
      </w:r>
      <w:r w:rsidRPr="008137D7">
        <w:rPr>
          <w:rFonts w:eastAsia="Times New Roman"/>
        </w:rPr>
        <w:t xml:space="preserve">The coefficient for spending </w:t>
      </w:r>
      <w:r w:rsidR="00786615" w:rsidRPr="008137D7">
        <w:rPr>
          <w:rFonts w:eastAsia="Times New Roman"/>
        </w:rPr>
        <w:t xml:space="preserve">(-0.936) </w:t>
      </w:r>
      <w:r w:rsidRPr="008137D7">
        <w:rPr>
          <w:rFonts w:eastAsia="Times New Roman"/>
        </w:rPr>
        <w:t>now captures the magnitude of responsiveness when there are no press limits</w:t>
      </w:r>
      <w:r w:rsidR="00AC7999" w:rsidRPr="008137D7">
        <w:rPr>
          <w:rFonts w:eastAsia="Times New Roman"/>
        </w:rPr>
        <w:t xml:space="preserve">, i.e., </w:t>
      </w:r>
      <w:r w:rsidRPr="008137D7">
        <w:rPr>
          <w:rFonts w:eastAsia="Times New Roman"/>
        </w:rPr>
        <w:t>when that measure is equal to 0</w:t>
      </w:r>
      <w:r w:rsidR="00997F8F" w:rsidRPr="008137D7">
        <w:rPr>
          <w:rFonts w:eastAsia="Times New Roman"/>
        </w:rPr>
        <w:t xml:space="preserve">, and </w:t>
      </w:r>
      <w:r w:rsidRPr="008137D7">
        <w:rPr>
          <w:rFonts w:eastAsia="Times New Roman"/>
        </w:rPr>
        <w:t xml:space="preserve">thus </w:t>
      </w:r>
      <w:r w:rsidR="00C239C7" w:rsidRPr="008137D7">
        <w:rPr>
          <w:rFonts w:eastAsia="Times New Roman"/>
        </w:rPr>
        <w:t xml:space="preserve">is </w:t>
      </w:r>
      <w:r w:rsidRPr="008137D7">
        <w:rPr>
          <w:rFonts w:eastAsia="Times New Roman"/>
        </w:rPr>
        <w:t>larger in magnitude than in previous models</w:t>
      </w:r>
      <w:r w:rsidR="00AC7999" w:rsidRPr="008137D7">
        <w:rPr>
          <w:rFonts w:eastAsia="Times New Roman"/>
        </w:rPr>
        <w:t xml:space="preserve">.  </w:t>
      </w:r>
      <w:r w:rsidR="00DB6C66" w:rsidRPr="008137D7">
        <w:rPr>
          <w:rFonts w:eastAsia="Times New Roman"/>
        </w:rPr>
        <w:t>T</w:t>
      </w:r>
      <w:r w:rsidR="00997F8F" w:rsidRPr="008137D7">
        <w:rPr>
          <w:rFonts w:eastAsia="Times New Roman"/>
        </w:rPr>
        <w:t>he coefficient on the interaction</w:t>
      </w:r>
      <w:r w:rsidR="00FC29C9" w:rsidRPr="008137D7">
        <w:rPr>
          <w:rFonts w:eastAsia="Times New Roman"/>
        </w:rPr>
        <w:t xml:space="preserve"> </w:t>
      </w:r>
      <w:r w:rsidR="00786615" w:rsidRPr="008137D7">
        <w:rPr>
          <w:rFonts w:eastAsia="Times New Roman"/>
        </w:rPr>
        <w:t xml:space="preserve">(2.428) </w:t>
      </w:r>
      <w:r w:rsidR="00972D71" w:rsidRPr="00104A34">
        <w:rPr>
          <w:rFonts w:eastAsia="Times New Roman"/>
          <w:color w:val="FF0000"/>
        </w:rPr>
        <w:t xml:space="preserve">also </w:t>
      </w:r>
      <w:r w:rsidR="00F05FC8" w:rsidRPr="008137D7">
        <w:rPr>
          <w:rFonts w:eastAsia="Times New Roman"/>
        </w:rPr>
        <w:t xml:space="preserve">points to the possibility </w:t>
      </w:r>
      <w:r w:rsidR="00FC29C9" w:rsidRPr="008137D7">
        <w:rPr>
          <w:rFonts w:eastAsia="Times New Roman"/>
        </w:rPr>
        <w:t>that</w:t>
      </w:r>
      <w:r w:rsidR="00997F8F" w:rsidRPr="008137D7">
        <w:rPr>
          <w:rFonts w:eastAsia="Times New Roman"/>
        </w:rPr>
        <w:t>,</w:t>
      </w:r>
      <w:r w:rsidR="00FC29C9" w:rsidRPr="008137D7">
        <w:rPr>
          <w:rFonts w:eastAsia="Times New Roman"/>
        </w:rPr>
        <w:t xml:space="preserve"> as expected,</w:t>
      </w:r>
      <w:r w:rsidRPr="008137D7">
        <w:rPr>
          <w:rFonts w:eastAsia="Times New Roman"/>
        </w:rPr>
        <w:t xml:space="preserve"> responsiveness is reduced as we introduce press limits</w:t>
      </w:r>
      <w:r w:rsidR="00972D71" w:rsidRPr="008137D7">
        <w:rPr>
          <w:rFonts w:eastAsia="Times New Roman"/>
        </w:rPr>
        <w:t xml:space="preserve">. </w:t>
      </w:r>
      <w:r w:rsidR="00972D71" w:rsidRPr="00104A34">
        <w:rPr>
          <w:rFonts w:eastAsia="Times New Roman"/>
          <w:color w:val="FF0000"/>
        </w:rPr>
        <w:t>That said</w:t>
      </w:r>
      <w:r w:rsidR="002F6A0A" w:rsidRPr="00104A34">
        <w:rPr>
          <w:rFonts w:eastAsia="Times New Roman"/>
          <w:color w:val="FF0000"/>
        </w:rPr>
        <w:t xml:space="preserve">, the coefficient </w:t>
      </w:r>
      <w:r w:rsidR="00972D71" w:rsidRPr="00104A34">
        <w:rPr>
          <w:rFonts w:eastAsia="Times New Roman"/>
          <w:color w:val="FF0000"/>
        </w:rPr>
        <w:t xml:space="preserve">for the interaction </w:t>
      </w:r>
      <w:r w:rsidR="002F6A0A" w:rsidRPr="00104A34">
        <w:rPr>
          <w:rFonts w:eastAsia="Times New Roman"/>
          <w:color w:val="FF0000"/>
        </w:rPr>
        <w:t>narrowly misses standard levels of statistical significance</w:t>
      </w:r>
      <w:r w:rsidR="00D7756C" w:rsidRPr="00104A34">
        <w:rPr>
          <w:rFonts w:eastAsia="Times New Roman"/>
          <w:color w:val="FF0000"/>
        </w:rPr>
        <w:t xml:space="preserve"> (p=.107)</w:t>
      </w:r>
      <w:r w:rsidRPr="00104A34">
        <w:rPr>
          <w:rFonts w:eastAsia="Times New Roman"/>
          <w:color w:val="FF0000"/>
        </w:rPr>
        <w:t xml:space="preserve">.  </w:t>
      </w:r>
    </w:p>
    <w:p w14:paraId="3822669C" w14:textId="0AD7ED79" w:rsidR="005651D1" w:rsidRPr="008137D7" w:rsidRDefault="00972D71" w:rsidP="005651D1">
      <w:pPr>
        <w:spacing w:line="480" w:lineRule="auto"/>
        <w:ind w:firstLine="720"/>
        <w:jc w:val="both"/>
        <w:rPr>
          <w:rFonts w:eastAsia="Times New Roman"/>
        </w:rPr>
      </w:pPr>
      <w:r w:rsidRPr="00104A34">
        <w:rPr>
          <w:rFonts w:eastAsia="Times New Roman"/>
          <w:color w:val="FF0000"/>
        </w:rPr>
        <w:t xml:space="preserve">Results (below) provide evidence of similar effects in other domains, and/or across other specifications of press limits. Our inclination is thus to take these borderline-significant results </w:t>
      </w:r>
      <w:r w:rsidRPr="00104A34">
        <w:rPr>
          <w:rFonts w:eastAsia="Times New Roman"/>
          <w:color w:val="FF0000"/>
        </w:rPr>
        <w:lastRenderedPageBreak/>
        <w:t xml:space="preserve">seriously. </w:t>
      </w:r>
      <w:r w:rsidR="000C230A" w:rsidRPr="000C230A">
        <w:rPr>
          <w:rFonts w:eastAsia="Times New Roman"/>
        </w:rPr>
        <w:t>T</w:t>
      </w:r>
      <w:r w:rsidR="005651D1" w:rsidRPr="000C230A">
        <w:rPr>
          <w:rFonts w:eastAsia="Times New Roman"/>
        </w:rPr>
        <w:t xml:space="preserve">he </w:t>
      </w:r>
      <w:r w:rsidR="005651D1" w:rsidRPr="008137D7">
        <w:rPr>
          <w:rFonts w:eastAsia="Times New Roman"/>
        </w:rPr>
        <w:t>effect of press limits is difficult to interpret based on the results in Table 1, so Figure 1 depicts how they condition the estimated impact of increases in spending on welfare preferences (</w:t>
      </w:r>
      <w:r w:rsidR="005651D1" w:rsidRPr="008137D7">
        <w:rPr>
          <w:rFonts w:eastAsia="Times New Roman"/>
          <w:i/>
        </w:rPr>
        <w:t>R</w:t>
      </w:r>
      <w:r w:rsidR="005651D1" w:rsidRPr="008137D7">
        <w:rPr>
          <w:rFonts w:eastAsia="Times New Roman"/>
        </w:rPr>
        <w:t xml:space="preserve">).  We expect the line to decrease from left to right; that is, we expect that relative preferences for (more) spending decrease as spending increases.  We plot predictions for two levels of press freedoms: low media limits, where press limits are set to the 10th percentile of the measure in our data (0.12), and high media limits, where press limits are set to the 90th percentile (0.41).  This is a conservative approach to illustrating our findings, since we are not relying on the entire range of media freedoms. Still, results in this figure are relatively clear: under low media limits, increasing spending </w:t>
      </w:r>
      <w:r w:rsidR="001D70AF" w:rsidRPr="008137D7">
        <w:rPr>
          <w:rFonts w:eastAsia="Times New Roman"/>
        </w:rPr>
        <w:t>appears to be</w:t>
      </w:r>
      <w:r w:rsidR="005651D1" w:rsidRPr="008137D7">
        <w:rPr>
          <w:rFonts w:eastAsia="Times New Roman"/>
        </w:rPr>
        <w:t xml:space="preserve"> associated with decreased preferences for more spending; under high media limits, this </w:t>
      </w:r>
      <w:r w:rsidR="001D70AF" w:rsidRPr="008137D7">
        <w:rPr>
          <w:rFonts w:eastAsia="Times New Roman"/>
        </w:rPr>
        <w:t xml:space="preserve">does not appear to be </w:t>
      </w:r>
      <w:r w:rsidR="005651D1" w:rsidRPr="008137D7">
        <w:rPr>
          <w:rFonts w:eastAsia="Times New Roman"/>
        </w:rPr>
        <w:t xml:space="preserve">the case. Indeed, in the latter there is no </w:t>
      </w:r>
      <w:r w:rsidR="001D70AF" w:rsidRPr="008137D7">
        <w:rPr>
          <w:rFonts w:eastAsia="Times New Roman"/>
        </w:rPr>
        <w:t xml:space="preserve">hint of </w:t>
      </w:r>
      <w:r w:rsidR="005651D1" w:rsidRPr="008137D7">
        <w:rPr>
          <w:rFonts w:eastAsia="Times New Roman"/>
        </w:rPr>
        <w:t>thermostatic responsiveness whatsoever.</w:t>
      </w:r>
      <w:r w:rsidR="005651D1" w:rsidRPr="008137D7" w:rsidDel="005C30D6">
        <w:rPr>
          <w:rFonts w:eastAsia="Times New Roman"/>
        </w:rPr>
        <w:t xml:space="preserve"> </w:t>
      </w:r>
    </w:p>
    <w:p w14:paraId="39C15957" w14:textId="0C5E66D6" w:rsidR="00E9751C" w:rsidRPr="008137D7" w:rsidRDefault="00E9751C" w:rsidP="0026689B">
      <w:pPr>
        <w:keepNext/>
        <w:jc w:val="center"/>
      </w:pPr>
      <w:r w:rsidRPr="008137D7">
        <w:t xml:space="preserve">Figure </w:t>
      </w:r>
      <w:r w:rsidR="00B02F4C" w:rsidRPr="008137D7">
        <w:t>1</w:t>
      </w:r>
      <w:r w:rsidRPr="008137D7">
        <w:t>. Welfare Preferences and Spending, Moderated by Press Freedom</w:t>
      </w:r>
    </w:p>
    <w:p w14:paraId="3E488469" w14:textId="1775BF7C" w:rsidR="00637879" w:rsidRPr="008137D7" w:rsidRDefault="008E7484" w:rsidP="008E7484">
      <w:pPr>
        <w:jc w:val="center"/>
      </w:pPr>
      <w:r w:rsidRPr="008137D7">
        <w:rPr>
          <w:noProof/>
        </w:rPr>
        <w:t>[insert Figure 1 here]</w:t>
      </w:r>
    </w:p>
    <w:p w14:paraId="511036B5" w14:textId="6793B900" w:rsidR="00E9751C" w:rsidRPr="008137D7" w:rsidRDefault="00E9751C" w:rsidP="002F7F5B">
      <w:pPr>
        <w:jc w:val="center"/>
        <w:rPr>
          <w:sz w:val="18"/>
          <w:szCs w:val="18"/>
        </w:rPr>
      </w:pPr>
      <w:r w:rsidRPr="008137D7">
        <w:rPr>
          <w:sz w:val="18"/>
          <w:szCs w:val="18"/>
        </w:rPr>
        <w:t xml:space="preserve">Predicted values using clustered standard errors, and with 95% confidence intervals, based on Model </w:t>
      </w:r>
      <w:r w:rsidR="00972D71" w:rsidRPr="008137D7">
        <w:rPr>
          <w:sz w:val="18"/>
          <w:szCs w:val="18"/>
        </w:rPr>
        <w:t>4</w:t>
      </w:r>
      <w:r w:rsidRPr="008137D7">
        <w:rPr>
          <w:sz w:val="18"/>
          <w:szCs w:val="18"/>
        </w:rPr>
        <w:t xml:space="preserve"> in Table 1.</w:t>
      </w:r>
    </w:p>
    <w:p w14:paraId="6DB88D8D" w14:textId="77777777" w:rsidR="002F7F5B" w:rsidRPr="008137D7" w:rsidRDefault="002F7F5B" w:rsidP="002F7F5B">
      <w:pPr>
        <w:jc w:val="center"/>
        <w:rPr>
          <w:sz w:val="18"/>
          <w:szCs w:val="18"/>
        </w:rPr>
      </w:pPr>
    </w:p>
    <w:p w14:paraId="01FEC7CB" w14:textId="45EFED0D" w:rsidR="00143316" w:rsidRPr="00505F74" w:rsidRDefault="001D70AF" w:rsidP="006E5BCC">
      <w:pPr>
        <w:spacing w:line="480" w:lineRule="auto"/>
        <w:ind w:firstLine="720"/>
        <w:jc w:val="both"/>
        <w:rPr>
          <w:rFonts w:eastAsia="Times New Roman"/>
          <w:color w:val="00B050"/>
        </w:rPr>
      </w:pPr>
      <w:r w:rsidRPr="00505F74">
        <w:rPr>
          <w:rFonts w:eastAsia="Times New Roman"/>
          <w:color w:val="00B050"/>
        </w:rPr>
        <w:t xml:space="preserve">This is a bold interpretation of insignificant results, to be sure. </w:t>
      </w:r>
      <w:r w:rsidR="004E39D5" w:rsidRPr="00505F74">
        <w:rPr>
          <w:rFonts w:eastAsia="Times New Roman"/>
          <w:color w:val="000000" w:themeColor="text1"/>
        </w:rPr>
        <w:t xml:space="preserve">We </w:t>
      </w:r>
      <w:r w:rsidRPr="00505F74">
        <w:rPr>
          <w:rFonts w:eastAsia="Times New Roman"/>
          <w:color w:val="000000" w:themeColor="text1"/>
        </w:rPr>
        <w:t xml:space="preserve">thus look for evidence of a similar </w:t>
      </w:r>
      <w:r w:rsidR="00523C93" w:rsidRPr="00505F74">
        <w:rPr>
          <w:rFonts w:eastAsia="Times New Roman"/>
          <w:color w:val="000000" w:themeColor="text1"/>
        </w:rPr>
        <w:t>effect</w:t>
      </w:r>
      <w:r w:rsidRPr="00505F74">
        <w:rPr>
          <w:rFonts w:eastAsia="Times New Roman"/>
          <w:color w:val="000000" w:themeColor="text1"/>
        </w:rPr>
        <w:t xml:space="preserve"> </w:t>
      </w:r>
      <w:r w:rsidR="00637879" w:rsidRPr="00505F74">
        <w:rPr>
          <w:rFonts w:eastAsia="Times New Roman"/>
          <w:color w:val="000000" w:themeColor="text1"/>
        </w:rPr>
        <w:t xml:space="preserve">below, first by examining additional spending domains and then by turning to alternative specifications, dropping and adding controls, and changing to the RSF- and V-Dem-based measures of </w:t>
      </w:r>
      <w:r w:rsidR="00637879" w:rsidRPr="00505F74">
        <w:rPr>
          <w:rFonts w:eastAsia="Times New Roman"/>
          <w:i/>
          <w:color w:val="000000" w:themeColor="text1"/>
        </w:rPr>
        <w:t>Press Limits</w:t>
      </w:r>
      <w:r w:rsidR="00637879" w:rsidRPr="00505F74">
        <w:rPr>
          <w:rFonts w:eastAsia="Times New Roman"/>
          <w:color w:val="000000" w:themeColor="text1"/>
        </w:rPr>
        <w:t xml:space="preserve">. Results </w:t>
      </w:r>
      <w:r w:rsidRPr="00505F74">
        <w:rPr>
          <w:rFonts w:eastAsia="Times New Roman"/>
          <w:color w:val="000000" w:themeColor="text1"/>
        </w:rPr>
        <w:t>provide further evidence of the story we suggest here.</w:t>
      </w:r>
      <w:r w:rsidR="00637879" w:rsidRPr="00505F74">
        <w:rPr>
          <w:rFonts w:eastAsia="Times New Roman"/>
          <w:color w:val="000000" w:themeColor="text1"/>
        </w:rPr>
        <w:t xml:space="preserve">  </w:t>
      </w:r>
    </w:p>
    <w:p w14:paraId="061A218D" w14:textId="3622840D" w:rsidR="00A16E33" w:rsidRPr="008137D7" w:rsidRDefault="00A42567" w:rsidP="00D3690F">
      <w:pPr>
        <w:keepNext/>
        <w:spacing w:line="480" w:lineRule="auto"/>
        <w:jc w:val="center"/>
        <w:rPr>
          <w:rFonts w:eastAsia="Times New Roman"/>
          <w:sz w:val="28"/>
          <w:szCs w:val="28"/>
        </w:rPr>
      </w:pPr>
      <w:r w:rsidRPr="008137D7">
        <w:rPr>
          <w:rFonts w:eastAsia="Times New Roman"/>
          <w:sz w:val="28"/>
          <w:szCs w:val="28"/>
        </w:rPr>
        <w:t xml:space="preserve">Freedom of the Press &amp; Responsiveness in Other </w:t>
      </w:r>
      <w:r w:rsidR="00DB6C66" w:rsidRPr="008137D7">
        <w:rPr>
          <w:rFonts w:eastAsia="Times New Roman"/>
          <w:sz w:val="28"/>
          <w:szCs w:val="28"/>
        </w:rPr>
        <w:t>Spending Domains</w:t>
      </w:r>
    </w:p>
    <w:p w14:paraId="3385D9A4" w14:textId="34A6C3DD" w:rsidR="00A16E33" w:rsidRPr="008137D7" w:rsidRDefault="002230A8" w:rsidP="00A35CBF">
      <w:pPr>
        <w:spacing w:line="480" w:lineRule="auto"/>
        <w:ind w:firstLine="720"/>
        <w:jc w:val="both"/>
        <w:rPr>
          <w:rFonts w:eastAsia="Times New Roman"/>
        </w:rPr>
      </w:pPr>
      <w:r w:rsidRPr="008137D7">
        <w:rPr>
          <w:rFonts w:eastAsia="Times New Roman"/>
        </w:rPr>
        <w:t xml:space="preserve">The prior section </w:t>
      </w:r>
      <w:r w:rsidR="00AB42C2" w:rsidRPr="008137D7">
        <w:rPr>
          <w:rFonts w:eastAsia="Times New Roman"/>
        </w:rPr>
        <w:t xml:space="preserve">presents evidence in line with </w:t>
      </w:r>
      <w:r w:rsidRPr="008137D7">
        <w:rPr>
          <w:rFonts w:eastAsia="Times New Roman"/>
        </w:rPr>
        <w:t>our expectations.</w:t>
      </w:r>
      <w:r w:rsidR="002E7870" w:rsidRPr="008137D7">
        <w:rPr>
          <w:rFonts w:eastAsia="Times New Roman"/>
        </w:rPr>
        <w:t xml:space="preserve"> </w:t>
      </w:r>
      <w:r w:rsidRPr="008137D7">
        <w:rPr>
          <w:rFonts w:eastAsia="Times New Roman"/>
        </w:rPr>
        <w:t xml:space="preserve"> We find in our estimation thermostatic responsiveness to </w:t>
      </w:r>
      <w:r w:rsidR="00BB795E" w:rsidRPr="008137D7">
        <w:rPr>
          <w:rFonts w:eastAsia="Times New Roman"/>
        </w:rPr>
        <w:t xml:space="preserve">welfare </w:t>
      </w:r>
      <w:r w:rsidRPr="008137D7">
        <w:rPr>
          <w:rFonts w:eastAsia="Times New Roman"/>
        </w:rPr>
        <w:t>spending across a very broad sample</w:t>
      </w:r>
      <w:r w:rsidR="00476CAE" w:rsidRPr="008137D7">
        <w:rPr>
          <w:rFonts w:eastAsia="Times New Roman"/>
        </w:rPr>
        <w:t>,</w:t>
      </w:r>
      <w:r w:rsidRPr="008137D7">
        <w:rPr>
          <w:rFonts w:eastAsia="Times New Roman"/>
        </w:rPr>
        <w:t xml:space="preserve"> </w:t>
      </w:r>
      <w:r w:rsidR="00BB795E" w:rsidRPr="008137D7">
        <w:rPr>
          <w:rFonts w:eastAsia="Times New Roman"/>
        </w:rPr>
        <w:t>and</w:t>
      </w:r>
      <w:r w:rsidRPr="008137D7">
        <w:rPr>
          <w:rFonts w:eastAsia="Times New Roman"/>
        </w:rPr>
        <w:t xml:space="preserve"> also that this is conditional on freedom of the press.  Our interest in the welfare domain in particular is that it is a relatively salient and important </w:t>
      </w:r>
      <w:r w:rsidR="00476CAE" w:rsidRPr="008137D7">
        <w:rPr>
          <w:rFonts w:eastAsia="Times New Roman"/>
        </w:rPr>
        <w:t xml:space="preserve">spending </w:t>
      </w:r>
      <w:r w:rsidRPr="008137D7">
        <w:rPr>
          <w:rFonts w:eastAsia="Times New Roman"/>
        </w:rPr>
        <w:t xml:space="preserve">domain across a good number of countries.  It also </w:t>
      </w:r>
      <w:r w:rsidR="00BB795E" w:rsidRPr="008137D7">
        <w:rPr>
          <w:rFonts w:eastAsia="Times New Roman"/>
        </w:rPr>
        <w:t xml:space="preserve">is </w:t>
      </w:r>
      <w:r w:rsidRPr="008137D7">
        <w:rPr>
          <w:rFonts w:eastAsia="Times New Roman"/>
        </w:rPr>
        <w:t>a domain for which we have spending preferences, reliable measures of spending, and reasonable proxies for preferred levels of policy.</w:t>
      </w:r>
    </w:p>
    <w:p w14:paraId="26933440" w14:textId="3B675F3E" w:rsidR="00D023D8" w:rsidRPr="008137D7" w:rsidRDefault="002230A8" w:rsidP="00485844">
      <w:pPr>
        <w:spacing w:line="480" w:lineRule="auto"/>
        <w:ind w:firstLine="720"/>
        <w:jc w:val="both"/>
        <w:rPr>
          <w:rFonts w:eastAsia="Times New Roman"/>
        </w:rPr>
      </w:pPr>
      <w:r w:rsidRPr="008137D7">
        <w:rPr>
          <w:rFonts w:eastAsia="Times New Roman"/>
        </w:rPr>
        <w:lastRenderedPageBreak/>
        <w:t xml:space="preserve">Welfare is not the only domain for which this is true, however. </w:t>
      </w:r>
      <w:r w:rsidR="002E7870" w:rsidRPr="008137D7">
        <w:rPr>
          <w:rFonts w:eastAsia="Times New Roman"/>
        </w:rPr>
        <w:t xml:space="preserve"> </w:t>
      </w:r>
      <w:r w:rsidRPr="008137D7">
        <w:rPr>
          <w:rFonts w:eastAsia="Times New Roman"/>
        </w:rPr>
        <w:t>The CSES also asks respondents about their preferences on healthcare and old-age pensions, and these are domains for which the OECD SOCX database also provides reliable spending data</w:t>
      </w:r>
      <w:r w:rsidR="00A67C96" w:rsidRPr="008137D7">
        <w:rPr>
          <w:rFonts w:eastAsia="Times New Roman"/>
        </w:rPr>
        <w:t xml:space="preserve"> </w:t>
      </w:r>
      <w:r w:rsidR="001B3FC2" w:rsidRPr="008137D7">
        <w:rPr>
          <w:rFonts w:eastAsia="Times New Roman"/>
        </w:rPr>
        <w:t>(</w:t>
      </w:r>
      <w:r w:rsidR="00A67C96" w:rsidRPr="008137D7">
        <w:rPr>
          <w:rFonts w:eastAsia="Times New Roman"/>
        </w:rPr>
        <w:t>c</w:t>
      </w:r>
      <w:r w:rsidR="001B3FC2" w:rsidRPr="008137D7">
        <w:rPr>
          <w:rFonts w:eastAsia="Times New Roman"/>
        </w:rPr>
        <w:t xml:space="preserve">omparable spending numbers are not </w:t>
      </w:r>
      <w:r w:rsidR="00A67C96" w:rsidRPr="008137D7">
        <w:rPr>
          <w:rFonts w:eastAsia="Times New Roman"/>
        </w:rPr>
        <w:t xml:space="preserve">readily </w:t>
      </w:r>
      <w:r w:rsidR="001B3FC2" w:rsidRPr="008137D7">
        <w:rPr>
          <w:rFonts w:eastAsia="Times New Roman"/>
        </w:rPr>
        <w:t>available in the various other domains included in the CSES question)</w:t>
      </w:r>
      <w:r w:rsidR="00A67C96" w:rsidRPr="008137D7">
        <w:rPr>
          <w:rFonts w:eastAsia="Times New Roman"/>
        </w:rPr>
        <w:t>.</w:t>
      </w:r>
      <w:r w:rsidR="001B3FC2" w:rsidRPr="008137D7">
        <w:rPr>
          <w:rFonts w:eastAsia="Times New Roman"/>
        </w:rPr>
        <w:t xml:space="preserve"> </w:t>
      </w:r>
      <w:r w:rsidRPr="008137D7">
        <w:rPr>
          <w:rFonts w:eastAsia="Times New Roman"/>
        </w:rPr>
        <w:t xml:space="preserve"> The</w:t>
      </w:r>
      <w:r w:rsidR="00B02F4C" w:rsidRPr="008137D7">
        <w:rPr>
          <w:rFonts w:eastAsia="Times New Roman"/>
        </w:rPr>
        <w:t>re are several</w:t>
      </w:r>
      <w:r w:rsidRPr="008137D7">
        <w:rPr>
          <w:rFonts w:eastAsia="Times New Roman"/>
        </w:rPr>
        <w:t xml:space="preserve"> </w:t>
      </w:r>
      <w:r w:rsidR="001B3FC2" w:rsidRPr="008137D7">
        <w:rPr>
          <w:rFonts w:eastAsia="Times New Roman"/>
        </w:rPr>
        <w:t>mitigating factors</w:t>
      </w:r>
      <w:r w:rsidRPr="008137D7">
        <w:rPr>
          <w:rFonts w:eastAsia="Times New Roman"/>
        </w:rPr>
        <w:t xml:space="preserve"> i</w:t>
      </w:r>
      <w:r w:rsidR="00971DA7" w:rsidRPr="008137D7">
        <w:rPr>
          <w:rFonts w:eastAsia="Times New Roman"/>
        </w:rPr>
        <w:t>n</w:t>
      </w:r>
      <w:r w:rsidRPr="008137D7">
        <w:rPr>
          <w:rFonts w:eastAsia="Times New Roman"/>
        </w:rPr>
        <w:t xml:space="preserve"> both </w:t>
      </w:r>
      <w:r w:rsidR="001B3FC2" w:rsidRPr="008137D7">
        <w:rPr>
          <w:rFonts w:eastAsia="Times New Roman"/>
        </w:rPr>
        <w:t>healthcare and pensions</w:t>
      </w:r>
      <w:r w:rsidR="00E44199" w:rsidRPr="008137D7">
        <w:rPr>
          <w:rFonts w:eastAsia="Times New Roman"/>
        </w:rPr>
        <w:t xml:space="preserve">.  </w:t>
      </w:r>
      <w:r w:rsidR="00B02F4C" w:rsidRPr="008137D7">
        <w:rPr>
          <w:rFonts w:eastAsia="Times New Roman"/>
        </w:rPr>
        <w:t xml:space="preserve">First and foremost, we have weaker expectations of thermostatic responsiveness in </w:t>
      </w:r>
      <w:r w:rsidR="00E44199" w:rsidRPr="008137D7">
        <w:rPr>
          <w:rFonts w:eastAsia="Times New Roman"/>
        </w:rPr>
        <w:t>these domains</w:t>
      </w:r>
      <w:r w:rsidR="00B02F4C" w:rsidRPr="008137D7">
        <w:rPr>
          <w:rFonts w:eastAsia="Times New Roman"/>
        </w:rPr>
        <w:t xml:space="preserve">, given results </w:t>
      </w:r>
      <w:r w:rsidR="00BB795E" w:rsidRPr="008137D7">
        <w:rPr>
          <w:rFonts w:eastAsia="Times New Roman"/>
        </w:rPr>
        <w:t>of</w:t>
      </w:r>
      <w:r w:rsidR="00B02F4C" w:rsidRPr="008137D7">
        <w:rPr>
          <w:rFonts w:eastAsia="Times New Roman"/>
        </w:rPr>
        <w:t xml:space="preserve"> past </w:t>
      </w:r>
      <w:r w:rsidR="00BB795E" w:rsidRPr="008137D7">
        <w:rPr>
          <w:rFonts w:eastAsia="Times New Roman"/>
        </w:rPr>
        <w:t>research</w:t>
      </w:r>
      <w:r w:rsidR="00CC672D" w:rsidRPr="008137D7">
        <w:rPr>
          <w:rFonts w:eastAsia="Times New Roman"/>
        </w:rPr>
        <w:t xml:space="preserve"> (Soroka and Wlezien 2010)</w:t>
      </w:r>
      <w:r w:rsidR="00E44199" w:rsidRPr="008137D7">
        <w:rPr>
          <w:rFonts w:eastAsia="Times New Roman"/>
        </w:rPr>
        <w:t xml:space="preserve">.  </w:t>
      </w:r>
      <w:r w:rsidR="001E147E" w:rsidRPr="008137D7">
        <w:rPr>
          <w:rFonts w:eastAsia="Times New Roman"/>
        </w:rPr>
        <w:t>Second, t</w:t>
      </w:r>
      <w:r w:rsidR="000D6654" w:rsidRPr="008137D7">
        <w:rPr>
          <w:rFonts w:eastAsia="Times New Roman"/>
        </w:rPr>
        <w:t xml:space="preserve">he CSES does not include questions </w:t>
      </w:r>
      <w:r w:rsidR="008C7E8D" w:rsidRPr="008137D7">
        <w:t xml:space="preserve">that work as </w:t>
      </w:r>
      <w:r w:rsidR="00EB4FEC" w:rsidRPr="008137D7">
        <w:t>equiva</w:t>
      </w:r>
      <w:r w:rsidR="00452F08" w:rsidRPr="008137D7">
        <w:t xml:space="preserve">lent </w:t>
      </w:r>
      <w:r w:rsidR="008C7E8D" w:rsidRPr="008137D7">
        <w:t>indicators of people’s preferred levels of spending on health and pensions</w:t>
      </w:r>
      <w:r w:rsidR="00B02F4C" w:rsidRPr="008137D7">
        <w:t xml:space="preserve">; </w:t>
      </w:r>
      <w:r w:rsidR="00452F08" w:rsidRPr="008137D7">
        <w:t>by</w:t>
      </w:r>
      <w:r w:rsidR="008C7E8D" w:rsidRPr="008137D7">
        <w:t xml:space="preserve"> contrast with welfare, where they ask about reducing differences in income, there are no questions asking about attitudes toward dealing with health care or pensions</w:t>
      </w:r>
      <w:r w:rsidR="00EA1492" w:rsidRPr="008137D7">
        <w:t>.</w:t>
      </w:r>
      <w:r w:rsidR="00EA1492" w:rsidRPr="008137D7">
        <w:rPr>
          <w:rFonts w:eastAsia="Times New Roman"/>
        </w:rPr>
        <w:t xml:space="preserve">  </w:t>
      </w:r>
      <w:r w:rsidR="00971DA7" w:rsidRPr="008137D7">
        <w:rPr>
          <w:rFonts w:eastAsia="Times New Roman"/>
        </w:rPr>
        <w:t xml:space="preserve">We </w:t>
      </w:r>
      <w:r w:rsidR="001E147E" w:rsidRPr="008137D7">
        <w:rPr>
          <w:rFonts w:eastAsia="Times New Roman"/>
        </w:rPr>
        <w:t xml:space="preserve">still </w:t>
      </w:r>
      <w:r w:rsidR="00971DA7" w:rsidRPr="008137D7">
        <w:rPr>
          <w:rFonts w:eastAsia="Times New Roman"/>
        </w:rPr>
        <w:t xml:space="preserve">are able to </w:t>
      </w:r>
      <w:r w:rsidR="00452F08" w:rsidRPr="008137D7">
        <w:rPr>
          <w:rFonts w:eastAsia="Times New Roman"/>
        </w:rPr>
        <w:t>use</w:t>
      </w:r>
      <w:r w:rsidR="00971DA7" w:rsidRPr="008137D7">
        <w:rPr>
          <w:rFonts w:eastAsia="Times New Roman"/>
        </w:rPr>
        <w:t xml:space="preserve"> the country-level measure o</w:t>
      </w:r>
      <w:r w:rsidR="00AD3B5D" w:rsidRPr="008137D7">
        <w:rPr>
          <w:rFonts w:eastAsia="Times New Roman"/>
        </w:rPr>
        <w:t>f preferred policy levels</w:t>
      </w:r>
      <w:r w:rsidR="00971DA7" w:rsidRPr="008137D7">
        <w:rPr>
          <w:rFonts w:eastAsia="Times New Roman"/>
        </w:rPr>
        <w:t>, average spending levels from 1990 to 2006</w:t>
      </w:r>
      <w:r w:rsidR="002A5BE3" w:rsidRPr="008137D7">
        <w:rPr>
          <w:rFonts w:eastAsia="Times New Roman"/>
        </w:rPr>
        <w:t>, but must rely on</w:t>
      </w:r>
      <w:r w:rsidR="00485844" w:rsidRPr="008137D7">
        <w:t xml:space="preserve"> the welfare-focused measure</w:t>
      </w:r>
      <w:r w:rsidR="001E147E" w:rsidRPr="008137D7">
        <w:t xml:space="preserve"> on </w:t>
      </w:r>
      <w:r w:rsidR="0013275F" w:rsidRPr="008137D7">
        <w:t>reducing inequalities (and also left-right ideology)</w:t>
      </w:r>
      <w:r w:rsidR="00485844" w:rsidRPr="008137D7">
        <w:t xml:space="preserve">, recognizing that </w:t>
      </w:r>
      <w:r w:rsidR="001E147E" w:rsidRPr="008137D7">
        <w:t xml:space="preserve">this </w:t>
      </w:r>
      <w:r w:rsidR="00485844" w:rsidRPr="008137D7">
        <w:t>has limited application in the health and pension domains</w:t>
      </w:r>
      <w:r w:rsidR="00AB42C2" w:rsidRPr="008137D7">
        <w:rPr>
          <w:rFonts w:eastAsia="Times New Roman"/>
        </w:rPr>
        <w:t>.</w:t>
      </w:r>
      <w:r w:rsidRPr="008137D7">
        <w:rPr>
          <w:rFonts w:eastAsia="Times New Roman"/>
        </w:rPr>
        <w:t xml:space="preserve"> </w:t>
      </w:r>
    </w:p>
    <w:p w14:paraId="66AD433B" w14:textId="4E293A9C" w:rsidR="00773ED8" w:rsidRPr="008137D7" w:rsidRDefault="000F21D4" w:rsidP="00CB366D">
      <w:pPr>
        <w:spacing w:line="480" w:lineRule="auto"/>
        <w:ind w:firstLine="720"/>
        <w:jc w:val="both"/>
        <w:rPr>
          <w:rFonts w:eastAsia="Times New Roman"/>
        </w:rPr>
      </w:pPr>
      <w:r w:rsidRPr="008137D7">
        <w:rPr>
          <w:rFonts w:eastAsia="Times New Roman"/>
        </w:rPr>
        <w:t>Table 2 presents the models of health spending preferences</w:t>
      </w:r>
      <w:r w:rsidR="00602639" w:rsidRPr="008137D7">
        <w:rPr>
          <w:rFonts w:eastAsia="Times New Roman"/>
        </w:rPr>
        <w:t>.</w:t>
      </w:r>
      <w:r w:rsidR="00D023D8" w:rsidRPr="008137D7">
        <w:rPr>
          <w:rFonts w:eastAsia="Times New Roman"/>
        </w:rPr>
        <w:t xml:space="preserve"> </w:t>
      </w:r>
      <w:r w:rsidR="000A1069" w:rsidRPr="008137D7">
        <w:rPr>
          <w:rFonts w:eastAsia="Times New Roman"/>
        </w:rPr>
        <w:t xml:space="preserve"> </w:t>
      </w:r>
      <w:r w:rsidR="00D023D8" w:rsidRPr="008137D7">
        <w:rPr>
          <w:rFonts w:eastAsia="Times New Roman"/>
        </w:rPr>
        <w:t xml:space="preserve">Model 1 finds a coefficient for spending that is both negative and statistically significant, indicative of a thermostatic response. Adding </w:t>
      </w:r>
      <w:r w:rsidR="005367C0" w:rsidRPr="008137D7">
        <w:t xml:space="preserve">the proxies for people’s preferred levels of spending </w:t>
      </w:r>
      <w:r w:rsidR="00D023D8" w:rsidRPr="008137D7">
        <w:rPr>
          <w:rFonts w:eastAsia="Times New Roman"/>
        </w:rPr>
        <w:t>in Models 2 and 3 reveals the significant impact</w:t>
      </w:r>
      <w:r w:rsidR="00D848CE" w:rsidRPr="008137D7">
        <w:rPr>
          <w:rFonts w:eastAsia="Times New Roman"/>
        </w:rPr>
        <w:t>s</w:t>
      </w:r>
      <w:r w:rsidR="00D023D8" w:rsidRPr="008137D7">
        <w:rPr>
          <w:rFonts w:eastAsia="Times New Roman"/>
        </w:rPr>
        <w:t xml:space="preserve"> of </w:t>
      </w:r>
      <w:r w:rsidR="00D848CE" w:rsidRPr="008137D7">
        <w:rPr>
          <w:rFonts w:eastAsia="Times New Roman"/>
        </w:rPr>
        <w:t xml:space="preserve">both </w:t>
      </w:r>
      <w:r w:rsidR="00D023D8" w:rsidRPr="008137D7">
        <w:rPr>
          <w:rFonts w:eastAsia="Times New Roman"/>
        </w:rPr>
        <w:t xml:space="preserve">mean government spending and </w:t>
      </w:r>
      <w:r w:rsidR="00E44199" w:rsidRPr="008137D7">
        <w:rPr>
          <w:rFonts w:eastAsia="Times New Roman"/>
        </w:rPr>
        <w:t>ideology and</w:t>
      </w:r>
      <w:r w:rsidR="00D023D8" w:rsidRPr="008137D7">
        <w:rPr>
          <w:rFonts w:eastAsia="Times New Roman"/>
        </w:rPr>
        <w:t xml:space="preserve"> strengthened estimates of thermostatic responsiveness</w:t>
      </w:r>
      <w:r w:rsidR="00481596" w:rsidRPr="008137D7">
        <w:rPr>
          <w:rFonts w:eastAsia="Times New Roman"/>
        </w:rPr>
        <w:t>.</w:t>
      </w:r>
      <w:r w:rsidR="00BC002E" w:rsidRPr="008137D7">
        <w:rPr>
          <w:rFonts w:eastAsia="Times New Roman"/>
        </w:rPr>
        <w:t xml:space="preserve">  </w:t>
      </w:r>
      <w:r w:rsidR="00D60D4C" w:rsidRPr="008137D7">
        <w:rPr>
          <w:rFonts w:eastAsia="Times New Roman"/>
        </w:rPr>
        <w:t xml:space="preserve">By contrast </w:t>
      </w:r>
      <w:r w:rsidR="009E0C0F" w:rsidRPr="008137D7">
        <w:rPr>
          <w:rFonts w:eastAsia="Times New Roman"/>
        </w:rPr>
        <w:t xml:space="preserve">with welfare, the control is not </w:t>
      </w:r>
      <w:r w:rsidR="00EA1492" w:rsidRPr="008137D7">
        <w:rPr>
          <w:rFonts w:eastAsia="Times New Roman"/>
        </w:rPr>
        <w:t>decisive</w:t>
      </w:r>
      <w:r w:rsidR="009E0C0F" w:rsidRPr="008137D7">
        <w:rPr>
          <w:rFonts w:eastAsia="Times New Roman"/>
        </w:rPr>
        <w:t>, as we saw evidence of negative feedback in Model 1</w:t>
      </w:r>
      <w:r w:rsidR="00E44199" w:rsidRPr="008137D7">
        <w:rPr>
          <w:rFonts w:eastAsia="Times New Roman"/>
        </w:rPr>
        <w:t xml:space="preserve">.  </w:t>
      </w:r>
      <w:r w:rsidR="00D023D8" w:rsidRPr="008137D7">
        <w:rPr>
          <w:rFonts w:eastAsia="Times New Roman"/>
        </w:rPr>
        <w:t xml:space="preserve">And Model 3 again doubles the proportion of variance explained from the first model. </w:t>
      </w:r>
    </w:p>
    <w:p w14:paraId="1EBA3F53" w14:textId="43AA1CBB" w:rsidR="005651D1" w:rsidRPr="008137D7" w:rsidRDefault="005651D1" w:rsidP="005651D1">
      <w:pPr>
        <w:spacing w:after="120" w:line="480" w:lineRule="auto"/>
        <w:ind w:firstLine="720"/>
        <w:jc w:val="both"/>
        <w:rPr>
          <w:rFonts w:eastAsia="Times New Roman"/>
        </w:rPr>
      </w:pPr>
      <w:r w:rsidRPr="008137D7">
        <w:rPr>
          <w:rFonts w:eastAsia="Times New Roman"/>
        </w:rPr>
        <w:t xml:space="preserve">As with welfare preferences, we are most interested in the results </w:t>
      </w:r>
      <w:r w:rsidR="00CE45CF" w:rsidRPr="008137D7">
        <w:rPr>
          <w:rFonts w:eastAsia="Times New Roman"/>
        </w:rPr>
        <w:t xml:space="preserve">when we </w:t>
      </w:r>
      <w:r w:rsidR="00CE45CF" w:rsidRPr="00104A34">
        <w:rPr>
          <w:rFonts w:eastAsia="Times New Roman"/>
        </w:rPr>
        <w:t>incorporate</w:t>
      </w:r>
      <w:r w:rsidR="00CE45CF" w:rsidRPr="008137D7">
        <w:rPr>
          <w:rFonts w:eastAsia="Times New Roman"/>
        </w:rPr>
        <w:t xml:space="preserve"> </w:t>
      </w:r>
      <w:r w:rsidR="00CE45CF" w:rsidRPr="008137D7">
        <w:rPr>
          <w:rFonts w:eastAsia="Times New Roman"/>
          <w:i/>
          <w:iCs/>
        </w:rPr>
        <w:t xml:space="preserve">Press Limits </w:t>
      </w:r>
      <w:r w:rsidR="00CE45CF" w:rsidRPr="008137D7">
        <w:rPr>
          <w:rFonts w:eastAsia="Times New Roman"/>
        </w:rPr>
        <w:t>with</w:t>
      </w:r>
      <w:r w:rsidRPr="008137D7" w:rsidDel="001E23F2">
        <w:rPr>
          <w:rFonts w:eastAsia="Times New Roman"/>
        </w:rPr>
        <w:t xml:space="preserve"> </w:t>
      </w:r>
      <w:r w:rsidRPr="008137D7">
        <w:rPr>
          <w:rFonts w:eastAsia="Times New Roman"/>
        </w:rPr>
        <w:t>Model 4</w:t>
      </w:r>
      <w:r w:rsidRPr="00104A34">
        <w:rPr>
          <w:rFonts w:eastAsia="Times New Roman"/>
          <w:color w:val="FF0000"/>
        </w:rPr>
        <w:t xml:space="preserve">. </w:t>
      </w:r>
      <w:r w:rsidR="00317A27" w:rsidRPr="00104A34">
        <w:rPr>
          <w:rFonts w:eastAsia="Times New Roman"/>
          <w:color w:val="FF0000"/>
        </w:rPr>
        <w:t>In this case</w:t>
      </w:r>
      <w:r w:rsidR="00835F65" w:rsidRPr="00104A34">
        <w:rPr>
          <w:rFonts w:eastAsia="Times New Roman"/>
          <w:color w:val="FF0000"/>
        </w:rPr>
        <w:t>,</w:t>
      </w:r>
      <w:r w:rsidR="00317A27" w:rsidRPr="00104A34">
        <w:rPr>
          <w:rFonts w:eastAsia="Times New Roman"/>
          <w:color w:val="FF0000"/>
        </w:rPr>
        <w:t xml:space="preserve"> w</w:t>
      </w:r>
      <w:r w:rsidRPr="00104A34">
        <w:rPr>
          <w:rFonts w:eastAsia="Times New Roman"/>
          <w:color w:val="FF0000"/>
        </w:rPr>
        <w:t xml:space="preserve">e find a statistically significant positive coefficient </w:t>
      </w:r>
      <w:r w:rsidR="00317A27" w:rsidRPr="00104A34">
        <w:rPr>
          <w:rFonts w:eastAsia="Times New Roman"/>
          <w:color w:val="FF0000"/>
        </w:rPr>
        <w:t xml:space="preserve">for </w:t>
      </w:r>
      <w:r w:rsidRPr="00104A34">
        <w:rPr>
          <w:rFonts w:eastAsia="Times New Roman"/>
          <w:color w:val="FF0000"/>
        </w:rPr>
        <w:t>the interaction term, alongside a larger (more negative</w:t>
      </w:r>
      <w:r w:rsidR="00317A27" w:rsidRPr="00104A34">
        <w:rPr>
          <w:rFonts w:eastAsia="Times New Roman"/>
          <w:color w:val="FF0000"/>
        </w:rPr>
        <w:t>, and significant</w:t>
      </w:r>
      <w:r w:rsidRPr="00104A34">
        <w:rPr>
          <w:rFonts w:eastAsia="Times New Roman"/>
          <w:color w:val="FF0000"/>
        </w:rPr>
        <w:t>) coefficient for spending</w:t>
      </w:r>
      <w:r w:rsidRPr="008137D7">
        <w:rPr>
          <w:rFonts w:eastAsia="Times New Roman"/>
        </w:rPr>
        <w:t xml:space="preserve">. </w:t>
      </w:r>
      <w:r w:rsidRPr="008137D7">
        <w:rPr>
          <w:rFonts w:eastAsia="Times New Roman"/>
        </w:rPr>
        <w:lastRenderedPageBreak/>
        <w:t xml:space="preserve">Figure 2 plots the estimated effects on health spending preferences at the same low and high media constraints as in Figure 1.  Results are similar to what we saw for welfare, with </w:t>
      </w:r>
      <w:r w:rsidR="001D70AF" w:rsidRPr="008137D7">
        <w:rPr>
          <w:rFonts w:eastAsia="Times New Roman"/>
        </w:rPr>
        <w:t>less</w:t>
      </w:r>
      <w:r w:rsidRPr="008137D7">
        <w:rPr>
          <w:rFonts w:eastAsia="Times New Roman"/>
        </w:rPr>
        <w:t xml:space="preserve"> separation between the </w:t>
      </w:r>
      <w:r w:rsidR="001D70AF" w:rsidRPr="008137D7">
        <w:rPr>
          <w:rFonts w:eastAsia="Times New Roman"/>
        </w:rPr>
        <w:t>plotted effects,</w:t>
      </w:r>
      <w:r w:rsidR="00FF3AAF" w:rsidRPr="008137D7">
        <w:rPr>
          <w:rStyle w:val="FootnoteReference"/>
          <w:rFonts w:eastAsia="Times New Roman"/>
        </w:rPr>
        <w:footnoteReference w:id="7"/>
      </w:r>
      <w:r w:rsidR="001D70AF" w:rsidRPr="008137D7">
        <w:rPr>
          <w:rFonts w:eastAsia="Times New Roman"/>
        </w:rPr>
        <w:t xml:space="preserve"> but statistically-significant coefficients.</w:t>
      </w:r>
      <w:r w:rsidRPr="008137D7">
        <w:rPr>
          <w:rFonts w:eastAsia="Times New Roman"/>
        </w:rPr>
        <w:t xml:space="preserve">  In this case relative preferences decline as spending increases for both sets of countries, and there are </w:t>
      </w:r>
      <w:r w:rsidR="00FD33D9" w:rsidRPr="008137D7">
        <w:rPr>
          <w:rFonts w:eastAsia="Times New Roman"/>
        </w:rPr>
        <w:t xml:space="preserve">only </w:t>
      </w:r>
      <w:r w:rsidRPr="008137D7">
        <w:rPr>
          <w:rFonts w:eastAsia="Times New Roman"/>
        </w:rPr>
        <w:t>hints that the relationship is stronger where press limits are low.  The contrast with welfare may be revealing about the source(s) of information people rely on in the two domains, where health spending is more readily apparent from one’s own direct experience.</w:t>
      </w:r>
    </w:p>
    <w:p w14:paraId="67E6DD5E" w14:textId="4EB73D08" w:rsidR="00773ED8" w:rsidRPr="008137D7" w:rsidRDefault="00773ED8" w:rsidP="004E3975">
      <w:pPr>
        <w:ind w:left="630"/>
      </w:pPr>
      <w:r w:rsidRPr="008137D7">
        <w:t>Table 2. Modeling Relative Preferences for Health Spending</w:t>
      </w:r>
    </w:p>
    <w:tbl>
      <w:tblPr>
        <w:tblW w:w="0" w:type="auto"/>
        <w:tblCellSpacing w:w="0" w:type="dxa"/>
        <w:tblInd w:w="630" w:type="dxa"/>
        <w:tblLayout w:type="fixed"/>
        <w:tblCellMar>
          <w:left w:w="15" w:type="dxa"/>
          <w:right w:w="15" w:type="dxa"/>
        </w:tblCellMar>
        <w:tblLook w:val="04A0" w:firstRow="1" w:lastRow="0" w:firstColumn="1" w:lastColumn="0" w:noHBand="0" w:noVBand="1"/>
      </w:tblPr>
      <w:tblGrid>
        <w:gridCol w:w="1845"/>
        <w:gridCol w:w="1152"/>
        <w:gridCol w:w="1152"/>
        <w:gridCol w:w="1152"/>
        <w:gridCol w:w="1152"/>
      </w:tblGrid>
      <w:tr w:rsidR="008137D7" w:rsidRPr="008137D7" w14:paraId="7FA9E355" w14:textId="77777777" w:rsidTr="004E3975">
        <w:trPr>
          <w:tblCellSpacing w:w="0" w:type="dxa"/>
        </w:trPr>
        <w:tc>
          <w:tcPr>
            <w:tcW w:w="1845" w:type="dxa"/>
            <w:tcBorders>
              <w:top w:val="single" w:sz="8" w:space="0" w:color="auto"/>
              <w:bottom w:val="single" w:sz="8" w:space="0" w:color="auto"/>
            </w:tcBorders>
            <w:vAlign w:val="center"/>
          </w:tcPr>
          <w:p w14:paraId="1EC75550" w14:textId="77777777" w:rsidR="001D70AF" w:rsidRPr="008137D7" w:rsidRDefault="001D70AF" w:rsidP="00D27C95">
            <w:pPr>
              <w:rPr>
                <w:rFonts w:eastAsia="Times New Roman"/>
                <w:sz w:val="18"/>
                <w:szCs w:val="18"/>
              </w:rPr>
            </w:pPr>
          </w:p>
        </w:tc>
        <w:tc>
          <w:tcPr>
            <w:tcW w:w="1152" w:type="dxa"/>
            <w:tcBorders>
              <w:top w:val="single" w:sz="8" w:space="0" w:color="auto"/>
              <w:bottom w:val="single" w:sz="8" w:space="0" w:color="auto"/>
            </w:tcBorders>
            <w:vAlign w:val="center"/>
          </w:tcPr>
          <w:p w14:paraId="6020A2B2" w14:textId="77777777" w:rsidR="001D70AF" w:rsidRPr="008137D7" w:rsidRDefault="001D70AF" w:rsidP="00D27C95">
            <w:pPr>
              <w:jc w:val="center"/>
              <w:rPr>
                <w:rFonts w:eastAsia="Times New Roman"/>
                <w:sz w:val="18"/>
                <w:szCs w:val="18"/>
              </w:rPr>
            </w:pPr>
            <w:r w:rsidRPr="008137D7">
              <w:rPr>
                <w:rFonts w:eastAsia="Times New Roman"/>
                <w:sz w:val="18"/>
                <w:szCs w:val="18"/>
              </w:rPr>
              <w:t>Model 1</w:t>
            </w:r>
          </w:p>
        </w:tc>
        <w:tc>
          <w:tcPr>
            <w:tcW w:w="1152" w:type="dxa"/>
            <w:tcBorders>
              <w:top w:val="single" w:sz="8" w:space="0" w:color="auto"/>
              <w:bottom w:val="single" w:sz="8" w:space="0" w:color="auto"/>
            </w:tcBorders>
            <w:vAlign w:val="center"/>
          </w:tcPr>
          <w:p w14:paraId="5F0E6F30" w14:textId="77777777" w:rsidR="001D70AF" w:rsidRPr="008137D7" w:rsidRDefault="001D70AF" w:rsidP="00D27C95">
            <w:pPr>
              <w:jc w:val="center"/>
              <w:rPr>
                <w:rFonts w:eastAsia="Times New Roman"/>
                <w:sz w:val="18"/>
                <w:szCs w:val="18"/>
              </w:rPr>
            </w:pPr>
            <w:r w:rsidRPr="008137D7">
              <w:rPr>
                <w:rFonts w:eastAsia="Times New Roman"/>
                <w:sz w:val="18"/>
                <w:szCs w:val="18"/>
              </w:rPr>
              <w:t>Model 2</w:t>
            </w:r>
          </w:p>
        </w:tc>
        <w:tc>
          <w:tcPr>
            <w:tcW w:w="1152" w:type="dxa"/>
            <w:tcBorders>
              <w:top w:val="single" w:sz="8" w:space="0" w:color="auto"/>
              <w:bottom w:val="single" w:sz="8" w:space="0" w:color="auto"/>
            </w:tcBorders>
            <w:vAlign w:val="center"/>
          </w:tcPr>
          <w:p w14:paraId="47CC6D30" w14:textId="77777777" w:rsidR="001D70AF" w:rsidRPr="008137D7" w:rsidRDefault="001D70AF" w:rsidP="00D27C95">
            <w:pPr>
              <w:jc w:val="center"/>
              <w:rPr>
                <w:rFonts w:eastAsia="Times New Roman"/>
                <w:sz w:val="18"/>
                <w:szCs w:val="18"/>
              </w:rPr>
            </w:pPr>
            <w:r w:rsidRPr="008137D7">
              <w:rPr>
                <w:rFonts w:eastAsia="Times New Roman"/>
                <w:sz w:val="18"/>
                <w:szCs w:val="18"/>
              </w:rPr>
              <w:t>Model 3</w:t>
            </w:r>
          </w:p>
        </w:tc>
        <w:tc>
          <w:tcPr>
            <w:tcW w:w="1152" w:type="dxa"/>
            <w:tcBorders>
              <w:top w:val="single" w:sz="8" w:space="0" w:color="auto"/>
              <w:bottom w:val="single" w:sz="8" w:space="0" w:color="auto"/>
            </w:tcBorders>
            <w:vAlign w:val="center"/>
          </w:tcPr>
          <w:p w14:paraId="0885A1BC" w14:textId="77777777" w:rsidR="001D70AF" w:rsidRPr="008137D7" w:rsidRDefault="001D70AF" w:rsidP="00D27C95">
            <w:pPr>
              <w:jc w:val="center"/>
              <w:rPr>
                <w:rFonts w:eastAsia="Times New Roman"/>
                <w:sz w:val="18"/>
                <w:szCs w:val="18"/>
              </w:rPr>
            </w:pPr>
            <w:r w:rsidRPr="008137D7">
              <w:rPr>
                <w:rFonts w:eastAsia="Times New Roman"/>
                <w:sz w:val="18"/>
                <w:szCs w:val="18"/>
              </w:rPr>
              <w:t>Model 4</w:t>
            </w:r>
          </w:p>
        </w:tc>
      </w:tr>
      <w:tr w:rsidR="008137D7" w:rsidRPr="008137D7" w14:paraId="00187AE3" w14:textId="77777777" w:rsidTr="00063DA9">
        <w:trPr>
          <w:tblCellSpacing w:w="0" w:type="dxa"/>
        </w:trPr>
        <w:tc>
          <w:tcPr>
            <w:tcW w:w="1845" w:type="dxa"/>
            <w:vAlign w:val="center"/>
            <w:hideMark/>
          </w:tcPr>
          <w:p w14:paraId="33834218" w14:textId="77777777" w:rsidR="001D70AF" w:rsidRPr="008137D7" w:rsidRDefault="001D70AF" w:rsidP="00063DA9">
            <w:pPr>
              <w:rPr>
                <w:rFonts w:eastAsia="Times New Roman"/>
                <w:sz w:val="18"/>
                <w:szCs w:val="18"/>
              </w:rPr>
            </w:pPr>
            <w:r w:rsidRPr="008137D7">
              <w:rPr>
                <w:rFonts w:eastAsia="Times New Roman"/>
                <w:sz w:val="18"/>
                <w:szCs w:val="18"/>
              </w:rPr>
              <w:t>Spending</w:t>
            </w:r>
          </w:p>
        </w:tc>
        <w:tc>
          <w:tcPr>
            <w:tcW w:w="1152" w:type="dxa"/>
            <w:vAlign w:val="center"/>
            <w:hideMark/>
          </w:tcPr>
          <w:p w14:paraId="4D8B6344" w14:textId="77777777" w:rsidR="001D70AF" w:rsidRPr="008137D7" w:rsidRDefault="001D70AF" w:rsidP="00063DA9">
            <w:pPr>
              <w:jc w:val="center"/>
              <w:rPr>
                <w:rFonts w:eastAsia="Times New Roman"/>
                <w:sz w:val="18"/>
                <w:szCs w:val="18"/>
              </w:rPr>
            </w:pPr>
            <w:r w:rsidRPr="008137D7">
              <w:rPr>
                <w:rFonts w:eastAsia="Times New Roman"/>
                <w:sz w:val="18"/>
                <w:szCs w:val="18"/>
              </w:rPr>
              <w:t>-0.096***</w:t>
            </w:r>
          </w:p>
        </w:tc>
        <w:tc>
          <w:tcPr>
            <w:tcW w:w="1152" w:type="dxa"/>
            <w:vAlign w:val="center"/>
            <w:hideMark/>
          </w:tcPr>
          <w:p w14:paraId="776C0BA8" w14:textId="77777777" w:rsidR="001D70AF" w:rsidRPr="008137D7" w:rsidRDefault="001D70AF" w:rsidP="00063DA9">
            <w:pPr>
              <w:jc w:val="center"/>
              <w:rPr>
                <w:rFonts w:eastAsia="Times New Roman"/>
                <w:sz w:val="18"/>
                <w:szCs w:val="18"/>
              </w:rPr>
            </w:pPr>
            <w:r w:rsidRPr="008137D7">
              <w:rPr>
                <w:rFonts w:eastAsia="Times New Roman"/>
                <w:sz w:val="18"/>
                <w:szCs w:val="18"/>
              </w:rPr>
              <w:t>-0.223***</w:t>
            </w:r>
          </w:p>
        </w:tc>
        <w:tc>
          <w:tcPr>
            <w:tcW w:w="1152" w:type="dxa"/>
            <w:vAlign w:val="center"/>
            <w:hideMark/>
          </w:tcPr>
          <w:p w14:paraId="070811B6" w14:textId="77777777" w:rsidR="001D70AF" w:rsidRPr="008137D7" w:rsidRDefault="001D70AF" w:rsidP="00063DA9">
            <w:pPr>
              <w:jc w:val="center"/>
              <w:rPr>
                <w:rFonts w:eastAsia="Times New Roman"/>
                <w:sz w:val="18"/>
                <w:szCs w:val="18"/>
              </w:rPr>
            </w:pPr>
            <w:r w:rsidRPr="008137D7">
              <w:rPr>
                <w:rFonts w:eastAsia="Times New Roman"/>
                <w:sz w:val="18"/>
                <w:szCs w:val="18"/>
              </w:rPr>
              <w:t>-0.210***</w:t>
            </w:r>
          </w:p>
        </w:tc>
        <w:tc>
          <w:tcPr>
            <w:tcW w:w="1152" w:type="dxa"/>
            <w:vAlign w:val="center"/>
            <w:hideMark/>
          </w:tcPr>
          <w:p w14:paraId="5B9C3953" w14:textId="77777777" w:rsidR="001D70AF" w:rsidRPr="008137D7" w:rsidRDefault="001D70AF" w:rsidP="00063DA9">
            <w:pPr>
              <w:jc w:val="center"/>
              <w:rPr>
                <w:rFonts w:eastAsia="Times New Roman"/>
                <w:sz w:val="18"/>
                <w:szCs w:val="18"/>
              </w:rPr>
            </w:pPr>
            <w:r w:rsidRPr="008137D7">
              <w:rPr>
                <w:rFonts w:eastAsia="Times New Roman"/>
                <w:sz w:val="18"/>
                <w:szCs w:val="18"/>
              </w:rPr>
              <w:t>-0.371***</w:t>
            </w:r>
          </w:p>
        </w:tc>
      </w:tr>
      <w:tr w:rsidR="008137D7" w:rsidRPr="008137D7" w14:paraId="4DCE38E7" w14:textId="77777777" w:rsidTr="00063DA9">
        <w:trPr>
          <w:tblCellSpacing w:w="0" w:type="dxa"/>
        </w:trPr>
        <w:tc>
          <w:tcPr>
            <w:tcW w:w="1845" w:type="dxa"/>
            <w:vAlign w:val="center"/>
            <w:hideMark/>
          </w:tcPr>
          <w:p w14:paraId="462F0F43" w14:textId="77777777" w:rsidR="001D70AF" w:rsidRPr="008137D7" w:rsidRDefault="001D70AF" w:rsidP="00063DA9">
            <w:pPr>
              <w:jc w:val="center"/>
              <w:rPr>
                <w:rFonts w:eastAsia="Times New Roman"/>
                <w:sz w:val="18"/>
                <w:szCs w:val="18"/>
              </w:rPr>
            </w:pPr>
          </w:p>
        </w:tc>
        <w:tc>
          <w:tcPr>
            <w:tcW w:w="1152" w:type="dxa"/>
            <w:vAlign w:val="center"/>
            <w:hideMark/>
          </w:tcPr>
          <w:p w14:paraId="16694B0B" w14:textId="77777777" w:rsidR="001D70AF" w:rsidRPr="008137D7" w:rsidRDefault="001D70AF" w:rsidP="00063DA9">
            <w:pPr>
              <w:jc w:val="center"/>
              <w:rPr>
                <w:rFonts w:eastAsia="Times New Roman"/>
                <w:sz w:val="18"/>
                <w:szCs w:val="18"/>
              </w:rPr>
            </w:pPr>
            <w:r w:rsidRPr="008137D7">
              <w:rPr>
                <w:rFonts w:eastAsia="Times New Roman"/>
                <w:sz w:val="18"/>
                <w:szCs w:val="18"/>
              </w:rPr>
              <w:t>(0.031)</w:t>
            </w:r>
          </w:p>
        </w:tc>
        <w:tc>
          <w:tcPr>
            <w:tcW w:w="1152" w:type="dxa"/>
            <w:vAlign w:val="center"/>
            <w:hideMark/>
          </w:tcPr>
          <w:p w14:paraId="6070B3F8" w14:textId="77777777" w:rsidR="001D70AF" w:rsidRPr="008137D7" w:rsidRDefault="001D70AF" w:rsidP="00063DA9">
            <w:pPr>
              <w:jc w:val="center"/>
              <w:rPr>
                <w:rFonts w:eastAsia="Times New Roman"/>
                <w:sz w:val="18"/>
                <w:szCs w:val="18"/>
              </w:rPr>
            </w:pPr>
            <w:r w:rsidRPr="008137D7">
              <w:rPr>
                <w:rFonts w:eastAsia="Times New Roman"/>
                <w:sz w:val="18"/>
                <w:szCs w:val="18"/>
              </w:rPr>
              <w:t>(0.059)</w:t>
            </w:r>
          </w:p>
        </w:tc>
        <w:tc>
          <w:tcPr>
            <w:tcW w:w="1152" w:type="dxa"/>
            <w:vAlign w:val="center"/>
            <w:hideMark/>
          </w:tcPr>
          <w:p w14:paraId="5EB51C2A" w14:textId="77777777" w:rsidR="001D70AF" w:rsidRPr="008137D7" w:rsidRDefault="001D70AF" w:rsidP="00063DA9">
            <w:pPr>
              <w:jc w:val="center"/>
              <w:rPr>
                <w:rFonts w:eastAsia="Times New Roman"/>
                <w:sz w:val="18"/>
                <w:szCs w:val="18"/>
              </w:rPr>
            </w:pPr>
            <w:r w:rsidRPr="008137D7">
              <w:rPr>
                <w:rFonts w:eastAsia="Times New Roman"/>
                <w:sz w:val="18"/>
                <w:szCs w:val="18"/>
              </w:rPr>
              <w:t>(0.056)</w:t>
            </w:r>
          </w:p>
        </w:tc>
        <w:tc>
          <w:tcPr>
            <w:tcW w:w="1152" w:type="dxa"/>
            <w:vAlign w:val="center"/>
            <w:hideMark/>
          </w:tcPr>
          <w:p w14:paraId="650666C0" w14:textId="77777777" w:rsidR="001D70AF" w:rsidRPr="008137D7" w:rsidRDefault="001D70AF" w:rsidP="00063DA9">
            <w:pPr>
              <w:jc w:val="center"/>
              <w:rPr>
                <w:rFonts w:eastAsia="Times New Roman"/>
                <w:sz w:val="18"/>
                <w:szCs w:val="18"/>
              </w:rPr>
            </w:pPr>
            <w:r w:rsidRPr="008137D7">
              <w:rPr>
                <w:rFonts w:eastAsia="Times New Roman"/>
                <w:sz w:val="18"/>
                <w:szCs w:val="18"/>
              </w:rPr>
              <w:t>(0.094)</w:t>
            </w:r>
          </w:p>
        </w:tc>
      </w:tr>
      <w:tr w:rsidR="008137D7" w:rsidRPr="008137D7" w14:paraId="1D4F9B47" w14:textId="77777777" w:rsidTr="00063DA9">
        <w:trPr>
          <w:tblCellSpacing w:w="0" w:type="dxa"/>
        </w:trPr>
        <w:tc>
          <w:tcPr>
            <w:tcW w:w="1845" w:type="dxa"/>
            <w:vAlign w:val="center"/>
            <w:hideMark/>
          </w:tcPr>
          <w:p w14:paraId="7B69E3AF" w14:textId="77777777" w:rsidR="001D70AF" w:rsidRPr="008137D7" w:rsidRDefault="001D70AF" w:rsidP="00063DA9">
            <w:pPr>
              <w:rPr>
                <w:rFonts w:eastAsia="Times New Roman"/>
                <w:sz w:val="18"/>
                <w:szCs w:val="18"/>
              </w:rPr>
            </w:pPr>
            <w:r w:rsidRPr="008137D7">
              <w:rPr>
                <w:rFonts w:eastAsia="Times New Roman"/>
                <w:sz w:val="18"/>
                <w:szCs w:val="18"/>
              </w:rPr>
              <w:t>Press Limits</w:t>
            </w:r>
          </w:p>
        </w:tc>
        <w:tc>
          <w:tcPr>
            <w:tcW w:w="1152" w:type="dxa"/>
            <w:vAlign w:val="center"/>
            <w:hideMark/>
          </w:tcPr>
          <w:p w14:paraId="2850B4C0" w14:textId="77777777" w:rsidR="001D70AF" w:rsidRPr="008137D7" w:rsidRDefault="001D70AF" w:rsidP="00063DA9">
            <w:pPr>
              <w:rPr>
                <w:rFonts w:eastAsia="Times New Roman"/>
                <w:sz w:val="18"/>
                <w:szCs w:val="18"/>
              </w:rPr>
            </w:pPr>
          </w:p>
        </w:tc>
        <w:tc>
          <w:tcPr>
            <w:tcW w:w="1152" w:type="dxa"/>
            <w:vAlign w:val="center"/>
            <w:hideMark/>
          </w:tcPr>
          <w:p w14:paraId="3B32ED1C" w14:textId="77777777" w:rsidR="001D70AF" w:rsidRPr="008137D7" w:rsidRDefault="001D70AF" w:rsidP="00063DA9">
            <w:pPr>
              <w:jc w:val="center"/>
              <w:rPr>
                <w:rFonts w:eastAsia="Times New Roman"/>
                <w:sz w:val="18"/>
                <w:szCs w:val="18"/>
              </w:rPr>
            </w:pPr>
          </w:p>
        </w:tc>
        <w:tc>
          <w:tcPr>
            <w:tcW w:w="1152" w:type="dxa"/>
            <w:vAlign w:val="center"/>
            <w:hideMark/>
          </w:tcPr>
          <w:p w14:paraId="2BBF3054" w14:textId="77777777" w:rsidR="001D70AF" w:rsidRPr="008137D7" w:rsidRDefault="001D70AF" w:rsidP="00063DA9">
            <w:pPr>
              <w:jc w:val="center"/>
              <w:rPr>
                <w:rFonts w:eastAsia="Times New Roman"/>
                <w:sz w:val="18"/>
                <w:szCs w:val="18"/>
              </w:rPr>
            </w:pPr>
          </w:p>
        </w:tc>
        <w:tc>
          <w:tcPr>
            <w:tcW w:w="1152" w:type="dxa"/>
            <w:vAlign w:val="center"/>
            <w:hideMark/>
          </w:tcPr>
          <w:p w14:paraId="60ADC23B" w14:textId="77777777" w:rsidR="001D70AF" w:rsidRPr="008137D7" w:rsidRDefault="001D70AF" w:rsidP="00063DA9">
            <w:pPr>
              <w:jc w:val="center"/>
              <w:rPr>
                <w:rFonts w:eastAsia="Times New Roman"/>
                <w:sz w:val="18"/>
                <w:szCs w:val="18"/>
              </w:rPr>
            </w:pPr>
            <w:r w:rsidRPr="008137D7">
              <w:rPr>
                <w:rFonts w:eastAsia="Times New Roman"/>
                <w:sz w:val="18"/>
                <w:szCs w:val="18"/>
              </w:rPr>
              <w:t>-2.029*</w:t>
            </w:r>
          </w:p>
        </w:tc>
      </w:tr>
      <w:tr w:rsidR="008137D7" w:rsidRPr="008137D7" w14:paraId="6A833BE2" w14:textId="77777777" w:rsidTr="00063DA9">
        <w:trPr>
          <w:tblCellSpacing w:w="0" w:type="dxa"/>
        </w:trPr>
        <w:tc>
          <w:tcPr>
            <w:tcW w:w="1845" w:type="dxa"/>
            <w:vAlign w:val="center"/>
            <w:hideMark/>
          </w:tcPr>
          <w:p w14:paraId="1204C3DE" w14:textId="77777777" w:rsidR="001D70AF" w:rsidRPr="008137D7" w:rsidRDefault="001D70AF" w:rsidP="00063DA9">
            <w:pPr>
              <w:jc w:val="center"/>
              <w:rPr>
                <w:rFonts w:eastAsia="Times New Roman"/>
                <w:sz w:val="18"/>
                <w:szCs w:val="18"/>
              </w:rPr>
            </w:pPr>
          </w:p>
        </w:tc>
        <w:tc>
          <w:tcPr>
            <w:tcW w:w="1152" w:type="dxa"/>
            <w:vAlign w:val="center"/>
            <w:hideMark/>
          </w:tcPr>
          <w:p w14:paraId="5BDAE3A7" w14:textId="77777777" w:rsidR="001D70AF" w:rsidRPr="008137D7" w:rsidRDefault="001D70AF" w:rsidP="00063DA9">
            <w:pPr>
              <w:rPr>
                <w:rFonts w:eastAsia="Times New Roman"/>
                <w:sz w:val="18"/>
                <w:szCs w:val="18"/>
              </w:rPr>
            </w:pPr>
          </w:p>
        </w:tc>
        <w:tc>
          <w:tcPr>
            <w:tcW w:w="1152" w:type="dxa"/>
            <w:vAlign w:val="center"/>
            <w:hideMark/>
          </w:tcPr>
          <w:p w14:paraId="775C6CDC" w14:textId="77777777" w:rsidR="001D70AF" w:rsidRPr="008137D7" w:rsidRDefault="001D70AF" w:rsidP="00063DA9">
            <w:pPr>
              <w:jc w:val="center"/>
              <w:rPr>
                <w:rFonts w:eastAsia="Times New Roman"/>
                <w:sz w:val="18"/>
                <w:szCs w:val="18"/>
              </w:rPr>
            </w:pPr>
          </w:p>
        </w:tc>
        <w:tc>
          <w:tcPr>
            <w:tcW w:w="1152" w:type="dxa"/>
            <w:vAlign w:val="center"/>
            <w:hideMark/>
          </w:tcPr>
          <w:p w14:paraId="2FC9230B" w14:textId="77777777" w:rsidR="001D70AF" w:rsidRPr="008137D7" w:rsidRDefault="001D70AF" w:rsidP="00063DA9">
            <w:pPr>
              <w:jc w:val="center"/>
              <w:rPr>
                <w:rFonts w:eastAsia="Times New Roman"/>
                <w:sz w:val="18"/>
                <w:szCs w:val="18"/>
              </w:rPr>
            </w:pPr>
          </w:p>
        </w:tc>
        <w:tc>
          <w:tcPr>
            <w:tcW w:w="1152" w:type="dxa"/>
            <w:vAlign w:val="center"/>
            <w:hideMark/>
          </w:tcPr>
          <w:p w14:paraId="52521EDB" w14:textId="77777777" w:rsidR="001D70AF" w:rsidRPr="008137D7" w:rsidRDefault="001D70AF" w:rsidP="00063DA9">
            <w:pPr>
              <w:jc w:val="center"/>
              <w:rPr>
                <w:rFonts w:eastAsia="Times New Roman"/>
                <w:sz w:val="18"/>
                <w:szCs w:val="18"/>
              </w:rPr>
            </w:pPr>
            <w:r w:rsidRPr="008137D7">
              <w:rPr>
                <w:rFonts w:eastAsia="Times New Roman"/>
                <w:sz w:val="18"/>
                <w:szCs w:val="18"/>
              </w:rPr>
              <w:t>(0.877)</w:t>
            </w:r>
          </w:p>
        </w:tc>
      </w:tr>
      <w:tr w:rsidR="008137D7" w:rsidRPr="008137D7" w14:paraId="065D3372" w14:textId="77777777" w:rsidTr="00063DA9">
        <w:trPr>
          <w:tblCellSpacing w:w="0" w:type="dxa"/>
        </w:trPr>
        <w:tc>
          <w:tcPr>
            <w:tcW w:w="1845" w:type="dxa"/>
            <w:vAlign w:val="center"/>
          </w:tcPr>
          <w:p w14:paraId="479D3CE5" w14:textId="77777777" w:rsidR="001D70AF" w:rsidRPr="008137D7" w:rsidRDefault="001D70AF" w:rsidP="00063DA9">
            <w:pPr>
              <w:rPr>
                <w:rFonts w:eastAsia="Times New Roman"/>
                <w:i/>
                <w:sz w:val="18"/>
                <w:szCs w:val="18"/>
              </w:rPr>
            </w:pPr>
            <w:r w:rsidRPr="008137D7">
              <w:rPr>
                <w:rFonts w:eastAsia="Times New Roman"/>
                <w:sz w:val="18"/>
                <w:szCs w:val="18"/>
              </w:rPr>
              <w:t xml:space="preserve">  </w:t>
            </w:r>
            <w:r w:rsidRPr="008137D7">
              <w:rPr>
                <w:rFonts w:eastAsia="Times New Roman"/>
                <w:i/>
                <w:sz w:val="18"/>
                <w:szCs w:val="18"/>
              </w:rPr>
              <w:t>interaction</w:t>
            </w:r>
          </w:p>
        </w:tc>
        <w:tc>
          <w:tcPr>
            <w:tcW w:w="1152" w:type="dxa"/>
            <w:vAlign w:val="center"/>
          </w:tcPr>
          <w:p w14:paraId="7635F754" w14:textId="77777777" w:rsidR="001D70AF" w:rsidRPr="008137D7" w:rsidRDefault="001D70AF" w:rsidP="00063DA9">
            <w:pPr>
              <w:jc w:val="center"/>
              <w:rPr>
                <w:rFonts w:eastAsia="Times New Roman"/>
                <w:sz w:val="18"/>
                <w:szCs w:val="18"/>
              </w:rPr>
            </w:pPr>
          </w:p>
        </w:tc>
        <w:tc>
          <w:tcPr>
            <w:tcW w:w="1152" w:type="dxa"/>
            <w:vAlign w:val="center"/>
          </w:tcPr>
          <w:p w14:paraId="0F5E3F10" w14:textId="77777777" w:rsidR="001D70AF" w:rsidRPr="008137D7" w:rsidRDefault="001D70AF" w:rsidP="00063DA9">
            <w:pPr>
              <w:jc w:val="center"/>
              <w:rPr>
                <w:rFonts w:eastAsia="Times New Roman"/>
                <w:sz w:val="18"/>
                <w:szCs w:val="18"/>
              </w:rPr>
            </w:pPr>
          </w:p>
        </w:tc>
        <w:tc>
          <w:tcPr>
            <w:tcW w:w="1152" w:type="dxa"/>
            <w:vAlign w:val="center"/>
          </w:tcPr>
          <w:p w14:paraId="2DA611DE" w14:textId="77777777" w:rsidR="001D70AF" w:rsidRPr="008137D7" w:rsidRDefault="001D70AF" w:rsidP="00063DA9">
            <w:pPr>
              <w:jc w:val="center"/>
              <w:rPr>
                <w:rFonts w:eastAsia="Times New Roman"/>
                <w:sz w:val="18"/>
                <w:szCs w:val="18"/>
              </w:rPr>
            </w:pPr>
          </w:p>
        </w:tc>
        <w:tc>
          <w:tcPr>
            <w:tcW w:w="1152" w:type="dxa"/>
            <w:vAlign w:val="center"/>
          </w:tcPr>
          <w:p w14:paraId="57084F4F" w14:textId="77777777" w:rsidR="001D70AF" w:rsidRPr="008137D7" w:rsidRDefault="001D70AF" w:rsidP="00063DA9">
            <w:pPr>
              <w:jc w:val="center"/>
              <w:rPr>
                <w:rFonts w:eastAsia="Times New Roman"/>
                <w:sz w:val="18"/>
                <w:szCs w:val="18"/>
              </w:rPr>
            </w:pPr>
            <w:r w:rsidRPr="008137D7">
              <w:rPr>
                <w:rFonts w:eastAsia="Times New Roman"/>
                <w:sz w:val="18"/>
                <w:szCs w:val="18"/>
              </w:rPr>
              <w:t>0.583**</w:t>
            </w:r>
          </w:p>
        </w:tc>
      </w:tr>
      <w:tr w:rsidR="008137D7" w:rsidRPr="008137D7" w14:paraId="6FE624F4" w14:textId="77777777" w:rsidTr="00063DA9">
        <w:trPr>
          <w:tblCellSpacing w:w="0" w:type="dxa"/>
        </w:trPr>
        <w:tc>
          <w:tcPr>
            <w:tcW w:w="1845" w:type="dxa"/>
            <w:vAlign w:val="center"/>
          </w:tcPr>
          <w:p w14:paraId="408B5762" w14:textId="77777777" w:rsidR="001D70AF" w:rsidRPr="008137D7" w:rsidRDefault="001D70AF" w:rsidP="00063DA9">
            <w:pPr>
              <w:rPr>
                <w:rFonts w:eastAsia="Times New Roman"/>
                <w:sz w:val="18"/>
                <w:szCs w:val="18"/>
              </w:rPr>
            </w:pPr>
          </w:p>
        </w:tc>
        <w:tc>
          <w:tcPr>
            <w:tcW w:w="1152" w:type="dxa"/>
            <w:vAlign w:val="center"/>
          </w:tcPr>
          <w:p w14:paraId="3CA42291" w14:textId="77777777" w:rsidR="001D70AF" w:rsidRPr="008137D7" w:rsidRDefault="001D70AF" w:rsidP="00063DA9">
            <w:pPr>
              <w:jc w:val="center"/>
              <w:rPr>
                <w:rFonts w:eastAsia="Times New Roman"/>
                <w:sz w:val="18"/>
                <w:szCs w:val="18"/>
              </w:rPr>
            </w:pPr>
          </w:p>
        </w:tc>
        <w:tc>
          <w:tcPr>
            <w:tcW w:w="1152" w:type="dxa"/>
            <w:vAlign w:val="center"/>
          </w:tcPr>
          <w:p w14:paraId="7FCEF7F4" w14:textId="77777777" w:rsidR="001D70AF" w:rsidRPr="008137D7" w:rsidRDefault="001D70AF" w:rsidP="00063DA9">
            <w:pPr>
              <w:jc w:val="center"/>
              <w:rPr>
                <w:rFonts w:eastAsia="Times New Roman"/>
                <w:sz w:val="18"/>
                <w:szCs w:val="18"/>
              </w:rPr>
            </w:pPr>
          </w:p>
        </w:tc>
        <w:tc>
          <w:tcPr>
            <w:tcW w:w="1152" w:type="dxa"/>
            <w:vAlign w:val="center"/>
          </w:tcPr>
          <w:p w14:paraId="420B3F55" w14:textId="77777777" w:rsidR="001D70AF" w:rsidRPr="008137D7" w:rsidRDefault="001D70AF" w:rsidP="00063DA9">
            <w:pPr>
              <w:jc w:val="center"/>
              <w:rPr>
                <w:rFonts w:eastAsia="Times New Roman"/>
                <w:sz w:val="18"/>
                <w:szCs w:val="18"/>
              </w:rPr>
            </w:pPr>
          </w:p>
        </w:tc>
        <w:tc>
          <w:tcPr>
            <w:tcW w:w="1152" w:type="dxa"/>
            <w:vAlign w:val="center"/>
          </w:tcPr>
          <w:p w14:paraId="448964BD" w14:textId="77777777" w:rsidR="001D70AF" w:rsidRPr="008137D7" w:rsidRDefault="001D70AF" w:rsidP="00063DA9">
            <w:pPr>
              <w:jc w:val="center"/>
              <w:rPr>
                <w:rFonts w:eastAsia="Times New Roman"/>
                <w:sz w:val="18"/>
                <w:szCs w:val="18"/>
              </w:rPr>
            </w:pPr>
            <w:r w:rsidRPr="008137D7">
              <w:rPr>
                <w:rFonts w:eastAsia="Times New Roman"/>
                <w:sz w:val="18"/>
                <w:szCs w:val="18"/>
              </w:rPr>
              <w:t>(0.237)</w:t>
            </w:r>
          </w:p>
        </w:tc>
      </w:tr>
      <w:tr w:rsidR="008137D7" w:rsidRPr="008137D7" w14:paraId="367E6961" w14:textId="77777777" w:rsidTr="00063DA9">
        <w:trPr>
          <w:tblCellSpacing w:w="0" w:type="dxa"/>
        </w:trPr>
        <w:tc>
          <w:tcPr>
            <w:tcW w:w="1845" w:type="dxa"/>
            <w:vAlign w:val="center"/>
            <w:hideMark/>
          </w:tcPr>
          <w:p w14:paraId="50314190" w14:textId="77777777" w:rsidR="001D70AF" w:rsidRPr="008137D7" w:rsidRDefault="001D70AF" w:rsidP="00063DA9">
            <w:pPr>
              <w:rPr>
                <w:rFonts w:eastAsia="Times New Roman"/>
                <w:sz w:val="18"/>
                <w:szCs w:val="18"/>
              </w:rPr>
            </w:pPr>
            <w:r w:rsidRPr="008137D7">
              <w:rPr>
                <w:rFonts w:eastAsia="Times New Roman"/>
                <w:sz w:val="18"/>
                <w:szCs w:val="18"/>
              </w:rPr>
              <w:t>Female</w:t>
            </w:r>
          </w:p>
        </w:tc>
        <w:tc>
          <w:tcPr>
            <w:tcW w:w="1152" w:type="dxa"/>
            <w:vAlign w:val="center"/>
            <w:hideMark/>
          </w:tcPr>
          <w:p w14:paraId="0CAD0623" w14:textId="77777777" w:rsidR="001D70AF" w:rsidRPr="008137D7" w:rsidRDefault="001D70AF" w:rsidP="00063DA9">
            <w:pPr>
              <w:jc w:val="center"/>
              <w:rPr>
                <w:rFonts w:eastAsia="Times New Roman"/>
                <w:sz w:val="18"/>
                <w:szCs w:val="18"/>
              </w:rPr>
            </w:pPr>
            <w:r w:rsidRPr="008137D7">
              <w:rPr>
                <w:rFonts w:eastAsia="Times New Roman"/>
                <w:sz w:val="18"/>
                <w:szCs w:val="18"/>
              </w:rPr>
              <w:t>0.113***</w:t>
            </w:r>
          </w:p>
        </w:tc>
        <w:tc>
          <w:tcPr>
            <w:tcW w:w="1152" w:type="dxa"/>
            <w:vAlign w:val="center"/>
            <w:hideMark/>
          </w:tcPr>
          <w:p w14:paraId="64D11181" w14:textId="77777777" w:rsidR="001D70AF" w:rsidRPr="008137D7" w:rsidRDefault="001D70AF" w:rsidP="00063DA9">
            <w:pPr>
              <w:jc w:val="center"/>
              <w:rPr>
                <w:rFonts w:eastAsia="Times New Roman"/>
                <w:sz w:val="18"/>
                <w:szCs w:val="18"/>
              </w:rPr>
            </w:pPr>
            <w:r w:rsidRPr="008137D7">
              <w:rPr>
                <w:rFonts w:eastAsia="Times New Roman"/>
                <w:sz w:val="18"/>
                <w:szCs w:val="18"/>
              </w:rPr>
              <w:t>0.114***</w:t>
            </w:r>
          </w:p>
        </w:tc>
        <w:tc>
          <w:tcPr>
            <w:tcW w:w="1152" w:type="dxa"/>
            <w:vAlign w:val="center"/>
            <w:hideMark/>
          </w:tcPr>
          <w:p w14:paraId="439962D2" w14:textId="77777777" w:rsidR="001D70AF" w:rsidRPr="008137D7" w:rsidRDefault="001D70AF" w:rsidP="00063DA9">
            <w:pPr>
              <w:jc w:val="center"/>
              <w:rPr>
                <w:rFonts w:eastAsia="Times New Roman"/>
                <w:sz w:val="18"/>
                <w:szCs w:val="18"/>
              </w:rPr>
            </w:pPr>
            <w:r w:rsidRPr="008137D7">
              <w:rPr>
                <w:rFonts w:eastAsia="Times New Roman"/>
                <w:sz w:val="18"/>
                <w:szCs w:val="18"/>
              </w:rPr>
              <w:t>0.103***</w:t>
            </w:r>
          </w:p>
        </w:tc>
        <w:tc>
          <w:tcPr>
            <w:tcW w:w="1152" w:type="dxa"/>
            <w:vAlign w:val="center"/>
            <w:hideMark/>
          </w:tcPr>
          <w:p w14:paraId="6E70EDC6" w14:textId="77777777" w:rsidR="001D70AF" w:rsidRPr="008137D7" w:rsidRDefault="001D70AF" w:rsidP="00063DA9">
            <w:pPr>
              <w:jc w:val="center"/>
              <w:rPr>
                <w:rFonts w:eastAsia="Times New Roman"/>
                <w:sz w:val="18"/>
                <w:szCs w:val="18"/>
              </w:rPr>
            </w:pPr>
            <w:r w:rsidRPr="008137D7">
              <w:rPr>
                <w:rFonts w:eastAsia="Times New Roman"/>
                <w:sz w:val="18"/>
                <w:szCs w:val="18"/>
              </w:rPr>
              <w:t>0.107***</w:t>
            </w:r>
          </w:p>
        </w:tc>
      </w:tr>
      <w:tr w:rsidR="008137D7" w:rsidRPr="008137D7" w14:paraId="51E4DB9B" w14:textId="77777777" w:rsidTr="00063DA9">
        <w:trPr>
          <w:tblCellSpacing w:w="0" w:type="dxa"/>
        </w:trPr>
        <w:tc>
          <w:tcPr>
            <w:tcW w:w="1845" w:type="dxa"/>
            <w:vAlign w:val="center"/>
            <w:hideMark/>
          </w:tcPr>
          <w:p w14:paraId="2A9D84C8" w14:textId="77777777" w:rsidR="001D70AF" w:rsidRPr="008137D7" w:rsidRDefault="001D70AF" w:rsidP="00063DA9">
            <w:pPr>
              <w:jc w:val="center"/>
              <w:rPr>
                <w:rFonts w:eastAsia="Times New Roman"/>
                <w:sz w:val="18"/>
                <w:szCs w:val="18"/>
              </w:rPr>
            </w:pPr>
          </w:p>
        </w:tc>
        <w:tc>
          <w:tcPr>
            <w:tcW w:w="1152" w:type="dxa"/>
            <w:vAlign w:val="center"/>
            <w:hideMark/>
          </w:tcPr>
          <w:p w14:paraId="77FBBEA0" w14:textId="77777777" w:rsidR="001D70AF" w:rsidRPr="008137D7" w:rsidRDefault="001D70AF" w:rsidP="00063DA9">
            <w:pPr>
              <w:jc w:val="center"/>
              <w:rPr>
                <w:rFonts w:eastAsia="Times New Roman"/>
                <w:sz w:val="18"/>
                <w:szCs w:val="18"/>
              </w:rPr>
            </w:pPr>
            <w:r w:rsidRPr="008137D7">
              <w:rPr>
                <w:rFonts w:eastAsia="Times New Roman"/>
                <w:sz w:val="18"/>
                <w:szCs w:val="18"/>
              </w:rPr>
              <w:t>(0.021)</w:t>
            </w:r>
          </w:p>
        </w:tc>
        <w:tc>
          <w:tcPr>
            <w:tcW w:w="1152" w:type="dxa"/>
            <w:vAlign w:val="center"/>
            <w:hideMark/>
          </w:tcPr>
          <w:p w14:paraId="0FCCF564" w14:textId="77777777" w:rsidR="001D70AF" w:rsidRPr="008137D7" w:rsidRDefault="001D70AF" w:rsidP="00063DA9">
            <w:pPr>
              <w:jc w:val="center"/>
              <w:rPr>
                <w:rFonts w:eastAsia="Times New Roman"/>
                <w:sz w:val="18"/>
                <w:szCs w:val="18"/>
              </w:rPr>
            </w:pPr>
            <w:r w:rsidRPr="008137D7">
              <w:rPr>
                <w:rFonts w:eastAsia="Times New Roman"/>
                <w:sz w:val="18"/>
                <w:szCs w:val="18"/>
              </w:rPr>
              <w:t>(0.020)</w:t>
            </w:r>
          </w:p>
        </w:tc>
        <w:tc>
          <w:tcPr>
            <w:tcW w:w="1152" w:type="dxa"/>
            <w:vAlign w:val="center"/>
            <w:hideMark/>
          </w:tcPr>
          <w:p w14:paraId="44EEBB25" w14:textId="77777777" w:rsidR="001D70AF" w:rsidRPr="008137D7" w:rsidRDefault="001D70AF" w:rsidP="00063DA9">
            <w:pPr>
              <w:jc w:val="center"/>
              <w:rPr>
                <w:rFonts w:eastAsia="Times New Roman"/>
                <w:sz w:val="18"/>
                <w:szCs w:val="18"/>
              </w:rPr>
            </w:pPr>
            <w:r w:rsidRPr="008137D7">
              <w:rPr>
                <w:rFonts w:eastAsia="Times New Roman"/>
                <w:sz w:val="18"/>
                <w:szCs w:val="18"/>
              </w:rPr>
              <w:t>(0.019)</w:t>
            </w:r>
          </w:p>
        </w:tc>
        <w:tc>
          <w:tcPr>
            <w:tcW w:w="1152" w:type="dxa"/>
            <w:vAlign w:val="center"/>
            <w:hideMark/>
          </w:tcPr>
          <w:p w14:paraId="158E4EAA" w14:textId="77777777" w:rsidR="001D70AF" w:rsidRPr="008137D7" w:rsidRDefault="001D70AF" w:rsidP="00063DA9">
            <w:pPr>
              <w:jc w:val="center"/>
              <w:rPr>
                <w:rFonts w:eastAsia="Times New Roman"/>
                <w:sz w:val="18"/>
                <w:szCs w:val="18"/>
              </w:rPr>
            </w:pPr>
            <w:r w:rsidRPr="008137D7">
              <w:rPr>
                <w:rFonts w:eastAsia="Times New Roman"/>
                <w:sz w:val="18"/>
                <w:szCs w:val="18"/>
              </w:rPr>
              <w:t>(0.021)</w:t>
            </w:r>
          </w:p>
        </w:tc>
      </w:tr>
      <w:tr w:rsidR="008137D7" w:rsidRPr="008137D7" w14:paraId="15A7A462" w14:textId="77777777" w:rsidTr="00063DA9">
        <w:trPr>
          <w:tblCellSpacing w:w="0" w:type="dxa"/>
        </w:trPr>
        <w:tc>
          <w:tcPr>
            <w:tcW w:w="1845" w:type="dxa"/>
            <w:vAlign w:val="center"/>
            <w:hideMark/>
          </w:tcPr>
          <w:p w14:paraId="53C9A1CC" w14:textId="77777777" w:rsidR="001D70AF" w:rsidRPr="008137D7" w:rsidRDefault="001D70AF" w:rsidP="00063DA9">
            <w:pPr>
              <w:rPr>
                <w:rFonts w:eastAsia="Times New Roman"/>
                <w:sz w:val="18"/>
                <w:szCs w:val="18"/>
              </w:rPr>
            </w:pPr>
            <w:r w:rsidRPr="008137D7">
              <w:rPr>
                <w:rFonts w:eastAsia="Times New Roman"/>
                <w:sz w:val="18"/>
                <w:szCs w:val="18"/>
              </w:rPr>
              <w:t>Age</w:t>
            </w:r>
          </w:p>
        </w:tc>
        <w:tc>
          <w:tcPr>
            <w:tcW w:w="1152" w:type="dxa"/>
            <w:vAlign w:val="center"/>
            <w:hideMark/>
          </w:tcPr>
          <w:p w14:paraId="7950FCCD" w14:textId="77777777" w:rsidR="001D70AF" w:rsidRPr="008137D7" w:rsidRDefault="001D70AF" w:rsidP="00063DA9">
            <w:pPr>
              <w:jc w:val="center"/>
              <w:rPr>
                <w:rFonts w:eastAsia="Times New Roman"/>
                <w:sz w:val="18"/>
                <w:szCs w:val="18"/>
              </w:rPr>
            </w:pPr>
            <w:r w:rsidRPr="008137D7">
              <w:rPr>
                <w:rFonts w:eastAsia="Times New Roman"/>
                <w:sz w:val="18"/>
                <w:szCs w:val="18"/>
              </w:rPr>
              <w:t>0.001</w:t>
            </w:r>
          </w:p>
        </w:tc>
        <w:tc>
          <w:tcPr>
            <w:tcW w:w="1152" w:type="dxa"/>
            <w:vAlign w:val="center"/>
            <w:hideMark/>
          </w:tcPr>
          <w:p w14:paraId="32FF41AE" w14:textId="77777777" w:rsidR="001D70AF" w:rsidRPr="008137D7" w:rsidRDefault="001D70AF" w:rsidP="00063DA9">
            <w:pPr>
              <w:jc w:val="center"/>
              <w:rPr>
                <w:rFonts w:eastAsia="Times New Roman"/>
                <w:sz w:val="18"/>
                <w:szCs w:val="18"/>
              </w:rPr>
            </w:pPr>
            <w:r w:rsidRPr="008137D7">
              <w:rPr>
                <w:rFonts w:eastAsia="Times New Roman"/>
                <w:sz w:val="18"/>
                <w:szCs w:val="18"/>
              </w:rPr>
              <w:t>0.001</w:t>
            </w:r>
          </w:p>
        </w:tc>
        <w:tc>
          <w:tcPr>
            <w:tcW w:w="1152" w:type="dxa"/>
            <w:vAlign w:val="center"/>
            <w:hideMark/>
          </w:tcPr>
          <w:p w14:paraId="058777C5" w14:textId="77777777" w:rsidR="001D70AF" w:rsidRPr="008137D7" w:rsidRDefault="001D70AF" w:rsidP="00063DA9">
            <w:pPr>
              <w:jc w:val="center"/>
              <w:rPr>
                <w:rFonts w:eastAsia="Times New Roman"/>
                <w:sz w:val="18"/>
                <w:szCs w:val="18"/>
              </w:rPr>
            </w:pPr>
            <w:r w:rsidRPr="008137D7">
              <w:rPr>
                <w:rFonts w:eastAsia="Times New Roman"/>
                <w:sz w:val="18"/>
                <w:szCs w:val="18"/>
              </w:rPr>
              <w:t>0.001</w:t>
            </w:r>
          </w:p>
        </w:tc>
        <w:tc>
          <w:tcPr>
            <w:tcW w:w="1152" w:type="dxa"/>
            <w:vAlign w:val="center"/>
            <w:hideMark/>
          </w:tcPr>
          <w:p w14:paraId="390A85F3" w14:textId="77777777" w:rsidR="001D70AF" w:rsidRPr="008137D7" w:rsidRDefault="001D70AF" w:rsidP="00063DA9">
            <w:pPr>
              <w:jc w:val="center"/>
              <w:rPr>
                <w:rFonts w:eastAsia="Times New Roman"/>
                <w:sz w:val="18"/>
                <w:szCs w:val="18"/>
              </w:rPr>
            </w:pPr>
            <w:r w:rsidRPr="008137D7">
              <w:rPr>
                <w:rFonts w:eastAsia="Times New Roman"/>
                <w:sz w:val="18"/>
                <w:szCs w:val="18"/>
              </w:rPr>
              <w:t>0.002</w:t>
            </w:r>
          </w:p>
        </w:tc>
      </w:tr>
      <w:tr w:rsidR="008137D7" w:rsidRPr="008137D7" w14:paraId="2F0C6BAC" w14:textId="77777777" w:rsidTr="00063DA9">
        <w:trPr>
          <w:tblCellSpacing w:w="0" w:type="dxa"/>
        </w:trPr>
        <w:tc>
          <w:tcPr>
            <w:tcW w:w="1845" w:type="dxa"/>
            <w:vAlign w:val="center"/>
            <w:hideMark/>
          </w:tcPr>
          <w:p w14:paraId="5B59F846" w14:textId="77777777" w:rsidR="001D70AF" w:rsidRPr="008137D7" w:rsidRDefault="001D70AF" w:rsidP="00063DA9">
            <w:pPr>
              <w:jc w:val="center"/>
              <w:rPr>
                <w:rFonts w:eastAsia="Times New Roman"/>
                <w:sz w:val="18"/>
                <w:szCs w:val="18"/>
              </w:rPr>
            </w:pPr>
          </w:p>
        </w:tc>
        <w:tc>
          <w:tcPr>
            <w:tcW w:w="1152" w:type="dxa"/>
            <w:vAlign w:val="center"/>
            <w:hideMark/>
          </w:tcPr>
          <w:p w14:paraId="259689DF" w14:textId="77777777" w:rsidR="001D70AF" w:rsidRPr="008137D7" w:rsidRDefault="001D70AF" w:rsidP="00063DA9">
            <w:pPr>
              <w:jc w:val="center"/>
              <w:rPr>
                <w:rFonts w:eastAsia="Times New Roman"/>
                <w:sz w:val="18"/>
                <w:szCs w:val="18"/>
              </w:rPr>
            </w:pPr>
            <w:r w:rsidRPr="008137D7">
              <w:rPr>
                <w:rFonts w:eastAsia="Times New Roman"/>
                <w:sz w:val="18"/>
                <w:szCs w:val="18"/>
              </w:rPr>
              <w:t>(0.001)</w:t>
            </w:r>
          </w:p>
        </w:tc>
        <w:tc>
          <w:tcPr>
            <w:tcW w:w="1152" w:type="dxa"/>
            <w:vAlign w:val="center"/>
            <w:hideMark/>
          </w:tcPr>
          <w:p w14:paraId="1B33EDD5" w14:textId="77777777" w:rsidR="001D70AF" w:rsidRPr="008137D7" w:rsidRDefault="001D70AF" w:rsidP="00063DA9">
            <w:pPr>
              <w:jc w:val="center"/>
              <w:rPr>
                <w:rFonts w:eastAsia="Times New Roman"/>
                <w:sz w:val="18"/>
                <w:szCs w:val="18"/>
              </w:rPr>
            </w:pPr>
            <w:r w:rsidRPr="008137D7">
              <w:rPr>
                <w:rFonts w:eastAsia="Times New Roman"/>
                <w:sz w:val="18"/>
                <w:szCs w:val="18"/>
              </w:rPr>
              <w:t>(0.001)</w:t>
            </w:r>
          </w:p>
        </w:tc>
        <w:tc>
          <w:tcPr>
            <w:tcW w:w="1152" w:type="dxa"/>
            <w:vAlign w:val="center"/>
            <w:hideMark/>
          </w:tcPr>
          <w:p w14:paraId="3237B23C" w14:textId="77777777" w:rsidR="001D70AF" w:rsidRPr="008137D7" w:rsidRDefault="001D70AF" w:rsidP="00063DA9">
            <w:pPr>
              <w:jc w:val="center"/>
              <w:rPr>
                <w:rFonts w:eastAsia="Times New Roman"/>
                <w:sz w:val="18"/>
                <w:szCs w:val="18"/>
              </w:rPr>
            </w:pPr>
            <w:r w:rsidRPr="008137D7">
              <w:rPr>
                <w:rFonts w:eastAsia="Times New Roman"/>
                <w:sz w:val="18"/>
                <w:szCs w:val="18"/>
              </w:rPr>
              <w:t>(0.001)</w:t>
            </w:r>
          </w:p>
        </w:tc>
        <w:tc>
          <w:tcPr>
            <w:tcW w:w="1152" w:type="dxa"/>
            <w:vAlign w:val="center"/>
            <w:hideMark/>
          </w:tcPr>
          <w:p w14:paraId="1DBD87EF" w14:textId="77777777" w:rsidR="001D70AF" w:rsidRPr="008137D7" w:rsidRDefault="001D70AF" w:rsidP="00063DA9">
            <w:pPr>
              <w:jc w:val="center"/>
              <w:rPr>
                <w:rFonts w:eastAsia="Times New Roman"/>
                <w:sz w:val="18"/>
                <w:szCs w:val="18"/>
              </w:rPr>
            </w:pPr>
            <w:r w:rsidRPr="008137D7">
              <w:rPr>
                <w:rFonts w:eastAsia="Times New Roman"/>
                <w:sz w:val="18"/>
                <w:szCs w:val="18"/>
              </w:rPr>
              <w:t>(0.001)</w:t>
            </w:r>
          </w:p>
        </w:tc>
      </w:tr>
      <w:tr w:rsidR="008137D7" w:rsidRPr="008137D7" w14:paraId="13FF8134" w14:textId="77777777" w:rsidTr="00063DA9">
        <w:trPr>
          <w:tblCellSpacing w:w="0" w:type="dxa"/>
        </w:trPr>
        <w:tc>
          <w:tcPr>
            <w:tcW w:w="1845" w:type="dxa"/>
            <w:vAlign w:val="center"/>
            <w:hideMark/>
          </w:tcPr>
          <w:p w14:paraId="0A8B6CD2" w14:textId="77777777" w:rsidR="001D70AF" w:rsidRPr="008137D7" w:rsidRDefault="001D70AF" w:rsidP="00063DA9">
            <w:pPr>
              <w:rPr>
                <w:rFonts w:eastAsia="Times New Roman"/>
                <w:sz w:val="18"/>
                <w:szCs w:val="18"/>
              </w:rPr>
            </w:pPr>
            <w:r w:rsidRPr="008137D7">
              <w:rPr>
                <w:rFonts w:eastAsia="Times New Roman"/>
                <w:sz w:val="18"/>
                <w:szCs w:val="18"/>
              </w:rPr>
              <w:t>Education</w:t>
            </w:r>
          </w:p>
        </w:tc>
        <w:tc>
          <w:tcPr>
            <w:tcW w:w="1152" w:type="dxa"/>
            <w:vAlign w:val="center"/>
            <w:hideMark/>
          </w:tcPr>
          <w:p w14:paraId="21DA64C5" w14:textId="77777777" w:rsidR="001D70AF" w:rsidRPr="008137D7" w:rsidRDefault="001D70AF" w:rsidP="00063DA9">
            <w:pPr>
              <w:jc w:val="center"/>
              <w:rPr>
                <w:rFonts w:eastAsia="Times New Roman"/>
                <w:sz w:val="18"/>
                <w:szCs w:val="18"/>
              </w:rPr>
            </w:pPr>
            <w:r w:rsidRPr="008137D7">
              <w:rPr>
                <w:rFonts w:eastAsia="Times New Roman"/>
                <w:sz w:val="18"/>
                <w:szCs w:val="18"/>
              </w:rPr>
              <w:t>-0.110</w:t>
            </w:r>
          </w:p>
        </w:tc>
        <w:tc>
          <w:tcPr>
            <w:tcW w:w="1152" w:type="dxa"/>
            <w:vAlign w:val="center"/>
            <w:hideMark/>
          </w:tcPr>
          <w:p w14:paraId="5258A10C" w14:textId="77777777" w:rsidR="001D70AF" w:rsidRPr="008137D7" w:rsidRDefault="001D70AF" w:rsidP="00063DA9">
            <w:pPr>
              <w:jc w:val="center"/>
              <w:rPr>
                <w:rFonts w:eastAsia="Times New Roman"/>
                <w:sz w:val="18"/>
                <w:szCs w:val="18"/>
              </w:rPr>
            </w:pPr>
            <w:r w:rsidRPr="008137D7">
              <w:rPr>
                <w:rFonts w:eastAsia="Times New Roman"/>
                <w:sz w:val="18"/>
                <w:szCs w:val="18"/>
              </w:rPr>
              <w:t>-0.091</w:t>
            </w:r>
          </w:p>
        </w:tc>
        <w:tc>
          <w:tcPr>
            <w:tcW w:w="1152" w:type="dxa"/>
            <w:vAlign w:val="center"/>
            <w:hideMark/>
          </w:tcPr>
          <w:p w14:paraId="2D272E24" w14:textId="77777777" w:rsidR="001D70AF" w:rsidRPr="008137D7" w:rsidRDefault="001D70AF" w:rsidP="00063DA9">
            <w:pPr>
              <w:jc w:val="center"/>
              <w:rPr>
                <w:rFonts w:eastAsia="Times New Roman"/>
                <w:sz w:val="18"/>
                <w:szCs w:val="18"/>
              </w:rPr>
            </w:pPr>
            <w:r w:rsidRPr="008137D7">
              <w:rPr>
                <w:rFonts w:eastAsia="Times New Roman"/>
                <w:sz w:val="18"/>
                <w:szCs w:val="18"/>
              </w:rPr>
              <w:t>-0.081</w:t>
            </w:r>
          </w:p>
        </w:tc>
        <w:tc>
          <w:tcPr>
            <w:tcW w:w="1152" w:type="dxa"/>
            <w:vAlign w:val="center"/>
            <w:hideMark/>
          </w:tcPr>
          <w:p w14:paraId="5321DA51" w14:textId="77777777" w:rsidR="001D70AF" w:rsidRPr="008137D7" w:rsidRDefault="001D70AF" w:rsidP="00063DA9">
            <w:pPr>
              <w:jc w:val="center"/>
              <w:rPr>
                <w:rFonts w:eastAsia="Times New Roman"/>
                <w:sz w:val="18"/>
                <w:szCs w:val="18"/>
              </w:rPr>
            </w:pPr>
            <w:r w:rsidRPr="008137D7">
              <w:rPr>
                <w:rFonts w:eastAsia="Times New Roman"/>
                <w:sz w:val="18"/>
                <w:szCs w:val="18"/>
              </w:rPr>
              <w:t>-0.076</w:t>
            </w:r>
          </w:p>
        </w:tc>
      </w:tr>
      <w:tr w:rsidR="008137D7" w:rsidRPr="008137D7" w14:paraId="4062B2DD" w14:textId="77777777" w:rsidTr="00063DA9">
        <w:trPr>
          <w:tblCellSpacing w:w="0" w:type="dxa"/>
        </w:trPr>
        <w:tc>
          <w:tcPr>
            <w:tcW w:w="1845" w:type="dxa"/>
            <w:vAlign w:val="center"/>
            <w:hideMark/>
          </w:tcPr>
          <w:p w14:paraId="4C0C6435" w14:textId="77777777" w:rsidR="001D70AF" w:rsidRPr="008137D7" w:rsidRDefault="001D70AF" w:rsidP="00063DA9">
            <w:pPr>
              <w:jc w:val="center"/>
              <w:rPr>
                <w:rFonts w:eastAsia="Times New Roman"/>
                <w:sz w:val="18"/>
                <w:szCs w:val="18"/>
              </w:rPr>
            </w:pPr>
          </w:p>
        </w:tc>
        <w:tc>
          <w:tcPr>
            <w:tcW w:w="1152" w:type="dxa"/>
            <w:vAlign w:val="center"/>
            <w:hideMark/>
          </w:tcPr>
          <w:p w14:paraId="126D2790" w14:textId="77777777" w:rsidR="001D70AF" w:rsidRPr="008137D7" w:rsidRDefault="001D70AF" w:rsidP="00063DA9">
            <w:pPr>
              <w:jc w:val="center"/>
              <w:rPr>
                <w:rFonts w:eastAsia="Times New Roman"/>
                <w:sz w:val="18"/>
                <w:szCs w:val="18"/>
              </w:rPr>
            </w:pPr>
            <w:r w:rsidRPr="008137D7">
              <w:rPr>
                <w:rFonts w:eastAsia="Times New Roman"/>
                <w:sz w:val="18"/>
                <w:szCs w:val="18"/>
              </w:rPr>
              <w:t>(0.098)</w:t>
            </w:r>
          </w:p>
        </w:tc>
        <w:tc>
          <w:tcPr>
            <w:tcW w:w="1152" w:type="dxa"/>
            <w:vAlign w:val="center"/>
            <w:hideMark/>
          </w:tcPr>
          <w:p w14:paraId="00937EC8" w14:textId="77777777" w:rsidR="001D70AF" w:rsidRPr="008137D7" w:rsidRDefault="001D70AF" w:rsidP="00063DA9">
            <w:pPr>
              <w:jc w:val="center"/>
              <w:rPr>
                <w:rFonts w:eastAsia="Times New Roman"/>
                <w:sz w:val="18"/>
                <w:szCs w:val="18"/>
              </w:rPr>
            </w:pPr>
            <w:r w:rsidRPr="008137D7">
              <w:rPr>
                <w:rFonts w:eastAsia="Times New Roman"/>
                <w:sz w:val="18"/>
                <w:szCs w:val="18"/>
              </w:rPr>
              <w:t>(0.090)</w:t>
            </w:r>
          </w:p>
        </w:tc>
        <w:tc>
          <w:tcPr>
            <w:tcW w:w="1152" w:type="dxa"/>
            <w:vAlign w:val="center"/>
            <w:hideMark/>
          </w:tcPr>
          <w:p w14:paraId="35736C5D" w14:textId="77777777" w:rsidR="001D70AF" w:rsidRPr="008137D7" w:rsidRDefault="001D70AF" w:rsidP="00063DA9">
            <w:pPr>
              <w:jc w:val="center"/>
              <w:rPr>
                <w:rFonts w:eastAsia="Times New Roman"/>
                <w:sz w:val="18"/>
                <w:szCs w:val="18"/>
              </w:rPr>
            </w:pPr>
            <w:r w:rsidRPr="008137D7">
              <w:rPr>
                <w:rFonts w:eastAsia="Times New Roman"/>
                <w:sz w:val="18"/>
                <w:szCs w:val="18"/>
              </w:rPr>
              <w:t>(0.092)</w:t>
            </w:r>
          </w:p>
        </w:tc>
        <w:tc>
          <w:tcPr>
            <w:tcW w:w="1152" w:type="dxa"/>
            <w:vAlign w:val="center"/>
            <w:hideMark/>
          </w:tcPr>
          <w:p w14:paraId="2810FDFC" w14:textId="77777777" w:rsidR="001D70AF" w:rsidRPr="008137D7" w:rsidRDefault="001D70AF" w:rsidP="00063DA9">
            <w:pPr>
              <w:jc w:val="center"/>
              <w:rPr>
                <w:rFonts w:eastAsia="Times New Roman"/>
                <w:sz w:val="18"/>
                <w:szCs w:val="18"/>
              </w:rPr>
            </w:pPr>
            <w:r w:rsidRPr="008137D7">
              <w:rPr>
                <w:rFonts w:eastAsia="Times New Roman"/>
                <w:sz w:val="18"/>
                <w:szCs w:val="18"/>
              </w:rPr>
              <w:t>(0.072)</w:t>
            </w:r>
          </w:p>
        </w:tc>
      </w:tr>
      <w:tr w:rsidR="008137D7" w:rsidRPr="008137D7" w14:paraId="3596F287" w14:textId="77777777" w:rsidTr="00063DA9">
        <w:trPr>
          <w:tblCellSpacing w:w="0" w:type="dxa"/>
        </w:trPr>
        <w:tc>
          <w:tcPr>
            <w:tcW w:w="1845" w:type="dxa"/>
            <w:vAlign w:val="center"/>
            <w:hideMark/>
          </w:tcPr>
          <w:p w14:paraId="2574AC51" w14:textId="77777777" w:rsidR="001D70AF" w:rsidRPr="008137D7" w:rsidRDefault="001D70AF" w:rsidP="00063DA9">
            <w:pPr>
              <w:rPr>
                <w:rFonts w:eastAsia="Times New Roman"/>
                <w:sz w:val="18"/>
                <w:szCs w:val="18"/>
              </w:rPr>
            </w:pPr>
            <w:r w:rsidRPr="008137D7">
              <w:rPr>
                <w:rFonts w:eastAsia="Times New Roman"/>
                <w:sz w:val="18"/>
                <w:szCs w:val="18"/>
              </w:rPr>
              <w:t>Std Living</w:t>
            </w:r>
          </w:p>
        </w:tc>
        <w:tc>
          <w:tcPr>
            <w:tcW w:w="1152" w:type="dxa"/>
            <w:vAlign w:val="center"/>
            <w:hideMark/>
          </w:tcPr>
          <w:p w14:paraId="080365B6" w14:textId="77777777" w:rsidR="001D70AF" w:rsidRPr="008137D7" w:rsidRDefault="001D70AF" w:rsidP="00063DA9">
            <w:pPr>
              <w:jc w:val="center"/>
              <w:rPr>
                <w:rFonts w:eastAsia="Times New Roman"/>
                <w:sz w:val="18"/>
                <w:szCs w:val="18"/>
              </w:rPr>
            </w:pPr>
            <w:r w:rsidRPr="008137D7">
              <w:rPr>
                <w:rFonts w:eastAsia="Times New Roman"/>
                <w:sz w:val="18"/>
                <w:szCs w:val="18"/>
              </w:rPr>
              <w:t>-0.004</w:t>
            </w:r>
          </w:p>
        </w:tc>
        <w:tc>
          <w:tcPr>
            <w:tcW w:w="1152" w:type="dxa"/>
            <w:vAlign w:val="center"/>
            <w:hideMark/>
          </w:tcPr>
          <w:p w14:paraId="0561B922" w14:textId="77777777" w:rsidR="001D70AF" w:rsidRPr="008137D7" w:rsidRDefault="001D70AF" w:rsidP="00063DA9">
            <w:pPr>
              <w:jc w:val="center"/>
              <w:rPr>
                <w:rFonts w:eastAsia="Times New Roman"/>
                <w:sz w:val="18"/>
                <w:szCs w:val="18"/>
              </w:rPr>
            </w:pPr>
            <w:r w:rsidRPr="008137D7">
              <w:rPr>
                <w:rFonts w:eastAsia="Times New Roman"/>
                <w:sz w:val="18"/>
                <w:szCs w:val="18"/>
              </w:rPr>
              <w:t>-0.003</w:t>
            </w:r>
          </w:p>
        </w:tc>
        <w:tc>
          <w:tcPr>
            <w:tcW w:w="1152" w:type="dxa"/>
            <w:vAlign w:val="center"/>
            <w:hideMark/>
          </w:tcPr>
          <w:p w14:paraId="110801CE" w14:textId="77777777" w:rsidR="001D70AF" w:rsidRPr="008137D7" w:rsidRDefault="001D70AF" w:rsidP="00063DA9">
            <w:pPr>
              <w:jc w:val="center"/>
              <w:rPr>
                <w:rFonts w:eastAsia="Times New Roman"/>
                <w:sz w:val="18"/>
                <w:szCs w:val="18"/>
              </w:rPr>
            </w:pPr>
            <w:r w:rsidRPr="008137D7">
              <w:rPr>
                <w:rFonts w:eastAsia="Times New Roman"/>
                <w:sz w:val="18"/>
                <w:szCs w:val="18"/>
              </w:rPr>
              <w:t>0.062</w:t>
            </w:r>
          </w:p>
        </w:tc>
        <w:tc>
          <w:tcPr>
            <w:tcW w:w="1152" w:type="dxa"/>
            <w:vAlign w:val="center"/>
            <w:hideMark/>
          </w:tcPr>
          <w:p w14:paraId="7B39F501" w14:textId="77777777" w:rsidR="001D70AF" w:rsidRPr="008137D7" w:rsidRDefault="001D70AF" w:rsidP="00063DA9">
            <w:pPr>
              <w:jc w:val="center"/>
              <w:rPr>
                <w:rFonts w:eastAsia="Times New Roman"/>
                <w:sz w:val="18"/>
                <w:szCs w:val="18"/>
              </w:rPr>
            </w:pPr>
            <w:r w:rsidRPr="008137D7">
              <w:rPr>
                <w:rFonts w:eastAsia="Times New Roman"/>
                <w:sz w:val="18"/>
                <w:szCs w:val="18"/>
              </w:rPr>
              <w:t>0.091</w:t>
            </w:r>
          </w:p>
        </w:tc>
      </w:tr>
      <w:tr w:rsidR="008137D7" w:rsidRPr="008137D7" w14:paraId="1AF83B8E" w14:textId="77777777" w:rsidTr="00063DA9">
        <w:trPr>
          <w:tblCellSpacing w:w="0" w:type="dxa"/>
        </w:trPr>
        <w:tc>
          <w:tcPr>
            <w:tcW w:w="1845" w:type="dxa"/>
            <w:vAlign w:val="center"/>
            <w:hideMark/>
          </w:tcPr>
          <w:p w14:paraId="7AE2F763" w14:textId="77777777" w:rsidR="001D70AF" w:rsidRPr="008137D7" w:rsidRDefault="001D70AF" w:rsidP="00063DA9">
            <w:pPr>
              <w:jc w:val="center"/>
              <w:rPr>
                <w:rFonts w:eastAsia="Times New Roman"/>
                <w:sz w:val="18"/>
                <w:szCs w:val="18"/>
              </w:rPr>
            </w:pPr>
          </w:p>
        </w:tc>
        <w:tc>
          <w:tcPr>
            <w:tcW w:w="1152" w:type="dxa"/>
            <w:vAlign w:val="center"/>
            <w:hideMark/>
          </w:tcPr>
          <w:p w14:paraId="703982B4" w14:textId="77777777" w:rsidR="001D70AF" w:rsidRPr="008137D7" w:rsidRDefault="001D70AF" w:rsidP="00063DA9">
            <w:pPr>
              <w:jc w:val="center"/>
              <w:rPr>
                <w:rFonts w:eastAsia="Times New Roman"/>
                <w:sz w:val="18"/>
                <w:szCs w:val="18"/>
              </w:rPr>
            </w:pPr>
            <w:r w:rsidRPr="008137D7">
              <w:rPr>
                <w:rFonts w:eastAsia="Times New Roman"/>
                <w:sz w:val="18"/>
                <w:szCs w:val="18"/>
              </w:rPr>
              <w:t>(0.070)</w:t>
            </w:r>
          </w:p>
        </w:tc>
        <w:tc>
          <w:tcPr>
            <w:tcW w:w="1152" w:type="dxa"/>
            <w:vAlign w:val="center"/>
            <w:hideMark/>
          </w:tcPr>
          <w:p w14:paraId="69582967" w14:textId="77777777" w:rsidR="001D70AF" w:rsidRPr="008137D7" w:rsidRDefault="001D70AF" w:rsidP="00063DA9">
            <w:pPr>
              <w:jc w:val="center"/>
              <w:rPr>
                <w:rFonts w:eastAsia="Times New Roman"/>
                <w:sz w:val="18"/>
                <w:szCs w:val="18"/>
              </w:rPr>
            </w:pPr>
            <w:r w:rsidRPr="008137D7">
              <w:rPr>
                <w:rFonts w:eastAsia="Times New Roman"/>
                <w:sz w:val="18"/>
                <w:szCs w:val="18"/>
              </w:rPr>
              <w:t>(0.064)</w:t>
            </w:r>
          </w:p>
        </w:tc>
        <w:tc>
          <w:tcPr>
            <w:tcW w:w="1152" w:type="dxa"/>
            <w:vAlign w:val="center"/>
            <w:hideMark/>
          </w:tcPr>
          <w:p w14:paraId="7639318D" w14:textId="77777777" w:rsidR="001D70AF" w:rsidRPr="008137D7" w:rsidRDefault="001D70AF" w:rsidP="00063DA9">
            <w:pPr>
              <w:jc w:val="center"/>
              <w:rPr>
                <w:rFonts w:eastAsia="Times New Roman"/>
                <w:sz w:val="18"/>
                <w:szCs w:val="18"/>
              </w:rPr>
            </w:pPr>
            <w:r w:rsidRPr="008137D7">
              <w:rPr>
                <w:rFonts w:eastAsia="Times New Roman"/>
                <w:sz w:val="18"/>
                <w:szCs w:val="18"/>
              </w:rPr>
              <w:t>(0.058)</w:t>
            </w:r>
          </w:p>
        </w:tc>
        <w:tc>
          <w:tcPr>
            <w:tcW w:w="1152" w:type="dxa"/>
            <w:vAlign w:val="center"/>
            <w:hideMark/>
          </w:tcPr>
          <w:p w14:paraId="0B2EE5F6" w14:textId="77777777" w:rsidR="001D70AF" w:rsidRPr="008137D7" w:rsidRDefault="001D70AF" w:rsidP="00063DA9">
            <w:pPr>
              <w:jc w:val="center"/>
              <w:rPr>
                <w:rFonts w:eastAsia="Times New Roman"/>
                <w:sz w:val="18"/>
                <w:szCs w:val="18"/>
              </w:rPr>
            </w:pPr>
            <w:r w:rsidRPr="008137D7">
              <w:rPr>
                <w:rFonts w:eastAsia="Times New Roman"/>
                <w:sz w:val="18"/>
                <w:szCs w:val="18"/>
              </w:rPr>
              <w:t>(0.057)</w:t>
            </w:r>
          </w:p>
        </w:tc>
      </w:tr>
      <w:tr w:rsidR="008137D7" w:rsidRPr="008137D7" w14:paraId="3A7BCA46" w14:textId="77777777" w:rsidTr="00063DA9">
        <w:trPr>
          <w:tblCellSpacing w:w="0" w:type="dxa"/>
        </w:trPr>
        <w:tc>
          <w:tcPr>
            <w:tcW w:w="1845" w:type="dxa"/>
            <w:vAlign w:val="center"/>
            <w:hideMark/>
          </w:tcPr>
          <w:p w14:paraId="40117899" w14:textId="77777777" w:rsidR="001D70AF" w:rsidRPr="008137D7" w:rsidRDefault="001D70AF" w:rsidP="00063DA9">
            <w:pPr>
              <w:rPr>
                <w:rFonts w:eastAsia="Times New Roman"/>
                <w:sz w:val="18"/>
                <w:szCs w:val="18"/>
              </w:rPr>
            </w:pPr>
            <w:r w:rsidRPr="008137D7">
              <w:rPr>
                <w:rFonts w:eastAsia="Times New Roman"/>
                <w:sz w:val="18"/>
                <w:szCs w:val="18"/>
              </w:rPr>
              <w:t>Mean Spending</w:t>
            </w:r>
          </w:p>
        </w:tc>
        <w:tc>
          <w:tcPr>
            <w:tcW w:w="1152" w:type="dxa"/>
            <w:vAlign w:val="center"/>
            <w:hideMark/>
          </w:tcPr>
          <w:p w14:paraId="794C6064" w14:textId="77777777" w:rsidR="001D70AF" w:rsidRPr="008137D7" w:rsidRDefault="001D70AF" w:rsidP="00063DA9">
            <w:pPr>
              <w:rPr>
                <w:rFonts w:eastAsia="Times New Roman"/>
                <w:sz w:val="18"/>
                <w:szCs w:val="18"/>
              </w:rPr>
            </w:pPr>
          </w:p>
        </w:tc>
        <w:tc>
          <w:tcPr>
            <w:tcW w:w="1152" w:type="dxa"/>
            <w:vAlign w:val="center"/>
            <w:hideMark/>
          </w:tcPr>
          <w:p w14:paraId="021AE23B" w14:textId="77777777" w:rsidR="001D70AF" w:rsidRPr="008137D7" w:rsidRDefault="001D70AF" w:rsidP="00063DA9">
            <w:pPr>
              <w:jc w:val="center"/>
              <w:rPr>
                <w:rFonts w:eastAsia="Times New Roman"/>
                <w:sz w:val="18"/>
                <w:szCs w:val="18"/>
              </w:rPr>
            </w:pPr>
            <w:r w:rsidRPr="008137D7">
              <w:rPr>
                <w:rFonts w:eastAsia="Times New Roman"/>
                <w:sz w:val="18"/>
                <w:szCs w:val="18"/>
              </w:rPr>
              <w:t>0.157*</w:t>
            </w:r>
          </w:p>
        </w:tc>
        <w:tc>
          <w:tcPr>
            <w:tcW w:w="1152" w:type="dxa"/>
            <w:vAlign w:val="center"/>
            <w:hideMark/>
          </w:tcPr>
          <w:p w14:paraId="5C659553" w14:textId="77777777" w:rsidR="001D70AF" w:rsidRPr="008137D7" w:rsidRDefault="001D70AF" w:rsidP="00063DA9">
            <w:pPr>
              <w:jc w:val="center"/>
              <w:rPr>
                <w:rFonts w:eastAsia="Times New Roman"/>
                <w:sz w:val="18"/>
                <w:szCs w:val="18"/>
              </w:rPr>
            </w:pPr>
            <w:r w:rsidRPr="008137D7">
              <w:rPr>
                <w:rFonts w:eastAsia="Times New Roman"/>
                <w:sz w:val="18"/>
                <w:szCs w:val="18"/>
              </w:rPr>
              <w:t>0.134</w:t>
            </w:r>
            <w:r w:rsidRPr="008137D7">
              <w:rPr>
                <w:rFonts w:eastAsia="Times New Roman"/>
                <w:sz w:val="18"/>
                <w:szCs w:val="18"/>
                <w:vertAlign w:val="superscript"/>
              </w:rPr>
              <w:t>a</w:t>
            </w:r>
          </w:p>
        </w:tc>
        <w:tc>
          <w:tcPr>
            <w:tcW w:w="1152" w:type="dxa"/>
            <w:vAlign w:val="center"/>
            <w:hideMark/>
          </w:tcPr>
          <w:p w14:paraId="401E6B38" w14:textId="77777777" w:rsidR="001D70AF" w:rsidRPr="008137D7" w:rsidRDefault="001D70AF" w:rsidP="00063DA9">
            <w:pPr>
              <w:jc w:val="center"/>
              <w:rPr>
                <w:rFonts w:eastAsia="Times New Roman"/>
                <w:sz w:val="18"/>
                <w:szCs w:val="18"/>
              </w:rPr>
            </w:pPr>
            <w:r w:rsidRPr="008137D7">
              <w:rPr>
                <w:rFonts w:eastAsia="Times New Roman"/>
                <w:sz w:val="18"/>
                <w:szCs w:val="18"/>
              </w:rPr>
              <w:t>0.171*</w:t>
            </w:r>
          </w:p>
        </w:tc>
      </w:tr>
      <w:tr w:rsidR="008137D7" w:rsidRPr="008137D7" w14:paraId="14E45C10" w14:textId="77777777" w:rsidTr="00063DA9">
        <w:trPr>
          <w:tblCellSpacing w:w="0" w:type="dxa"/>
        </w:trPr>
        <w:tc>
          <w:tcPr>
            <w:tcW w:w="1845" w:type="dxa"/>
            <w:vAlign w:val="center"/>
            <w:hideMark/>
          </w:tcPr>
          <w:p w14:paraId="3A0BAF9B" w14:textId="77777777" w:rsidR="001D70AF" w:rsidRPr="008137D7" w:rsidRDefault="001D70AF" w:rsidP="00063DA9">
            <w:pPr>
              <w:jc w:val="center"/>
              <w:rPr>
                <w:rFonts w:eastAsia="Times New Roman"/>
                <w:sz w:val="18"/>
                <w:szCs w:val="18"/>
              </w:rPr>
            </w:pPr>
          </w:p>
        </w:tc>
        <w:tc>
          <w:tcPr>
            <w:tcW w:w="1152" w:type="dxa"/>
            <w:vAlign w:val="center"/>
            <w:hideMark/>
          </w:tcPr>
          <w:p w14:paraId="6D5C8E6B" w14:textId="77777777" w:rsidR="001D70AF" w:rsidRPr="008137D7" w:rsidRDefault="001D70AF" w:rsidP="00063DA9">
            <w:pPr>
              <w:rPr>
                <w:rFonts w:eastAsia="Times New Roman"/>
                <w:sz w:val="18"/>
                <w:szCs w:val="18"/>
              </w:rPr>
            </w:pPr>
          </w:p>
        </w:tc>
        <w:tc>
          <w:tcPr>
            <w:tcW w:w="1152" w:type="dxa"/>
            <w:vAlign w:val="center"/>
            <w:hideMark/>
          </w:tcPr>
          <w:p w14:paraId="12D09928" w14:textId="77777777" w:rsidR="001D70AF" w:rsidRPr="008137D7" w:rsidRDefault="001D70AF" w:rsidP="00063DA9">
            <w:pPr>
              <w:jc w:val="center"/>
              <w:rPr>
                <w:rFonts w:eastAsia="Times New Roman"/>
                <w:sz w:val="18"/>
                <w:szCs w:val="18"/>
              </w:rPr>
            </w:pPr>
            <w:r w:rsidRPr="008137D7">
              <w:rPr>
                <w:rFonts w:eastAsia="Times New Roman"/>
                <w:sz w:val="18"/>
                <w:szCs w:val="18"/>
              </w:rPr>
              <w:t>(0.067)</w:t>
            </w:r>
          </w:p>
        </w:tc>
        <w:tc>
          <w:tcPr>
            <w:tcW w:w="1152" w:type="dxa"/>
            <w:vAlign w:val="center"/>
            <w:hideMark/>
          </w:tcPr>
          <w:p w14:paraId="679057CA" w14:textId="77777777" w:rsidR="001D70AF" w:rsidRPr="008137D7" w:rsidRDefault="001D70AF" w:rsidP="00063DA9">
            <w:pPr>
              <w:jc w:val="center"/>
              <w:rPr>
                <w:rFonts w:eastAsia="Times New Roman"/>
                <w:sz w:val="18"/>
                <w:szCs w:val="18"/>
              </w:rPr>
            </w:pPr>
            <w:r w:rsidRPr="008137D7">
              <w:rPr>
                <w:rFonts w:eastAsia="Times New Roman"/>
                <w:sz w:val="18"/>
                <w:szCs w:val="18"/>
              </w:rPr>
              <w:t>(0.069)</w:t>
            </w:r>
          </w:p>
        </w:tc>
        <w:tc>
          <w:tcPr>
            <w:tcW w:w="1152" w:type="dxa"/>
            <w:vAlign w:val="center"/>
            <w:hideMark/>
          </w:tcPr>
          <w:p w14:paraId="2784CC6E" w14:textId="77777777" w:rsidR="001D70AF" w:rsidRPr="008137D7" w:rsidRDefault="001D70AF" w:rsidP="00063DA9">
            <w:pPr>
              <w:jc w:val="center"/>
              <w:rPr>
                <w:rFonts w:eastAsia="Times New Roman"/>
                <w:sz w:val="18"/>
                <w:szCs w:val="18"/>
              </w:rPr>
            </w:pPr>
            <w:r w:rsidRPr="008137D7">
              <w:rPr>
                <w:rFonts w:eastAsia="Times New Roman"/>
                <w:sz w:val="18"/>
                <w:szCs w:val="18"/>
              </w:rPr>
              <w:t>(0.080)</w:t>
            </w:r>
          </w:p>
        </w:tc>
      </w:tr>
      <w:tr w:rsidR="008137D7" w:rsidRPr="008137D7" w14:paraId="2E553209" w14:textId="77777777" w:rsidTr="00063DA9">
        <w:trPr>
          <w:tblCellSpacing w:w="0" w:type="dxa"/>
        </w:trPr>
        <w:tc>
          <w:tcPr>
            <w:tcW w:w="1845" w:type="dxa"/>
            <w:vAlign w:val="center"/>
          </w:tcPr>
          <w:p w14:paraId="17AC87FD" w14:textId="77777777" w:rsidR="001D70AF" w:rsidRPr="008137D7" w:rsidRDefault="001D70AF" w:rsidP="00063DA9">
            <w:pPr>
              <w:rPr>
                <w:rFonts w:eastAsia="Times New Roman"/>
                <w:sz w:val="18"/>
                <w:szCs w:val="18"/>
              </w:rPr>
            </w:pPr>
            <w:r w:rsidRPr="008137D7">
              <w:rPr>
                <w:rFonts w:eastAsia="Times New Roman"/>
                <w:sz w:val="18"/>
                <w:szCs w:val="18"/>
              </w:rPr>
              <w:t>Gov Reduce</w:t>
            </w:r>
          </w:p>
        </w:tc>
        <w:tc>
          <w:tcPr>
            <w:tcW w:w="1152" w:type="dxa"/>
            <w:vAlign w:val="center"/>
          </w:tcPr>
          <w:p w14:paraId="50E9B4E6" w14:textId="77777777" w:rsidR="001D70AF" w:rsidRPr="008137D7" w:rsidRDefault="001D70AF" w:rsidP="00063DA9">
            <w:pPr>
              <w:rPr>
                <w:rFonts w:eastAsia="Times New Roman"/>
                <w:sz w:val="18"/>
                <w:szCs w:val="18"/>
              </w:rPr>
            </w:pPr>
          </w:p>
        </w:tc>
        <w:tc>
          <w:tcPr>
            <w:tcW w:w="1152" w:type="dxa"/>
            <w:vAlign w:val="center"/>
          </w:tcPr>
          <w:p w14:paraId="30CDBA0A" w14:textId="77777777" w:rsidR="001D70AF" w:rsidRPr="008137D7" w:rsidRDefault="001D70AF" w:rsidP="00063DA9">
            <w:pPr>
              <w:jc w:val="center"/>
              <w:rPr>
                <w:rFonts w:eastAsia="Times New Roman"/>
                <w:sz w:val="18"/>
                <w:szCs w:val="18"/>
              </w:rPr>
            </w:pPr>
          </w:p>
        </w:tc>
        <w:tc>
          <w:tcPr>
            <w:tcW w:w="1152" w:type="dxa"/>
            <w:vAlign w:val="center"/>
          </w:tcPr>
          <w:p w14:paraId="5F66ED58" w14:textId="77777777" w:rsidR="001D70AF" w:rsidRPr="008137D7" w:rsidRDefault="001D70AF" w:rsidP="00063DA9">
            <w:pPr>
              <w:jc w:val="center"/>
              <w:rPr>
                <w:rFonts w:eastAsia="Times New Roman"/>
                <w:sz w:val="18"/>
                <w:szCs w:val="18"/>
              </w:rPr>
            </w:pPr>
            <w:r w:rsidRPr="008137D7">
              <w:rPr>
                <w:rFonts w:eastAsia="Times New Roman"/>
                <w:sz w:val="18"/>
                <w:szCs w:val="18"/>
              </w:rPr>
              <w:t>0.304***</w:t>
            </w:r>
          </w:p>
        </w:tc>
        <w:tc>
          <w:tcPr>
            <w:tcW w:w="1152" w:type="dxa"/>
            <w:vAlign w:val="center"/>
          </w:tcPr>
          <w:p w14:paraId="0AAC2F66" w14:textId="77777777" w:rsidR="001D70AF" w:rsidRPr="008137D7" w:rsidRDefault="001D70AF" w:rsidP="00063DA9">
            <w:pPr>
              <w:jc w:val="center"/>
              <w:rPr>
                <w:rFonts w:eastAsia="Times New Roman"/>
                <w:sz w:val="18"/>
                <w:szCs w:val="18"/>
              </w:rPr>
            </w:pPr>
            <w:r w:rsidRPr="008137D7">
              <w:rPr>
                <w:rFonts w:eastAsia="Times New Roman"/>
                <w:sz w:val="18"/>
                <w:szCs w:val="18"/>
              </w:rPr>
              <w:t>0.286***</w:t>
            </w:r>
          </w:p>
        </w:tc>
      </w:tr>
      <w:tr w:rsidR="008137D7" w:rsidRPr="008137D7" w14:paraId="52396B9E" w14:textId="77777777" w:rsidTr="00063DA9">
        <w:trPr>
          <w:tblCellSpacing w:w="0" w:type="dxa"/>
        </w:trPr>
        <w:tc>
          <w:tcPr>
            <w:tcW w:w="1845" w:type="dxa"/>
            <w:vAlign w:val="center"/>
          </w:tcPr>
          <w:p w14:paraId="156D43B6" w14:textId="77777777" w:rsidR="001D70AF" w:rsidRPr="008137D7" w:rsidRDefault="001D70AF" w:rsidP="00063DA9">
            <w:pPr>
              <w:rPr>
                <w:rFonts w:eastAsia="Times New Roman"/>
                <w:sz w:val="18"/>
                <w:szCs w:val="18"/>
              </w:rPr>
            </w:pPr>
          </w:p>
        </w:tc>
        <w:tc>
          <w:tcPr>
            <w:tcW w:w="1152" w:type="dxa"/>
            <w:vAlign w:val="center"/>
          </w:tcPr>
          <w:p w14:paraId="1BCB58B0" w14:textId="77777777" w:rsidR="001D70AF" w:rsidRPr="008137D7" w:rsidRDefault="001D70AF" w:rsidP="00063DA9">
            <w:pPr>
              <w:rPr>
                <w:rFonts w:eastAsia="Times New Roman"/>
                <w:sz w:val="18"/>
                <w:szCs w:val="18"/>
              </w:rPr>
            </w:pPr>
          </w:p>
        </w:tc>
        <w:tc>
          <w:tcPr>
            <w:tcW w:w="1152" w:type="dxa"/>
            <w:vAlign w:val="center"/>
          </w:tcPr>
          <w:p w14:paraId="63161AEC" w14:textId="77777777" w:rsidR="001D70AF" w:rsidRPr="008137D7" w:rsidRDefault="001D70AF" w:rsidP="00063DA9">
            <w:pPr>
              <w:jc w:val="center"/>
              <w:rPr>
                <w:rFonts w:eastAsia="Times New Roman"/>
                <w:sz w:val="18"/>
                <w:szCs w:val="18"/>
              </w:rPr>
            </w:pPr>
          </w:p>
        </w:tc>
        <w:tc>
          <w:tcPr>
            <w:tcW w:w="1152" w:type="dxa"/>
            <w:vAlign w:val="center"/>
          </w:tcPr>
          <w:p w14:paraId="6213B868" w14:textId="77777777" w:rsidR="001D70AF" w:rsidRPr="008137D7" w:rsidRDefault="001D70AF" w:rsidP="00063DA9">
            <w:pPr>
              <w:jc w:val="center"/>
              <w:rPr>
                <w:rFonts w:eastAsia="Times New Roman"/>
                <w:sz w:val="18"/>
                <w:szCs w:val="18"/>
              </w:rPr>
            </w:pPr>
            <w:r w:rsidRPr="008137D7">
              <w:rPr>
                <w:rFonts w:eastAsia="Times New Roman"/>
                <w:sz w:val="18"/>
                <w:szCs w:val="18"/>
              </w:rPr>
              <w:t>(0.068)</w:t>
            </w:r>
          </w:p>
        </w:tc>
        <w:tc>
          <w:tcPr>
            <w:tcW w:w="1152" w:type="dxa"/>
            <w:vAlign w:val="center"/>
          </w:tcPr>
          <w:p w14:paraId="29966478" w14:textId="77777777" w:rsidR="001D70AF" w:rsidRPr="008137D7" w:rsidRDefault="001D70AF" w:rsidP="00063DA9">
            <w:pPr>
              <w:jc w:val="center"/>
              <w:rPr>
                <w:rFonts w:eastAsia="Times New Roman"/>
                <w:sz w:val="18"/>
                <w:szCs w:val="18"/>
              </w:rPr>
            </w:pPr>
            <w:r w:rsidRPr="008137D7">
              <w:rPr>
                <w:rFonts w:eastAsia="Times New Roman"/>
                <w:sz w:val="18"/>
                <w:szCs w:val="18"/>
              </w:rPr>
              <w:t>(0.059)</w:t>
            </w:r>
          </w:p>
        </w:tc>
      </w:tr>
      <w:tr w:rsidR="008137D7" w:rsidRPr="008137D7" w14:paraId="56A93858" w14:textId="77777777" w:rsidTr="00063DA9">
        <w:trPr>
          <w:tblCellSpacing w:w="0" w:type="dxa"/>
        </w:trPr>
        <w:tc>
          <w:tcPr>
            <w:tcW w:w="1845" w:type="dxa"/>
            <w:vAlign w:val="center"/>
            <w:hideMark/>
          </w:tcPr>
          <w:p w14:paraId="7FE277C4" w14:textId="77777777" w:rsidR="001D70AF" w:rsidRPr="008137D7" w:rsidRDefault="001D70AF" w:rsidP="00063DA9">
            <w:pPr>
              <w:rPr>
                <w:rFonts w:eastAsia="Times New Roman"/>
                <w:sz w:val="18"/>
                <w:szCs w:val="18"/>
              </w:rPr>
            </w:pPr>
            <w:r w:rsidRPr="008137D7">
              <w:rPr>
                <w:rFonts w:eastAsia="Times New Roman"/>
                <w:sz w:val="18"/>
                <w:szCs w:val="18"/>
              </w:rPr>
              <w:t>Ideology</w:t>
            </w:r>
          </w:p>
        </w:tc>
        <w:tc>
          <w:tcPr>
            <w:tcW w:w="1152" w:type="dxa"/>
            <w:vAlign w:val="center"/>
            <w:hideMark/>
          </w:tcPr>
          <w:p w14:paraId="2E19A592" w14:textId="77777777" w:rsidR="001D70AF" w:rsidRPr="008137D7" w:rsidRDefault="001D70AF" w:rsidP="00063DA9">
            <w:pPr>
              <w:rPr>
                <w:rFonts w:eastAsia="Times New Roman"/>
                <w:sz w:val="18"/>
                <w:szCs w:val="18"/>
              </w:rPr>
            </w:pPr>
          </w:p>
        </w:tc>
        <w:tc>
          <w:tcPr>
            <w:tcW w:w="1152" w:type="dxa"/>
            <w:vAlign w:val="center"/>
            <w:hideMark/>
          </w:tcPr>
          <w:p w14:paraId="28F1A62F" w14:textId="77777777" w:rsidR="001D70AF" w:rsidRPr="008137D7" w:rsidRDefault="001D70AF" w:rsidP="00063DA9">
            <w:pPr>
              <w:jc w:val="center"/>
              <w:rPr>
                <w:rFonts w:eastAsia="Times New Roman"/>
                <w:sz w:val="18"/>
                <w:szCs w:val="18"/>
              </w:rPr>
            </w:pPr>
          </w:p>
        </w:tc>
        <w:tc>
          <w:tcPr>
            <w:tcW w:w="1152" w:type="dxa"/>
            <w:vAlign w:val="center"/>
            <w:hideMark/>
          </w:tcPr>
          <w:p w14:paraId="5981323D" w14:textId="77777777" w:rsidR="001D70AF" w:rsidRPr="008137D7" w:rsidRDefault="001D70AF" w:rsidP="00063DA9">
            <w:pPr>
              <w:jc w:val="center"/>
              <w:rPr>
                <w:rFonts w:eastAsia="Times New Roman"/>
                <w:sz w:val="18"/>
                <w:szCs w:val="18"/>
              </w:rPr>
            </w:pPr>
            <w:r w:rsidRPr="008137D7">
              <w:rPr>
                <w:rFonts w:eastAsia="Times New Roman"/>
                <w:sz w:val="18"/>
                <w:szCs w:val="18"/>
              </w:rPr>
              <w:t>-0.030***</w:t>
            </w:r>
          </w:p>
        </w:tc>
        <w:tc>
          <w:tcPr>
            <w:tcW w:w="1152" w:type="dxa"/>
            <w:vAlign w:val="center"/>
            <w:hideMark/>
          </w:tcPr>
          <w:p w14:paraId="4C712DD8" w14:textId="77777777" w:rsidR="001D70AF" w:rsidRPr="008137D7" w:rsidRDefault="001D70AF" w:rsidP="00063DA9">
            <w:pPr>
              <w:jc w:val="center"/>
              <w:rPr>
                <w:rFonts w:eastAsia="Times New Roman"/>
                <w:sz w:val="18"/>
                <w:szCs w:val="18"/>
              </w:rPr>
            </w:pPr>
            <w:r w:rsidRPr="008137D7">
              <w:rPr>
                <w:rFonts w:eastAsia="Times New Roman"/>
                <w:sz w:val="18"/>
                <w:szCs w:val="18"/>
              </w:rPr>
              <w:t>-0.029***</w:t>
            </w:r>
          </w:p>
        </w:tc>
      </w:tr>
      <w:tr w:rsidR="008137D7" w:rsidRPr="008137D7" w14:paraId="445D93A6" w14:textId="77777777" w:rsidTr="00063DA9">
        <w:trPr>
          <w:tblCellSpacing w:w="0" w:type="dxa"/>
        </w:trPr>
        <w:tc>
          <w:tcPr>
            <w:tcW w:w="1845" w:type="dxa"/>
            <w:vAlign w:val="center"/>
            <w:hideMark/>
          </w:tcPr>
          <w:p w14:paraId="34E3736B" w14:textId="77777777" w:rsidR="001D70AF" w:rsidRPr="008137D7" w:rsidRDefault="001D70AF" w:rsidP="00063DA9">
            <w:pPr>
              <w:jc w:val="center"/>
              <w:rPr>
                <w:rFonts w:eastAsia="Times New Roman"/>
                <w:sz w:val="18"/>
                <w:szCs w:val="18"/>
              </w:rPr>
            </w:pPr>
          </w:p>
        </w:tc>
        <w:tc>
          <w:tcPr>
            <w:tcW w:w="1152" w:type="dxa"/>
            <w:vAlign w:val="center"/>
            <w:hideMark/>
          </w:tcPr>
          <w:p w14:paraId="14CF957C" w14:textId="77777777" w:rsidR="001D70AF" w:rsidRPr="008137D7" w:rsidRDefault="001D70AF" w:rsidP="00063DA9">
            <w:pPr>
              <w:rPr>
                <w:rFonts w:eastAsia="Times New Roman"/>
                <w:sz w:val="18"/>
                <w:szCs w:val="18"/>
              </w:rPr>
            </w:pPr>
          </w:p>
        </w:tc>
        <w:tc>
          <w:tcPr>
            <w:tcW w:w="1152" w:type="dxa"/>
            <w:vAlign w:val="center"/>
            <w:hideMark/>
          </w:tcPr>
          <w:p w14:paraId="7AA65FB4" w14:textId="77777777" w:rsidR="001D70AF" w:rsidRPr="008137D7" w:rsidRDefault="001D70AF" w:rsidP="00063DA9">
            <w:pPr>
              <w:jc w:val="center"/>
              <w:rPr>
                <w:rFonts w:eastAsia="Times New Roman"/>
                <w:sz w:val="18"/>
                <w:szCs w:val="18"/>
              </w:rPr>
            </w:pPr>
          </w:p>
        </w:tc>
        <w:tc>
          <w:tcPr>
            <w:tcW w:w="1152" w:type="dxa"/>
            <w:vAlign w:val="center"/>
            <w:hideMark/>
          </w:tcPr>
          <w:p w14:paraId="5BB27C4B" w14:textId="77777777" w:rsidR="001D70AF" w:rsidRPr="008137D7" w:rsidRDefault="001D70AF" w:rsidP="00063DA9">
            <w:pPr>
              <w:jc w:val="center"/>
              <w:rPr>
                <w:rFonts w:eastAsia="Times New Roman"/>
                <w:sz w:val="18"/>
                <w:szCs w:val="18"/>
              </w:rPr>
            </w:pPr>
            <w:r w:rsidRPr="008137D7">
              <w:rPr>
                <w:rFonts w:eastAsia="Times New Roman"/>
                <w:sz w:val="18"/>
                <w:szCs w:val="18"/>
              </w:rPr>
              <w:t>(0.006)</w:t>
            </w:r>
          </w:p>
        </w:tc>
        <w:tc>
          <w:tcPr>
            <w:tcW w:w="1152" w:type="dxa"/>
            <w:vAlign w:val="center"/>
            <w:hideMark/>
          </w:tcPr>
          <w:p w14:paraId="6957257B" w14:textId="77777777" w:rsidR="001D70AF" w:rsidRPr="008137D7" w:rsidRDefault="001D70AF" w:rsidP="00063DA9">
            <w:pPr>
              <w:jc w:val="center"/>
              <w:rPr>
                <w:rFonts w:eastAsia="Times New Roman"/>
                <w:sz w:val="18"/>
                <w:szCs w:val="18"/>
              </w:rPr>
            </w:pPr>
            <w:r w:rsidRPr="008137D7">
              <w:rPr>
                <w:rFonts w:eastAsia="Times New Roman"/>
                <w:sz w:val="18"/>
                <w:szCs w:val="18"/>
              </w:rPr>
              <w:t>(0.006)</w:t>
            </w:r>
          </w:p>
        </w:tc>
      </w:tr>
      <w:tr w:rsidR="008137D7" w:rsidRPr="008137D7" w14:paraId="76805EE6" w14:textId="77777777" w:rsidTr="00063DA9">
        <w:trPr>
          <w:tblCellSpacing w:w="0" w:type="dxa"/>
        </w:trPr>
        <w:tc>
          <w:tcPr>
            <w:tcW w:w="1845" w:type="dxa"/>
            <w:vAlign w:val="center"/>
            <w:hideMark/>
          </w:tcPr>
          <w:p w14:paraId="54F62184" w14:textId="77777777" w:rsidR="001D70AF" w:rsidRPr="008137D7" w:rsidRDefault="001D70AF" w:rsidP="00063DA9">
            <w:pPr>
              <w:rPr>
                <w:rFonts w:eastAsia="Times New Roman"/>
                <w:sz w:val="18"/>
                <w:szCs w:val="18"/>
              </w:rPr>
            </w:pPr>
            <w:r w:rsidRPr="008137D7">
              <w:rPr>
                <w:rFonts w:eastAsia="Times New Roman"/>
                <w:sz w:val="18"/>
                <w:szCs w:val="18"/>
              </w:rPr>
              <w:t>Constant</w:t>
            </w:r>
          </w:p>
        </w:tc>
        <w:tc>
          <w:tcPr>
            <w:tcW w:w="1152" w:type="dxa"/>
            <w:vAlign w:val="center"/>
            <w:hideMark/>
          </w:tcPr>
          <w:p w14:paraId="0170B979" w14:textId="77777777" w:rsidR="001D70AF" w:rsidRPr="008137D7" w:rsidRDefault="001D70AF" w:rsidP="00063DA9">
            <w:pPr>
              <w:jc w:val="center"/>
              <w:rPr>
                <w:rFonts w:eastAsia="Times New Roman"/>
                <w:sz w:val="18"/>
                <w:szCs w:val="18"/>
              </w:rPr>
            </w:pPr>
            <w:r w:rsidRPr="008137D7">
              <w:rPr>
                <w:rFonts w:eastAsia="Times New Roman"/>
                <w:sz w:val="18"/>
                <w:szCs w:val="18"/>
              </w:rPr>
              <w:t>1.420***</w:t>
            </w:r>
          </w:p>
        </w:tc>
        <w:tc>
          <w:tcPr>
            <w:tcW w:w="1152" w:type="dxa"/>
            <w:vAlign w:val="center"/>
            <w:hideMark/>
          </w:tcPr>
          <w:p w14:paraId="5C87F560" w14:textId="77777777" w:rsidR="001D70AF" w:rsidRPr="008137D7" w:rsidRDefault="001D70AF" w:rsidP="00063DA9">
            <w:pPr>
              <w:jc w:val="center"/>
              <w:rPr>
                <w:rFonts w:eastAsia="Times New Roman"/>
                <w:sz w:val="18"/>
                <w:szCs w:val="18"/>
              </w:rPr>
            </w:pPr>
            <w:r w:rsidRPr="008137D7">
              <w:rPr>
                <w:rFonts w:eastAsia="Times New Roman"/>
                <w:sz w:val="18"/>
                <w:szCs w:val="18"/>
              </w:rPr>
              <w:t>1.417***</w:t>
            </w:r>
          </w:p>
        </w:tc>
        <w:tc>
          <w:tcPr>
            <w:tcW w:w="1152" w:type="dxa"/>
            <w:vAlign w:val="center"/>
            <w:hideMark/>
          </w:tcPr>
          <w:p w14:paraId="66DD5A56" w14:textId="77777777" w:rsidR="001D70AF" w:rsidRPr="008137D7" w:rsidRDefault="001D70AF" w:rsidP="00063DA9">
            <w:pPr>
              <w:jc w:val="center"/>
              <w:rPr>
                <w:rFonts w:eastAsia="Times New Roman"/>
                <w:sz w:val="18"/>
                <w:szCs w:val="18"/>
              </w:rPr>
            </w:pPr>
            <w:r w:rsidRPr="008137D7">
              <w:rPr>
                <w:rFonts w:eastAsia="Times New Roman"/>
                <w:sz w:val="18"/>
                <w:szCs w:val="18"/>
              </w:rPr>
              <w:t>1.345***</w:t>
            </w:r>
          </w:p>
        </w:tc>
        <w:tc>
          <w:tcPr>
            <w:tcW w:w="1152" w:type="dxa"/>
            <w:vAlign w:val="center"/>
            <w:hideMark/>
          </w:tcPr>
          <w:p w14:paraId="54DF8137" w14:textId="77777777" w:rsidR="001D70AF" w:rsidRPr="008137D7" w:rsidRDefault="001D70AF" w:rsidP="00063DA9">
            <w:pPr>
              <w:jc w:val="center"/>
              <w:rPr>
                <w:rFonts w:eastAsia="Times New Roman"/>
                <w:sz w:val="18"/>
                <w:szCs w:val="18"/>
              </w:rPr>
            </w:pPr>
            <w:r w:rsidRPr="008137D7">
              <w:rPr>
                <w:rFonts w:eastAsia="Times New Roman"/>
                <w:sz w:val="18"/>
                <w:szCs w:val="18"/>
              </w:rPr>
              <w:t>1.819***</w:t>
            </w:r>
          </w:p>
        </w:tc>
      </w:tr>
      <w:tr w:rsidR="008137D7" w:rsidRPr="008137D7" w14:paraId="08FF7B33" w14:textId="77777777" w:rsidTr="00063DA9">
        <w:trPr>
          <w:tblCellSpacing w:w="0" w:type="dxa"/>
        </w:trPr>
        <w:tc>
          <w:tcPr>
            <w:tcW w:w="1845" w:type="dxa"/>
            <w:vAlign w:val="center"/>
            <w:hideMark/>
          </w:tcPr>
          <w:p w14:paraId="35C5A015" w14:textId="77777777" w:rsidR="001D70AF" w:rsidRPr="008137D7" w:rsidRDefault="001D70AF" w:rsidP="00063DA9">
            <w:pPr>
              <w:jc w:val="center"/>
              <w:rPr>
                <w:rFonts w:eastAsia="Times New Roman"/>
                <w:sz w:val="18"/>
                <w:szCs w:val="18"/>
              </w:rPr>
            </w:pPr>
          </w:p>
        </w:tc>
        <w:tc>
          <w:tcPr>
            <w:tcW w:w="1152" w:type="dxa"/>
            <w:vAlign w:val="center"/>
            <w:hideMark/>
          </w:tcPr>
          <w:p w14:paraId="799B0949" w14:textId="77777777" w:rsidR="001D70AF" w:rsidRPr="008137D7" w:rsidRDefault="001D70AF" w:rsidP="00063DA9">
            <w:pPr>
              <w:jc w:val="center"/>
              <w:rPr>
                <w:rFonts w:eastAsia="Times New Roman"/>
                <w:sz w:val="18"/>
                <w:szCs w:val="18"/>
              </w:rPr>
            </w:pPr>
            <w:r w:rsidRPr="008137D7">
              <w:rPr>
                <w:rFonts w:eastAsia="Times New Roman"/>
                <w:sz w:val="18"/>
                <w:szCs w:val="18"/>
              </w:rPr>
              <w:t>(0.189)</w:t>
            </w:r>
          </w:p>
        </w:tc>
        <w:tc>
          <w:tcPr>
            <w:tcW w:w="1152" w:type="dxa"/>
            <w:vAlign w:val="center"/>
            <w:hideMark/>
          </w:tcPr>
          <w:p w14:paraId="4BC0368C" w14:textId="77777777" w:rsidR="001D70AF" w:rsidRPr="008137D7" w:rsidRDefault="001D70AF" w:rsidP="00063DA9">
            <w:pPr>
              <w:jc w:val="center"/>
              <w:rPr>
                <w:rFonts w:eastAsia="Times New Roman"/>
                <w:sz w:val="18"/>
                <w:szCs w:val="18"/>
              </w:rPr>
            </w:pPr>
            <w:r w:rsidRPr="008137D7">
              <w:rPr>
                <w:rFonts w:eastAsia="Times New Roman"/>
                <w:sz w:val="18"/>
                <w:szCs w:val="18"/>
              </w:rPr>
              <w:t>(0.153)</w:t>
            </w:r>
          </w:p>
        </w:tc>
        <w:tc>
          <w:tcPr>
            <w:tcW w:w="1152" w:type="dxa"/>
            <w:vAlign w:val="center"/>
            <w:hideMark/>
          </w:tcPr>
          <w:p w14:paraId="27F96A9C" w14:textId="77777777" w:rsidR="001D70AF" w:rsidRPr="008137D7" w:rsidRDefault="001D70AF" w:rsidP="00063DA9">
            <w:pPr>
              <w:jc w:val="center"/>
              <w:rPr>
                <w:rFonts w:eastAsia="Times New Roman"/>
                <w:sz w:val="18"/>
                <w:szCs w:val="18"/>
              </w:rPr>
            </w:pPr>
            <w:r w:rsidRPr="008137D7">
              <w:rPr>
                <w:rFonts w:eastAsia="Times New Roman"/>
                <w:sz w:val="18"/>
                <w:szCs w:val="18"/>
              </w:rPr>
              <w:t>(0.137)</w:t>
            </w:r>
          </w:p>
        </w:tc>
        <w:tc>
          <w:tcPr>
            <w:tcW w:w="1152" w:type="dxa"/>
            <w:vAlign w:val="center"/>
            <w:hideMark/>
          </w:tcPr>
          <w:p w14:paraId="267B9CAB" w14:textId="77777777" w:rsidR="001D70AF" w:rsidRPr="008137D7" w:rsidRDefault="001D70AF" w:rsidP="00063DA9">
            <w:pPr>
              <w:jc w:val="center"/>
              <w:rPr>
                <w:rFonts w:eastAsia="Times New Roman"/>
                <w:sz w:val="18"/>
                <w:szCs w:val="18"/>
              </w:rPr>
            </w:pPr>
            <w:r w:rsidRPr="008137D7">
              <w:rPr>
                <w:rFonts w:eastAsia="Times New Roman"/>
                <w:sz w:val="18"/>
                <w:szCs w:val="18"/>
              </w:rPr>
              <w:t>(0.348)</w:t>
            </w:r>
          </w:p>
        </w:tc>
      </w:tr>
      <w:tr w:rsidR="008137D7" w:rsidRPr="008137D7" w14:paraId="12BE02CC" w14:textId="77777777" w:rsidTr="00063DA9">
        <w:trPr>
          <w:tblCellSpacing w:w="0" w:type="dxa"/>
        </w:trPr>
        <w:tc>
          <w:tcPr>
            <w:tcW w:w="1845" w:type="dxa"/>
            <w:tcBorders>
              <w:top w:val="single" w:sz="8" w:space="0" w:color="auto"/>
            </w:tcBorders>
            <w:vAlign w:val="center"/>
            <w:hideMark/>
          </w:tcPr>
          <w:p w14:paraId="4C261BFC" w14:textId="77777777" w:rsidR="001D70AF" w:rsidRPr="008137D7" w:rsidRDefault="001D70AF" w:rsidP="00063DA9">
            <w:pPr>
              <w:rPr>
                <w:rFonts w:eastAsia="Times New Roman"/>
                <w:sz w:val="18"/>
                <w:szCs w:val="18"/>
              </w:rPr>
            </w:pPr>
            <w:r w:rsidRPr="008137D7">
              <w:rPr>
                <w:rFonts w:eastAsia="Times New Roman"/>
                <w:sz w:val="18"/>
                <w:szCs w:val="18"/>
              </w:rPr>
              <w:t>Observations</w:t>
            </w:r>
          </w:p>
        </w:tc>
        <w:tc>
          <w:tcPr>
            <w:tcW w:w="1152" w:type="dxa"/>
            <w:tcBorders>
              <w:top w:val="single" w:sz="8" w:space="0" w:color="auto"/>
            </w:tcBorders>
            <w:vAlign w:val="center"/>
            <w:hideMark/>
          </w:tcPr>
          <w:p w14:paraId="6D0C5ED2" w14:textId="77777777" w:rsidR="001D70AF" w:rsidRPr="008137D7" w:rsidRDefault="001D70AF" w:rsidP="00063DA9">
            <w:pPr>
              <w:jc w:val="center"/>
              <w:rPr>
                <w:rFonts w:eastAsia="Times New Roman"/>
                <w:sz w:val="18"/>
                <w:szCs w:val="18"/>
              </w:rPr>
            </w:pPr>
            <w:r w:rsidRPr="008137D7">
              <w:rPr>
                <w:rFonts w:eastAsia="Times New Roman"/>
                <w:sz w:val="18"/>
                <w:szCs w:val="18"/>
              </w:rPr>
              <w:t>30,254</w:t>
            </w:r>
          </w:p>
        </w:tc>
        <w:tc>
          <w:tcPr>
            <w:tcW w:w="1152" w:type="dxa"/>
            <w:tcBorders>
              <w:top w:val="single" w:sz="8" w:space="0" w:color="auto"/>
            </w:tcBorders>
            <w:vAlign w:val="center"/>
            <w:hideMark/>
          </w:tcPr>
          <w:p w14:paraId="0E9E9B0C" w14:textId="77777777" w:rsidR="001D70AF" w:rsidRPr="008137D7" w:rsidRDefault="001D70AF" w:rsidP="00063DA9">
            <w:pPr>
              <w:jc w:val="center"/>
              <w:rPr>
                <w:rFonts w:eastAsia="Times New Roman"/>
                <w:sz w:val="18"/>
                <w:szCs w:val="18"/>
              </w:rPr>
            </w:pPr>
            <w:r w:rsidRPr="008137D7">
              <w:rPr>
                <w:rFonts w:eastAsia="Times New Roman"/>
                <w:sz w:val="18"/>
                <w:szCs w:val="18"/>
              </w:rPr>
              <w:t>30,254</w:t>
            </w:r>
          </w:p>
        </w:tc>
        <w:tc>
          <w:tcPr>
            <w:tcW w:w="1152" w:type="dxa"/>
            <w:tcBorders>
              <w:top w:val="single" w:sz="8" w:space="0" w:color="auto"/>
            </w:tcBorders>
            <w:vAlign w:val="center"/>
            <w:hideMark/>
          </w:tcPr>
          <w:p w14:paraId="75AEDF77" w14:textId="77777777" w:rsidR="001D70AF" w:rsidRPr="008137D7" w:rsidRDefault="001D70AF" w:rsidP="00063DA9">
            <w:pPr>
              <w:jc w:val="center"/>
              <w:rPr>
                <w:rFonts w:eastAsia="Times New Roman"/>
                <w:sz w:val="18"/>
                <w:szCs w:val="18"/>
              </w:rPr>
            </w:pPr>
            <w:r w:rsidRPr="008137D7">
              <w:rPr>
                <w:rFonts w:eastAsia="Times New Roman"/>
                <w:sz w:val="18"/>
                <w:szCs w:val="18"/>
              </w:rPr>
              <w:t>30,254</w:t>
            </w:r>
          </w:p>
        </w:tc>
        <w:tc>
          <w:tcPr>
            <w:tcW w:w="1152" w:type="dxa"/>
            <w:tcBorders>
              <w:top w:val="single" w:sz="8" w:space="0" w:color="auto"/>
            </w:tcBorders>
            <w:vAlign w:val="center"/>
            <w:hideMark/>
          </w:tcPr>
          <w:p w14:paraId="50BFDCB4" w14:textId="77777777" w:rsidR="001D70AF" w:rsidRPr="008137D7" w:rsidRDefault="001D70AF" w:rsidP="00063DA9">
            <w:pPr>
              <w:jc w:val="center"/>
              <w:rPr>
                <w:rFonts w:eastAsia="Times New Roman"/>
                <w:sz w:val="18"/>
                <w:szCs w:val="18"/>
              </w:rPr>
            </w:pPr>
            <w:r w:rsidRPr="008137D7">
              <w:rPr>
                <w:rFonts w:eastAsia="Times New Roman"/>
                <w:sz w:val="18"/>
                <w:szCs w:val="18"/>
              </w:rPr>
              <w:t>30,254</w:t>
            </w:r>
          </w:p>
        </w:tc>
      </w:tr>
      <w:tr w:rsidR="008137D7" w:rsidRPr="008137D7" w14:paraId="4D6BF26F" w14:textId="77777777" w:rsidTr="00063DA9">
        <w:trPr>
          <w:tblCellSpacing w:w="0" w:type="dxa"/>
        </w:trPr>
        <w:tc>
          <w:tcPr>
            <w:tcW w:w="1845" w:type="dxa"/>
            <w:tcBorders>
              <w:bottom w:val="single" w:sz="8" w:space="0" w:color="auto"/>
            </w:tcBorders>
            <w:vAlign w:val="center"/>
            <w:hideMark/>
          </w:tcPr>
          <w:p w14:paraId="1E7E097A" w14:textId="77777777" w:rsidR="001D70AF" w:rsidRPr="008137D7" w:rsidRDefault="001D70AF" w:rsidP="00063DA9">
            <w:pPr>
              <w:rPr>
                <w:rFonts w:eastAsia="Times New Roman"/>
                <w:sz w:val="18"/>
                <w:szCs w:val="18"/>
              </w:rPr>
            </w:pPr>
            <w:r w:rsidRPr="008137D7">
              <w:rPr>
                <w:rFonts w:eastAsia="Times New Roman"/>
                <w:sz w:val="18"/>
                <w:szCs w:val="18"/>
              </w:rPr>
              <w:t>R2</w:t>
            </w:r>
          </w:p>
        </w:tc>
        <w:tc>
          <w:tcPr>
            <w:tcW w:w="1152" w:type="dxa"/>
            <w:tcBorders>
              <w:bottom w:val="single" w:sz="8" w:space="0" w:color="auto"/>
            </w:tcBorders>
            <w:vAlign w:val="center"/>
            <w:hideMark/>
          </w:tcPr>
          <w:p w14:paraId="643E5E17" w14:textId="77777777" w:rsidR="001D70AF" w:rsidRPr="008137D7" w:rsidRDefault="001D70AF" w:rsidP="00063DA9">
            <w:pPr>
              <w:jc w:val="center"/>
              <w:rPr>
                <w:rFonts w:eastAsia="Times New Roman"/>
                <w:sz w:val="18"/>
                <w:szCs w:val="18"/>
              </w:rPr>
            </w:pPr>
            <w:r w:rsidRPr="008137D7">
              <w:rPr>
                <w:rFonts w:eastAsia="Times New Roman"/>
                <w:sz w:val="18"/>
                <w:szCs w:val="18"/>
              </w:rPr>
              <w:t>0.030</w:t>
            </w:r>
          </w:p>
        </w:tc>
        <w:tc>
          <w:tcPr>
            <w:tcW w:w="1152" w:type="dxa"/>
            <w:tcBorders>
              <w:bottom w:val="single" w:sz="8" w:space="0" w:color="auto"/>
            </w:tcBorders>
            <w:vAlign w:val="center"/>
            <w:hideMark/>
          </w:tcPr>
          <w:p w14:paraId="47AC9137" w14:textId="77777777" w:rsidR="001D70AF" w:rsidRPr="008137D7" w:rsidRDefault="001D70AF" w:rsidP="00063DA9">
            <w:pPr>
              <w:jc w:val="center"/>
              <w:rPr>
                <w:rFonts w:eastAsia="Times New Roman"/>
                <w:sz w:val="18"/>
                <w:szCs w:val="18"/>
              </w:rPr>
            </w:pPr>
            <w:r w:rsidRPr="008137D7">
              <w:rPr>
                <w:rFonts w:eastAsia="Times New Roman"/>
                <w:sz w:val="18"/>
                <w:szCs w:val="18"/>
              </w:rPr>
              <w:t>0.0401</w:t>
            </w:r>
          </w:p>
        </w:tc>
        <w:tc>
          <w:tcPr>
            <w:tcW w:w="1152" w:type="dxa"/>
            <w:tcBorders>
              <w:bottom w:val="single" w:sz="8" w:space="0" w:color="auto"/>
            </w:tcBorders>
            <w:vAlign w:val="center"/>
            <w:hideMark/>
          </w:tcPr>
          <w:p w14:paraId="424BC44C" w14:textId="77777777" w:rsidR="001D70AF" w:rsidRPr="008137D7" w:rsidRDefault="001D70AF" w:rsidP="00063DA9">
            <w:pPr>
              <w:jc w:val="center"/>
              <w:rPr>
                <w:rFonts w:eastAsia="Times New Roman"/>
                <w:sz w:val="18"/>
                <w:szCs w:val="18"/>
              </w:rPr>
            </w:pPr>
            <w:r w:rsidRPr="008137D7">
              <w:rPr>
                <w:rFonts w:eastAsia="Times New Roman"/>
                <w:sz w:val="18"/>
                <w:szCs w:val="18"/>
              </w:rPr>
              <w:t>0.059</w:t>
            </w:r>
          </w:p>
        </w:tc>
        <w:tc>
          <w:tcPr>
            <w:tcW w:w="1152" w:type="dxa"/>
            <w:tcBorders>
              <w:bottom w:val="single" w:sz="8" w:space="0" w:color="auto"/>
            </w:tcBorders>
            <w:vAlign w:val="center"/>
            <w:hideMark/>
          </w:tcPr>
          <w:p w14:paraId="6FB65EDD" w14:textId="77777777" w:rsidR="001D70AF" w:rsidRPr="008137D7" w:rsidRDefault="001D70AF" w:rsidP="00063DA9">
            <w:pPr>
              <w:jc w:val="center"/>
              <w:rPr>
                <w:rFonts w:eastAsia="Times New Roman"/>
                <w:sz w:val="18"/>
                <w:szCs w:val="18"/>
              </w:rPr>
            </w:pPr>
            <w:r w:rsidRPr="008137D7">
              <w:rPr>
                <w:rFonts w:eastAsia="Times New Roman"/>
                <w:sz w:val="18"/>
                <w:szCs w:val="18"/>
              </w:rPr>
              <w:t>0.071</w:t>
            </w:r>
          </w:p>
        </w:tc>
      </w:tr>
    </w:tbl>
    <w:p w14:paraId="4140584D" w14:textId="03E040A2" w:rsidR="00773ED8" w:rsidRPr="008137D7" w:rsidRDefault="00773ED8" w:rsidP="00523C93">
      <w:pPr>
        <w:ind w:left="630" w:right="2250"/>
        <w:jc w:val="both"/>
        <w:rPr>
          <w:sz w:val="18"/>
          <w:szCs w:val="18"/>
        </w:rPr>
      </w:pPr>
      <w:r w:rsidRPr="008137D7">
        <w:rPr>
          <w:rFonts w:eastAsia="Times New Roman"/>
          <w:sz w:val="18"/>
          <w:szCs w:val="18"/>
          <w:vertAlign w:val="superscript"/>
        </w:rPr>
        <w:t>a</w:t>
      </w:r>
      <w:r w:rsidRPr="008137D7">
        <w:rPr>
          <w:sz w:val="18"/>
          <w:szCs w:val="18"/>
        </w:rPr>
        <w:t xml:space="preserve">  p &lt; .10; * p &lt; .05; ** p &lt; .01; *** p &lt; .001.  Cells contain OLS regression coefficients with clustered standard errors (by country).</w:t>
      </w:r>
    </w:p>
    <w:p w14:paraId="4D1C38AE" w14:textId="62B88CD8" w:rsidR="00773ED8" w:rsidRPr="008137D7" w:rsidRDefault="00773ED8" w:rsidP="00CB366D">
      <w:pPr>
        <w:ind w:left="1440" w:right="1440"/>
        <w:jc w:val="both"/>
        <w:rPr>
          <w:sz w:val="18"/>
          <w:szCs w:val="18"/>
        </w:rPr>
      </w:pPr>
    </w:p>
    <w:p w14:paraId="5D0029E3" w14:textId="77777777" w:rsidR="00E04331" w:rsidRPr="008137D7" w:rsidRDefault="00E04331" w:rsidP="00CB366D">
      <w:pPr>
        <w:ind w:left="1440" w:right="1440"/>
        <w:jc w:val="both"/>
        <w:rPr>
          <w:sz w:val="18"/>
          <w:szCs w:val="18"/>
        </w:rPr>
      </w:pPr>
    </w:p>
    <w:p w14:paraId="288B1E7F" w14:textId="56A2C8E1" w:rsidR="00773ED8" w:rsidRPr="008137D7" w:rsidRDefault="00773ED8" w:rsidP="00CB366D">
      <w:pPr>
        <w:keepNext/>
        <w:jc w:val="center"/>
      </w:pPr>
      <w:r w:rsidRPr="008137D7">
        <w:t xml:space="preserve">Figure </w:t>
      </w:r>
      <w:r w:rsidR="00063DA9" w:rsidRPr="008137D7">
        <w:t>2</w:t>
      </w:r>
      <w:r w:rsidRPr="008137D7">
        <w:t>. Health Preferences and Spending, Moderated by Press Freedom</w:t>
      </w:r>
    </w:p>
    <w:p w14:paraId="7C1DC75F" w14:textId="030DD61F" w:rsidR="00773ED8" w:rsidRPr="008137D7" w:rsidRDefault="008E7484" w:rsidP="008E7484">
      <w:pPr>
        <w:jc w:val="center"/>
      </w:pPr>
      <w:r w:rsidRPr="008137D7">
        <w:rPr>
          <w:noProof/>
        </w:rPr>
        <w:t>[insert Figure 2 here]</w:t>
      </w:r>
    </w:p>
    <w:p w14:paraId="1D769487" w14:textId="701D070D" w:rsidR="00773ED8" w:rsidRPr="008137D7" w:rsidRDefault="00773ED8" w:rsidP="00773ED8">
      <w:pPr>
        <w:jc w:val="center"/>
        <w:rPr>
          <w:sz w:val="18"/>
          <w:szCs w:val="18"/>
        </w:rPr>
      </w:pPr>
      <w:r w:rsidRPr="008137D7">
        <w:rPr>
          <w:sz w:val="18"/>
          <w:szCs w:val="18"/>
        </w:rPr>
        <w:t xml:space="preserve">Predicted values using clustered standard errors, and with 95% confidence intervals, based on Model </w:t>
      </w:r>
      <w:r w:rsidR="00972D71" w:rsidRPr="008137D7">
        <w:rPr>
          <w:sz w:val="18"/>
          <w:szCs w:val="18"/>
        </w:rPr>
        <w:t>4</w:t>
      </w:r>
      <w:r w:rsidRPr="008137D7">
        <w:rPr>
          <w:sz w:val="18"/>
          <w:szCs w:val="18"/>
        </w:rPr>
        <w:t xml:space="preserve"> in Table 2.</w:t>
      </w:r>
    </w:p>
    <w:p w14:paraId="7726DA21" w14:textId="77777777" w:rsidR="00773ED8" w:rsidRPr="008137D7" w:rsidRDefault="00773ED8" w:rsidP="00773ED8">
      <w:pPr>
        <w:ind w:left="1440" w:right="1440"/>
        <w:jc w:val="both"/>
        <w:rPr>
          <w:sz w:val="18"/>
          <w:szCs w:val="18"/>
        </w:rPr>
      </w:pPr>
    </w:p>
    <w:p w14:paraId="5C8862DB" w14:textId="32D80C8A" w:rsidR="00773ED8" w:rsidRPr="008137D7" w:rsidRDefault="00773ED8" w:rsidP="00773ED8">
      <w:pPr>
        <w:spacing w:line="276" w:lineRule="auto"/>
        <w:rPr>
          <w:sz w:val="18"/>
          <w:szCs w:val="18"/>
        </w:rPr>
      </w:pPr>
    </w:p>
    <w:p w14:paraId="5B38EC4E" w14:textId="64E1CA40" w:rsidR="005D17B9" w:rsidRPr="008137D7" w:rsidRDefault="00B92EF9" w:rsidP="00D023D8">
      <w:pPr>
        <w:spacing w:line="480" w:lineRule="auto"/>
        <w:ind w:firstLine="720"/>
        <w:jc w:val="both"/>
        <w:rPr>
          <w:rFonts w:eastAsia="Times New Roman"/>
        </w:rPr>
      </w:pPr>
      <w:r w:rsidRPr="008137D7">
        <w:rPr>
          <w:rFonts w:eastAsia="Times New Roman"/>
        </w:rPr>
        <w:lastRenderedPageBreak/>
        <w:t>We next</w:t>
      </w:r>
      <w:r w:rsidR="002230A8" w:rsidRPr="008137D7">
        <w:rPr>
          <w:rFonts w:eastAsia="Times New Roman"/>
        </w:rPr>
        <w:t xml:space="preserve"> turn to old-age pensions</w:t>
      </w:r>
      <w:r w:rsidR="00736046" w:rsidRPr="008137D7">
        <w:rPr>
          <w:rFonts w:eastAsia="Times New Roman"/>
        </w:rPr>
        <w:t>, for which</w:t>
      </w:r>
      <w:r w:rsidR="00481596" w:rsidRPr="008137D7">
        <w:rPr>
          <w:rFonts w:eastAsia="Times New Roman"/>
        </w:rPr>
        <w:t xml:space="preserve"> </w:t>
      </w:r>
      <w:r w:rsidR="002230A8" w:rsidRPr="008137D7">
        <w:rPr>
          <w:rFonts w:eastAsia="Times New Roman"/>
        </w:rPr>
        <w:t xml:space="preserve">Table </w:t>
      </w:r>
      <w:r w:rsidR="00475D8F" w:rsidRPr="008137D7">
        <w:rPr>
          <w:rFonts w:eastAsia="Times New Roman"/>
        </w:rPr>
        <w:t>3</w:t>
      </w:r>
      <w:r w:rsidR="002230A8" w:rsidRPr="008137D7">
        <w:rPr>
          <w:rFonts w:eastAsia="Times New Roman"/>
        </w:rPr>
        <w:t xml:space="preserve"> presents the same basic models</w:t>
      </w:r>
      <w:r w:rsidR="00481596" w:rsidRPr="008137D7">
        <w:rPr>
          <w:rFonts w:eastAsia="Times New Roman"/>
        </w:rPr>
        <w:t xml:space="preserve">.  </w:t>
      </w:r>
      <w:r w:rsidR="00475D8F" w:rsidRPr="008137D7">
        <w:rPr>
          <w:rFonts w:eastAsia="Times New Roman"/>
        </w:rPr>
        <w:t xml:space="preserve">Much as we saw </w:t>
      </w:r>
      <w:r w:rsidR="00D8061B" w:rsidRPr="008137D7">
        <w:rPr>
          <w:rFonts w:eastAsia="Times New Roman"/>
        </w:rPr>
        <w:t>with welfare</w:t>
      </w:r>
      <w:r w:rsidR="00475D8F" w:rsidRPr="008137D7">
        <w:rPr>
          <w:rFonts w:eastAsia="Times New Roman"/>
        </w:rPr>
        <w:t>, M</w:t>
      </w:r>
      <w:r w:rsidR="002230A8" w:rsidRPr="008137D7">
        <w:rPr>
          <w:rFonts w:eastAsia="Times New Roman"/>
        </w:rPr>
        <w:t xml:space="preserve">odel 1 </w:t>
      </w:r>
      <w:r w:rsidR="00475D8F" w:rsidRPr="008137D7">
        <w:rPr>
          <w:rFonts w:eastAsia="Times New Roman"/>
        </w:rPr>
        <w:t xml:space="preserve">only </w:t>
      </w:r>
      <w:r w:rsidR="002230A8" w:rsidRPr="008137D7">
        <w:rPr>
          <w:rFonts w:eastAsia="Times New Roman"/>
        </w:rPr>
        <w:t>hints at thermostatic response</w:t>
      </w:r>
      <w:r w:rsidR="00475D8F" w:rsidRPr="008137D7">
        <w:rPr>
          <w:rFonts w:eastAsia="Times New Roman"/>
        </w:rPr>
        <w:t>, as the coefficient for spending is</w:t>
      </w:r>
      <w:r w:rsidR="002230A8" w:rsidRPr="008137D7">
        <w:rPr>
          <w:rFonts w:eastAsia="Times New Roman"/>
        </w:rPr>
        <w:t xml:space="preserve"> negative but non-significant</w:t>
      </w:r>
      <w:r w:rsidR="00475D8F" w:rsidRPr="008137D7">
        <w:rPr>
          <w:rFonts w:eastAsia="Times New Roman"/>
        </w:rPr>
        <w:t>.</w:t>
      </w:r>
      <w:r w:rsidR="002230A8" w:rsidRPr="008137D7">
        <w:rPr>
          <w:rFonts w:eastAsia="Times New Roman"/>
        </w:rPr>
        <w:t xml:space="preserve"> </w:t>
      </w:r>
      <w:r w:rsidR="00E413BD" w:rsidRPr="008137D7">
        <w:rPr>
          <w:rFonts w:eastAsia="Times New Roman"/>
        </w:rPr>
        <w:t>By</w:t>
      </w:r>
      <w:r w:rsidR="00475D8F" w:rsidRPr="008137D7">
        <w:rPr>
          <w:rFonts w:eastAsia="Times New Roman"/>
        </w:rPr>
        <w:t xml:space="preserve"> contrast with welfare and health</w:t>
      </w:r>
      <w:r w:rsidR="00D8061B" w:rsidRPr="008137D7">
        <w:rPr>
          <w:rFonts w:eastAsia="Times New Roman"/>
        </w:rPr>
        <w:t xml:space="preserve"> preferences</w:t>
      </w:r>
      <w:r w:rsidR="00475D8F" w:rsidRPr="008137D7">
        <w:rPr>
          <w:rFonts w:eastAsia="Times New Roman"/>
        </w:rPr>
        <w:t xml:space="preserve">, </w:t>
      </w:r>
      <w:r w:rsidR="002230A8" w:rsidRPr="008137D7">
        <w:rPr>
          <w:rFonts w:eastAsia="Times New Roman"/>
        </w:rPr>
        <w:t>add</w:t>
      </w:r>
      <w:r w:rsidR="00475D8F" w:rsidRPr="008137D7">
        <w:rPr>
          <w:rFonts w:eastAsia="Times New Roman"/>
        </w:rPr>
        <w:t>ing</w:t>
      </w:r>
      <w:r w:rsidR="002230A8" w:rsidRPr="008137D7">
        <w:rPr>
          <w:rFonts w:eastAsia="Times New Roman"/>
        </w:rPr>
        <w:t xml:space="preserve"> </w:t>
      </w:r>
      <w:r w:rsidR="00405786" w:rsidRPr="008137D7">
        <w:rPr>
          <w:rFonts w:eastAsia="Times New Roman"/>
        </w:rPr>
        <w:t xml:space="preserve">the proxies </w:t>
      </w:r>
      <w:r w:rsidR="002230A8" w:rsidRPr="008137D7">
        <w:rPr>
          <w:rFonts w:eastAsia="Times New Roman"/>
        </w:rPr>
        <w:t>of</w:t>
      </w:r>
      <w:r w:rsidR="00AD3B5D" w:rsidRPr="008137D7">
        <w:rPr>
          <w:rFonts w:eastAsia="Times New Roman"/>
        </w:rPr>
        <w:t xml:space="preserve"> policy preferences </w:t>
      </w:r>
      <w:r w:rsidR="00475D8F" w:rsidRPr="008137D7">
        <w:rPr>
          <w:rFonts w:eastAsia="Times New Roman"/>
        </w:rPr>
        <w:t>in Models 2 and 3</w:t>
      </w:r>
      <w:r w:rsidR="002230A8" w:rsidRPr="008137D7">
        <w:rPr>
          <w:rFonts w:eastAsia="Times New Roman"/>
        </w:rPr>
        <w:t xml:space="preserve"> does not reveal the same kind of robust results</w:t>
      </w:r>
      <w:r w:rsidR="00475D8F" w:rsidRPr="008137D7">
        <w:rPr>
          <w:rFonts w:eastAsia="Times New Roman"/>
        </w:rPr>
        <w:t xml:space="preserve"> for spending</w:t>
      </w:r>
      <w:r w:rsidR="00481596" w:rsidRPr="008137D7">
        <w:rPr>
          <w:rFonts w:eastAsia="Times New Roman"/>
        </w:rPr>
        <w:t xml:space="preserve">.  </w:t>
      </w:r>
      <w:r w:rsidR="002230A8" w:rsidRPr="008137D7">
        <w:rPr>
          <w:rFonts w:eastAsia="Times New Roman"/>
        </w:rPr>
        <w:t>Adding press limits in Model 4 makes a difference, however</w:t>
      </w:r>
      <w:r w:rsidR="00397419" w:rsidRPr="008137D7">
        <w:rPr>
          <w:rFonts w:eastAsia="Times New Roman"/>
        </w:rPr>
        <w:t xml:space="preserve">. </w:t>
      </w:r>
      <w:r w:rsidR="00397419" w:rsidRPr="00505F74">
        <w:rPr>
          <w:rFonts w:eastAsia="Times New Roman"/>
          <w:color w:val="00B050"/>
        </w:rPr>
        <w:t xml:space="preserve">The </w:t>
      </w:r>
      <w:r w:rsidR="004750D1" w:rsidRPr="00505F74">
        <w:rPr>
          <w:rFonts w:eastAsia="Times New Roman"/>
          <w:color w:val="00B050"/>
        </w:rPr>
        <w:t xml:space="preserve">estimate for the </w:t>
      </w:r>
      <w:r w:rsidR="00397419" w:rsidRPr="00505F74">
        <w:rPr>
          <w:rFonts w:eastAsia="Times New Roman"/>
          <w:color w:val="00B050"/>
        </w:rPr>
        <w:t xml:space="preserve">interaction is in the expected </w:t>
      </w:r>
      <w:r w:rsidR="007632BF" w:rsidRPr="00505F74">
        <w:rPr>
          <w:rFonts w:eastAsia="Times New Roman"/>
          <w:color w:val="00B050"/>
        </w:rPr>
        <w:t xml:space="preserve">positive </w:t>
      </w:r>
      <w:r w:rsidR="00397419" w:rsidRPr="00505F74">
        <w:rPr>
          <w:rFonts w:eastAsia="Times New Roman"/>
          <w:color w:val="00B050"/>
        </w:rPr>
        <w:t xml:space="preserve">direction, </w:t>
      </w:r>
      <w:r w:rsidR="001D70AF" w:rsidRPr="00505F74">
        <w:rPr>
          <w:rFonts w:eastAsia="Times New Roman"/>
          <w:color w:val="00B050"/>
        </w:rPr>
        <w:t xml:space="preserve">and </w:t>
      </w:r>
      <w:r w:rsidR="00397419" w:rsidRPr="00505F74">
        <w:rPr>
          <w:rFonts w:eastAsia="Times New Roman"/>
          <w:color w:val="00B050"/>
        </w:rPr>
        <w:t>weakly significant</w:t>
      </w:r>
      <w:r w:rsidR="007632BF" w:rsidRPr="00505F74">
        <w:rPr>
          <w:rFonts w:eastAsia="Times New Roman"/>
          <w:color w:val="00B050"/>
        </w:rPr>
        <w:t>.</w:t>
      </w:r>
    </w:p>
    <w:p w14:paraId="1DC0FED3" w14:textId="7777BAE2" w:rsidR="005651D1" w:rsidRPr="008137D7" w:rsidRDefault="005651D1" w:rsidP="005651D1">
      <w:pPr>
        <w:spacing w:line="480" w:lineRule="auto"/>
        <w:ind w:firstLine="720"/>
        <w:jc w:val="both"/>
        <w:rPr>
          <w:rFonts w:eastAsia="Times New Roman"/>
        </w:rPr>
      </w:pPr>
      <w:r w:rsidRPr="008137D7">
        <w:rPr>
          <w:rFonts w:eastAsia="Times New Roman"/>
        </w:rPr>
        <w:t xml:space="preserve">Figure 3 plots the interactive effects from Model </w:t>
      </w:r>
      <w:r w:rsidR="000C69EE" w:rsidRPr="008137D7">
        <w:rPr>
          <w:rFonts w:eastAsia="Times New Roman"/>
        </w:rPr>
        <w:t>4</w:t>
      </w:r>
      <w:r w:rsidRPr="008137D7">
        <w:rPr>
          <w:rFonts w:eastAsia="Times New Roman"/>
        </w:rPr>
        <w:t xml:space="preserve">.  The pattern for pensions thus seems to be </w:t>
      </w:r>
      <w:r w:rsidR="00D7756C" w:rsidRPr="008137D7">
        <w:rPr>
          <w:rFonts w:eastAsia="Times New Roman"/>
        </w:rPr>
        <w:t>more similar to welfare than health</w:t>
      </w:r>
      <w:r w:rsidRPr="008137D7">
        <w:rPr>
          <w:rFonts w:eastAsia="Times New Roman"/>
        </w:rPr>
        <w:t xml:space="preserve"> </w:t>
      </w:r>
      <w:r w:rsidR="00D7756C" w:rsidRPr="008137D7">
        <w:rPr>
          <w:rFonts w:eastAsia="Times New Roman"/>
        </w:rPr>
        <w:t xml:space="preserve">in that there is evidence of thermostatic responsiveness in when media limits are low, and the same is not true when media limits </w:t>
      </w:r>
      <w:r w:rsidR="00FE3082" w:rsidRPr="008137D7">
        <w:rPr>
          <w:rFonts w:eastAsia="Times New Roman"/>
        </w:rPr>
        <w:t>are high</w:t>
      </w:r>
      <w:r w:rsidR="00D7756C" w:rsidRPr="008137D7">
        <w:rPr>
          <w:rFonts w:eastAsia="Times New Roman"/>
        </w:rPr>
        <w:t>.</w:t>
      </w:r>
      <w:r w:rsidR="00FE3082" w:rsidRPr="008137D7" w:rsidDel="00D7756C">
        <w:rPr>
          <w:rFonts w:eastAsia="Times New Roman"/>
        </w:rPr>
        <w:t xml:space="preserve"> </w:t>
      </w:r>
    </w:p>
    <w:p w14:paraId="18704886" w14:textId="1B427F3A" w:rsidR="00884B74" w:rsidRPr="008137D7" w:rsidRDefault="00FA12BC" w:rsidP="000C69EE">
      <w:pPr>
        <w:keepNext/>
        <w:ind w:firstLine="720"/>
        <w:jc w:val="both"/>
      </w:pPr>
      <w:r w:rsidRPr="008137D7">
        <w:rPr>
          <w:rFonts w:eastAsia="Times New Roman"/>
        </w:rPr>
        <w:t xml:space="preserve">  </w:t>
      </w:r>
      <w:r w:rsidR="00884B74" w:rsidRPr="008137D7">
        <w:t>Table 3. Modeling Relative Preferences for Pensions Spending</w:t>
      </w:r>
    </w:p>
    <w:tbl>
      <w:tblPr>
        <w:tblW w:w="0" w:type="auto"/>
        <w:tblInd w:w="900" w:type="dxa"/>
        <w:tblLayout w:type="fixed"/>
        <w:tblCellMar>
          <w:left w:w="15" w:type="dxa"/>
          <w:right w:w="15" w:type="dxa"/>
        </w:tblCellMar>
        <w:tblLook w:val="04A0" w:firstRow="1" w:lastRow="0" w:firstColumn="1" w:lastColumn="0" w:noHBand="0" w:noVBand="1"/>
      </w:tblPr>
      <w:tblGrid>
        <w:gridCol w:w="1845"/>
        <w:gridCol w:w="1152"/>
        <w:gridCol w:w="1152"/>
        <w:gridCol w:w="1152"/>
        <w:gridCol w:w="1152"/>
      </w:tblGrid>
      <w:tr w:rsidR="008137D7" w:rsidRPr="008137D7" w14:paraId="000E3152" w14:textId="77777777" w:rsidTr="0031446C">
        <w:tc>
          <w:tcPr>
            <w:tcW w:w="1845" w:type="dxa"/>
            <w:tcBorders>
              <w:top w:val="single" w:sz="8" w:space="0" w:color="auto"/>
              <w:bottom w:val="single" w:sz="8" w:space="0" w:color="auto"/>
            </w:tcBorders>
            <w:vAlign w:val="center"/>
          </w:tcPr>
          <w:p w14:paraId="269AF5A1" w14:textId="77777777" w:rsidR="001D70AF" w:rsidRPr="008137D7" w:rsidRDefault="001D70AF" w:rsidP="000C69EE">
            <w:pPr>
              <w:keepNext/>
              <w:rPr>
                <w:rFonts w:eastAsia="Times New Roman"/>
                <w:sz w:val="18"/>
                <w:szCs w:val="18"/>
              </w:rPr>
            </w:pPr>
          </w:p>
        </w:tc>
        <w:tc>
          <w:tcPr>
            <w:tcW w:w="1152" w:type="dxa"/>
            <w:tcBorders>
              <w:top w:val="single" w:sz="8" w:space="0" w:color="auto"/>
              <w:bottom w:val="single" w:sz="8" w:space="0" w:color="auto"/>
            </w:tcBorders>
            <w:vAlign w:val="center"/>
          </w:tcPr>
          <w:p w14:paraId="21CDD6C4" w14:textId="77777777" w:rsidR="001D70AF" w:rsidRPr="008137D7" w:rsidRDefault="001D70AF" w:rsidP="000C69EE">
            <w:pPr>
              <w:keepNext/>
              <w:jc w:val="center"/>
              <w:rPr>
                <w:rFonts w:eastAsia="Times New Roman"/>
                <w:sz w:val="18"/>
                <w:szCs w:val="18"/>
              </w:rPr>
            </w:pPr>
            <w:r w:rsidRPr="008137D7">
              <w:rPr>
                <w:rFonts w:eastAsia="Times New Roman"/>
                <w:sz w:val="18"/>
                <w:szCs w:val="18"/>
              </w:rPr>
              <w:t>Model 1</w:t>
            </w:r>
          </w:p>
        </w:tc>
        <w:tc>
          <w:tcPr>
            <w:tcW w:w="1152" w:type="dxa"/>
            <w:tcBorders>
              <w:top w:val="single" w:sz="8" w:space="0" w:color="auto"/>
              <w:bottom w:val="single" w:sz="8" w:space="0" w:color="auto"/>
            </w:tcBorders>
            <w:vAlign w:val="center"/>
          </w:tcPr>
          <w:p w14:paraId="70B4D64C" w14:textId="77777777" w:rsidR="001D70AF" w:rsidRPr="008137D7" w:rsidRDefault="001D70AF" w:rsidP="000C69EE">
            <w:pPr>
              <w:keepNext/>
              <w:jc w:val="center"/>
              <w:rPr>
                <w:rFonts w:eastAsia="Times New Roman"/>
                <w:sz w:val="18"/>
                <w:szCs w:val="18"/>
              </w:rPr>
            </w:pPr>
            <w:r w:rsidRPr="008137D7">
              <w:rPr>
                <w:rFonts w:eastAsia="Times New Roman"/>
                <w:sz w:val="18"/>
                <w:szCs w:val="18"/>
              </w:rPr>
              <w:t>Model 2</w:t>
            </w:r>
          </w:p>
        </w:tc>
        <w:tc>
          <w:tcPr>
            <w:tcW w:w="1152" w:type="dxa"/>
            <w:tcBorders>
              <w:top w:val="single" w:sz="8" w:space="0" w:color="auto"/>
              <w:bottom w:val="single" w:sz="8" w:space="0" w:color="auto"/>
            </w:tcBorders>
            <w:vAlign w:val="center"/>
          </w:tcPr>
          <w:p w14:paraId="648E0B2E" w14:textId="77777777" w:rsidR="001D70AF" w:rsidRPr="008137D7" w:rsidRDefault="001D70AF" w:rsidP="000C69EE">
            <w:pPr>
              <w:keepNext/>
              <w:jc w:val="center"/>
              <w:rPr>
                <w:rFonts w:eastAsia="Times New Roman"/>
                <w:sz w:val="18"/>
                <w:szCs w:val="18"/>
              </w:rPr>
            </w:pPr>
            <w:r w:rsidRPr="008137D7">
              <w:rPr>
                <w:rFonts w:eastAsia="Times New Roman"/>
                <w:sz w:val="18"/>
                <w:szCs w:val="18"/>
              </w:rPr>
              <w:t>Model 3</w:t>
            </w:r>
          </w:p>
        </w:tc>
        <w:tc>
          <w:tcPr>
            <w:tcW w:w="1152" w:type="dxa"/>
            <w:tcBorders>
              <w:top w:val="single" w:sz="8" w:space="0" w:color="auto"/>
              <w:bottom w:val="single" w:sz="8" w:space="0" w:color="auto"/>
            </w:tcBorders>
            <w:vAlign w:val="center"/>
          </w:tcPr>
          <w:p w14:paraId="384FE15E" w14:textId="77777777" w:rsidR="001D70AF" w:rsidRPr="008137D7" w:rsidRDefault="001D70AF" w:rsidP="000C69EE">
            <w:pPr>
              <w:keepNext/>
              <w:jc w:val="center"/>
              <w:rPr>
                <w:rFonts w:eastAsia="Times New Roman"/>
                <w:sz w:val="18"/>
                <w:szCs w:val="18"/>
              </w:rPr>
            </w:pPr>
            <w:r w:rsidRPr="008137D7">
              <w:rPr>
                <w:rFonts w:eastAsia="Times New Roman"/>
                <w:sz w:val="18"/>
                <w:szCs w:val="18"/>
              </w:rPr>
              <w:t>Model 4</w:t>
            </w:r>
          </w:p>
        </w:tc>
      </w:tr>
      <w:tr w:rsidR="008137D7" w:rsidRPr="008137D7" w14:paraId="5F3E4314" w14:textId="77777777" w:rsidTr="001027B4">
        <w:tc>
          <w:tcPr>
            <w:tcW w:w="1845" w:type="dxa"/>
            <w:vAlign w:val="center"/>
            <w:hideMark/>
          </w:tcPr>
          <w:p w14:paraId="3B86D85A" w14:textId="77777777" w:rsidR="001D70AF" w:rsidRPr="008137D7" w:rsidRDefault="001D70AF" w:rsidP="000C69EE">
            <w:pPr>
              <w:keepNext/>
              <w:rPr>
                <w:rFonts w:eastAsia="Times New Roman"/>
                <w:sz w:val="18"/>
                <w:szCs w:val="18"/>
              </w:rPr>
            </w:pPr>
            <w:r w:rsidRPr="008137D7">
              <w:rPr>
                <w:rFonts w:eastAsia="Times New Roman"/>
                <w:sz w:val="18"/>
                <w:szCs w:val="18"/>
              </w:rPr>
              <w:t>Spending</w:t>
            </w:r>
          </w:p>
        </w:tc>
        <w:tc>
          <w:tcPr>
            <w:tcW w:w="1152" w:type="dxa"/>
            <w:vAlign w:val="center"/>
            <w:hideMark/>
          </w:tcPr>
          <w:p w14:paraId="3F26CC10"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-0.009</w:t>
            </w:r>
          </w:p>
        </w:tc>
        <w:tc>
          <w:tcPr>
            <w:tcW w:w="1152" w:type="dxa"/>
            <w:vAlign w:val="center"/>
            <w:hideMark/>
          </w:tcPr>
          <w:p w14:paraId="4E6F6158"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0.011</w:t>
            </w:r>
          </w:p>
        </w:tc>
        <w:tc>
          <w:tcPr>
            <w:tcW w:w="1152" w:type="dxa"/>
            <w:vAlign w:val="center"/>
            <w:hideMark/>
          </w:tcPr>
          <w:p w14:paraId="21F65D83"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0.010</w:t>
            </w:r>
          </w:p>
        </w:tc>
        <w:tc>
          <w:tcPr>
            <w:tcW w:w="1152" w:type="dxa"/>
            <w:vAlign w:val="center"/>
            <w:hideMark/>
          </w:tcPr>
          <w:p w14:paraId="036E3DB0"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-0.041</w:t>
            </w:r>
          </w:p>
        </w:tc>
      </w:tr>
      <w:tr w:rsidR="008137D7" w:rsidRPr="008137D7" w14:paraId="01E53F1F" w14:textId="77777777" w:rsidTr="001027B4">
        <w:tc>
          <w:tcPr>
            <w:tcW w:w="1845" w:type="dxa"/>
            <w:vAlign w:val="center"/>
            <w:hideMark/>
          </w:tcPr>
          <w:p w14:paraId="72A04F7F" w14:textId="77777777" w:rsidR="001D70AF" w:rsidRPr="008137D7" w:rsidRDefault="001D70AF" w:rsidP="000C69EE">
            <w:pPr>
              <w:keepNext/>
              <w:jc w:val="center"/>
              <w:rPr>
                <w:rFonts w:eastAsia="Times New Roman"/>
                <w:sz w:val="18"/>
                <w:szCs w:val="18"/>
              </w:rPr>
            </w:pPr>
          </w:p>
        </w:tc>
        <w:tc>
          <w:tcPr>
            <w:tcW w:w="1152" w:type="dxa"/>
            <w:vAlign w:val="center"/>
            <w:hideMark/>
          </w:tcPr>
          <w:p w14:paraId="0B16B74C"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(0.010)</w:t>
            </w:r>
          </w:p>
        </w:tc>
        <w:tc>
          <w:tcPr>
            <w:tcW w:w="1152" w:type="dxa"/>
            <w:vAlign w:val="center"/>
            <w:hideMark/>
          </w:tcPr>
          <w:p w14:paraId="01829157"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(0.030)</w:t>
            </w:r>
          </w:p>
        </w:tc>
        <w:tc>
          <w:tcPr>
            <w:tcW w:w="1152" w:type="dxa"/>
            <w:vAlign w:val="center"/>
            <w:hideMark/>
          </w:tcPr>
          <w:p w14:paraId="090E68F6"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(0.030)</w:t>
            </w:r>
          </w:p>
        </w:tc>
        <w:tc>
          <w:tcPr>
            <w:tcW w:w="1152" w:type="dxa"/>
            <w:vAlign w:val="center"/>
            <w:hideMark/>
          </w:tcPr>
          <w:p w14:paraId="08DD5B3F"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(0.042)</w:t>
            </w:r>
          </w:p>
        </w:tc>
      </w:tr>
      <w:tr w:rsidR="008137D7" w:rsidRPr="008137D7" w14:paraId="00FA29ED" w14:textId="77777777" w:rsidTr="001027B4">
        <w:tc>
          <w:tcPr>
            <w:tcW w:w="1845" w:type="dxa"/>
            <w:vAlign w:val="center"/>
            <w:hideMark/>
          </w:tcPr>
          <w:p w14:paraId="52B33C86" w14:textId="77777777" w:rsidR="001D70AF" w:rsidRPr="008137D7" w:rsidRDefault="001D70AF" w:rsidP="000C69EE">
            <w:pPr>
              <w:keepNext/>
              <w:rPr>
                <w:rFonts w:eastAsia="Times New Roman"/>
                <w:sz w:val="18"/>
                <w:szCs w:val="18"/>
              </w:rPr>
            </w:pPr>
            <w:r w:rsidRPr="008137D7">
              <w:rPr>
                <w:rFonts w:eastAsia="Times New Roman"/>
                <w:sz w:val="18"/>
                <w:szCs w:val="18"/>
              </w:rPr>
              <w:t>Press Limits</w:t>
            </w:r>
          </w:p>
        </w:tc>
        <w:tc>
          <w:tcPr>
            <w:tcW w:w="1152" w:type="dxa"/>
            <w:vAlign w:val="center"/>
            <w:hideMark/>
          </w:tcPr>
          <w:p w14:paraId="4125C1FA" w14:textId="77777777" w:rsidR="001D70AF" w:rsidRPr="008137D7" w:rsidRDefault="001D70AF" w:rsidP="000C69EE">
            <w:pPr>
              <w:keepNext/>
              <w:rPr>
                <w:rFonts w:eastAsia="Times New Roman"/>
                <w:sz w:val="18"/>
                <w:szCs w:val="18"/>
              </w:rPr>
            </w:pPr>
          </w:p>
        </w:tc>
        <w:tc>
          <w:tcPr>
            <w:tcW w:w="1152" w:type="dxa"/>
            <w:vAlign w:val="center"/>
            <w:hideMark/>
          </w:tcPr>
          <w:p w14:paraId="608F6C16" w14:textId="77777777" w:rsidR="001D70AF" w:rsidRPr="008137D7" w:rsidRDefault="001D70AF" w:rsidP="000C69EE">
            <w:pPr>
              <w:keepNext/>
              <w:jc w:val="center"/>
              <w:rPr>
                <w:rFonts w:eastAsia="Times New Roman"/>
                <w:sz w:val="18"/>
                <w:szCs w:val="18"/>
              </w:rPr>
            </w:pPr>
          </w:p>
        </w:tc>
        <w:tc>
          <w:tcPr>
            <w:tcW w:w="1152" w:type="dxa"/>
            <w:vAlign w:val="center"/>
            <w:hideMark/>
          </w:tcPr>
          <w:p w14:paraId="793260C7" w14:textId="77777777" w:rsidR="001D70AF" w:rsidRPr="008137D7" w:rsidRDefault="001D70AF" w:rsidP="000C69EE">
            <w:pPr>
              <w:keepNext/>
              <w:jc w:val="center"/>
              <w:rPr>
                <w:rFonts w:eastAsia="Times New Roman"/>
                <w:sz w:val="18"/>
                <w:szCs w:val="18"/>
              </w:rPr>
            </w:pPr>
          </w:p>
        </w:tc>
        <w:tc>
          <w:tcPr>
            <w:tcW w:w="1152" w:type="dxa"/>
            <w:vAlign w:val="center"/>
            <w:hideMark/>
          </w:tcPr>
          <w:p w14:paraId="1CB7BBDD"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0.406</w:t>
            </w:r>
          </w:p>
        </w:tc>
      </w:tr>
      <w:tr w:rsidR="008137D7" w:rsidRPr="008137D7" w14:paraId="5C21AA4F" w14:textId="77777777" w:rsidTr="001027B4">
        <w:tc>
          <w:tcPr>
            <w:tcW w:w="1845" w:type="dxa"/>
            <w:vAlign w:val="center"/>
            <w:hideMark/>
          </w:tcPr>
          <w:p w14:paraId="1827196E" w14:textId="77777777" w:rsidR="001D70AF" w:rsidRPr="008137D7" w:rsidRDefault="001D70AF" w:rsidP="000C69EE">
            <w:pPr>
              <w:keepNext/>
              <w:jc w:val="center"/>
              <w:rPr>
                <w:rFonts w:eastAsia="Times New Roman"/>
                <w:sz w:val="18"/>
                <w:szCs w:val="18"/>
              </w:rPr>
            </w:pPr>
          </w:p>
        </w:tc>
        <w:tc>
          <w:tcPr>
            <w:tcW w:w="1152" w:type="dxa"/>
            <w:vAlign w:val="center"/>
            <w:hideMark/>
          </w:tcPr>
          <w:p w14:paraId="2F074A82" w14:textId="77777777" w:rsidR="001D70AF" w:rsidRPr="008137D7" w:rsidRDefault="001D70AF" w:rsidP="000C69EE">
            <w:pPr>
              <w:keepNext/>
              <w:rPr>
                <w:rFonts w:eastAsia="Times New Roman"/>
                <w:sz w:val="18"/>
                <w:szCs w:val="18"/>
              </w:rPr>
            </w:pPr>
          </w:p>
        </w:tc>
        <w:tc>
          <w:tcPr>
            <w:tcW w:w="1152" w:type="dxa"/>
            <w:vAlign w:val="center"/>
            <w:hideMark/>
          </w:tcPr>
          <w:p w14:paraId="45C22F63" w14:textId="77777777" w:rsidR="001D70AF" w:rsidRPr="008137D7" w:rsidRDefault="001D70AF" w:rsidP="000C69EE">
            <w:pPr>
              <w:keepNext/>
              <w:jc w:val="center"/>
              <w:rPr>
                <w:rFonts w:eastAsia="Times New Roman"/>
                <w:sz w:val="18"/>
                <w:szCs w:val="18"/>
              </w:rPr>
            </w:pPr>
          </w:p>
        </w:tc>
        <w:tc>
          <w:tcPr>
            <w:tcW w:w="1152" w:type="dxa"/>
            <w:vAlign w:val="center"/>
            <w:hideMark/>
          </w:tcPr>
          <w:p w14:paraId="45A0B61A" w14:textId="77777777" w:rsidR="001D70AF" w:rsidRPr="008137D7" w:rsidRDefault="001D70AF" w:rsidP="000C69EE">
            <w:pPr>
              <w:keepNext/>
              <w:jc w:val="center"/>
              <w:rPr>
                <w:rFonts w:eastAsia="Times New Roman"/>
                <w:sz w:val="18"/>
                <w:szCs w:val="18"/>
              </w:rPr>
            </w:pPr>
          </w:p>
        </w:tc>
        <w:tc>
          <w:tcPr>
            <w:tcW w:w="1152" w:type="dxa"/>
            <w:vAlign w:val="center"/>
            <w:hideMark/>
          </w:tcPr>
          <w:p w14:paraId="4176F064"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(0.408)</w:t>
            </w:r>
          </w:p>
        </w:tc>
      </w:tr>
      <w:tr w:rsidR="008137D7" w:rsidRPr="008137D7" w14:paraId="2A5F668E" w14:textId="77777777" w:rsidTr="001027B4">
        <w:tc>
          <w:tcPr>
            <w:tcW w:w="1845" w:type="dxa"/>
            <w:vAlign w:val="center"/>
          </w:tcPr>
          <w:p w14:paraId="128F79BC" w14:textId="77777777" w:rsidR="001D70AF" w:rsidRPr="008137D7" w:rsidRDefault="001D70AF" w:rsidP="000C69EE">
            <w:pPr>
              <w:keepNext/>
              <w:rPr>
                <w:rFonts w:eastAsia="Times New Roman"/>
                <w:i/>
                <w:sz w:val="18"/>
                <w:szCs w:val="18"/>
              </w:rPr>
            </w:pPr>
            <w:r w:rsidRPr="008137D7">
              <w:rPr>
                <w:rFonts w:eastAsia="Times New Roman"/>
                <w:sz w:val="18"/>
                <w:szCs w:val="18"/>
              </w:rPr>
              <w:t xml:space="preserve">  </w:t>
            </w:r>
            <w:r w:rsidRPr="008137D7">
              <w:rPr>
                <w:rFonts w:eastAsia="Times New Roman"/>
                <w:i/>
                <w:sz w:val="18"/>
                <w:szCs w:val="18"/>
              </w:rPr>
              <w:t>interaction</w:t>
            </w:r>
          </w:p>
        </w:tc>
        <w:tc>
          <w:tcPr>
            <w:tcW w:w="1152" w:type="dxa"/>
            <w:vAlign w:val="center"/>
          </w:tcPr>
          <w:p w14:paraId="253DDD64" w14:textId="77777777" w:rsidR="001D70AF" w:rsidRPr="008137D7" w:rsidRDefault="001D70AF" w:rsidP="000C69EE">
            <w:pPr>
              <w:keepNext/>
              <w:jc w:val="center"/>
              <w:rPr>
                <w:rFonts w:eastAsia="Times New Roman"/>
                <w:sz w:val="18"/>
                <w:szCs w:val="18"/>
              </w:rPr>
            </w:pPr>
          </w:p>
        </w:tc>
        <w:tc>
          <w:tcPr>
            <w:tcW w:w="1152" w:type="dxa"/>
            <w:vAlign w:val="center"/>
          </w:tcPr>
          <w:p w14:paraId="516312BA" w14:textId="77777777" w:rsidR="001D70AF" w:rsidRPr="008137D7" w:rsidRDefault="001D70AF" w:rsidP="000C69EE">
            <w:pPr>
              <w:keepNext/>
              <w:jc w:val="center"/>
              <w:rPr>
                <w:rFonts w:eastAsia="Times New Roman"/>
                <w:sz w:val="18"/>
                <w:szCs w:val="18"/>
              </w:rPr>
            </w:pPr>
          </w:p>
        </w:tc>
        <w:tc>
          <w:tcPr>
            <w:tcW w:w="1152" w:type="dxa"/>
            <w:vAlign w:val="center"/>
          </w:tcPr>
          <w:p w14:paraId="60D25BC2" w14:textId="77777777" w:rsidR="001D70AF" w:rsidRPr="008137D7" w:rsidRDefault="001D70AF" w:rsidP="000C69EE">
            <w:pPr>
              <w:keepNext/>
              <w:jc w:val="center"/>
              <w:rPr>
                <w:rFonts w:eastAsia="Times New Roman"/>
                <w:sz w:val="18"/>
                <w:szCs w:val="18"/>
              </w:rPr>
            </w:pPr>
          </w:p>
        </w:tc>
        <w:tc>
          <w:tcPr>
            <w:tcW w:w="1152" w:type="dxa"/>
            <w:vAlign w:val="center"/>
          </w:tcPr>
          <w:p w14:paraId="01171ACA"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0.113</w:t>
            </w:r>
            <w:r w:rsidRPr="008137D7">
              <w:rPr>
                <w:rFonts w:eastAsia="Times New Roman"/>
                <w:sz w:val="18"/>
                <w:szCs w:val="18"/>
                <w:vertAlign w:val="superscript"/>
              </w:rPr>
              <w:t>a</w:t>
            </w:r>
          </w:p>
        </w:tc>
      </w:tr>
      <w:tr w:rsidR="008137D7" w:rsidRPr="008137D7" w14:paraId="07F8D2B7" w14:textId="77777777" w:rsidTr="001027B4">
        <w:tc>
          <w:tcPr>
            <w:tcW w:w="1845" w:type="dxa"/>
            <w:vAlign w:val="center"/>
          </w:tcPr>
          <w:p w14:paraId="28EE0CF6" w14:textId="77777777" w:rsidR="001D70AF" w:rsidRPr="008137D7" w:rsidRDefault="001D70AF" w:rsidP="000C69EE">
            <w:pPr>
              <w:keepNext/>
              <w:rPr>
                <w:rFonts w:eastAsia="Times New Roman"/>
                <w:sz w:val="18"/>
                <w:szCs w:val="18"/>
              </w:rPr>
            </w:pPr>
          </w:p>
        </w:tc>
        <w:tc>
          <w:tcPr>
            <w:tcW w:w="1152" w:type="dxa"/>
            <w:vAlign w:val="center"/>
          </w:tcPr>
          <w:p w14:paraId="4F73F5C2" w14:textId="77777777" w:rsidR="001D70AF" w:rsidRPr="008137D7" w:rsidRDefault="001D70AF" w:rsidP="000C69EE">
            <w:pPr>
              <w:keepNext/>
              <w:jc w:val="center"/>
              <w:rPr>
                <w:rFonts w:eastAsia="Times New Roman"/>
                <w:sz w:val="18"/>
                <w:szCs w:val="18"/>
              </w:rPr>
            </w:pPr>
          </w:p>
        </w:tc>
        <w:tc>
          <w:tcPr>
            <w:tcW w:w="1152" w:type="dxa"/>
            <w:vAlign w:val="center"/>
          </w:tcPr>
          <w:p w14:paraId="2EA7FCC1" w14:textId="77777777" w:rsidR="001D70AF" w:rsidRPr="008137D7" w:rsidRDefault="001D70AF" w:rsidP="000C69EE">
            <w:pPr>
              <w:keepNext/>
              <w:jc w:val="center"/>
              <w:rPr>
                <w:rFonts w:eastAsia="Times New Roman"/>
                <w:sz w:val="18"/>
                <w:szCs w:val="18"/>
              </w:rPr>
            </w:pPr>
          </w:p>
        </w:tc>
        <w:tc>
          <w:tcPr>
            <w:tcW w:w="1152" w:type="dxa"/>
            <w:vAlign w:val="center"/>
          </w:tcPr>
          <w:p w14:paraId="7D983374" w14:textId="77777777" w:rsidR="001D70AF" w:rsidRPr="008137D7" w:rsidRDefault="001D70AF" w:rsidP="000C69EE">
            <w:pPr>
              <w:keepNext/>
              <w:jc w:val="center"/>
              <w:rPr>
                <w:rFonts w:eastAsia="Times New Roman"/>
                <w:sz w:val="18"/>
                <w:szCs w:val="18"/>
              </w:rPr>
            </w:pPr>
          </w:p>
        </w:tc>
        <w:tc>
          <w:tcPr>
            <w:tcW w:w="1152" w:type="dxa"/>
            <w:vAlign w:val="center"/>
          </w:tcPr>
          <w:p w14:paraId="52FAE3F3"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(0.060)</w:t>
            </w:r>
          </w:p>
        </w:tc>
      </w:tr>
      <w:tr w:rsidR="008137D7" w:rsidRPr="008137D7" w14:paraId="38323B28" w14:textId="77777777" w:rsidTr="001027B4">
        <w:tc>
          <w:tcPr>
            <w:tcW w:w="1845" w:type="dxa"/>
            <w:vAlign w:val="center"/>
            <w:hideMark/>
          </w:tcPr>
          <w:p w14:paraId="7CB3F424" w14:textId="77777777" w:rsidR="001D70AF" w:rsidRPr="008137D7" w:rsidRDefault="001D70AF" w:rsidP="000C69EE">
            <w:pPr>
              <w:keepNext/>
              <w:rPr>
                <w:rFonts w:eastAsia="Times New Roman"/>
                <w:sz w:val="18"/>
                <w:szCs w:val="18"/>
              </w:rPr>
            </w:pPr>
            <w:r w:rsidRPr="008137D7">
              <w:rPr>
                <w:rFonts w:eastAsia="Times New Roman"/>
                <w:sz w:val="18"/>
                <w:szCs w:val="18"/>
              </w:rPr>
              <w:t>Female</w:t>
            </w:r>
          </w:p>
        </w:tc>
        <w:tc>
          <w:tcPr>
            <w:tcW w:w="1152" w:type="dxa"/>
            <w:vAlign w:val="center"/>
            <w:hideMark/>
          </w:tcPr>
          <w:p w14:paraId="1EA9FCFF"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0.083***</w:t>
            </w:r>
          </w:p>
        </w:tc>
        <w:tc>
          <w:tcPr>
            <w:tcW w:w="1152" w:type="dxa"/>
            <w:vAlign w:val="center"/>
            <w:hideMark/>
          </w:tcPr>
          <w:p w14:paraId="7A5B761C"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0.084***</w:t>
            </w:r>
          </w:p>
        </w:tc>
        <w:tc>
          <w:tcPr>
            <w:tcW w:w="1152" w:type="dxa"/>
            <w:vAlign w:val="center"/>
            <w:hideMark/>
          </w:tcPr>
          <w:p w14:paraId="21CF0836"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0.071***</w:t>
            </w:r>
          </w:p>
        </w:tc>
        <w:tc>
          <w:tcPr>
            <w:tcW w:w="1152" w:type="dxa"/>
            <w:vAlign w:val="center"/>
            <w:hideMark/>
          </w:tcPr>
          <w:p w14:paraId="1E7AB2CC"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0.074***</w:t>
            </w:r>
          </w:p>
        </w:tc>
      </w:tr>
      <w:tr w:rsidR="008137D7" w:rsidRPr="008137D7" w14:paraId="40E3FD11" w14:textId="77777777" w:rsidTr="001027B4">
        <w:tc>
          <w:tcPr>
            <w:tcW w:w="1845" w:type="dxa"/>
            <w:vAlign w:val="center"/>
            <w:hideMark/>
          </w:tcPr>
          <w:p w14:paraId="7A143A41" w14:textId="77777777" w:rsidR="001D70AF" w:rsidRPr="008137D7" w:rsidRDefault="001D70AF" w:rsidP="000C69EE">
            <w:pPr>
              <w:keepNext/>
              <w:jc w:val="center"/>
              <w:rPr>
                <w:rFonts w:eastAsia="Times New Roman"/>
                <w:sz w:val="18"/>
                <w:szCs w:val="18"/>
              </w:rPr>
            </w:pPr>
          </w:p>
        </w:tc>
        <w:tc>
          <w:tcPr>
            <w:tcW w:w="1152" w:type="dxa"/>
            <w:vAlign w:val="center"/>
            <w:hideMark/>
          </w:tcPr>
          <w:p w14:paraId="750BCFD0"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(0.018)</w:t>
            </w:r>
          </w:p>
        </w:tc>
        <w:tc>
          <w:tcPr>
            <w:tcW w:w="1152" w:type="dxa"/>
            <w:vAlign w:val="center"/>
            <w:hideMark/>
          </w:tcPr>
          <w:p w14:paraId="613056AC"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(0.017)</w:t>
            </w:r>
          </w:p>
        </w:tc>
        <w:tc>
          <w:tcPr>
            <w:tcW w:w="1152" w:type="dxa"/>
            <w:vAlign w:val="center"/>
            <w:hideMark/>
          </w:tcPr>
          <w:p w14:paraId="1679E4EC"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(0.017)</w:t>
            </w:r>
          </w:p>
        </w:tc>
        <w:tc>
          <w:tcPr>
            <w:tcW w:w="1152" w:type="dxa"/>
            <w:vAlign w:val="center"/>
            <w:hideMark/>
          </w:tcPr>
          <w:p w14:paraId="5D4FDC71"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(0.016)</w:t>
            </w:r>
          </w:p>
        </w:tc>
      </w:tr>
      <w:tr w:rsidR="008137D7" w:rsidRPr="008137D7" w14:paraId="1296DC6C" w14:textId="77777777" w:rsidTr="001027B4">
        <w:tc>
          <w:tcPr>
            <w:tcW w:w="1845" w:type="dxa"/>
            <w:vAlign w:val="center"/>
            <w:hideMark/>
          </w:tcPr>
          <w:p w14:paraId="05703DEF" w14:textId="77777777" w:rsidR="001D70AF" w:rsidRPr="008137D7" w:rsidRDefault="001D70AF" w:rsidP="000C69EE">
            <w:pPr>
              <w:keepNext/>
              <w:rPr>
                <w:rFonts w:eastAsia="Times New Roman"/>
                <w:sz w:val="18"/>
                <w:szCs w:val="18"/>
              </w:rPr>
            </w:pPr>
            <w:r w:rsidRPr="008137D7">
              <w:rPr>
                <w:rFonts w:eastAsia="Times New Roman"/>
                <w:sz w:val="18"/>
                <w:szCs w:val="18"/>
              </w:rPr>
              <w:t>Age</w:t>
            </w:r>
          </w:p>
        </w:tc>
        <w:tc>
          <w:tcPr>
            <w:tcW w:w="1152" w:type="dxa"/>
            <w:vAlign w:val="center"/>
            <w:hideMark/>
          </w:tcPr>
          <w:p w14:paraId="3E04BB9D"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0.003</w:t>
            </w:r>
            <w:r w:rsidRPr="008137D7">
              <w:rPr>
                <w:rFonts w:eastAsia="Times New Roman"/>
                <w:sz w:val="18"/>
                <w:szCs w:val="18"/>
                <w:vertAlign w:val="superscript"/>
              </w:rPr>
              <w:t>a</w:t>
            </w:r>
          </w:p>
        </w:tc>
        <w:tc>
          <w:tcPr>
            <w:tcW w:w="1152" w:type="dxa"/>
            <w:vAlign w:val="center"/>
            <w:hideMark/>
          </w:tcPr>
          <w:p w14:paraId="569E3BF1"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0.003</w:t>
            </w:r>
            <w:r w:rsidRPr="008137D7">
              <w:rPr>
                <w:rFonts w:eastAsia="Times New Roman"/>
                <w:sz w:val="18"/>
                <w:szCs w:val="18"/>
                <w:vertAlign w:val="superscript"/>
              </w:rPr>
              <w:t>a</w:t>
            </w:r>
          </w:p>
        </w:tc>
        <w:tc>
          <w:tcPr>
            <w:tcW w:w="1152" w:type="dxa"/>
            <w:vAlign w:val="center"/>
            <w:hideMark/>
          </w:tcPr>
          <w:p w14:paraId="0F6E7873"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0.003**</w:t>
            </w:r>
          </w:p>
        </w:tc>
        <w:tc>
          <w:tcPr>
            <w:tcW w:w="1152" w:type="dxa"/>
            <w:vAlign w:val="center"/>
            <w:hideMark/>
          </w:tcPr>
          <w:p w14:paraId="1C0F9CD6"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0.004***</w:t>
            </w:r>
          </w:p>
        </w:tc>
      </w:tr>
      <w:tr w:rsidR="008137D7" w:rsidRPr="008137D7" w14:paraId="2AD30069" w14:textId="77777777" w:rsidTr="001027B4">
        <w:tc>
          <w:tcPr>
            <w:tcW w:w="1845" w:type="dxa"/>
            <w:vAlign w:val="center"/>
            <w:hideMark/>
          </w:tcPr>
          <w:p w14:paraId="4092E244" w14:textId="77777777" w:rsidR="001D70AF" w:rsidRPr="008137D7" w:rsidRDefault="001D70AF" w:rsidP="000C69EE">
            <w:pPr>
              <w:keepNext/>
              <w:jc w:val="center"/>
              <w:rPr>
                <w:rFonts w:eastAsia="Times New Roman"/>
                <w:sz w:val="18"/>
                <w:szCs w:val="18"/>
              </w:rPr>
            </w:pPr>
          </w:p>
        </w:tc>
        <w:tc>
          <w:tcPr>
            <w:tcW w:w="1152" w:type="dxa"/>
            <w:vAlign w:val="center"/>
            <w:hideMark/>
          </w:tcPr>
          <w:p w14:paraId="5DFF2C09"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(0.002)</w:t>
            </w:r>
          </w:p>
        </w:tc>
        <w:tc>
          <w:tcPr>
            <w:tcW w:w="1152" w:type="dxa"/>
            <w:vAlign w:val="center"/>
            <w:hideMark/>
          </w:tcPr>
          <w:p w14:paraId="21492D3D"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(0.001)</w:t>
            </w:r>
          </w:p>
        </w:tc>
        <w:tc>
          <w:tcPr>
            <w:tcW w:w="1152" w:type="dxa"/>
            <w:vAlign w:val="center"/>
            <w:hideMark/>
          </w:tcPr>
          <w:p w14:paraId="0F593A15"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(0.001)</w:t>
            </w:r>
          </w:p>
        </w:tc>
        <w:tc>
          <w:tcPr>
            <w:tcW w:w="1152" w:type="dxa"/>
            <w:vAlign w:val="center"/>
            <w:hideMark/>
          </w:tcPr>
          <w:p w14:paraId="6D15DE97"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(0.001)</w:t>
            </w:r>
          </w:p>
        </w:tc>
      </w:tr>
      <w:tr w:rsidR="008137D7" w:rsidRPr="008137D7" w14:paraId="55D6E148" w14:textId="77777777" w:rsidTr="001027B4">
        <w:tc>
          <w:tcPr>
            <w:tcW w:w="1845" w:type="dxa"/>
            <w:vAlign w:val="center"/>
            <w:hideMark/>
          </w:tcPr>
          <w:p w14:paraId="7BC37935" w14:textId="77777777" w:rsidR="001D70AF" w:rsidRPr="008137D7" w:rsidRDefault="001D70AF" w:rsidP="000C69EE">
            <w:pPr>
              <w:keepNext/>
              <w:rPr>
                <w:rFonts w:eastAsia="Times New Roman"/>
                <w:sz w:val="18"/>
                <w:szCs w:val="18"/>
              </w:rPr>
            </w:pPr>
            <w:r w:rsidRPr="008137D7">
              <w:rPr>
                <w:rFonts w:eastAsia="Times New Roman"/>
                <w:sz w:val="18"/>
                <w:szCs w:val="18"/>
              </w:rPr>
              <w:t>Education</w:t>
            </w:r>
          </w:p>
        </w:tc>
        <w:tc>
          <w:tcPr>
            <w:tcW w:w="1152" w:type="dxa"/>
            <w:vAlign w:val="center"/>
            <w:hideMark/>
          </w:tcPr>
          <w:p w14:paraId="150DE7E2"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-0.300***</w:t>
            </w:r>
          </w:p>
        </w:tc>
        <w:tc>
          <w:tcPr>
            <w:tcW w:w="1152" w:type="dxa"/>
            <w:vAlign w:val="center"/>
            <w:hideMark/>
          </w:tcPr>
          <w:p w14:paraId="518585DE"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-0.291***</w:t>
            </w:r>
          </w:p>
        </w:tc>
        <w:tc>
          <w:tcPr>
            <w:tcW w:w="1152" w:type="dxa"/>
            <w:vAlign w:val="center"/>
            <w:hideMark/>
          </w:tcPr>
          <w:p w14:paraId="0A6D7B68"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-0.261***</w:t>
            </w:r>
          </w:p>
        </w:tc>
        <w:tc>
          <w:tcPr>
            <w:tcW w:w="1152" w:type="dxa"/>
            <w:vAlign w:val="center"/>
            <w:hideMark/>
          </w:tcPr>
          <w:p w14:paraId="2523EB85"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-0.246***</w:t>
            </w:r>
          </w:p>
        </w:tc>
      </w:tr>
      <w:tr w:rsidR="008137D7" w:rsidRPr="008137D7" w14:paraId="68FD2C88" w14:textId="77777777" w:rsidTr="001027B4">
        <w:tc>
          <w:tcPr>
            <w:tcW w:w="1845" w:type="dxa"/>
            <w:vAlign w:val="center"/>
            <w:hideMark/>
          </w:tcPr>
          <w:p w14:paraId="2F8D627F" w14:textId="77777777" w:rsidR="001D70AF" w:rsidRPr="008137D7" w:rsidRDefault="001D70AF" w:rsidP="000C69EE">
            <w:pPr>
              <w:keepNext/>
              <w:jc w:val="center"/>
              <w:rPr>
                <w:rFonts w:eastAsia="Times New Roman"/>
                <w:sz w:val="18"/>
                <w:szCs w:val="18"/>
              </w:rPr>
            </w:pPr>
          </w:p>
        </w:tc>
        <w:tc>
          <w:tcPr>
            <w:tcW w:w="1152" w:type="dxa"/>
            <w:vAlign w:val="center"/>
            <w:hideMark/>
          </w:tcPr>
          <w:p w14:paraId="5E0865B8"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(0.065)</w:t>
            </w:r>
          </w:p>
        </w:tc>
        <w:tc>
          <w:tcPr>
            <w:tcW w:w="1152" w:type="dxa"/>
            <w:vAlign w:val="center"/>
            <w:hideMark/>
          </w:tcPr>
          <w:p w14:paraId="03333DE8"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(0.061)</w:t>
            </w:r>
          </w:p>
        </w:tc>
        <w:tc>
          <w:tcPr>
            <w:tcW w:w="1152" w:type="dxa"/>
            <w:vAlign w:val="center"/>
            <w:hideMark/>
          </w:tcPr>
          <w:p w14:paraId="5FDA9CA2"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(0.060)</w:t>
            </w:r>
          </w:p>
        </w:tc>
        <w:tc>
          <w:tcPr>
            <w:tcW w:w="1152" w:type="dxa"/>
            <w:vAlign w:val="center"/>
            <w:hideMark/>
          </w:tcPr>
          <w:p w14:paraId="60B7EB43"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(0.048)</w:t>
            </w:r>
          </w:p>
        </w:tc>
      </w:tr>
      <w:tr w:rsidR="008137D7" w:rsidRPr="008137D7" w14:paraId="2076D528" w14:textId="77777777" w:rsidTr="001027B4">
        <w:tc>
          <w:tcPr>
            <w:tcW w:w="1845" w:type="dxa"/>
            <w:vAlign w:val="center"/>
            <w:hideMark/>
          </w:tcPr>
          <w:p w14:paraId="53A25238" w14:textId="77777777" w:rsidR="001D70AF" w:rsidRPr="008137D7" w:rsidRDefault="001D70AF" w:rsidP="000C69EE">
            <w:pPr>
              <w:keepNext/>
              <w:rPr>
                <w:rFonts w:eastAsia="Times New Roman"/>
                <w:sz w:val="18"/>
                <w:szCs w:val="18"/>
              </w:rPr>
            </w:pPr>
            <w:r w:rsidRPr="008137D7">
              <w:rPr>
                <w:rFonts w:eastAsia="Times New Roman"/>
                <w:sz w:val="18"/>
                <w:szCs w:val="18"/>
              </w:rPr>
              <w:t>Std Living</w:t>
            </w:r>
          </w:p>
        </w:tc>
        <w:tc>
          <w:tcPr>
            <w:tcW w:w="1152" w:type="dxa"/>
            <w:vAlign w:val="center"/>
            <w:hideMark/>
          </w:tcPr>
          <w:p w14:paraId="15390F01"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-0.130</w:t>
            </w:r>
            <w:r w:rsidRPr="008137D7">
              <w:rPr>
                <w:rFonts w:eastAsia="Times New Roman"/>
                <w:sz w:val="18"/>
                <w:szCs w:val="18"/>
                <w:vertAlign w:val="superscript"/>
              </w:rPr>
              <w:t xml:space="preserve"> a</w:t>
            </w:r>
          </w:p>
        </w:tc>
        <w:tc>
          <w:tcPr>
            <w:tcW w:w="1152" w:type="dxa"/>
            <w:vAlign w:val="center"/>
            <w:hideMark/>
          </w:tcPr>
          <w:p w14:paraId="490158FA"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-0.130</w:t>
            </w:r>
            <w:r w:rsidRPr="008137D7">
              <w:rPr>
                <w:rFonts w:eastAsia="Times New Roman"/>
                <w:sz w:val="18"/>
                <w:szCs w:val="18"/>
                <w:vertAlign w:val="superscript"/>
              </w:rPr>
              <w:t>a</w:t>
            </w:r>
            <w:r w:rsidRPr="008137D7">
              <w:rPr>
                <w:rFonts w:eastAsia="Times New Roman"/>
                <w:sz w:val="18"/>
                <w:szCs w:val="18"/>
              </w:rPr>
              <w:t xml:space="preserve"> </w:t>
            </w:r>
          </w:p>
        </w:tc>
        <w:tc>
          <w:tcPr>
            <w:tcW w:w="1152" w:type="dxa"/>
            <w:vAlign w:val="center"/>
            <w:hideMark/>
          </w:tcPr>
          <w:p w14:paraId="53BF50D3"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-0.076</w:t>
            </w:r>
          </w:p>
        </w:tc>
        <w:tc>
          <w:tcPr>
            <w:tcW w:w="1152" w:type="dxa"/>
            <w:vAlign w:val="center"/>
            <w:hideMark/>
          </w:tcPr>
          <w:p w14:paraId="6D8C9EF8"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-0.050</w:t>
            </w:r>
          </w:p>
        </w:tc>
      </w:tr>
      <w:tr w:rsidR="008137D7" w:rsidRPr="008137D7" w14:paraId="0264C2AC" w14:textId="77777777" w:rsidTr="001027B4">
        <w:tc>
          <w:tcPr>
            <w:tcW w:w="1845" w:type="dxa"/>
            <w:vAlign w:val="center"/>
            <w:hideMark/>
          </w:tcPr>
          <w:p w14:paraId="09DC12A3" w14:textId="77777777" w:rsidR="001D70AF" w:rsidRPr="008137D7" w:rsidRDefault="001D70AF" w:rsidP="000C69EE">
            <w:pPr>
              <w:keepNext/>
              <w:jc w:val="center"/>
              <w:rPr>
                <w:rFonts w:eastAsia="Times New Roman"/>
                <w:sz w:val="18"/>
                <w:szCs w:val="18"/>
              </w:rPr>
            </w:pPr>
          </w:p>
        </w:tc>
        <w:tc>
          <w:tcPr>
            <w:tcW w:w="1152" w:type="dxa"/>
            <w:vAlign w:val="center"/>
            <w:hideMark/>
          </w:tcPr>
          <w:p w14:paraId="5AC3A60B"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(0.064)</w:t>
            </w:r>
          </w:p>
        </w:tc>
        <w:tc>
          <w:tcPr>
            <w:tcW w:w="1152" w:type="dxa"/>
            <w:vAlign w:val="center"/>
            <w:hideMark/>
          </w:tcPr>
          <w:p w14:paraId="1EC5E1FE"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(0.064)</w:t>
            </w:r>
          </w:p>
        </w:tc>
        <w:tc>
          <w:tcPr>
            <w:tcW w:w="1152" w:type="dxa"/>
            <w:vAlign w:val="center"/>
            <w:hideMark/>
          </w:tcPr>
          <w:p w14:paraId="287B99A1"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(0.057)</w:t>
            </w:r>
          </w:p>
        </w:tc>
        <w:tc>
          <w:tcPr>
            <w:tcW w:w="1152" w:type="dxa"/>
            <w:vAlign w:val="center"/>
            <w:hideMark/>
          </w:tcPr>
          <w:p w14:paraId="28C16C7D"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(0.056)</w:t>
            </w:r>
          </w:p>
        </w:tc>
      </w:tr>
      <w:tr w:rsidR="008137D7" w:rsidRPr="008137D7" w14:paraId="349BE547" w14:textId="77777777" w:rsidTr="001027B4">
        <w:tc>
          <w:tcPr>
            <w:tcW w:w="1845" w:type="dxa"/>
            <w:vAlign w:val="center"/>
            <w:hideMark/>
          </w:tcPr>
          <w:p w14:paraId="6E8CF9F4" w14:textId="77777777" w:rsidR="001D70AF" w:rsidRPr="008137D7" w:rsidRDefault="001D70AF" w:rsidP="000C69EE">
            <w:pPr>
              <w:keepNext/>
              <w:rPr>
                <w:rFonts w:eastAsia="Times New Roman"/>
                <w:sz w:val="18"/>
                <w:szCs w:val="18"/>
              </w:rPr>
            </w:pPr>
            <w:r w:rsidRPr="008137D7">
              <w:rPr>
                <w:rFonts w:eastAsia="Times New Roman"/>
                <w:sz w:val="18"/>
                <w:szCs w:val="18"/>
              </w:rPr>
              <w:t>Mean Spending</w:t>
            </w:r>
          </w:p>
        </w:tc>
        <w:tc>
          <w:tcPr>
            <w:tcW w:w="1152" w:type="dxa"/>
            <w:vAlign w:val="center"/>
            <w:hideMark/>
          </w:tcPr>
          <w:p w14:paraId="315DEBB2" w14:textId="77777777" w:rsidR="001D70AF" w:rsidRPr="008137D7" w:rsidRDefault="001D70AF" w:rsidP="000C69EE">
            <w:pPr>
              <w:keepNext/>
              <w:rPr>
                <w:rFonts w:eastAsia="Times New Roman"/>
                <w:sz w:val="18"/>
                <w:szCs w:val="18"/>
              </w:rPr>
            </w:pPr>
          </w:p>
        </w:tc>
        <w:tc>
          <w:tcPr>
            <w:tcW w:w="1152" w:type="dxa"/>
            <w:vAlign w:val="center"/>
            <w:hideMark/>
          </w:tcPr>
          <w:p w14:paraId="7B27E55A"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-0.033</w:t>
            </w:r>
          </w:p>
        </w:tc>
        <w:tc>
          <w:tcPr>
            <w:tcW w:w="1152" w:type="dxa"/>
            <w:vAlign w:val="center"/>
            <w:hideMark/>
          </w:tcPr>
          <w:p w14:paraId="449697CB"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-0.036</w:t>
            </w:r>
          </w:p>
        </w:tc>
        <w:tc>
          <w:tcPr>
            <w:tcW w:w="1152" w:type="dxa"/>
            <w:vAlign w:val="center"/>
            <w:hideMark/>
          </w:tcPr>
          <w:p w14:paraId="604A2860"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0.008</w:t>
            </w:r>
          </w:p>
        </w:tc>
      </w:tr>
      <w:tr w:rsidR="008137D7" w:rsidRPr="008137D7" w14:paraId="03E65F71" w14:textId="77777777" w:rsidTr="001027B4">
        <w:tc>
          <w:tcPr>
            <w:tcW w:w="1845" w:type="dxa"/>
            <w:vAlign w:val="center"/>
            <w:hideMark/>
          </w:tcPr>
          <w:p w14:paraId="5BB7A39E" w14:textId="77777777" w:rsidR="001D70AF" w:rsidRPr="008137D7" w:rsidRDefault="001D70AF" w:rsidP="000C69EE">
            <w:pPr>
              <w:keepNext/>
              <w:jc w:val="center"/>
              <w:rPr>
                <w:rFonts w:eastAsia="Times New Roman"/>
                <w:sz w:val="18"/>
                <w:szCs w:val="18"/>
              </w:rPr>
            </w:pPr>
          </w:p>
        </w:tc>
        <w:tc>
          <w:tcPr>
            <w:tcW w:w="1152" w:type="dxa"/>
            <w:vAlign w:val="center"/>
            <w:hideMark/>
          </w:tcPr>
          <w:p w14:paraId="2F0CC189" w14:textId="77777777" w:rsidR="001D70AF" w:rsidRPr="008137D7" w:rsidRDefault="001D70AF" w:rsidP="000C69EE">
            <w:pPr>
              <w:keepNext/>
              <w:rPr>
                <w:rFonts w:eastAsia="Times New Roman"/>
                <w:sz w:val="18"/>
                <w:szCs w:val="18"/>
              </w:rPr>
            </w:pPr>
          </w:p>
        </w:tc>
        <w:tc>
          <w:tcPr>
            <w:tcW w:w="1152" w:type="dxa"/>
            <w:vAlign w:val="center"/>
            <w:hideMark/>
          </w:tcPr>
          <w:p w14:paraId="17697625"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(0.047)</w:t>
            </w:r>
          </w:p>
        </w:tc>
        <w:tc>
          <w:tcPr>
            <w:tcW w:w="1152" w:type="dxa"/>
            <w:vAlign w:val="center"/>
            <w:hideMark/>
          </w:tcPr>
          <w:p w14:paraId="43E626F5"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(0.044)</w:t>
            </w:r>
          </w:p>
        </w:tc>
        <w:tc>
          <w:tcPr>
            <w:tcW w:w="1152" w:type="dxa"/>
            <w:vAlign w:val="center"/>
            <w:hideMark/>
          </w:tcPr>
          <w:p w14:paraId="6F7163B6"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(0.047)</w:t>
            </w:r>
          </w:p>
        </w:tc>
      </w:tr>
      <w:tr w:rsidR="008137D7" w:rsidRPr="008137D7" w14:paraId="17053C20" w14:textId="77777777" w:rsidTr="001027B4">
        <w:tc>
          <w:tcPr>
            <w:tcW w:w="1845" w:type="dxa"/>
            <w:vAlign w:val="center"/>
          </w:tcPr>
          <w:p w14:paraId="37E812F2" w14:textId="77777777" w:rsidR="001D70AF" w:rsidRPr="008137D7" w:rsidRDefault="001D70AF" w:rsidP="000C69EE">
            <w:pPr>
              <w:keepNext/>
              <w:rPr>
                <w:rFonts w:eastAsia="Times New Roman"/>
                <w:sz w:val="18"/>
                <w:szCs w:val="18"/>
              </w:rPr>
            </w:pPr>
            <w:r w:rsidRPr="008137D7">
              <w:rPr>
                <w:rFonts w:eastAsia="Times New Roman"/>
                <w:sz w:val="18"/>
                <w:szCs w:val="18"/>
              </w:rPr>
              <w:t>Gov Reduce</w:t>
            </w:r>
          </w:p>
        </w:tc>
        <w:tc>
          <w:tcPr>
            <w:tcW w:w="1152" w:type="dxa"/>
            <w:vAlign w:val="center"/>
          </w:tcPr>
          <w:p w14:paraId="5D2B9DC9" w14:textId="77777777" w:rsidR="001D70AF" w:rsidRPr="008137D7" w:rsidRDefault="001D70AF" w:rsidP="000C69EE">
            <w:pPr>
              <w:keepNext/>
              <w:rPr>
                <w:rFonts w:eastAsia="Times New Roman"/>
                <w:sz w:val="18"/>
                <w:szCs w:val="18"/>
              </w:rPr>
            </w:pPr>
          </w:p>
        </w:tc>
        <w:tc>
          <w:tcPr>
            <w:tcW w:w="1152" w:type="dxa"/>
            <w:vAlign w:val="center"/>
          </w:tcPr>
          <w:p w14:paraId="6D5119FC" w14:textId="77777777" w:rsidR="001D70AF" w:rsidRPr="008137D7" w:rsidRDefault="001D70AF" w:rsidP="000C69EE">
            <w:pPr>
              <w:keepNext/>
              <w:jc w:val="center"/>
              <w:rPr>
                <w:rFonts w:eastAsia="Times New Roman"/>
                <w:sz w:val="18"/>
                <w:szCs w:val="18"/>
              </w:rPr>
            </w:pPr>
          </w:p>
        </w:tc>
        <w:tc>
          <w:tcPr>
            <w:tcW w:w="1152" w:type="dxa"/>
            <w:vAlign w:val="center"/>
          </w:tcPr>
          <w:p w14:paraId="5B5EBCF3"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0.443***</w:t>
            </w:r>
          </w:p>
        </w:tc>
        <w:tc>
          <w:tcPr>
            <w:tcW w:w="1152" w:type="dxa"/>
            <w:vAlign w:val="center"/>
          </w:tcPr>
          <w:p w14:paraId="5C839F66"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0.416***</w:t>
            </w:r>
          </w:p>
        </w:tc>
      </w:tr>
      <w:tr w:rsidR="008137D7" w:rsidRPr="008137D7" w14:paraId="00DE7450" w14:textId="77777777" w:rsidTr="001027B4">
        <w:tc>
          <w:tcPr>
            <w:tcW w:w="1845" w:type="dxa"/>
            <w:vAlign w:val="center"/>
          </w:tcPr>
          <w:p w14:paraId="3EE0658D" w14:textId="77777777" w:rsidR="001D70AF" w:rsidRPr="008137D7" w:rsidRDefault="001D70AF" w:rsidP="000C69EE">
            <w:pPr>
              <w:keepNext/>
              <w:rPr>
                <w:rFonts w:eastAsia="Times New Roman"/>
                <w:sz w:val="18"/>
                <w:szCs w:val="18"/>
              </w:rPr>
            </w:pPr>
          </w:p>
        </w:tc>
        <w:tc>
          <w:tcPr>
            <w:tcW w:w="1152" w:type="dxa"/>
            <w:vAlign w:val="center"/>
          </w:tcPr>
          <w:p w14:paraId="41A4A877" w14:textId="77777777" w:rsidR="001D70AF" w:rsidRPr="008137D7" w:rsidRDefault="001D70AF" w:rsidP="000C69EE">
            <w:pPr>
              <w:keepNext/>
              <w:rPr>
                <w:rFonts w:eastAsia="Times New Roman"/>
                <w:sz w:val="18"/>
                <w:szCs w:val="18"/>
              </w:rPr>
            </w:pPr>
          </w:p>
        </w:tc>
        <w:tc>
          <w:tcPr>
            <w:tcW w:w="1152" w:type="dxa"/>
            <w:vAlign w:val="center"/>
          </w:tcPr>
          <w:p w14:paraId="64DFB9B1" w14:textId="77777777" w:rsidR="001D70AF" w:rsidRPr="008137D7" w:rsidRDefault="001D70AF" w:rsidP="000C69EE">
            <w:pPr>
              <w:keepNext/>
              <w:jc w:val="center"/>
              <w:rPr>
                <w:rFonts w:eastAsia="Times New Roman"/>
                <w:sz w:val="18"/>
                <w:szCs w:val="18"/>
              </w:rPr>
            </w:pPr>
          </w:p>
        </w:tc>
        <w:tc>
          <w:tcPr>
            <w:tcW w:w="1152" w:type="dxa"/>
            <w:vAlign w:val="center"/>
          </w:tcPr>
          <w:p w14:paraId="75E39AAE"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(0.077)</w:t>
            </w:r>
          </w:p>
        </w:tc>
        <w:tc>
          <w:tcPr>
            <w:tcW w:w="1152" w:type="dxa"/>
            <w:vAlign w:val="center"/>
          </w:tcPr>
          <w:p w14:paraId="37B20E2E"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(0.054)</w:t>
            </w:r>
          </w:p>
        </w:tc>
      </w:tr>
      <w:tr w:rsidR="008137D7" w:rsidRPr="008137D7" w14:paraId="5885EBE1" w14:textId="77777777" w:rsidTr="001027B4">
        <w:tc>
          <w:tcPr>
            <w:tcW w:w="1845" w:type="dxa"/>
            <w:vAlign w:val="center"/>
            <w:hideMark/>
          </w:tcPr>
          <w:p w14:paraId="7120CE64" w14:textId="77777777" w:rsidR="001D70AF" w:rsidRPr="008137D7" w:rsidRDefault="001D70AF" w:rsidP="000C69EE">
            <w:pPr>
              <w:keepNext/>
              <w:rPr>
                <w:rFonts w:eastAsia="Times New Roman"/>
                <w:sz w:val="18"/>
                <w:szCs w:val="18"/>
              </w:rPr>
            </w:pPr>
            <w:r w:rsidRPr="008137D7">
              <w:rPr>
                <w:rFonts w:eastAsia="Times New Roman"/>
                <w:sz w:val="18"/>
                <w:szCs w:val="18"/>
              </w:rPr>
              <w:t>Ideology</w:t>
            </w:r>
          </w:p>
        </w:tc>
        <w:tc>
          <w:tcPr>
            <w:tcW w:w="1152" w:type="dxa"/>
            <w:vAlign w:val="center"/>
            <w:hideMark/>
          </w:tcPr>
          <w:p w14:paraId="129ACE6A" w14:textId="77777777" w:rsidR="001D70AF" w:rsidRPr="008137D7" w:rsidRDefault="001D70AF" w:rsidP="000C69EE">
            <w:pPr>
              <w:keepNext/>
              <w:rPr>
                <w:rFonts w:eastAsia="Times New Roman"/>
                <w:sz w:val="18"/>
                <w:szCs w:val="18"/>
              </w:rPr>
            </w:pPr>
          </w:p>
        </w:tc>
        <w:tc>
          <w:tcPr>
            <w:tcW w:w="1152" w:type="dxa"/>
            <w:vAlign w:val="center"/>
            <w:hideMark/>
          </w:tcPr>
          <w:p w14:paraId="57ED6FBB" w14:textId="77777777" w:rsidR="001D70AF" w:rsidRPr="008137D7" w:rsidRDefault="001D70AF" w:rsidP="000C69EE">
            <w:pPr>
              <w:keepNext/>
              <w:jc w:val="center"/>
              <w:rPr>
                <w:rFonts w:eastAsia="Times New Roman"/>
                <w:sz w:val="18"/>
                <w:szCs w:val="18"/>
              </w:rPr>
            </w:pPr>
          </w:p>
        </w:tc>
        <w:tc>
          <w:tcPr>
            <w:tcW w:w="1152" w:type="dxa"/>
            <w:vAlign w:val="center"/>
            <w:hideMark/>
          </w:tcPr>
          <w:p w14:paraId="4AE42DC1"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-0.002</w:t>
            </w:r>
          </w:p>
        </w:tc>
        <w:tc>
          <w:tcPr>
            <w:tcW w:w="1152" w:type="dxa"/>
            <w:vAlign w:val="center"/>
            <w:hideMark/>
          </w:tcPr>
          <w:p w14:paraId="2EBC1045"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-0.004</w:t>
            </w:r>
          </w:p>
        </w:tc>
      </w:tr>
      <w:tr w:rsidR="008137D7" w:rsidRPr="008137D7" w14:paraId="18A284CB" w14:textId="77777777" w:rsidTr="001027B4">
        <w:tc>
          <w:tcPr>
            <w:tcW w:w="1845" w:type="dxa"/>
            <w:vAlign w:val="center"/>
            <w:hideMark/>
          </w:tcPr>
          <w:p w14:paraId="24B70EB3" w14:textId="77777777" w:rsidR="001D70AF" w:rsidRPr="008137D7" w:rsidRDefault="001D70AF" w:rsidP="000C69EE">
            <w:pPr>
              <w:keepNext/>
              <w:jc w:val="center"/>
              <w:rPr>
                <w:rFonts w:eastAsia="Times New Roman"/>
                <w:sz w:val="18"/>
                <w:szCs w:val="18"/>
              </w:rPr>
            </w:pPr>
          </w:p>
        </w:tc>
        <w:tc>
          <w:tcPr>
            <w:tcW w:w="1152" w:type="dxa"/>
            <w:vAlign w:val="center"/>
            <w:hideMark/>
          </w:tcPr>
          <w:p w14:paraId="1DBBBB73" w14:textId="77777777" w:rsidR="001D70AF" w:rsidRPr="008137D7" w:rsidRDefault="001D70AF" w:rsidP="000C69EE">
            <w:pPr>
              <w:keepNext/>
              <w:rPr>
                <w:rFonts w:eastAsia="Times New Roman"/>
                <w:sz w:val="18"/>
                <w:szCs w:val="18"/>
              </w:rPr>
            </w:pPr>
          </w:p>
        </w:tc>
        <w:tc>
          <w:tcPr>
            <w:tcW w:w="1152" w:type="dxa"/>
            <w:vAlign w:val="center"/>
            <w:hideMark/>
          </w:tcPr>
          <w:p w14:paraId="4612FD20" w14:textId="77777777" w:rsidR="001D70AF" w:rsidRPr="008137D7" w:rsidRDefault="001D70AF" w:rsidP="000C69EE">
            <w:pPr>
              <w:keepNext/>
              <w:jc w:val="center"/>
              <w:rPr>
                <w:rFonts w:eastAsia="Times New Roman"/>
                <w:sz w:val="18"/>
                <w:szCs w:val="18"/>
              </w:rPr>
            </w:pPr>
          </w:p>
        </w:tc>
        <w:tc>
          <w:tcPr>
            <w:tcW w:w="1152" w:type="dxa"/>
            <w:vAlign w:val="center"/>
            <w:hideMark/>
          </w:tcPr>
          <w:p w14:paraId="61858000"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(0.007)</w:t>
            </w:r>
          </w:p>
        </w:tc>
        <w:tc>
          <w:tcPr>
            <w:tcW w:w="1152" w:type="dxa"/>
            <w:vAlign w:val="center"/>
            <w:hideMark/>
          </w:tcPr>
          <w:p w14:paraId="598C75DC"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(0.006)</w:t>
            </w:r>
          </w:p>
        </w:tc>
      </w:tr>
      <w:tr w:rsidR="008137D7" w:rsidRPr="008137D7" w14:paraId="37AC549D" w14:textId="77777777" w:rsidTr="001027B4">
        <w:tc>
          <w:tcPr>
            <w:tcW w:w="1845" w:type="dxa"/>
            <w:vAlign w:val="center"/>
            <w:hideMark/>
          </w:tcPr>
          <w:p w14:paraId="2DCD20B6" w14:textId="77777777" w:rsidR="001D70AF" w:rsidRPr="008137D7" w:rsidRDefault="001D70AF" w:rsidP="000C69EE">
            <w:pPr>
              <w:keepNext/>
              <w:rPr>
                <w:rFonts w:eastAsia="Times New Roman"/>
                <w:sz w:val="18"/>
                <w:szCs w:val="18"/>
              </w:rPr>
            </w:pPr>
            <w:r w:rsidRPr="008137D7">
              <w:rPr>
                <w:rFonts w:eastAsia="Times New Roman"/>
                <w:sz w:val="18"/>
                <w:szCs w:val="18"/>
              </w:rPr>
              <w:t>Constant</w:t>
            </w:r>
          </w:p>
        </w:tc>
        <w:tc>
          <w:tcPr>
            <w:tcW w:w="1152" w:type="dxa"/>
            <w:vAlign w:val="center"/>
            <w:hideMark/>
          </w:tcPr>
          <w:p w14:paraId="316CAC1A"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0.8978***</w:t>
            </w:r>
          </w:p>
        </w:tc>
        <w:tc>
          <w:tcPr>
            <w:tcW w:w="1152" w:type="dxa"/>
            <w:vAlign w:val="center"/>
            <w:hideMark/>
          </w:tcPr>
          <w:p w14:paraId="31132DF3"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0.928***</w:t>
            </w:r>
          </w:p>
        </w:tc>
        <w:tc>
          <w:tcPr>
            <w:tcW w:w="1152" w:type="dxa"/>
            <w:vAlign w:val="center"/>
            <w:hideMark/>
          </w:tcPr>
          <w:p w14:paraId="47D68836"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0.621***</w:t>
            </w:r>
          </w:p>
        </w:tc>
        <w:tc>
          <w:tcPr>
            <w:tcW w:w="1152" w:type="dxa"/>
            <w:vAlign w:val="center"/>
            <w:hideMark/>
          </w:tcPr>
          <w:p w14:paraId="0C345DA8"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0.423</w:t>
            </w:r>
            <w:r w:rsidRPr="008137D7">
              <w:rPr>
                <w:rFonts w:eastAsia="Times New Roman"/>
                <w:sz w:val="18"/>
                <w:szCs w:val="18"/>
                <w:vertAlign w:val="superscript"/>
              </w:rPr>
              <w:t>a</w:t>
            </w:r>
          </w:p>
        </w:tc>
      </w:tr>
      <w:tr w:rsidR="008137D7" w:rsidRPr="008137D7" w14:paraId="02863FBA" w14:textId="77777777" w:rsidTr="001027B4">
        <w:tc>
          <w:tcPr>
            <w:tcW w:w="1845" w:type="dxa"/>
            <w:vAlign w:val="center"/>
            <w:hideMark/>
          </w:tcPr>
          <w:p w14:paraId="6936EE3D" w14:textId="77777777" w:rsidR="001D70AF" w:rsidRPr="008137D7" w:rsidRDefault="001D70AF" w:rsidP="000C69EE">
            <w:pPr>
              <w:keepNext/>
              <w:jc w:val="center"/>
              <w:rPr>
                <w:rFonts w:eastAsia="Times New Roman"/>
                <w:sz w:val="18"/>
                <w:szCs w:val="18"/>
              </w:rPr>
            </w:pPr>
          </w:p>
        </w:tc>
        <w:tc>
          <w:tcPr>
            <w:tcW w:w="1152" w:type="dxa"/>
            <w:vAlign w:val="center"/>
            <w:hideMark/>
          </w:tcPr>
          <w:p w14:paraId="7B5E86E1"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(0.148)</w:t>
            </w:r>
          </w:p>
        </w:tc>
        <w:tc>
          <w:tcPr>
            <w:tcW w:w="1152" w:type="dxa"/>
            <w:vAlign w:val="center"/>
            <w:hideMark/>
          </w:tcPr>
          <w:p w14:paraId="74695514"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(0.163)</w:t>
            </w:r>
          </w:p>
        </w:tc>
        <w:tc>
          <w:tcPr>
            <w:tcW w:w="1152" w:type="dxa"/>
            <w:vAlign w:val="center"/>
            <w:hideMark/>
          </w:tcPr>
          <w:p w14:paraId="07F1DD79"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(0.132)</w:t>
            </w:r>
          </w:p>
        </w:tc>
        <w:tc>
          <w:tcPr>
            <w:tcW w:w="1152" w:type="dxa"/>
            <w:vAlign w:val="center"/>
            <w:hideMark/>
          </w:tcPr>
          <w:p w14:paraId="64CA3283"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(0.225)</w:t>
            </w:r>
          </w:p>
        </w:tc>
      </w:tr>
      <w:tr w:rsidR="008137D7" w:rsidRPr="008137D7" w14:paraId="3CE26E91" w14:textId="77777777" w:rsidTr="001027B4">
        <w:tc>
          <w:tcPr>
            <w:tcW w:w="1845" w:type="dxa"/>
            <w:tcBorders>
              <w:top w:val="single" w:sz="8" w:space="0" w:color="auto"/>
            </w:tcBorders>
            <w:vAlign w:val="center"/>
            <w:hideMark/>
          </w:tcPr>
          <w:p w14:paraId="7347821B" w14:textId="77777777" w:rsidR="001D70AF" w:rsidRPr="008137D7" w:rsidRDefault="001D70AF" w:rsidP="000C69EE">
            <w:pPr>
              <w:keepNext/>
              <w:rPr>
                <w:rFonts w:eastAsia="Times New Roman"/>
                <w:sz w:val="18"/>
                <w:szCs w:val="18"/>
              </w:rPr>
            </w:pPr>
            <w:r w:rsidRPr="008137D7">
              <w:rPr>
                <w:rFonts w:eastAsia="Times New Roman"/>
                <w:sz w:val="18"/>
                <w:szCs w:val="18"/>
              </w:rPr>
              <w:t>Observations</w:t>
            </w:r>
          </w:p>
        </w:tc>
        <w:tc>
          <w:tcPr>
            <w:tcW w:w="1152" w:type="dxa"/>
            <w:tcBorders>
              <w:top w:val="single" w:sz="8" w:space="0" w:color="auto"/>
            </w:tcBorders>
            <w:vAlign w:val="center"/>
            <w:hideMark/>
          </w:tcPr>
          <w:p w14:paraId="19574737" w14:textId="77777777" w:rsidR="001D70AF" w:rsidRPr="008137D7" w:rsidRDefault="001D70AF" w:rsidP="000C69EE">
            <w:pPr>
              <w:keepNext/>
              <w:jc w:val="center"/>
              <w:rPr>
                <w:rFonts w:eastAsia="Times New Roman"/>
                <w:sz w:val="18"/>
                <w:szCs w:val="18"/>
              </w:rPr>
            </w:pPr>
            <w:r w:rsidRPr="008137D7">
              <w:rPr>
                <w:rFonts w:eastAsia="Times New Roman"/>
                <w:sz w:val="18"/>
                <w:szCs w:val="18"/>
              </w:rPr>
              <w:t>30,149</w:t>
            </w:r>
          </w:p>
        </w:tc>
        <w:tc>
          <w:tcPr>
            <w:tcW w:w="1152" w:type="dxa"/>
            <w:tcBorders>
              <w:top w:val="single" w:sz="8" w:space="0" w:color="auto"/>
            </w:tcBorders>
            <w:vAlign w:val="center"/>
            <w:hideMark/>
          </w:tcPr>
          <w:p w14:paraId="4453C7B2" w14:textId="77777777" w:rsidR="001D70AF" w:rsidRPr="008137D7" w:rsidRDefault="001D70AF" w:rsidP="000C69EE">
            <w:pPr>
              <w:keepNext/>
              <w:jc w:val="center"/>
              <w:rPr>
                <w:rFonts w:eastAsia="Times New Roman"/>
                <w:sz w:val="18"/>
                <w:szCs w:val="18"/>
              </w:rPr>
            </w:pPr>
            <w:r w:rsidRPr="008137D7">
              <w:rPr>
                <w:rFonts w:eastAsia="Times New Roman"/>
                <w:sz w:val="18"/>
                <w:szCs w:val="18"/>
              </w:rPr>
              <w:t>30,149</w:t>
            </w:r>
          </w:p>
        </w:tc>
        <w:tc>
          <w:tcPr>
            <w:tcW w:w="1152" w:type="dxa"/>
            <w:tcBorders>
              <w:top w:val="single" w:sz="8" w:space="0" w:color="auto"/>
            </w:tcBorders>
            <w:vAlign w:val="center"/>
            <w:hideMark/>
          </w:tcPr>
          <w:p w14:paraId="5D20D2C7" w14:textId="77777777" w:rsidR="001D70AF" w:rsidRPr="008137D7" w:rsidRDefault="001D70AF" w:rsidP="000C69EE">
            <w:pPr>
              <w:keepNext/>
              <w:jc w:val="center"/>
              <w:rPr>
                <w:rFonts w:eastAsia="Times New Roman"/>
                <w:sz w:val="18"/>
                <w:szCs w:val="18"/>
              </w:rPr>
            </w:pPr>
            <w:r w:rsidRPr="008137D7">
              <w:rPr>
                <w:rFonts w:eastAsia="Times New Roman"/>
                <w:sz w:val="18"/>
                <w:szCs w:val="18"/>
              </w:rPr>
              <w:t>30,149</w:t>
            </w:r>
          </w:p>
        </w:tc>
        <w:tc>
          <w:tcPr>
            <w:tcW w:w="1152" w:type="dxa"/>
            <w:tcBorders>
              <w:top w:val="single" w:sz="8" w:space="0" w:color="auto"/>
            </w:tcBorders>
            <w:vAlign w:val="center"/>
            <w:hideMark/>
          </w:tcPr>
          <w:p w14:paraId="4F42F156" w14:textId="77777777" w:rsidR="001D70AF" w:rsidRPr="008137D7" w:rsidRDefault="001D70AF" w:rsidP="000C69EE">
            <w:pPr>
              <w:keepNext/>
              <w:jc w:val="center"/>
              <w:rPr>
                <w:rFonts w:eastAsia="Times New Roman"/>
                <w:sz w:val="18"/>
                <w:szCs w:val="18"/>
              </w:rPr>
            </w:pPr>
            <w:r w:rsidRPr="008137D7">
              <w:rPr>
                <w:rFonts w:eastAsia="Times New Roman"/>
                <w:sz w:val="18"/>
                <w:szCs w:val="18"/>
              </w:rPr>
              <w:t>30,149</w:t>
            </w:r>
          </w:p>
        </w:tc>
      </w:tr>
      <w:tr w:rsidR="008137D7" w:rsidRPr="008137D7" w14:paraId="6BF794D9" w14:textId="77777777" w:rsidTr="001027B4">
        <w:tc>
          <w:tcPr>
            <w:tcW w:w="1845" w:type="dxa"/>
            <w:tcBorders>
              <w:bottom w:val="single" w:sz="8" w:space="0" w:color="auto"/>
            </w:tcBorders>
            <w:vAlign w:val="center"/>
            <w:hideMark/>
          </w:tcPr>
          <w:p w14:paraId="55B88D49" w14:textId="77777777" w:rsidR="001D70AF" w:rsidRPr="008137D7" w:rsidRDefault="001D70AF" w:rsidP="000C69EE">
            <w:pPr>
              <w:keepNext/>
              <w:rPr>
                <w:rFonts w:eastAsia="Times New Roman"/>
                <w:sz w:val="18"/>
                <w:szCs w:val="18"/>
              </w:rPr>
            </w:pPr>
            <w:r w:rsidRPr="008137D7">
              <w:rPr>
                <w:rFonts w:eastAsia="Times New Roman"/>
                <w:sz w:val="18"/>
                <w:szCs w:val="18"/>
              </w:rPr>
              <w:t>R2</w:t>
            </w:r>
          </w:p>
        </w:tc>
        <w:tc>
          <w:tcPr>
            <w:tcW w:w="1152" w:type="dxa"/>
            <w:tcBorders>
              <w:bottom w:val="single" w:sz="8" w:space="0" w:color="auto"/>
            </w:tcBorders>
            <w:vAlign w:val="center"/>
            <w:hideMark/>
          </w:tcPr>
          <w:p w14:paraId="241116D8"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0.042</w:t>
            </w:r>
          </w:p>
        </w:tc>
        <w:tc>
          <w:tcPr>
            <w:tcW w:w="1152" w:type="dxa"/>
            <w:tcBorders>
              <w:bottom w:val="single" w:sz="8" w:space="0" w:color="auto"/>
            </w:tcBorders>
            <w:vAlign w:val="center"/>
            <w:hideMark/>
          </w:tcPr>
          <w:p w14:paraId="3EA61078"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0.044</w:t>
            </w:r>
          </w:p>
        </w:tc>
        <w:tc>
          <w:tcPr>
            <w:tcW w:w="1152" w:type="dxa"/>
            <w:tcBorders>
              <w:bottom w:val="single" w:sz="8" w:space="0" w:color="auto"/>
            </w:tcBorders>
            <w:vAlign w:val="center"/>
            <w:hideMark/>
          </w:tcPr>
          <w:p w14:paraId="03D2A7AF"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0.067</w:t>
            </w:r>
          </w:p>
        </w:tc>
        <w:tc>
          <w:tcPr>
            <w:tcW w:w="1152" w:type="dxa"/>
            <w:tcBorders>
              <w:bottom w:val="single" w:sz="8" w:space="0" w:color="auto"/>
            </w:tcBorders>
            <w:vAlign w:val="center"/>
            <w:hideMark/>
          </w:tcPr>
          <w:p w14:paraId="4377A11E" w14:textId="77777777" w:rsidR="001D70AF" w:rsidRPr="008137D7" w:rsidRDefault="001D70AF" w:rsidP="000C69EE">
            <w:pPr>
              <w:keepNext/>
              <w:jc w:val="center"/>
              <w:rPr>
                <w:rFonts w:eastAsia="Times New Roman"/>
                <w:sz w:val="18"/>
                <w:szCs w:val="18"/>
              </w:rPr>
            </w:pPr>
            <w:r w:rsidRPr="008137D7">
              <w:rPr>
                <w:rFonts w:eastAsia="Times New Roman"/>
                <w:sz w:val="18"/>
                <w:szCs w:val="18"/>
              </w:rPr>
              <w:t>0.086</w:t>
            </w:r>
          </w:p>
        </w:tc>
      </w:tr>
    </w:tbl>
    <w:p w14:paraId="07746C6D" w14:textId="3542477C" w:rsidR="00884B74" w:rsidRPr="008137D7" w:rsidRDefault="00884B74" w:rsidP="00523C93">
      <w:pPr>
        <w:keepNext/>
        <w:ind w:left="900" w:right="1980"/>
        <w:jc w:val="both"/>
        <w:rPr>
          <w:sz w:val="18"/>
          <w:szCs w:val="18"/>
        </w:rPr>
      </w:pPr>
      <w:r w:rsidRPr="008137D7">
        <w:rPr>
          <w:rFonts w:eastAsia="Times New Roman"/>
          <w:sz w:val="18"/>
          <w:szCs w:val="18"/>
          <w:vertAlign w:val="superscript"/>
        </w:rPr>
        <w:t>a</w:t>
      </w:r>
      <w:r w:rsidRPr="008137D7">
        <w:rPr>
          <w:sz w:val="18"/>
          <w:szCs w:val="18"/>
        </w:rPr>
        <w:t xml:space="preserve">  p &lt; .10; * p &lt; .05; ** p &lt; .01; *** p &lt; .001.  Cells contain OLS regression coefficients with clustered standard errors (by country).</w:t>
      </w:r>
    </w:p>
    <w:p w14:paraId="4ABD2009" w14:textId="77777777" w:rsidR="005651D1" w:rsidRPr="008137D7" w:rsidRDefault="005651D1" w:rsidP="0031446C">
      <w:pPr>
        <w:ind w:left="900" w:right="900"/>
        <w:jc w:val="both"/>
        <w:rPr>
          <w:sz w:val="18"/>
          <w:szCs w:val="18"/>
        </w:rPr>
      </w:pPr>
    </w:p>
    <w:p w14:paraId="2B426315" w14:textId="032E91AF" w:rsidR="005D17B9" w:rsidRPr="008137D7" w:rsidRDefault="005D17B9" w:rsidP="005D17B9">
      <w:pPr>
        <w:keepNext/>
        <w:jc w:val="center"/>
      </w:pPr>
      <w:r w:rsidRPr="008137D7">
        <w:t xml:space="preserve">Figure </w:t>
      </w:r>
      <w:r w:rsidR="00063DA9" w:rsidRPr="008137D7">
        <w:t>3</w:t>
      </w:r>
      <w:r w:rsidRPr="008137D7">
        <w:t>. Pensions Preferences and Spending, Moderated by Press Freedom</w:t>
      </w:r>
    </w:p>
    <w:p w14:paraId="2CDFD427" w14:textId="6AB1F688" w:rsidR="005D17B9" w:rsidRPr="008137D7" w:rsidRDefault="008E7484" w:rsidP="005D17B9">
      <w:pPr>
        <w:jc w:val="center"/>
      </w:pPr>
      <w:r w:rsidRPr="008137D7">
        <w:rPr>
          <w:noProof/>
        </w:rPr>
        <w:t>[insert Figure 3 here]</w:t>
      </w:r>
    </w:p>
    <w:p w14:paraId="21DAA680" w14:textId="6B7EF379" w:rsidR="005D17B9" w:rsidRPr="008137D7" w:rsidRDefault="005D17B9" w:rsidP="005D17B9">
      <w:pPr>
        <w:jc w:val="center"/>
        <w:rPr>
          <w:sz w:val="18"/>
          <w:szCs w:val="18"/>
        </w:rPr>
      </w:pPr>
      <w:r w:rsidRPr="008137D7">
        <w:rPr>
          <w:sz w:val="18"/>
          <w:szCs w:val="18"/>
        </w:rPr>
        <w:t xml:space="preserve">Predicted values using clustered standard errors, and with 95% confidence intervals, based on Model </w:t>
      </w:r>
      <w:r w:rsidR="00972D71" w:rsidRPr="008137D7">
        <w:rPr>
          <w:sz w:val="18"/>
          <w:szCs w:val="18"/>
        </w:rPr>
        <w:t>4</w:t>
      </w:r>
      <w:r w:rsidRPr="008137D7">
        <w:rPr>
          <w:sz w:val="18"/>
          <w:szCs w:val="18"/>
        </w:rPr>
        <w:t xml:space="preserve"> in Table 3.</w:t>
      </w:r>
    </w:p>
    <w:p w14:paraId="2613503E" w14:textId="77777777" w:rsidR="007C7604" w:rsidRPr="008137D7" w:rsidRDefault="007C7604" w:rsidP="005D17B9">
      <w:pPr>
        <w:spacing w:line="480" w:lineRule="auto"/>
        <w:rPr>
          <w:rFonts w:eastAsia="Times New Roman"/>
        </w:rPr>
      </w:pPr>
    </w:p>
    <w:p w14:paraId="16CCA101" w14:textId="50AC7F7F" w:rsidR="00DB6C66" w:rsidRPr="008137D7" w:rsidRDefault="00DB6C66" w:rsidP="00FE0E1A">
      <w:pPr>
        <w:keepNext/>
        <w:spacing w:line="480" w:lineRule="auto"/>
        <w:jc w:val="center"/>
        <w:rPr>
          <w:rFonts w:eastAsia="Times New Roman"/>
          <w:sz w:val="28"/>
          <w:szCs w:val="28"/>
        </w:rPr>
      </w:pPr>
      <w:r w:rsidRPr="008137D7">
        <w:rPr>
          <w:rFonts w:eastAsia="Times New Roman"/>
          <w:sz w:val="28"/>
          <w:szCs w:val="28"/>
        </w:rPr>
        <w:lastRenderedPageBreak/>
        <w:t>Robustness Checks</w:t>
      </w:r>
    </w:p>
    <w:p w14:paraId="0D9F28E9" w14:textId="133F5839" w:rsidR="006E00A2" w:rsidRPr="008137D7" w:rsidRDefault="00F27C90" w:rsidP="00F27C90">
      <w:pPr>
        <w:spacing w:line="480" w:lineRule="auto"/>
        <w:ind w:firstLine="720"/>
        <w:jc w:val="both"/>
        <w:rPr>
          <w:rFonts w:eastAsia="Times New Roman"/>
        </w:rPr>
      </w:pPr>
      <w:r w:rsidRPr="00505F74">
        <w:rPr>
          <w:rFonts w:eastAsia="Times New Roman"/>
          <w:color w:val="00B050"/>
        </w:rPr>
        <w:t>Results thus far do not resoundingly support the contention that press freedom is critical to public responsiveness. This is not surprising, given that we are working with a limited number of countrie</w:t>
      </w:r>
      <w:r w:rsidR="00FE71CA" w:rsidRPr="00505F74">
        <w:rPr>
          <w:rFonts w:eastAsia="Times New Roman"/>
          <w:color w:val="00B050"/>
        </w:rPr>
        <w:t xml:space="preserve">s </w:t>
      </w:r>
      <w:r w:rsidRPr="00505F74">
        <w:rPr>
          <w:rFonts w:eastAsia="Times New Roman"/>
          <w:color w:val="00B050"/>
        </w:rPr>
        <w:t xml:space="preserve">and </w:t>
      </w:r>
      <w:r w:rsidR="008D7496" w:rsidRPr="00505F74">
        <w:rPr>
          <w:rFonts w:eastAsia="Times New Roman"/>
          <w:color w:val="00B050"/>
        </w:rPr>
        <w:t xml:space="preserve">necessarily </w:t>
      </w:r>
      <w:r w:rsidRPr="00505F74">
        <w:rPr>
          <w:rFonts w:eastAsia="Times New Roman"/>
          <w:color w:val="00B050"/>
        </w:rPr>
        <w:t xml:space="preserve">noisy data on both spending and press freedoms. </w:t>
      </w:r>
      <w:r w:rsidR="001D176F" w:rsidRPr="00505F74">
        <w:rPr>
          <w:rFonts w:eastAsia="Times New Roman"/>
          <w:color w:val="00B050"/>
        </w:rPr>
        <w:t>Our r</w:t>
      </w:r>
      <w:r w:rsidRPr="00505F74">
        <w:rPr>
          <w:rFonts w:eastAsia="Times New Roman"/>
          <w:color w:val="00B050"/>
        </w:rPr>
        <w:t xml:space="preserve">esults nevertheless </w:t>
      </w:r>
      <w:r w:rsidR="00CB4795" w:rsidRPr="00505F74">
        <w:rPr>
          <w:rFonts w:eastAsia="Times New Roman"/>
          <w:color w:val="00B050"/>
        </w:rPr>
        <w:t xml:space="preserve">are </w:t>
      </w:r>
      <w:r w:rsidRPr="00505F74">
        <w:rPr>
          <w:rFonts w:eastAsia="Times New Roman"/>
          <w:color w:val="00B050"/>
        </w:rPr>
        <w:t xml:space="preserve">strongly suggestive, and the fact that they are built on decades – perhaps centuries – of theory on </w:t>
      </w:r>
      <w:r w:rsidR="00523C93" w:rsidRPr="00505F74">
        <w:rPr>
          <w:rFonts w:eastAsia="Times New Roman"/>
          <w:color w:val="00B050"/>
        </w:rPr>
        <w:t xml:space="preserve">(and observation of) </w:t>
      </w:r>
      <w:r w:rsidRPr="00505F74">
        <w:rPr>
          <w:rFonts w:eastAsia="Times New Roman"/>
          <w:color w:val="00B050"/>
        </w:rPr>
        <w:t>media and democracy leads us to take the findings seriously</w:t>
      </w:r>
      <w:r w:rsidR="004E1892" w:rsidRPr="00505F74">
        <w:rPr>
          <w:rFonts w:eastAsia="Times New Roman"/>
          <w:color w:val="00B050"/>
        </w:rPr>
        <w:t>, at least as a first step</w:t>
      </w:r>
      <w:r w:rsidRPr="00505F74">
        <w:rPr>
          <w:rFonts w:eastAsia="Times New Roman"/>
          <w:color w:val="00B050"/>
        </w:rPr>
        <w:t>.</w:t>
      </w:r>
      <w:r w:rsidRPr="008137D7">
        <w:rPr>
          <w:rFonts w:eastAsia="Times New Roman"/>
        </w:rPr>
        <w:t xml:space="preserve">  </w:t>
      </w:r>
      <w:r w:rsidR="007632BF" w:rsidRPr="008137D7">
        <w:rPr>
          <w:rFonts w:eastAsia="Times New Roman"/>
        </w:rPr>
        <w:t xml:space="preserve">We nevertheless </w:t>
      </w:r>
      <w:r w:rsidR="00F17AEE" w:rsidRPr="008137D7">
        <w:rPr>
          <w:rFonts w:eastAsia="Times New Roman"/>
        </w:rPr>
        <w:t>present</w:t>
      </w:r>
      <w:r w:rsidR="006E00A2" w:rsidRPr="008137D7">
        <w:rPr>
          <w:rFonts w:eastAsia="Times New Roman"/>
        </w:rPr>
        <w:t xml:space="preserve"> </w:t>
      </w:r>
      <w:r w:rsidR="008D7496" w:rsidRPr="008137D7">
        <w:rPr>
          <w:rFonts w:eastAsia="Times New Roman"/>
        </w:rPr>
        <w:t xml:space="preserve">several different </w:t>
      </w:r>
      <w:r w:rsidR="006E00A2" w:rsidRPr="008137D7">
        <w:rPr>
          <w:rFonts w:eastAsia="Times New Roman"/>
        </w:rPr>
        <w:t xml:space="preserve">robustness checks. </w:t>
      </w:r>
    </w:p>
    <w:p w14:paraId="4615C81D" w14:textId="253A79E7" w:rsidR="000A21FF" w:rsidRPr="008137D7" w:rsidRDefault="0070717B" w:rsidP="006E00A2">
      <w:pPr>
        <w:spacing w:line="480" w:lineRule="auto"/>
        <w:ind w:firstLine="720"/>
        <w:jc w:val="both"/>
        <w:rPr>
          <w:rFonts w:eastAsia="Times New Roman"/>
        </w:rPr>
      </w:pPr>
      <w:r w:rsidRPr="008137D7">
        <w:rPr>
          <w:rFonts w:eastAsia="Times New Roman"/>
        </w:rPr>
        <w:t xml:space="preserve">First, if it is in fact spending </w:t>
      </w:r>
      <w:r w:rsidR="00DD06E6" w:rsidRPr="008137D7">
        <w:rPr>
          <w:rFonts w:eastAsia="Times New Roman"/>
        </w:rPr>
        <w:t xml:space="preserve">within each domain </w:t>
      </w:r>
      <w:r w:rsidRPr="008137D7">
        <w:rPr>
          <w:rFonts w:eastAsia="Times New Roman"/>
        </w:rPr>
        <w:t>that drives preferences</w:t>
      </w:r>
      <w:r w:rsidR="00DD06E6" w:rsidRPr="008137D7">
        <w:rPr>
          <w:rFonts w:eastAsia="Times New Roman"/>
        </w:rPr>
        <w:t xml:space="preserve"> for that domain</w:t>
      </w:r>
      <w:r w:rsidRPr="008137D7">
        <w:rPr>
          <w:rFonts w:eastAsia="Times New Roman"/>
        </w:rPr>
        <w:t xml:space="preserve">, then we should expect that spending in other domains does not do so.  That is, the public would respond to spending in </w:t>
      </w:r>
      <w:r w:rsidR="00574EF5" w:rsidRPr="008137D7">
        <w:rPr>
          <w:rFonts w:eastAsia="Times New Roman"/>
        </w:rPr>
        <w:t xml:space="preserve">a </w:t>
      </w:r>
      <w:r w:rsidRPr="008137D7">
        <w:rPr>
          <w:rFonts w:eastAsia="Times New Roman"/>
        </w:rPr>
        <w:t xml:space="preserve">specific domain and not to spending in other, </w:t>
      </w:r>
      <w:r w:rsidR="008948F1" w:rsidRPr="008137D7">
        <w:rPr>
          <w:rFonts w:eastAsia="Times New Roman"/>
        </w:rPr>
        <w:t xml:space="preserve">even </w:t>
      </w:r>
      <w:r w:rsidRPr="008137D7">
        <w:rPr>
          <w:rFonts w:eastAsia="Times New Roman"/>
        </w:rPr>
        <w:t>potentially related</w:t>
      </w:r>
      <w:r w:rsidR="008948F1" w:rsidRPr="008137D7">
        <w:rPr>
          <w:rFonts w:eastAsia="Times New Roman"/>
        </w:rPr>
        <w:t>,</w:t>
      </w:r>
      <w:r w:rsidRPr="008137D7">
        <w:rPr>
          <w:rFonts w:eastAsia="Times New Roman"/>
        </w:rPr>
        <w:t xml:space="preserve"> areas (also see Wlezien 2004).  This depends on there being at least some independent variation in by-domain spending (and preferences), which there clearly is</w:t>
      </w:r>
      <w:r w:rsidR="00CF60BA" w:rsidRPr="008137D7">
        <w:rPr>
          <w:rFonts w:eastAsia="Times New Roman"/>
        </w:rPr>
        <w:t>: across the 2</w:t>
      </w:r>
      <w:r w:rsidR="00F3170D" w:rsidRPr="008137D7">
        <w:rPr>
          <w:rFonts w:eastAsia="Times New Roman"/>
        </w:rPr>
        <w:t>4</w:t>
      </w:r>
      <w:r w:rsidR="00CF60BA" w:rsidRPr="008137D7">
        <w:rPr>
          <w:rFonts w:eastAsia="Times New Roman"/>
        </w:rPr>
        <w:t xml:space="preserve"> countries included in our estimations, </w:t>
      </w:r>
      <w:r w:rsidR="00A955F5" w:rsidRPr="008137D7">
        <w:rPr>
          <w:rFonts w:eastAsia="Times New Roman"/>
        </w:rPr>
        <w:t>welfare</w:t>
      </w:r>
      <w:r w:rsidR="00CF60BA" w:rsidRPr="008137D7">
        <w:rPr>
          <w:rFonts w:eastAsia="Times New Roman"/>
        </w:rPr>
        <w:t xml:space="preserve"> and health spending levels are correlated at 0.30, </w:t>
      </w:r>
      <w:r w:rsidR="00A955F5" w:rsidRPr="008137D7">
        <w:rPr>
          <w:rFonts w:eastAsia="Times New Roman"/>
        </w:rPr>
        <w:t>welfare</w:t>
      </w:r>
      <w:r w:rsidR="00CF60BA" w:rsidRPr="008137D7">
        <w:rPr>
          <w:rFonts w:eastAsia="Times New Roman"/>
        </w:rPr>
        <w:t xml:space="preserve"> and pensions at -0.08, and health and pensions at 0.39; only in the last instance is the correlation borderline significant</w:t>
      </w:r>
      <w:r w:rsidR="00D54D6F" w:rsidRPr="008137D7">
        <w:rPr>
          <w:rFonts w:eastAsia="Times New Roman"/>
        </w:rPr>
        <w:t xml:space="preserve"> (</w:t>
      </w:r>
      <w:r w:rsidR="00CF60BA" w:rsidRPr="008137D7">
        <w:rPr>
          <w:rFonts w:eastAsia="Times New Roman"/>
        </w:rPr>
        <w:t>p = .06</w:t>
      </w:r>
      <w:r w:rsidR="00D54D6F" w:rsidRPr="008137D7">
        <w:rPr>
          <w:rFonts w:eastAsia="Times New Roman"/>
        </w:rPr>
        <w:t>)</w:t>
      </w:r>
      <w:r w:rsidRPr="008137D7">
        <w:rPr>
          <w:rFonts w:eastAsia="Times New Roman"/>
        </w:rPr>
        <w:t>.</w:t>
      </w:r>
    </w:p>
    <w:p w14:paraId="4E8F62B6" w14:textId="51FB4640" w:rsidR="00A16E33" w:rsidRPr="008137D7" w:rsidRDefault="002230A8" w:rsidP="0070717B">
      <w:pPr>
        <w:spacing w:line="480" w:lineRule="auto"/>
        <w:ind w:firstLine="720"/>
        <w:jc w:val="both"/>
        <w:rPr>
          <w:rFonts w:eastAsia="Times New Roman"/>
        </w:rPr>
      </w:pPr>
      <w:r w:rsidRPr="008137D7">
        <w:rPr>
          <w:rFonts w:eastAsia="Times New Roman"/>
        </w:rPr>
        <w:t xml:space="preserve">Our test for this is relatively straightforward: we re-estimate Model 3 for </w:t>
      </w:r>
      <w:r w:rsidR="004577E4" w:rsidRPr="008137D7">
        <w:rPr>
          <w:rFonts w:eastAsia="Times New Roman"/>
        </w:rPr>
        <w:t xml:space="preserve">each </w:t>
      </w:r>
      <w:r w:rsidR="00EA1492" w:rsidRPr="008137D7">
        <w:rPr>
          <w:rFonts w:eastAsia="Times New Roman"/>
        </w:rPr>
        <w:t>domain (</w:t>
      </w:r>
      <w:r w:rsidR="004577E4" w:rsidRPr="008137D7">
        <w:rPr>
          <w:rFonts w:eastAsia="Times New Roman"/>
        </w:rPr>
        <w:t xml:space="preserve">in </w:t>
      </w:r>
      <w:r w:rsidR="0092014D" w:rsidRPr="008137D7">
        <w:rPr>
          <w:rFonts w:eastAsia="Times New Roman"/>
        </w:rPr>
        <w:t>Table</w:t>
      </w:r>
      <w:r w:rsidR="004577E4" w:rsidRPr="008137D7">
        <w:rPr>
          <w:rFonts w:eastAsia="Times New Roman"/>
        </w:rPr>
        <w:t>s</w:t>
      </w:r>
      <w:r w:rsidR="0092014D" w:rsidRPr="008137D7">
        <w:rPr>
          <w:rFonts w:eastAsia="Times New Roman"/>
        </w:rPr>
        <w:t xml:space="preserve"> 1</w:t>
      </w:r>
      <w:r w:rsidR="004577E4" w:rsidRPr="008137D7">
        <w:rPr>
          <w:rFonts w:eastAsia="Times New Roman"/>
        </w:rPr>
        <w:t>-3</w:t>
      </w:r>
      <w:r w:rsidR="0092014D" w:rsidRPr="008137D7">
        <w:rPr>
          <w:rFonts w:eastAsia="Times New Roman"/>
        </w:rPr>
        <w:t xml:space="preserve">) </w:t>
      </w:r>
      <w:r w:rsidRPr="008137D7">
        <w:rPr>
          <w:rFonts w:eastAsia="Times New Roman"/>
        </w:rPr>
        <w:t xml:space="preserve">using all </w:t>
      </w:r>
      <w:r w:rsidR="00A955F5" w:rsidRPr="008137D7">
        <w:rPr>
          <w:rFonts w:eastAsia="Times New Roman"/>
        </w:rPr>
        <w:t>“</w:t>
      </w:r>
      <w:r w:rsidRPr="008137D7">
        <w:rPr>
          <w:rFonts w:eastAsia="Times New Roman"/>
        </w:rPr>
        <w:t>other</w:t>
      </w:r>
      <w:r w:rsidR="00A955F5" w:rsidRPr="008137D7">
        <w:rPr>
          <w:rFonts w:eastAsia="Times New Roman"/>
        </w:rPr>
        <w:t>”</w:t>
      </w:r>
      <w:r w:rsidRPr="008137D7">
        <w:rPr>
          <w:rFonts w:eastAsia="Times New Roman"/>
        </w:rPr>
        <w:t xml:space="preserve"> spending categories in the OECD database; that is, we use non-welfare social spending</w:t>
      </w:r>
      <w:r w:rsidR="0092014D" w:rsidRPr="008137D7">
        <w:rPr>
          <w:rFonts w:eastAsia="Times New Roman"/>
        </w:rPr>
        <w:t xml:space="preserve"> in place of welfare spending</w:t>
      </w:r>
      <w:r w:rsidRPr="008137D7">
        <w:rPr>
          <w:rFonts w:eastAsia="Times New Roman"/>
        </w:rPr>
        <w:t xml:space="preserve">.  We do the </w:t>
      </w:r>
      <w:r w:rsidR="0092014D" w:rsidRPr="008137D7">
        <w:rPr>
          <w:rFonts w:eastAsia="Times New Roman"/>
        </w:rPr>
        <w:t>equivalent</w:t>
      </w:r>
      <w:r w:rsidRPr="008137D7">
        <w:rPr>
          <w:rFonts w:eastAsia="Times New Roman"/>
        </w:rPr>
        <w:t xml:space="preserve"> for both health and pensions</w:t>
      </w:r>
      <w:r w:rsidR="00481596" w:rsidRPr="008137D7">
        <w:rPr>
          <w:rFonts w:eastAsia="Times New Roman"/>
        </w:rPr>
        <w:t xml:space="preserve">.  </w:t>
      </w:r>
      <w:r w:rsidR="00407B28" w:rsidRPr="008137D7">
        <w:rPr>
          <w:rFonts w:eastAsia="Times New Roman"/>
        </w:rPr>
        <w:t xml:space="preserve">Results are included in Appendix Table </w:t>
      </w:r>
      <w:r w:rsidR="00E22275" w:rsidRPr="008137D7">
        <w:rPr>
          <w:rFonts w:eastAsia="Times New Roman"/>
        </w:rPr>
        <w:t>1</w:t>
      </w:r>
      <w:r w:rsidR="00407B28" w:rsidRPr="008137D7">
        <w:rPr>
          <w:rFonts w:eastAsia="Times New Roman"/>
        </w:rPr>
        <w:t>.</w:t>
      </w:r>
      <w:r w:rsidR="00CF60BA" w:rsidRPr="008137D7">
        <w:rPr>
          <w:rFonts w:eastAsia="Times New Roman"/>
        </w:rPr>
        <w:t xml:space="preserve"> </w:t>
      </w:r>
      <w:r w:rsidR="00407B28" w:rsidRPr="008137D7">
        <w:rPr>
          <w:rFonts w:eastAsia="Times New Roman"/>
        </w:rPr>
        <w:t xml:space="preserve"> </w:t>
      </w:r>
      <w:r w:rsidRPr="008137D7">
        <w:rPr>
          <w:rFonts w:eastAsia="Times New Roman"/>
        </w:rPr>
        <w:t>For welfare and health, there is no sign of thermostatic responsiveness</w:t>
      </w:r>
      <w:r w:rsidR="00801F01" w:rsidRPr="008137D7">
        <w:rPr>
          <w:rFonts w:eastAsia="Times New Roman"/>
        </w:rPr>
        <w:t xml:space="preserve"> to “other” spending</w:t>
      </w:r>
      <w:r w:rsidR="00481596" w:rsidRPr="008137D7">
        <w:rPr>
          <w:rFonts w:eastAsia="Times New Roman"/>
        </w:rPr>
        <w:t xml:space="preserve">.  </w:t>
      </w:r>
      <w:r w:rsidRPr="008137D7">
        <w:rPr>
          <w:rFonts w:eastAsia="Times New Roman"/>
        </w:rPr>
        <w:t xml:space="preserve">For pensions, opinion does seem to respond to </w:t>
      </w:r>
      <w:r w:rsidR="0014000B" w:rsidRPr="008137D7">
        <w:rPr>
          <w:rFonts w:eastAsia="Times New Roman"/>
        </w:rPr>
        <w:t>other</w:t>
      </w:r>
      <w:r w:rsidRPr="008137D7">
        <w:rPr>
          <w:rFonts w:eastAsia="Times New Roman"/>
        </w:rPr>
        <w:t xml:space="preserve"> spending</w:t>
      </w:r>
      <w:r w:rsidR="00481596" w:rsidRPr="008137D7">
        <w:rPr>
          <w:rFonts w:eastAsia="Times New Roman"/>
        </w:rPr>
        <w:t xml:space="preserve">.  </w:t>
      </w:r>
      <w:r w:rsidRPr="008137D7">
        <w:rPr>
          <w:rFonts w:eastAsia="Times New Roman"/>
        </w:rPr>
        <w:t xml:space="preserve">This gives us </w:t>
      </w:r>
      <w:r w:rsidR="0014000B" w:rsidRPr="008137D7">
        <w:rPr>
          <w:rFonts w:eastAsia="Times New Roman"/>
        </w:rPr>
        <w:t>additional</w:t>
      </w:r>
      <w:r w:rsidRPr="008137D7">
        <w:rPr>
          <w:rFonts w:eastAsia="Times New Roman"/>
        </w:rPr>
        <w:t xml:space="preserve"> confidence in results for the first two domains</w:t>
      </w:r>
      <w:r w:rsidR="00FA12BC" w:rsidRPr="008137D7">
        <w:rPr>
          <w:rFonts w:eastAsia="Times New Roman"/>
        </w:rPr>
        <w:t>,</w:t>
      </w:r>
      <w:r w:rsidRPr="008137D7">
        <w:rPr>
          <w:rFonts w:eastAsia="Times New Roman"/>
        </w:rPr>
        <w:t xml:space="preserve"> but also highlights</w:t>
      </w:r>
      <w:r w:rsidR="000730C9" w:rsidRPr="008137D7">
        <w:rPr>
          <w:rFonts w:eastAsia="Times New Roman"/>
        </w:rPr>
        <w:t xml:space="preserve"> that public responsiveness varies across domains.  </w:t>
      </w:r>
      <w:r w:rsidR="006D660B" w:rsidRPr="008137D7">
        <w:rPr>
          <w:rFonts w:eastAsia="Times New Roman"/>
        </w:rPr>
        <w:t xml:space="preserve">It may be </w:t>
      </w:r>
      <w:r w:rsidR="00287028" w:rsidRPr="008137D7">
        <w:rPr>
          <w:rFonts w:eastAsia="Times New Roman"/>
        </w:rPr>
        <w:t>responsiveness to</w:t>
      </w:r>
      <w:r w:rsidR="006D660B" w:rsidRPr="008137D7">
        <w:rPr>
          <w:rFonts w:eastAsia="Times New Roman"/>
        </w:rPr>
        <w:t xml:space="preserve"> h</w:t>
      </w:r>
      <w:r w:rsidR="000730C9" w:rsidRPr="008137D7">
        <w:rPr>
          <w:rFonts w:eastAsia="Times New Roman"/>
        </w:rPr>
        <w:t>ealth and welfare</w:t>
      </w:r>
      <w:r w:rsidR="006D660B" w:rsidRPr="008137D7">
        <w:rPr>
          <w:rFonts w:eastAsia="Times New Roman"/>
        </w:rPr>
        <w:t xml:space="preserve"> spending </w:t>
      </w:r>
      <w:r w:rsidR="00287028" w:rsidRPr="008137D7">
        <w:rPr>
          <w:rFonts w:eastAsia="Times New Roman"/>
        </w:rPr>
        <w:t xml:space="preserve">is </w:t>
      </w:r>
      <w:r w:rsidR="00510627" w:rsidRPr="008137D7">
        <w:rPr>
          <w:rFonts w:eastAsia="Times New Roman"/>
        </w:rPr>
        <w:t>quite</w:t>
      </w:r>
      <w:r w:rsidR="00287028" w:rsidRPr="008137D7">
        <w:rPr>
          <w:rFonts w:eastAsia="Times New Roman"/>
        </w:rPr>
        <w:t xml:space="preserve"> </w:t>
      </w:r>
      <w:r w:rsidR="008E277B" w:rsidRPr="008137D7">
        <w:rPr>
          <w:rFonts w:eastAsia="Times New Roman"/>
        </w:rPr>
        <w:t>domain-specific</w:t>
      </w:r>
      <w:r w:rsidR="006D660B" w:rsidRPr="008137D7">
        <w:rPr>
          <w:rFonts w:eastAsia="Times New Roman"/>
        </w:rPr>
        <w:t>,</w:t>
      </w:r>
      <w:r w:rsidR="00F1307D" w:rsidRPr="008137D7">
        <w:rPr>
          <w:rFonts w:eastAsia="Times New Roman"/>
        </w:rPr>
        <w:t xml:space="preserve"> whereas pension spending is not</w:t>
      </w:r>
      <w:r w:rsidR="00125CA5" w:rsidRPr="008137D7">
        <w:rPr>
          <w:rFonts w:eastAsia="Times New Roman"/>
        </w:rPr>
        <w:t xml:space="preserve">.  </w:t>
      </w:r>
      <w:r w:rsidR="00801F01" w:rsidRPr="008137D7">
        <w:rPr>
          <w:rFonts w:eastAsia="Times New Roman"/>
        </w:rPr>
        <w:t xml:space="preserve">This would not </w:t>
      </w:r>
      <w:r w:rsidR="00801F01" w:rsidRPr="008137D7">
        <w:rPr>
          <w:rFonts w:eastAsia="Times New Roman"/>
        </w:rPr>
        <w:lastRenderedPageBreak/>
        <w:t>surprise given previous research (Wlezien 2004), but m</w:t>
      </w:r>
      <w:r w:rsidR="00125CA5" w:rsidRPr="008137D7">
        <w:rPr>
          <w:rFonts w:eastAsia="Times New Roman"/>
        </w:rPr>
        <w:t>aking th</w:t>
      </w:r>
      <w:r w:rsidR="00801F01" w:rsidRPr="008137D7">
        <w:rPr>
          <w:rFonts w:eastAsia="Times New Roman"/>
        </w:rPr>
        <w:t>e</w:t>
      </w:r>
      <w:r w:rsidR="00125CA5" w:rsidRPr="008137D7">
        <w:rPr>
          <w:rFonts w:eastAsia="Times New Roman"/>
        </w:rPr>
        <w:t xml:space="preserve"> determination requires additional research</w:t>
      </w:r>
      <w:r w:rsidR="0092014D" w:rsidRPr="008137D7">
        <w:rPr>
          <w:rFonts w:eastAsia="Times New Roman"/>
        </w:rPr>
        <w:t>.</w:t>
      </w:r>
    </w:p>
    <w:p w14:paraId="6DCABDDA" w14:textId="5C812981" w:rsidR="00A16E33" w:rsidRPr="008137D7" w:rsidRDefault="002230A8" w:rsidP="0070717B">
      <w:pPr>
        <w:spacing w:line="480" w:lineRule="auto"/>
        <w:ind w:firstLine="720"/>
        <w:jc w:val="both"/>
        <w:rPr>
          <w:rFonts w:eastAsia="Times New Roman"/>
        </w:rPr>
      </w:pPr>
      <w:r w:rsidRPr="008137D7">
        <w:rPr>
          <w:rFonts w:eastAsia="Times New Roman"/>
        </w:rPr>
        <w:t xml:space="preserve">Second, we explore the possibility that it is not press freedoms per se that produce the significant interactions in the preceding tables, but rather other factors highly correlated with press freedoms.  The most obvious possibility is that press freedom stands here as a surrogate for </w:t>
      </w:r>
      <w:r w:rsidR="00801F01" w:rsidRPr="008137D7">
        <w:rPr>
          <w:rFonts w:eastAsia="Times New Roman"/>
        </w:rPr>
        <w:t xml:space="preserve">broader </w:t>
      </w:r>
      <w:r w:rsidRPr="008137D7">
        <w:rPr>
          <w:rFonts w:eastAsia="Times New Roman"/>
        </w:rPr>
        <w:t>freedoms</w:t>
      </w:r>
      <w:r w:rsidR="00C10939" w:rsidRPr="008137D7">
        <w:rPr>
          <w:rFonts w:eastAsia="Times New Roman"/>
        </w:rPr>
        <w:t>,</w:t>
      </w:r>
      <w:r w:rsidRPr="008137D7">
        <w:rPr>
          <w:rFonts w:eastAsia="Times New Roman"/>
        </w:rPr>
        <w:t xml:space="preserve"> and that</w:t>
      </w:r>
      <w:r w:rsidR="00C10939" w:rsidRPr="008137D7">
        <w:rPr>
          <w:rFonts w:eastAsia="Times New Roman"/>
        </w:rPr>
        <w:t>,</w:t>
      </w:r>
      <w:r w:rsidRPr="008137D7">
        <w:rPr>
          <w:rFonts w:eastAsia="Times New Roman"/>
        </w:rPr>
        <w:t xml:space="preserve"> for a wide variety of reasons, countries that are free</w:t>
      </w:r>
      <w:r w:rsidR="00523C93" w:rsidRPr="008137D7">
        <w:rPr>
          <w:rFonts w:eastAsia="Times New Roman"/>
        </w:rPr>
        <w:t>r</w:t>
      </w:r>
      <w:r w:rsidRPr="008137D7">
        <w:rPr>
          <w:rFonts w:eastAsia="Times New Roman"/>
        </w:rPr>
        <w:t xml:space="preserve"> exhibit more thermostatic responsiveness.  </w:t>
      </w:r>
      <w:r w:rsidR="00795387" w:rsidRPr="008137D7">
        <w:rPr>
          <w:rFonts w:eastAsia="Times New Roman"/>
        </w:rPr>
        <w:t xml:space="preserve">We test this </w:t>
      </w:r>
      <w:r w:rsidRPr="008137D7">
        <w:rPr>
          <w:rFonts w:eastAsia="Times New Roman"/>
        </w:rPr>
        <w:t>by re-estimating Model</w:t>
      </w:r>
      <w:r w:rsidR="002A4243" w:rsidRPr="008137D7">
        <w:rPr>
          <w:rFonts w:eastAsia="Times New Roman"/>
        </w:rPr>
        <w:t>s</w:t>
      </w:r>
      <w:r w:rsidRPr="008137D7">
        <w:rPr>
          <w:rFonts w:eastAsia="Times New Roman"/>
        </w:rPr>
        <w:t xml:space="preserve"> 4</w:t>
      </w:r>
      <w:r w:rsidR="004577E4" w:rsidRPr="008137D7">
        <w:rPr>
          <w:rFonts w:eastAsia="Times New Roman"/>
        </w:rPr>
        <w:t xml:space="preserve"> (from Tables 1-3)</w:t>
      </w:r>
      <w:r w:rsidRPr="008137D7">
        <w:rPr>
          <w:rFonts w:eastAsia="Times New Roman"/>
        </w:rPr>
        <w:t xml:space="preserve"> substituting other Freedom House measures for press freedom. </w:t>
      </w:r>
      <w:r w:rsidR="00125CA5" w:rsidRPr="008137D7">
        <w:rPr>
          <w:rFonts w:eastAsia="Times New Roman"/>
        </w:rPr>
        <w:t xml:space="preserve"> </w:t>
      </w:r>
      <w:r w:rsidR="0095557E" w:rsidRPr="008137D7">
        <w:rPr>
          <w:rFonts w:eastAsia="Times New Roman"/>
        </w:rPr>
        <w:t xml:space="preserve">Results are included in Appendix Table </w:t>
      </w:r>
      <w:r w:rsidR="00E22275" w:rsidRPr="008137D7">
        <w:rPr>
          <w:rFonts w:eastAsia="Times New Roman"/>
        </w:rPr>
        <w:t>2</w:t>
      </w:r>
      <w:r w:rsidR="0095557E" w:rsidRPr="008137D7">
        <w:rPr>
          <w:rFonts w:eastAsia="Times New Roman"/>
        </w:rPr>
        <w:t xml:space="preserve">.  </w:t>
      </w:r>
      <w:r w:rsidR="00D07315" w:rsidRPr="008137D7">
        <w:rPr>
          <w:rFonts w:eastAsia="Times New Roman"/>
        </w:rPr>
        <w:t>Here, u</w:t>
      </w:r>
      <w:r w:rsidRPr="008137D7">
        <w:rPr>
          <w:rFonts w:eastAsia="Times New Roman"/>
        </w:rPr>
        <w:t xml:space="preserve">sing the general indices for </w:t>
      </w:r>
      <w:r w:rsidR="007B6D61" w:rsidRPr="008137D7">
        <w:rPr>
          <w:rFonts w:eastAsia="Times New Roman"/>
        </w:rPr>
        <w:t xml:space="preserve">(a) </w:t>
      </w:r>
      <w:r w:rsidRPr="008137D7">
        <w:rPr>
          <w:rFonts w:eastAsia="Times New Roman"/>
        </w:rPr>
        <w:t xml:space="preserve">civil liberties or </w:t>
      </w:r>
      <w:r w:rsidR="007B6D61" w:rsidRPr="008137D7">
        <w:rPr>
          <w:rFonts w:eastAsia="Times New Roman"/>
        </w:rPr>
        <w:t xml:space="preserve">(b) </w:t>
      </w:r>
      <w:r w:rsidRPr="008137D7">
        <w:rPr>
          <w:rFonts w:eastAsia="Times New Roman"/>
        </w:rPr>
        <w:t xml:space="preserve">political rights yields </w:t>
      </w:r>
      <w:r w:rsidR="00A96429" w:rsidRPr="008137D7">
        <w:rPr>
          <w:rFonts w:eastAsia="Times New Roman"/>
        </w:rPr>
        <w:t xml:space="preserve">borderline </w:t>
      </w:r>
      <w:r w:rsidRPr="008137D7">
        <w:rPr>
          <w:rFonts w:eastAsia="Times New Roman"/>
        </w:rPr>
        <w:t xml:space="preserve">significant interactions </w:t>
      </w:r>
      <w:r w:rsidR="00180FE5" w:rsidRPr="008137D7">
        <w:rPr>
          <w:rFonts w:eastAsia="Times New Roman"/>
        </w:rPr>
        <w:t xml:space="preserve">for welfare and </w:t>
      </w:r>
      <w:r w:rsidR="00A4761B" w:rsidRPr="008137D7">
        <w:rPr>
          <w:rFonts w:eastAsia="Times New Roman"/>
        </w:rPr>
        <w:t>pensions (p &lt; .10)</w:t>
      </w:r>
      <w:r w:rsidR="00F137E7" w:rsidRPr="008137D7">
        <w:rPr>
          <w:rFonts w:eastAsia="Times New Roman"/>
        </w:rPr>
        <w:t xml:space="preserve">. </w:t>
      </w:r>
      <w:r w:rsidR="00C7440D" w:rsidRPr="008137D7">
        <w:rPr>
          <w:rFonts w:eastAsia="Times New Roman"/>
        </w:rPr>
        <w:t xml:space="preserve">We take these results as evidence </w:t>
      </w:r>
      <w:r w:rsidR="00A4761B" w:rsidRPr="008137D7">
        <w:rPr>
          <w:rFonts w:eastAsia="Times New Roman"/>
        </w:rPr>
        <w:t xml:space="preserve">that press freedoms are correlated with (and are a component of) freedoms more generally, </w:t>
      </w:r>
      <w:r w:rsidR="00D07315" w:rsidRPr="008137D7">
        <w:rPr>
          <w:rFonts w:eastAsia="Times New Roman"/>
        </w:rPr>
        <w:t>but</w:t>
      </w:r>
      <w:r w:rsidR="00A96429" w:rsidRPr="008137D7">
        <w:rPr>
          <w:rFonts w:eastAsia="Times New Roman"/>
        </w:rPr>
        <w:t xml:space="preserve"> </w:t>
      </w:r>
      <w:r w:rsidR="00795387" w:rsidRPr="008137D7">
        <w:rPr>
          <w:rFonts w:eastAsia="Times New Roman"/>
        </w:rPr>
        <w:t xml:space="preserve">when it comes to public responsiveness, </w:t>
      </w:r>
      <w:r w:rsidR="00D07315" w:rsidRPr="008137D7">
        <w:rPr>
          <w:rFonts w:eastAsia="Times New Roman"/>
        </w:rPr>
        <w:t xml:space="preserve"> </w:t>
      </w:r>
      <w:r w:rsidR="00C7440D" w:rsidRPr="008137D7">
        <w:rPr>
          <w:rFonts w:eastAsia="Times New Roman"/>
        </w:rPr>
        <w:t>press freedom</w:t>
      </w:r>
      <w:r w:rsidR="00A4761B" w:rsidRPr="008137D7">
        <w:rPr>
          <w:rFonts w:eastAsia="Times New Roman"/>
        </w:rPr>
        <w:t xml:space="preserve">s in particular appear to </w:t>
      </w:r>
      <w:r w:rsidR="00C7440D" w:rsidRPr="008137D7">
        <w:rPr>
          <w:rFonts w:eastAsia="Times New Roman"/>
        </w:rPr>
        <w:t>matter</w:t>
      </w:r>
      <w:r w:rsidR="00CF60BA" w:rsidRPr="008137D7">
        <w:rPr>
          <w:rFonts w:eastAsia="Times New Roman"/>
        </w:rPr>
        <w:t>.</w:t>
      </w:r>
      <w:r w:rsidR="00CD7A29" w:rsidRPr="008137D7">
        <w:rPr>
          <w:rFonts w:eastAsia="Times New Roman"/>
        </w:rPr>
        <w:t xml:space="preserve">  </w:t>
      </w:r>
    </w:p>
    <w:p w14:paraId="5EEF577F" w14:textId="52FA21A1" w:rsidR="0082574B" w:rsidRPr="008137D7" w:rsidRDefault="0082574B" w:rsidP="0070717B">
      <w:pPr>
        <w:spacing w:line="480" w:lineRule="auto"/>
        <w:ind w:firstLine="720"/>
        <w:jc w:val="both"/>
        <w:rPr>
          <w:rFonts w:eastAsia="Times New Roman"/>
        </w:rPr>
      </w:pPr>
      <w:r w:rsidRPr="008137D7">
        <w:rPr>
          <w:rFonts w:eastAsia="Times New Roman"/>
        </w:rPr>
        <w:t xml:space="preserve">Third, we evaluate </w:t>
      </w:r>
      <w:r w:rsidR="008D7496" w:rsidRPr="008137D7">
        <w:rPr>
          <w:rFonts w:eastAsia="Times New Roman"/>
        </w:rPr>
        <w:t xml:space="preserve">two other measures of press freedom, from RSF and V-Dem, described above.  </w:t>
      </w:r>
      <w:r w:rsidR="002A302E" w:rsidRPr="008137D7">
        <w:rPr>
          <w:rFonts w:eastAsia="Times New Roman"/>
        </w:rPr>
        <w:t xml:space="preserve">Rather than present two additional versions of each of Tables 1 through 3, Appendix Figure 3 </w:t>
      </w:r>
      <w:r w:rsidR="0086518E" w:rsidRPr="008137D7">
        <w:rPr>
          <w:rFonts w:eastAsia="Times New Roman"/>
        </w:rPr>
        <w:t>depict</w:t>
      </w:r>
      <w:r w:rsidR="003D248F" w:rsidRPr="008137D7">
        <w:rPr>
          <w:rFonts w:eastAsia="Times New Roman"/>
        </w:rPr>
        <w:t>s</w:t>
      </w:r>
      <w:r w:rsidR="002A302E" w:rsidRPr="008137D7">
        <w:rPr>
          <w:rFonts w:eastAsia="Times New Roman"/>
        </w:rPr>
        <w:t xml:space="preserve"> the illustrated interactions, across all three variants of media freedom, and all three policy domains.  </w:t>
      </w:r>
      <w:r w:rsidR="000B2CD1" w:rsidRPr="008137D7">
        <w:rPr>
          <w:rFonts w:eastAsia="Times New Roman"/>
        </w:rPr>
        <w:t>For</w:t>
      </w:r>
      <w:r w:rsidR="003D248F" w:rsidRPr="008137D7">
        <w:rPr>
          <w:rFonts w:eastAsia="Times New Roman"/>
        </w:rPr>
        <w:t xml:space="preserve"> welfare we find stronger interactive effects of Press Limits using the V-Dem measure, but not the RSF measure; </w:t>
      </w:r>
      <w:r w:rsidR="000B2CD1" w:rsidRPr="008137D7">
        <w:rPr>
          <w:rFonts w:eastAsia="Times New Roman"/>
        </w:rPr>
        <w:t>for</w:t>
      </w:r>
      <w:r w:rsidR="003D248F" w:rsidRPr="008137D7">
        <w:rPr>
          <w:rFonts w:eastAsia="Times New Roman"/>
        </w:rPr>
        <w:t xml:space="preserve"> health we find similar but weaker results using the new measures; </w:t>
      </w:r>
      <w:r w:rsidR="000B2CD1" w:rsidRPr="008137D7">
        <w:rPr>
          <w:rFonts w:eastAsia="Times New Roman"/>
        </w:rPr>
        <w:t>for</w:t>
      </w:r>
      <w:r w:rsidR="003D248F" w:rsidRPr="008137D7">
        <w:rPr>
          <w:rFonts w:eastAsia="Times New Roman"/>
        </w:rPr>
        <w:t xml:space="preserve"> pensi</w:t>
      </w:r>
      <w:r w:rsidR="00D07315" w:rsidRPr="008137D7">
        <w:rPr>
          <w:rFonts w:eastAsia="Times New Roman"/>
        </w:rPr>
        <w:t>o</w:t>
      </w:r>
      <w:r w:rsidR="003D248F" w:rsidRPr="008137D7">
        <w:rPr>
          <w:rFonts w:eastAsia="Times New Roman"/>
        </w:rPr>
        <w:t xml:space="preserve">ns, effects </w:t>
      </w:r>
      <w:r w:rsidR="000B2CD1" w:rsidRPr="008137D7">
        <w:rPr>
          <w:rFonts w:eastAsia="Times New Roman"/>
        </w:rPr>
        <w:t xml:space="preserve">are stronger </w:t>
      </w:r>
      <w:r w:rsidR="003D248F" w:rsidRPr="008137D7">
        <w:rPr>
          <w:rFonts w:eastAsia="Times New Roman"/>
        </w:rPr>
        <w:t>for the RSF measure but weaker for the V-Dem measure</w:t>
      </w:r>
      <w:r w:rsidR="004D7852" w:rsidRPr="008137D7">
        <w:rPr>
          <w:rFonts w:eastAsia="Times New Roman"/>
        </w:rPr>
        <w:t xml:space="preserve">. </w:t>
      </w:r>
      <w:r w:rsidR="00A96429" w:rsidRPr="008137D7">
        <w:rPr>
          <w:rFonts w:eastAsia="Times New Roman"/>
        </w:rPr>
        <w:t>A</w:t>
      </w:r>
      <w:r w:rsidR="00193EAB" w:rsidRPr="008137D7">
        <w:rPr>
          <w:rFonts w:eastAsia="Times New Roman"/>
        </w:rPr>
        <w:t>l</w:t>
      </w:r>
      <w:r w:rsidR="00A96429" w:rsidRPr="008137D7">
        <w:rPr>
          <w:rFonts w:eastAsia="Times New Roman"/>
        </w:rPr>
        <w:t>t</w:t>
      </w:r>
      <w:r w:rsidR="00193EAB" w:rsidRPr="008137D7">
        <w:rPr>
          <w:rFonts w:eastAsia="Times New Roman"/>
        </w:rPr>
        <w:t>h</w:t>
      </w:r>
      <w:r w:rsidR="00A96429" w:rsidRPr="008137D7">
        <w:rPr>
          <w:rFonts w:eastAsia="Times New Roman"/>
        </w:rPr>
        <w:t>ough there is variation here</w:t>
      </w:r>
      <w:r w:rsidR="00E86E12" w:rsidRPr="008137D7">
        <w:rPr>
          <w:rFonts w:eastAsia="Times New Roman"/>
        </w:rPr>
        <w:t>,</w:t>
      </w:r>
      <w:r w:rsidR="004D7852" w:rsidRPr="008137D7">
        <w:rPr>
          <w:rFonts w:eastAsia="Times New Roman"/>
        </w:rPr>
        <w:t xml:space="preserve"> </w:t>
      </w:r>
      <w:r w:rsidR="003D248F" w:rsidRPr="008137D7">
        <w:rPr>
          <w:rFonts w:eastAsia="Times New Roman"/>
        </w:rPr>
        <w:t xml:space="preserve">we regard </w:t>
      </w:r>
      <w:r w:rsidR="004D7852" w:rsidRPr="008137D7">
        <w:rPr>
          <w:rFonts w:eastAsia="Times New Roman"/>
        </w:rPr>
        <w:t xml:space="preserve">the </w:t>
      </w:r>
      <w:r w:rsidR="003D248F" w:rsidRPr="008137D7">
        <w:rPr>
          <w:rFonts w:eastAsia="Times New Roman"/>
        </w:rPr>
        <w:t xml:space="preserve">weight of the evidence as being </w:t>
      </w:r>
      <w:r w:rsidR="004D7852" w:rsidRPr="008137D7">
        <w:rPr>
          <w:rFonts w:eastAsia="Times New Roman"/>
        </w:rPr>
        <w:t>in line with our expectations.</w:t>
      </w:r>
      <w:r w:rsidR="00E17AFF" w:rsidRPr="008137D7">
        <w:rPr>
          <w:rFonts w:eastAsia="Times New Roman"/>
        </w:rPr>
        <w:t xml:space="preserve">  </w:t>
      </w:r>
    </w:p>
    <w:p w14:paraId="5A50127C" w14:textId="51BE04BF" w:rsidR="00A40DCD" w:rsidRPr="008137D7" w:rsidRDefault="00C04C22" w:rsidP="0070717B">
      <w:pPr>
        <w:spacing w:line="480" w:lineRule="auto"/>
        <w:ind w:firstLine="720"/>
        <w:jc w:val="both"/>
        <w:rPr>
          <w:rFonts w:eastAsia="Times New Roman"/>
        </w:rPr>
      </w:pPr>
      <w:r w:rsidRPr="008137D7">
        <w:rPr>
          <w:rFonts w:eastAsia="Times New Roman"/>
        </w:rPr>
        <w:t>Fourth</w:t>
      </w:r>
      <w:r w:rsidR="00A40DCD" w:rsidRPr="008137D7">
        <w:rPr>
          <w:rFonts w:eastAsia="Times New Roman"/>
        </w:rPr>
        <w:t xml:space="preserve">, we test the </w:t>
      </w:r>
      <w:r w:rsidR="00DA130C" w:rsidRPr="008137D7">
        <w:rPr>
          <w:rFonts w:eastAsia="Times New Roman"/>
        </w:rPr>
        <w:t xml:space="preserve">robustness of our results to the exclusion of individual countries </w:t>
      </w:r>
      <w:r w:rsidR="00ED11FE" w:rsidRPr="008137D7">
        <w:rPr>
          <w:rFonts w:eastAsia="Times New Roman"/>
        </w:rPr>
        <w:t xml:space="preserve">using jackknife estimates for </w:t>
      </w:r>
      <w:r w:rsidR="00D752FA" w:rsidRPr="008137D7">
        <w:rPr>
          <w:rFonts w:eastAsia="Times New Roman"/>
        </w:rPr>
        <w:t>models</w:t>
      </w:r>
      <w:r w:rsidR="00ED11FE" w:rsidRPr="008137D7">
        <w:rPr>
          <w:rFonts w:eastAsia="Times New Roman"/>
        </w:rPr>
        <w:t xml:space="preserve"> Tables 1-3</w:t>
      </w:r>
      <w:r w:rsidR="00D752FA" w:rsidRPr="008137D7">
        <w:rPr>
          <w:rFonts w:eastAsia="Times New Roman"/>
        </w:rPr>
        <w:t>,</w:t>
      </w:r>
      <w:r w:rsidR="00ED11FE" w:rsidRPr="008137D7">
        <w:rPr>
          <w:rFonts w:eastAsia="Times New Roman"/>
        </w:rPr>
        <w:t xml:space="preserve"> in which we drop each country </w:t>
      </w:r>
      <w:r w:rsidR="009E112B" w:rsidRPr="008137D7">
        <w:rPr>
          <w:rFonts w:eastAsia="Times New Roman"/>
        </w:rPr>
        <w:t xml:space="preserve">(with replacement) </w:t>
      </w:r>
      <w:r w:rsidR="00ED11FE" w:rsidRPr="008137D7">
        <w:rPr>
          <w:rFonts w:eastAsia="Times New Roman"/>
        </w:rPr>
        <w:t xml:space="preserve">from the overall estimate.  </w:t>
      </w:r>
      <w:r w:rsidR="000B2CD1" w:rsidRPr="008137D7">
        <w:rPr>
          <w:rFonts w:eastAsia="Times New Roman"/>
        </w:rPr>
        <w:t>E</w:t>
      </w:r>
      <w:r w:rsidR="00D752FA" w:rsidRPr="008137D7">
        <w:rPr>
          <w:rFonts w:eastAsia="Times New Roman"/>
        </w:rPr>
        <w:t xml:space="preserve">xcluding Mexico in the welfare preferences estimation is the only instance </w:t>
      </w:r>
      <w:r w:rsidR="00D752FA" w:rsidRPr="008137D7">
        <w:rPr>
          <w:rFonts w:eastAsia="Times New Roman"/>
        </w:rPr>
        <w:lastRenderedPageBreak/>
        <w:t xml:space="preserve">in which results change in a substantive way from what we have seen above.  In that </w:t>
      </w:r>
      <w:r w:rsidR="000B2CD1" w:rsidRPr="008137D7">
        <w:rPr>
          <w:rFonts w:eastAsia="Times New Roman"/>
        </w:rPr>
        <w:t>case</w:t>
      </w:r>
      <w:r w:rsidR="00D752FA" w:rsidRPr="008137D7">
        <w:rPr>
          <w:rFonts w:eastAsia="Times New Roman"/>
        </w:rPr>
        <w:t xml:space="preserve">, both the direct impact of spending and the interaction are insignificant. </w:t>
      </w:r>
      <w:r w:rsidR="00B94F54" w:rsidRPr="008137D7">
        <w:rPr>
          <w:rStyle w:val="FootnoteReference"/>
          <w:rFonts w:eastAsia="Times New Roman"/>
        </w:rPr>
        <w:footnoteReference w:id="8"/>
      </w:r>
      <w:r w:rsidR="00D752FA" w:rsidRPr="008137D7">
        <w:rPr>
          <w:rFonts w:eastAsia="Times New Roman"/>
        </w:rPr>
        <w:t xml:space="preserve">    </w:t>
      </w:r>
    </w:p>
    <w:p w14:paraId="6F660F49" w14:textId="7A812FFA" w:rsidR="0070717B" w:rsidRPr="008137D7" w:rsidRDefault="00F137E7" w:rsidP="001C5FDA">
      <w:pPr>
        <w:spacing w:line="480" w:lineRule="auto"/>
        <w:ind w:firstLine="720"/>
        <w:jc w:val="both"/>
        <w:rPr>
          <w:rFonts w:eastAsia="Times New Roman"/>
        </w:rPr>
      </w:pPr>
      <w:r w:rsidRPr="008137D7">
        <w:rPr>
          <w:rFonts w:eastAsia="Times New Roman"/>
        </w:rPr>
        <w:t>Fifth</w:t>
      </w:r>
      <w:r w:rsidR="001C5FDA" w:rsidRPr="008137D7">
        <w:rPr>
          <w:rFonts w:eastAsia="Times New Roman"/>
        </w:rPr>
        <w:t xml:space="preserve">, we consider the addition of macroeconomic variables as controls, testing for the possibility that preferences for spending are conditioned by macroeconomics in addition to (or even instead of) changes in spending.  </w:t>
      </w:r>
      <w:r w:rsidR="00ED4563" w:rsidRPr="008137D7">
        <w:rPr>
          <w:rFonts w:eastAsia="Times New Roman"/>
        </w:rPr>
        <w:t>These results are included in Appendix Table 3.</w:t>
      </w:r>
      <w:r w:rsidR="00ED4563" w:rsidRPr="008137D7" w:rsidDel="001C5FDA">
        <w:rPr>
          <w:rFonts w:eastAsia="Times New Roman"/>
        </w:rPr>
        <w:t xml:space="preserve"> </w:t>
      </w:r>
      <w:r w:rsidR="00ED4563" w:rsidRPr="008137D7">
        <w:rPr>
          <w:rFonts w:eastAsia="Times New Roman"/>
        </w:rPr>
        <w:t>There we can see that a</w:t>
      </w:r>
      <w:r w:rsidR="001C5FDA" w:rsidRPr="008137D7">
        <w:rPr>
          <w:rFonts w:eastAsia="Times New Roman"/>
        </w:rPr>
        <w:t xml:space="preserve">dding unemployment and GDP per capita has </w:t>
      </w:r>
      <w:r w:rsidR="00E86E12" w:rsidRPr="008137D7">
        <w:rPr>
          <w:rFonts w:eastAsia="Times New Roman"/>
        </w:rPr>
        <w:t xml:space="preserve">only a limited </w:t>
      </w:r>
      <w:r w:rsidR="001C5FDA" w:rsidRPr="008137D7">
        <w:rPr>
          <w:rFonts w:eastAsia="Times New Roman"/>
        </w:rPr>
        <w:t>impact on the impact of spending</w:t>
      </w:r>
      <w:r w:rsidR="00E44199" w:rsidRPr="008137D7">
        <w:rPr>
          <w:rFonts w:eastAsia="Times New Roman"/>
        </w:rPr>
        <w:t xml:space="preserve">.  </w:t>
      </w:r>
      <w:r w:rsidR="00E86E12" w:rsidRPr="008137D7">
        <w:rPr>
          <w:rFonts w:eastAsia="Times New Roman"/>
        </w:rPr>
        <w:t>R</w:t>
      </w:r>
      <w:r w:rsidR="001C5FDA" w:rsidRPr="008137D7">
        <w:rPr>
          <w:rFonts w:eastAsia="Times New Roman"/>
        </w:rPr>
        <w:t xml:space="preserve">emoving all controls </w:t>
      </w:r>
      <w:r w:rsidR="00CB43EE" w:rsidRPr="008137D7">
        <w:rPr>
          <w:rFonts w:eastAsia="Times New Roman"/>
        </w:rPr>
        <w:t>produces</w:t>
      </w:r>
      <w:r w:rsidR="003B123A" w:rsidRPr="008137D7">
        <w:rPr>
          <w:rFonts w:eastAsia="Times New Roman"/>
        </w:rPr>
        <w:t xml:space="preserve"> </w:t>
      </w:r>
      <w:r w:rsidR="00CB43EE" w:rsidRPr="008137D7">
        <w:rPr>
          <w:rFonts w:eastAsia="Times New Roman"/>
        </w:rPr>
        <w:t>weaker estimates of responsiveness, confirming the importance of the demographic and attitudinal controls in our models</w:t>
      </w:r>
      <w:r w:rsidR="00E44199" w:rsidRPr="008137D7">
        <w:rPr>
          <w:rFonts w:eastAsia="Times New Roman"/>
        </w:rPr>
        <w:t xml:space="preserve">.  </w:t>
      </w:r>
      <w:r w:rsidR="001C5FDA" w:rsidRPr="008137D7">
        <w:rPr>
          <w:rFonts w:eastAsia="Times New Roman"/>
        </w:rPr>
        <w:t>Even when spending and press freedom are the only variables in the model, we find some evidence of thermostatic responsiveness, moderated by press freedom, at least for health</w:t>
      </w:r>
      <w:r w:rsidR="003B123A" w:rsidRPr="008137D7">
        <w:rPr>
          <w:rFonts w:eastAsia="Times New Roman"/>
        </w:rPr>
        <w:t xml:space="preserve"> and to a lesser extent welfare</w:t>
      </w:r>
      <w:r w:rsidR="001C5FDA" w:rsidRPr="008137D7">
        <w:rPr>
          <w:rFonts w:eastAsia="Times New Roman"/>
        </w:rPr>
        <w:t xml:space="preserve">.  </w:t>
      </w:r>
    </w:p>
    <w:p w14:paraId="09CFBDA6" w14:textId="66FD7F9E" w:rsidR="00F137E7" w:rsidRPr="008137D7" w:rsidRDefault="00F137E7" w:rsidP="001C5FDA">
      <w:pPr>
        <w:spacing w:line="480" w:lineRule="auto"/>
        <w:ind w:firstLine="720"/>
        <w:jc w:val="both"/>
        <w:rPr>
          <w:rFonts w:eastAsia="Times New Roman"/>
        </w:rPr>
      </w:pPr>
      <w:r w:rsidRPr="008137D7">
        <w:rPr>
          <w:rFonts w:eastAsia="Times New Roman"/>
        </w:rPr>
        <w:t xml:space="preserve">Finally, given that our dependent variable is a 5-category variable, we confirm our findings using an ordered logit estimation. Results confirming the robustness of our findings to this change in estimation are included in Appendix Table </w:t>
      </w:r>
      <w:r w:rsidR="00485BF2" w:rsidRPr="008137D7">
        <w:rPr>
          <w:rFonts w:eastAsia="Times New Roman"/>
        </w:rPr>
        <w:t>4</w:t>
      </w:r>
      <w:r w:rsidRPr="008137D7">
        <w:rPr>
          <w:rFonts w:eastAsia="Times New Roman"/>
        </w:rPr>
        <w:t>.</w:t>
      </w:r>
      <w:r w:rsidR="00D614AC" w:rsidRPr="008137D7">
        <w:rPr>
          <w:rFonts w:eastAsia="Times New Roman"/>
        </w:rPr>
        <w:t xml:space="preserve"> Indeed, using the logit estimation produces statistically-significant interactions in every case.</w:t>
      </w:r>
    </w:p>
    <w:p w14:paraId="2262F1B4" w14:textId="77777777" w:rsidR="00A16E33" w:rsidRPr="008137D7" w:rsidRDefault="002230A8" w:rsidP="0070717B">
      <w:pPr>
        <w:spacing w:line="480" w:lineRule="auto"/>
        <w:jc w:val="center"/>
        <w:rPr>
          <w:rFonts w:eastAsia="Times New Roman"/>
          <w:sz w:val="28"/>
          <w:szCs w:val="28"/>
        </w:rPr>
      </w:pPr>
      <w:r w:rsidRPr="008137D7">
        <w:rPr>
          <w:rFonts w:eastAsia="Times New Roman"/>
          <w:sz w:val="28"/>
          <w:szCs w:val="28"/>
        </w:rPr>
        <w:t>Conclusions</w:t>
      </w:r>
    </w:p>
    <w:p w14:paraId="77EE1CEF" w14:textId="4B10367D" w:rsidR="00300A06" w:rsidRPr="008137D7" w:rsidRDefault="002230A8" w:rsidP="00300A06">
      <w:pPr>
        <w:spacing w:line="480" w:lineRule="auto"/>
        <w:ind w:firstLine="720"/>
        <w:jc w:val="both"/>
        <w:rPr>
          <w:rFonts w:eastAsia="Times New Roman"/>
        </w:rPr>
      </w:pPr>
      <w:r w:rsidRPr="008137D7">
        <w:rPr>
          <w:rFonts w:eastAsia="Times New Roman"/>
        </w:rPr>
        <w:t>Just how important is a free press to the public’s ability to hold a government accountable</w:t>
      </w:r>
      <w:r w:rsidR="00481596" w:rsidRPr="008137D7">
        <w:rPr>
          <w:rFonts w:eastAsia="Times New Roman"/>
        </w:rPr>
        <w:t xml:space="preserve">?  </w:t>
      </w:r>
      <w:r w:rsidR="00F50675" w:rsidRPr="008137D7">
        <w:rPr>
          <w:rFonts w:eastAsia="Times New Roman"/>
        </w:rPr>
        <w:t xml:space="preserve">There </w:t>
      </w:r>
      <w:r w:rsidR="00ED4563" w:rsidRPr="008137D7">
        <w:rPr>
          <w:rFonts w:eastAsia="Times New Roman"/>
        </w:rPr>
        <w:t>are</w:t>
      </w:r>
      <w:r w:rsidR="00F50675" w:rsidRPr="008137D7">
        <w:rPr>
          <w:rFonts w:eastAsia="Times New Roman"/>
        </w:rPr>
        <w:t xml:space="preserve"> strong claims that freedom of press is critical, but thus far few direct tests of the importance of a free press, particularly in a cross-national setting.  The analysis above takes a first step</w:t>
      </w:r>
      <w:r w:rsidR="00F909F4" w:rsidRPr="008137D7">
        <w:rPr>
          <w:rFonts w:eastAsia="Times New Roman"/>
        </w:rPr>
        <w:t>, r</w:t>
      </w:r>
      <w:r w:rsidR="00F50675" w:rsidRPr="008137D7">
        <w:rPr>
          <w:rFonts w:eastAsia="Times New Roman"/>
        </w:rPr>
        <w:t xml:space="preserve">elying on a new body of data on citizens’ relatively preferences for policy combined with measures of spending and </w:t>
      </w:r>
      <w:r w:rsidR="00300A06" w:rsidRPr="008137D7">
        <w:rPr>
          <w:rFonts w:eastAsia="Times New Roman"/>
        </w:rPr>
        <w:t>press freedoms</w:t>
      </w:r>
      <w:r w:rsidR="00F909F4" w:rsidRPr="008137D7">
        <w:rPr>
          <w:rFonts w:eastAsia="Times New Roman"/>
        </w:rPr>
        <w:t>.  The</w:t>
      </w:r>
      <w:r w:rsidR="00300A06" w:rsidRPr="008137D7">
        <w:rPr>
          <w:rFonts w:eastAsia="Times New Roman"/>
        </w:rPr>
        <w:t xml:space="preserve"> results offer </w:t>
      </w:r>
      <w:r w:rsidR="00104A34" w:rsidRPr="00104A34">
        <w:rPr>
          <w:rFonts w:eastAsia="Times New Roman"/>
          <w:color w:val="FF0000"/>
        </w:rPr>
        <w:t xml:space="preserve">some </w:t>
      </w:r>
      <w:r w:rsidR="00014E7D" w:rsidRPr="00104A34">
        <w:rPr>
          <w:rFonts w:eastAsia="Times New Roman"/>
          <w:color w:val="FF0000"/>
        </w:rPr>
        <w:t xml:space="preserve">limited </w:t>
      </w:r>
      <w:r w:rsidR="00300A06" w:rsidRPr="008137D7">
        <w:rPr>
          <w:rFonts w:eastAsia="Times New Roman"/>
        </w:rPr>
        <w:t xml:space="preserve">support for the </w:t>
      </w:r>
      <w:r w:rsidR="008314DD" w:rsidRPr="008137D7">
        <w:rPr>
          <w:rFonts w:eastAsia="Times New Roman"/>
        </w:rPr>
        <w:lastRenderedPageBreak/>
        <w:t xml:space="preserve">supposition </w:t>
      </w:r>
      <w:r w:rsidR="00006D3F" w:rsidRPr="008137D7">
        <w:rPr>
          <w:rFonts w:eastAsia="Times New Roman"/>
        </w:rPr>
        <w:t xml:space="preserve">that public </w:t>
      </w:r>
      <w:r w:rsidRPr="008137D7">
        <w:rPr>
          <w:rFonts w:eastAsia="Times New Roman"/>
        </w:rPr>
        <w:t xml:space="preserve">responsiveness in </w:t>
      </w:r>
      <w:r w:rsidR="00A1668F" w:rsidRPr="008137D7">
        <w:rPr>
          <w:rFonts w:eastAsia="Times New Roman"/>
        </w:rPr>
        <w:t xml:space="preserve">important social spending domains – </w:t>
      </w:r>
      <w:r w:rsidRPr="008137D7">
        <w:rPr>
          <w:rFonts w:eastAsia="Times New Roman"/>
        </w:rPr>
        <w:t>welfare, health</w:t>
      </w:r>
      <w:r w:rsidR="00A1668F" w:rsidRPr="008137D7">
        <w:rPr>
          <w:rFonts w:eastAsia="Times New Roman"/>
        </w:rPr>
        <w:t>,</w:t>
      </w:r>
      <w:r w:rsidRPr="008137D7">
        <w:rPr>
          <w:rFonts w:eastAsia="Times New Roman"/>
        </w:rPr>
        <w:t xml:space="preserve"> and pensions </w:t>
      </w:r>
      <w:r w:rsidR="00A1668F" w:rsidRPr="008137D7">
        <w:rPr>
          <w:rFonts w:eastAsia="Times New Roman"/>
        </w:rPr>
        <w:t>–</w:t>
      </w:r>
      <w:r w:rsidRPr="008137D7">
        <w:rPr>
          <w:rFonts w:eastAsia="Times New Roman"/>
        </w:rPr>
        <w:t xml:space="preserve"> </w:t>
      </w:r>
      <w:r w:rsidR="00BC47FB" w:rsidRPr="008137D7">
        <w:rPr>
          <w:rFonts w:eastAsia="Times New Roman"/>
        </w:rPr>
        <w:t>is</w:t>
      </w:r>
      <w:r w:rsidRPr="008137D7">
        <w:rPr>
          <w:rFonts w:eastAsia="Times New Roman"/>
        </w:rPr>
        <w:t xml:space="preserve"> moderated by restrictions on the press</w:t>
      </w:r>
      <w:r w:rsidR="00481596" w:rsidRPr="008137D7">
        <w:rPr>
          <w:rFonts w:eastAsia="Times New Roman"/>
        </w:rPr>
        <w:t xml:space="preserve">.  </w:t>
      </w:r>
    </w:p>
    <w:p w14:paraId="75C81F42" w14:textId="59BE5378" w:rsidR="00BE60EF" w:rsidRPr="008137D7" w:rsidRDefault="00287DA1" w:rsidP="001C4573">
      <w:pPr>
        <w:spacing w:line="480" w:lineRule="auto"/>
        <w:ind w:firstLine="720"/>
        <w:jc w:val="both"/>
        <w:rPr>
          <w:rFonts w:eastAsia="Times New Roman"/>
        </w:rPr>
      </w:pPr>
      <w:r w:rsidRPr="008137D7">
        <w:rPr>
          <w:rFonts w:eastAsia="Times New Roman"/>
        </w:rPr>
        <w:t>Whe</w:t>
      </w:r>
      <w:r w:rsidR="00C10939" w:rsidRPr="008137D7">
        <w:rPr>
          <w:rFonts w:eastAsia="Times New Roman"/>
        </w:rPr>
        <w:t>re</w:t>
      </w:r>
      <w:r w:rsidRPr="008137D7">
        <w:rPr>
          <w:rFonts w:eastAsia="Times New Roman"/>
        </w:rPr>
        <w:t xml:space="preserve"> the press is relatively unconstrained there are clear responses to policy change</w:t>
      </w:r>
      <w:r w:rsidR="00481596" w:rsidRPr="008137D7">
        <w:rPr>
          <w:rFonts w:eastAsia="Times New Roman"/>
        </w:rPr>
        <w:t xml:space="preserve">.  </w:t>
      </w:r>
      <w:r w:rsidRPr="008137D7">
        <w:rPr>
          <w:rFonts w:eastAsia="Times New Roman"/>
        </w:rPr>
        <w:t>Whe</w:t>
      </w:r>
      <w:r w:rsidR="00C10939" w:rsidRPr="008137D7">
        <w:rPr>
          <w:rFonts w:eastAsia="Times New Roman"/>
        </w:rPr>
        <w:t>re</w:t>
      </w:r>
      <w:r w:rsidRPr="008137D7">
        <w:rPr>
          <w:rFonts w:eastAsia="Times New Roman"/>
        </w:rPr>
        <w:t xml:space="preserve"> there are controls on the press, </w:t>
      </w:r>
      <w:r w:rsidR="00014E7D" w:rsidRPr="00104A34">
        <w:rPr>
          <w:rFonts w:eastAsia="Times New Roman"/>
          <w:color w:val="FF0000"/>
        </w:rPr>
        <w:t>it appears as though</w:t>
      </w:r>
      <w:r w:rsidR="00014E7D">
        <w:rPr>
          <w:rFonts w:eastAsia="Times New Roman"/>
        </w:rPr>
        <w:t xml:space="preserve"> </w:t>
      </w:r>
      <w:r w:rsidRPr="008137D7">
        <w:rPr>
          <w:rFonts w:eastAsia="Times New Roman"/>
        </w:rPr>
        <w:t>citizen response to policy change is muted</w:t>
      </w:r>
      <w:r w:rsidR="00481596" w:rsidRPr="008137D7">
        <w:rPr>
          <w:rFonts w:eastAsia="Times New Roman"/>
        </w:rPr>
        <w:t xml:space="preserve">.  </w:t>
      </w:r>
      <w:r w:rsidR="00835F65">
        <w:rPr>
          <w:rFonts w:eastAsia="Times New Roman"/>
        </w:rPr>
        <w:t>This</w:t>
      </w:r>
      <w:r w:rsidR="008314DD" w:rsidRPr="008137D7">
        <w:rPr>
          <w:rFonts w:eastAsia="Times New Roman"/>
        </w:rPr>
        <w:t xml:space="preserve"> finding is important; i</w:t>
      </w:r>
      <w:r w:rsidR="00300A06" w:rsidRPr="008137D7">
        <w:rPr>
          <w:rFonts w:eastAsia="Times New Roman"/>
        </w:rPr>
        <w:t>f citizens do not get accurate information about policy, they will be unable to effectively hold their government(s) accountable for what they do, and media freedom apparently matters</w:t>
      </w:r>
      <w:r w:rsidR="00E44199" w:rsidRPr="008137D7">
        <w:rPr>
          <w:rFonts w:eastAsia="Times New Roman"/>
        </w:rPr>
        <w:t xml:space="preserve">.  </w:t>
      </w:r>
      <w:r w:rsidR="00300A06" w:rsidRPr="008137D7">
        <w:rPr>
          <w:rFonts w:eastAsia="Times New Roman"/>
        </w:rPr>
        <w:t xml:space="preserve">We see this as the basic thrust of the preceding results. That said, </w:t>
      </w:r>
      <w:r w:rsidR="008314DD" w:rsidRPr="008137D7">
        <w:rPr>
          <w:rFonts w:eastAsia="Times New Roman"/>
        </w:rPr>
        <w:t xml:space="preserve">cross-national effects are difficult to model, </w:t>
      </w:r>
      <w:r w:rsidR="00300A06" w:rsidRPr="008137D7">
        <w:rPr>
          <w:rFonts w:eastAsia="Times New Roman"/>
        </w:rPr>
        <w:t xml:space="preserve">measures of both spending and press freedoms are noisy, and the number of cases on which we are able to draw is limited. </w:t>
      </w:r>
    </w:p>
    <w:p w14:paraId="4F951A2B" w14:textId="31A03EA3" w:rsidR="000F299A" w:rsidRPr="008137D7" w:rsidRDefault="007B09D0" w:rsidP="00505F74">
      <w:pPr>
        <w:spacing w:line="480" w:lineRule="auto"/>
        <w:ind w:firstLine="720"/>
        <w:jc w:val="both"/>
        <w:rPr>
          <w:rFonts w:eastAsia="Times New Roman"/>
        </w:rPr>
      </w:pPr>
      <w:r w:rsidRPr="008137D7">
        <w:rPr>
          <w:rFonts w:eastAsia="Times New Roman"/>
        </w:rPr>
        <w:t xml:space="preserve">We acknowledge a number of limitations to </w:t>
      </w:r>
      <w:r w:rsidR="005E6D97" w:rsidRPr="008137D7">
        <w:rPr>
          <w:rFonts w:eastAsia="Times New Roman"/>
        </w:rPr>
        <w:t>our analyses</w:t>
      </w:r>
      <w:r w:rsidRPr="008137D7">
        <w:rPr>
          <w:rFonts w:eastAsia="Times New Roman"/>
        </w:rPr>
        <w:t xml:space="preserve">. </w:t>
      </w:r>
      <w:r w:rsidR="0037696D" w:rsidRPr="008137D7">
        <w:rPr>
          <w:rFonts w:eastAsia="Times New Roman"/>
        </w:rPr>
        <w:t>To begin, w</w:t>
      </w:r>
      <w:r w:rsidR="000F299A" w:rsidRPr="008137D7">
        <w:rPr>
          <w:rFonts w:eastAsia="Times New Roman"/>
        </w:rPr>
        <w:t xml:space="preserve">e are constrained </w:t>
      </w:r>
      <w:r w:rsidR="005E6D97" w:rsidRPr="008137D7">
        <w:rPr>
          <w:rFonts w:eastAsia="Times New Roman"/>
        </w:rPr>
        <w:t xml:space="preserve">by </w:t>
      </w:r>
      <w:r w:rsidR="000F299A" w:rsidRPr="008137D7">
        <w:rPr>
          <w:rFonts w:eastAsia="Times New Roman"/>
        </w:rPr>
        <w:t xml:space="preserve">the datasets that we can use. The CSES Wave 4 </w:t>
      </w:r>
      <w:r w:rsidR="005E6D97" w:rsidRPr="008137D7">
        <w:rPr>
          <w:rFonts w:eastAsia="Times New Roman"/>
        </w:rPr>
        <w:t xml:space="preserve">offers the most cross-national data to date on </w:t>
      </w:r>
      <w:r w:rsidR="0037696D" w:rsidRPr="008137D7">
        <w:rPr>
          <w:rFonts w:eastAsia="Times New Roman"/>
        </w:rPr>
        <w:t xml:space="preserve">relative preferences for </w:t>
      </w:r>
      <w:r w:rsidR="00E44199" w:rsidRPr="008137D7">
        <w:rPr>
          <w:rFonts w:eastAsia="Times New Roman"/>
        </w:rPr>
        <w:t>spending</w:t>
      </w:r>
      <w:r w:rsidR="005E6D97" w:rsidRPr="008137D7">
        <w:rPr>
          <w:rFonts w:eastAsia="Times New Roman"/>
        </w:rPr>
        <w:t>,</w:t>
      </w:r>
      <w:r w:rsidR="00E44199" w:rsidRPr="008137D7">
        <w:rPr>
          <w:rFonts w:eastAsia="Times New Roman"/>
        </w:rPr>
        <w:t xml:space="preserve"> but</w:t>
      </w:r>
      <w:r w:rsidR="000F299A" w:rsidRPr="008137D7">
        <w:rPr>
          <w:rFonts w:eastAsia="Times New Roman"/>
        </w:rPr>
        <w:t xml:space="preserve"> </w:t>
      </w:r>
      <w:r w:rsidR="005E6D97" w:rsidRPr="008137D7">
        <w:rPr>
          <w:rFonts w:eastAsia="Times New Roman"/>
        </w:rPr>
        <w:t xml:space="preserve">there are still </w:t>
      </w:r>
      <w:r w:rsidR="00B139F4" w:rsidRPr="008137D7">
        <w:rPr>
          <w:rFonts w:eastAsia="Times New Roman"/>
        </w:rPr>
        <w:t xml:space="preserve">limits to the countries </w:t>
      </w:r>
      <w:r w:rsidR="005E6D97" w:rsidRPr="008137D7">
        <w:rPr>
          <w:rFonts w:eastAsia="Times New Roman"/>
        </w:rPr>
        <w:t>we can, due in part to the need for reliable measures of spending as well</w:t>
      </w:r>
      <w:r w:rsidR="000F299A" w:rsidRPr="008137D7">
        <w:rPr>
          <w:rFonts w:eastAsia="Times New Roman"/>
        </w:rPr>
        <w:t>.</w:t>
      </w:r>
      <w:r w:rsidR="004E0E25" w:rsidRPr="008137D7">
        <w:rPr>
          <w:rFonts w:eastAsia="Times New Roman"/>
        </w:rPr>
        <w:t xml:space="preserve"> </w:t>
      </w:r>
      <w:r w:rsidR="008A7283" w:rsidRPr="008137D7">
        <w:rPr>
          <w:rFonts w:eastAsia="Times New Roman"/>
        </w:rPr>
        <w:t xml:space="preserve"> </w:t>
      </w:r>
      <w:r w:rsidR="005E6D97" w:rsidRPr="008137D7">
        <w:rPr>
          <w:rFonts w:eastAsia="Times New Roman"/>
        </w:rPr>
        <w:t>(</w:t>
      </w:r>
      <w:r w:rsidR="008A7283" w:rsidRPr="008137D7">
        <w:rPr>
          <w:rFonts w:eastAsia="Times New Roman"/>
        </w:rPr>
        <w:t xml:space="preserve">Other options for surveys with similar question wording </w:t>
      </w:r>
      <w:r w:rsidR="006243DE" w:rsidRPr="008137D7">
        <w:rPr>
          <w:rFonts w:eastAsia="Times New Roman"/>
        </w:rPr>
        <w:t>contain a narrower range of</w:t>
      </w:r>
      <w:r w:rsidR="008042CA" w:rsidRPr="008137D7">
        <w:rPr>
          <w:rFonts w:eastAsia="Times New Roman"/>
        </w:rPr>
        <w:t xml:space="preserve"> countries in their sample</w:t>
      </w:r>
      <w:r w:rsidR="005E6D97" w:rsidRPr="008137D7">
        <w:rPr>
          <w:rFonts w:eastAsia="Times New Roman"/>
        </w:rPr>
        <w:t xml:space="preserve">, e.g., the </w:t>
      </w:r>
      <w:r w:rsidR="008042CA" w:rsidRPr="008137D7">
        <w:rPr>
          <w:rFonts w:eastAsia="Times New Roman"/>
        </w:rPr>
        <w:t>ISSP</w:t>
      </w:r>
      <w:r w:rsidR="005E6D97" w:rsidRPr="008137D7">
        <w:rPr>
          <w:rFonts w:eastAsia="Times New Roman"/>
        </w:rPr>
        <w:t>.</w:t>
      </w:r>
      <w:r w:rsidR="008042CA" w:rsidRPr="008137D7">
        <w:rPr>
          <w:rFonts w:eastAsia="Times New Roman"/>
        </w:rPr>
        <w:t>)</w:t>
      </w:r>
      <w:r w:rsidR="006243DE" w:rsidRPr="008137D7">
        <w:rPr>
          <w:rFonts w:eastAsia="Times New Roman"/>
        </w:rPr>
        <w:t xml:space="preserve"> </w:t>
      </w:r>
      <w:r w:rsidR="005E6D97" w:rsidRPr="008137D7">
        <w:rPr>
          <w:rFonts w:eastAsia="Times New Roman"/>
        </w:rPr>
        <w:t>We are nevertheless able to draw on 24 countries, and w</w:t>
      </w:r>
      <w:r w:rsidR="004E0E25" w:rsidRPr="008137D7">
        <w:rPr>
          <w:rFonts w:eastAsia="Times New Roman"/>
        </w:rPr>
        <w:t xml:space="preserve">e evaluate three separate datasets of press freedom measures and find similar results </w:t>
      </w:r>
      <w:r w:rsidR="00EF6CFB" w:rsidRPr="008137D7">
        <w:rPr>
          <w:rFonts w:eastAsia="Times New Roman"/>
        </w:rPr>
        <w:t>across seven of the nine possible combinations</w:t>
      </w:r>
      <w:r w:rsidR="004E0E25" w:rsidRPr="008137D7">
        <w:rPr>
          <w:rFonts w:eastAsia="Times New Roman"/>
        </w:rPr>
        <w:t>.</w:t>
      </w:r>
      <w:r w:rsidR="006A3A40" w:rsidRPr="008137D7">
        <w:rPr>
          <w:rFonts w:eastAsia="Times New Roman"/>
        </w:rPr>
        <w:t xml:space="preserve"> </w:t>
      </w:r>
      <w:r w:rsidR="004E0E25" w:rsidRPr="008137D7">
        <w:rPr>
          <w:rFonts w:eastAsia="Times New Roman"/>
        </w:rPr>
        <w:t xml:space="preserve"> Further, </w:t>
      </w:r>
      <w:r w:rsidR="00B139F4" w:rsidRPr="008137D7">
        <w:rPr>
          <w:rFonts w:eastAsia="Times New Roman"/>
        </w:rPr>
        <w:t>our results hold even when we exclude countries that are more constraining on their press (with the one exception noted above)</w:t>
      </w:r>
      <w:r w:rsidR="00E44199" w:rsidRPr="008137D7">
        <w:rPr>
          <w:rFonts w:eastAsia="Times New Roman"/>
        </w:rPr>
        <w:t xml:space="preserve">.  </w:t>
      </w:r>
      <w:r w:rsidR="00B139F4" w:rsidRPr="008137D7">
        <w:rPr>
          <w:rFonts w:eastAsia="Times New Roman"/>
        </w:rPr>
        <w:t xml:space="preserve">We view this </w:t>
      </w:r>
      <w:r w:rsidR="005E6D97" w:rsidRPr="008137D7">
        <w:rPr>
          <w:rFonts w:eastAsia="Times New Roman"/>
        </w:rPr>
        <w:t>a</w:t>
      </w:r>
      <w:r w:rsidR="00B139F4" w:rsidRPr="008137D7">
        <w:rPr>
          <w:rFonts w:eastAsia="Times New Roman"/>
        </w:rPr>
        <w:t xml:space="preserve">s strong evidence </w:t>
      </w:r>
      <w:r w:rsidR="005E6D97" w:rsidRPr="008137D7">
        <w:rPr>
          <w:rFonts w:eastAsia="Times New Roman"/>
        </w:rPr>
        <w:t>of the robustness of our findings.</w:t>
      </w:r>
    </w:p>
    <w:p w14:paraId="56B0A608" w14:textId="299E1BE1" w:rsidR="007B09D0" w:rsidRPr="008137D7" w:rsidRDefault="005E6D97" w:rsidP="00505F74">
      <w:pPr>
        <w:spacing w:line="480" w:lineRule="auto"/>
        <w:ind w:firstLine="720"/>
        <w:jc w:val="both"/>
        <w:rPr>
          <w:rFonts w:eastAsia="Times New Roman"/>
        </w:rPr>
      </w:pPr>
      <w:r w:rsidRPr="008137D7">
        <w:rPr>
          <w:rFonts w:eastAsia="Times New Roman"/>
        </w:rPr>
        <w:t xml:space="preserve">The use of </w:t>
      </w:r>
      <w:r w:rsidR="007B09D0" w:rsidRPr="008137D7">
        <w:rPr>
          <w:rFonts w:eastAsia="Times New Roman"/>
        </w:rPr>
        <w:t>observation</w:t>
      </w:r>
      <w:r w:rsidRPr="008137D7">
        <w:rPr>
          <w:rFonts w:eastAsia="Times New Roman"/>
        </w:rPr>
        <w:t xml:space="preserve">al data </w:t>
      </w:r>
      <w:r w:rsidR="007B09D0" w:rsidRPr="008137D7">
        <w:rPr>
          <w:rFonts w:eastAsia="Times New Roman"/>
        </w:rPr>
        <w:t xml:space="preserve">limits </w:t>
      </w:r>
      <w:r w:rsidRPr="008137D7">
        <w:rPr>
          <w:rFonts w:eastAsia="Times New Roman"/>
        </w:rPr>
        <w:t xml:space="preserve">our ability to make strong </w:t>
      </w:r>
      <w:r w:rsidR="007B09D0" w:rsidRPr="008137D7">
        <w:rPr>
          <w:rFonts w:eastAsia="Times New Roman"/>
        </w:rPr>
        <w:t>causal claims</w:t>
      </w:r>
      <w:r w:rsidRPr="008137D7">
        <w:rPr>
          <w:rFonts w:eastAsia="Times New Roman"/>
        </w:rPr>
        <w:t>. This is not a constraint exclusive to our work</w:t>
      </w:r>
      <w:r w:rsidR="00656F1F" w:rsidRPr="008137D7">
        <w:rPr>
          <w:rFonts w:eastAsia="Times New Roman"/>
        </w:rPr>
        <w:t>,</w:t>
      </w:r>
      <w:r w:rsidR="008A13B2" w:rsidRPr="008137D7">
        <w:rPr>
          <w:rFonts w:eastAsia="Times New Roman"/>
        </w:rPr>
        <w:t xml:space="preserve"> of course. </w:t>
      </w:r>
      <w:r w:rsidR="005547CA" w:rsidRPr="008137D7">
        <w:rPr>
          <w:rFonts w:eastAsia="Times New Roman"/>
        </w:rPr>
        <w:t xml:space="preserve"> </w:t>
      </w:r>
      <w:r w:rsidR="008A13B2" w:rsidRPr="008137D7">
        <w:rPr>
          <w:rFonts w:eastAsia="Times New Roman"/>
        </w:rPr>
        <w:t xml:space="preserve">Note also that </w:t>
      </w:r>
      <w:r w:rsidRPr="008137D7">
        <w:rPr>
          <w:rFonts w:eastAsia="Times New Roman"/>
        </w:rPr>
        <w:t xml:space="preserve">we find similar moderating effects across multiple </w:t>
      </w:r>
      <w:r w:rsidRPr="008137D7">
        <w:rPr>
          <w:rFonts w:eastAsia="Times New Roman"/>
          <w:i/>
        </w:rPr>
        <w:t>Press Limits</w:t>
      </w:r>
      <w:r w:rsidRPr="008137D7">
        <w:rPr>
          <w:rFonts w:eastAsia="Times New Roman"/>
        </w:rPr>
        <w:t xml:space="preserve"> measures, </w:t>
      </w:r>
      <w:r w:rsidR="008A13B2" w:rsidRPr="008137D7">
        <w:rPr>
          <w:rFonts w:eastAsia="Times New Roman"/>
        </w:rPr>
        <w:t>but not</w:t>
      </w:r>
      <w:r w:rsidRPr="008137D7">
        <w:rPr>
          <w:rFonts w:eastAsia="Times New Roman"/>
        </w:rPr>
        <w:t xml:space="preserve"> using measures that tap freedoms more generally</w:t>
      </w:r>
      <w:r w:rsidR="00AE3E0F" w:rsidRPr="008137D7">
        <w:rPr>
          <w:rFonts w:eastAsia="Times New Roman"/>
        </w:rPr>
        <w:t xml:space="preserve">; and the pattern of results is robust to the inclusion of controls and a variety of other tests. </w:t>
      </w:r>
      <w:r w:rsidR="00002330" w:rsidRPr="008137D7">
        <w:rPr>
          <w:rFonts w:eastAsia="Times New Roman"/>
        </w:rPr>
        <w:t xml:space="preserve">While </w:t>
      </w:r>
      <w:r w:rsidR="00002330" w:rsidRPr="008137D7">
        <w:rPr>
          <w:rFonts w:eastAsia="Times New Roman"/>
        </w:rPr>
        <w:lastRenderedPageBreak/>
        <w:t xml:space="preserve">not conclusive, </w:t>
      </w:r>
      <w:r w:rsidR="00C8192D" w:rsidRPr="008137D7">
        <w:rPr>
          <w:rFonts w:eastAsia="Times New Roman"/>
        </w:rPr>
        <w:t xml:space="preserve">we find </w:t>
      </w:r>
      <w:r w:rsidR="00002330" w:rsidRPr="008137D7">
        <w:rPr>
          <w:rFonts w:eastAsia="Times New Roman"/>
        </w:rPr>
        <w:t xml:space="preserve">the </w:t>
      </w:r>
      <w:r w:rsidR="00C8192D" w:rsidRPr="008137D7">
        <w:rPr>
          <w:rFonts w:eastAsia="Times New Roman"/>
        </w:rPr>
        <w:t>combination of theoretical motivation</w:t>
      </w:r>
      <w:r w:rsidR="00002330" w:rsidRPr="008137D7">
        <w:rPr>
          <w:rFonts w:eastAsia="Times New Roman"/>
        </w:rPr>
        <w:t xml:space="preserve"> and evidence</w:t>
      </w:r>
      <w:r w:rsidR="00FF0750" w:rsidRPr="008137D7">
        <w:rPr>
          <w:rFonts w:eastAsia="Times New Roman"/>
        </w:rPr>
        <w:t xml:space="preserve"> </w:t>
      </w:r>
      <w:r w:rsidR="00002330" w:rsidRPr="008137D7">
        <w:rPr>
          <w:rFonts w:eastAsia="Times New Roman"/>
        </w:rPr>
        <w:t xml:space="preserve">strongly </w:t>
      </w:r>
      <w:r w:rsidR="007A2A89" w:rsidRPr="008137D7">
        <w:rPr>
          <w:rFonts w:eastAsia="Times New Roman"/>
        </w:rPr>
        <w:t>suggestive, perhaps</w:t>
      </w:r>
      <w:r w:rsidR="00002330" w:rsidRPr="008137D7">
        <w:rPr>
          <w:rFonts w:eastAsia="Times New Roman"/>
        </w:rPr>
        <w:t xml:space="preserve"> </w:t>
      </w:r>
      <w:r w:rsidR="00604FA3" w:rsidRPr="008137D7">
        <w:rPr>
          <w:rFonts w:eastAsia="Times New Roman"/>
        </w:rPr>
        <w:t xml:space="preserve">even </w:t>
      </w:r>
      <w:r w:rsidR="00002330" w:rsidRPr="008137D7">
        <w:rPr>
          <w:rFonts w:eastAsia="Times New Roman"/>
        </w:rPr>
        <w:t>compelling.</w:t>
      </w:r>
      <w:r w:rsidR="00656F1F" w:rsidRPr="008137D7">
        <w:rPr>
          <w:rFonts w:eastAsia="Times New Roman"/>
        </w:rPr>
        <w:t xml:space="preserve"> </w:t>
      </w:r>
    </w:p>
    <w:p w14:paraId="3F9ABC37" w14:textId="01D465BC" w:rsidR="000F299A" w:rsidRPr="008137D7" w:rsidRDefault="000F299A" w:rsidP="001C4573">
      <w:pPr>
        <w:spacing w:line="480" w:lineRule="auto"/>
        <w:ind w:firstLine="720"/>
        <w:jc w:val="both"/>
        <w:rPr>
          <w:rFonts w:eastAsia="Times New Roman"/>
        </w:rPr>
      </w:pPr>
      <w:r w:rsidRPr="008137D7">
        <w:rPr>
          <w:rFonts w:eastAsia="Times New Roman"/>
        </w:rPr>
        <w:t>Another concern is that we have a limited number of control variables in our models</w:t>
      </w:r>
      <w:r w:rsidR="000D7238" w:rsidRPr="008137D7">
        <w:rPr>
          <w:rFonts w:eastAsia="Times New Roman"/>
        </w:rPr>
        <w:t>, and so</w:t>
      </w:r>
      <w:r w:rsidRPr="008137D7">
        <w:rPr>
          <w:rFonts w:eastAsia="Times New Roman"/>
        </w:rPr>
        <w:t xml:space="preserve"> it is possible that other, un-measured variables play a role in p</w:t>
      </w:r>
      <w:r w:rsidR="005367C0" w:rsidRPr="008137D7">
        <w:rPr>
          <w:rFonts w:eastAsia="Times New Roman"/>
        </w:rPr>
        <w:t>references</w:t>
      </w:r>
      <w:r w:rsidRPr="008137D7">
        <w:rPr>
          <w:rFonts w:eastAsia="Times New Roman"/>
        </w:rPr>
        <w:t xml:space="preserve">. </w:t>
      </w:r>
      <w:r w:rsidR="00B31AF7" w:rsidRPr="008137D7">
        <w:rPr>
          <w:rFonts w:eastAsia="Times New Roman"/>
        </w:rPr>
        <w:t xml:space="preserve">Omitted variables </w:t>
      </w:r>
      <w:r w:rsidR="00B80D01" w:rsidRPr="008137D7">
        <w:rPr>
          <w:rFonts w:eastAsia="Times New Roman"/>
        </w:rPr>
        <w:t xml:space="preserve">are </w:t>
      </w:r>
      <w:r w:rsidR="00B31AF7" w:rsidRPr="008137D7">
        <w:rPr>
          <w:rFonts w:eastAsia="Times New Roman"/>
        </w:rPr>
        <w:t xml:space="preserve">always a concern, of course, and in our case we have a strong theoretical model and attempt to actually measure </w:t>
      </w:r>
      <w:r w:rsidR="00501A7E" w:rsidRPr="008137D7">
        <w:rPr>
          <w:rFonts w:eastAsia="Times New Roman"/>
        </w:rPr>
        <w:t xml:space="preserve">the </w:t>
      </w:r>
      <w:r w:rsidRPr="008137D7">
        <w:rPr>
          <w:rFonts w:eastAsia="Times New Roman"/>
        </w:rPr>
        <w:t>constructs</w:t>
      </w:r>
      <w:r w:rsidR="00501A7E" w:rsidRPr="008137D7">
        <w:rPr>
          <w:rFonts w:eastAsia="Times New Roman"/>
        </w:rPr>
        <w:t>,</w:t>
      </w:r>
      <w:r w:rsidRPr="008137D7">
        <w:rPr>
          <w:rFonts w:eastAsia="Times New Roman"/>
        </w:rPr>
        <w:t xml:space="preserve"> </w:t>
      </w:r>
      <w:r w:rsidR="00B31AF7" w:rsidRPr="008137D7">
        <w:rPr>
          <w:rFonts w:eastAsia="Times New Roman"/>
        </w:rPr>
        <w:t xml:space="preserve">and the measures we use work very much as we expect.  </w:t>
      </w:r>
      <w:r w:rsidR="005E6D97" w:rsidRPr="008137D7">
        <w:rPr>
          <w:rFonts w:eastAsia="Times New Roman"/>
        </w:rPr>
        <w:t>Moreover, adding</w:t>
      </w:r>
      <w:r w:rsidR="00344A6D" w:rsidRPr="008137D7">
        <w:rPr>
          <w:rFonts w:eastAsia="Times New Roman"/>
        </w:rPr>
        <w:t xml:space="preserve"> more controls does not appear to change our findings. (See Appendix Table 3.)</w:t>
      </w:r>
      <w:r w:rsidR="00501A7E" w:rsidRPr="008137D7">
        <w:rPr>
          <w:rFonts w:eastAsia="Times New Roman"/>
        </w:rPr>
        <w:t xml:space="preserve">  </w:t>
      </w:r>
    </w:p>
    <w:p w14:paraId="5ADA6CEF" w14:textId="425D578C" w:rsidR="00FC6F9D" w:rsidRPr="008137D7" w:rsidRDefault="002230A8" w:rsidP="006E5BCC">
      <w:pPr>
        <w:spacing w:line="480" w:lineRule="auto"/>
        <w:ind w:firstLine="720"/>
        <w:jc w:val="both"/>
        <w:rPr>
          <w:rFonts w:eastAsia="Times New Roman"/>
        </w:rPr>
      </w:pPr>
      <w:r w:rsidRPr="008137D7">
        <w:rPr>
          <w:rFonts w:eastAsia="Times New Roman"/>
        </w:rPr>
        <w:t xml:space="preserve">We </w:t>
      </w:r>
      <w:r w:rsidR="00344A6D" w:rsidRPr="008137D7">
        <w:rPr>
          <w:rFonts w:eastAsia="Times New Roman"/>
        </w:rPr>
        <w:t xml:space="preserve">thus </w:t>
      </w:r>
      <w:r w:rsidR="00D3191A" w:rsidRPr="008137D7">
        <w:rPr>
          <w:rFonts w:eastAsia="Times New Roman"/>
        </w:rPr>
        <w:t xml:space="preserve">regard </w:t>
      </w:r>
      <w:r w:rsidRPr="008137D7">
        <w:rPr>
          <w:rFonts w:eastAsia="Times New Roman"/>
        </w:rPr>
        <w:t xml:space="preserve">these findings </w:t>
      </w:r>
      <w:r w:rsidR="00D3191A" w:rsidRPr="008137D7">
        <w:rPr>
          <w:rFonts w:eastAsia="Times New Roman"/>
        </w:rPr>
        <w:t xml:space="preserve">as </w:t>
      </w:r>
      <w:r w:rsidR="00344A6D" w:rsidRPr="008137D7">
        <w:rPr>
          <w:rFonts w:eastAsia="Times New Roman"/>
        </w:rPr>
        <w:t xml:space="preserve">making a useful </w:t>
      </w:r>
      <w:r w:rsidR="00FE06F6" w:rsidRPr="008137D7">
        <w:rPr>
          <w:rFonts w:eastAsia="Times New Roman"/>
        </w:rPr>
        <w:t>contributi</w:t>
      </w:r>
      <w:r w:rsidR="00344A6D" w:rsidRPr="008137D7">
        <w:rPr>
          <w:rFonts w:eastAsia="Times New Roman"/>
        </w:rPr>
        <w:t>o</w:t>
      </w:r>
      <w:r w:rsidR="00FE06F6" w:rsidRPr="008137D7">
        <w:rPr>
          <w:rFonts w:eastAsia="Times New Roman"/>
        </w:rPr>
        <w:t>n</w:t>
      </w:r>
      <w:r w:rsidRPr="008137D7">
        <w:rPr>
          <w:rFonts w:eastAsia="Times New Roman"/>
        </w:rPr>
        <w:t xml:space="preserve"> to </w:t>
      </w:r>
      <w:r w:rsidR="00042CC1" w:rsidRPr="008137D7">
        <w:rPr>
          <w:rFonts w:eastAsia="Times New Roman"/>
        </w:rPr>
        <w:t xml:space="preserve">debates </w:t>
      </w:r>
      <w:r w:rsidRPr="008137D7">
        <w:rPr>
          <w:rFonts w:eastAsia="Times New Roman"/>
        </w:rPr>
        <w:t xml:space="preserve">about </w:t>
      </w:r>
      <w:r w:rsidR="00AF0EA5" w:rsidRPr="008137D7">
        <w:rPr>
          <w:rFonts w:eastAsia="Times New Roman"/>
        </w:rPr>
        <w:t xml:space="preserve">trends in </w:t>
      </w:r>
      <w:r w:rsidRPr="008137D7">
        <w:rPr>
          <w:rFonts w:eastAsia="Times New Roman"/>
        </w:rPr>
        <w:t xml:space="preserve">media freedoms </w:t>
      </w:r>
      <w:r w:rsidR="00006D3F" w:rsidRPr="008137D7">
        <w:rPr>
          <w:rFonts w:eastAsia="Times New Roman"/>
        </w:rPr>
        <w:t xml:space="preserve">in the US and </w:t>
      </w:r>
      <w:r w:rsidRPr="008137D7">
        <w:rPr>
          <w:rFonts w:eastAsia="Times New Roman"/>
        </w:rPr>
        <w:t>around the world</w:t>
      </w:r>
      <w:r w:rsidR="00481596" w:rsidRPr="008137D7">
        <w:rPr>
          <w:rFonts w:eastAsia="Times New Roman"/>
        </w:rPr>
        <w:t xml:space="preserve">.  </w:t>
      </w:r>
      <w:r w:rsidR="00AF0EA5" w:rsidRPr="008137D7">
        <w:rPr>
          <w:rFonts w:eastAsia="Times New Roman"/>
        </w:rPr>
        <w:t xml:space="preserve">Freedom House’s </w:t>
      </w:r>
      <w:r w:rsidR="00C13784" w:rsidRPr="008137D7">
        <w:rPr>
          <w:rFonts w:eastAsia="Times New Roman"/>
        </w:rPr>
        <w:t xml:space="preserve">most recent </w:t>
      </w:r>
      <w:r w:rsidR="00AF0EA5" w:rsidRPr="008137D7">
        <w:rPr>
          <w:rFonts w:eastAsia="Times New Roman"/>
        </w:rPr>
        <w:t xml:space="preserve">report warns that press freedoms </w:t>
      </w:r>
      <w:r w:rsidR="00D3191A" w:rsidRPr="008137D7">
        <w:rPr>
          <w:rFonts w:eastAsia="Times New Roman"/>
        </w:rPr>
        <w:t>are</w:t>
      </w:r>
      <w:r w:rsidR="00AF0EA5" w:rsidRPr="008137D7">
        <w:rPr>
          <w:rFonts w:eastAsia="Times New Roman"/>
        </w:rPr>
        <w:t xml:space="preserve"> at their lowest point in 1</w:t>
      </w:r>
      <w:r w:rsidR="00842CD8" w:rsidRPr="008137D7">
        <w:rPr>
          <w:rFonts w:eastAsia="Times New Roman"/>
        </w:rPr>
        <w:t>3</w:t>
      </w:r>
      <w:r w:rsidR="00AF0EA5" w:rsidRPr="008137D7">
        <w:rPr>
          <w:rFonts w:eastAsia="Times New Roman"/>
        </w:rPr>
        <w:t xml:space="preserve"> years</w:t>
      </w:r>
      <w:r w:rsidR="00842CD8" w:rsidRPr="008137D7">
        <w:rPr>
          <w:rFonts w:eastAsia="Times New Roman"/>
        </w:rPr>
        <w:t>, with declines in both democratic and authoritarian states.</w:t>
      </w:r>
      <w:r w:rsidR="00C10939" w:rsidRPr="008137D7">
        <w:rPr>
          <w:rStyle w:val="FootnoteReference"/>
          <w:rFonts w:eastAsia="Times New Roman"/>
        </w:rPr>
        <w:footnoteReference w:id="9"/>
      </w:r>
      <w:r w:rsidR="00842CD8" w:rsidRPr="008137D7">
        <w:rPr>
          <w:rFonts w:eastAsia="Times New Roman"/>
        </w:rPr>
        <w:t xml:space="preserve">  </w:t>
      </w:r>
      <w:r w:rsidR="009F347F" w:rsidRPr="008137D7">
        <w:rPr>
          <w:rFonts w:eastAsia="Times New Roman"/>
        </w:rPr>
        <w:t xml:space="preserve">In </w:t>
      </w:r>
      <w:r w:rsidR="00842CD8" w:rsidRPr="008137D7">
        <w:rPr>
          <w:rFonts w:eastAsia="Times New Roman"/>
        </w:rPr>
        <w:t>2016</w:t>
      </w:r>
      <w:r w:rsidR="009F347F" w:rsidRPr="008137D7">
        <w:rPr>
          <w:rFonts w:eastAsia="Times New Roman"/>
        </w:rPr>
        <w:t xml:space="preserve">, we </w:t>
      </w:r>
      <w:r w:rsidR="00842CD8" w:rsidRPr="008137D7">
        <w:rPr>
          <w:rFonts w:eastAsia="Times New Roman"/>
        </w:rPr>
        <w:t>saw increasing government control over state media in Poland</w:t>
      </w:r>
      <w:r w:rsidR="009F347F" w:rsidRPr="008137D7">
        <w:rPr>
          <w:rFonts w:eastAsia="Times New Roman"/>
        </w:rPr>
        <w:t xml:space="preserve"> and</w:t>
      </w:r>
      <w:r w:rsidR="00842CD8" w:rsidRPr="008137D7">
        <w:rPr>
          <w:rFonts w:eastAsia="Times New Roman"/>
        </w:rPr>
        <w:t xml:space="preserve"> responses to an attempted coup in Turkey includ</w:t>
      </w:r>
      <w:r w:rsidR="009F347F" w:rsidRPr="008137D7">
        <w:rPr>
          <w:rFonts w:eastAsia="Times New Roman"/>
        </w:rPr>
        <w:t>ed</w:t>
      </w:r>
      <w:r w:rsidR="00842CD8" w:rsidRPr="008137D7">
        <w:rPr>
          <w:rFonts w:eastAsia="Times New Roman"/>
        </w:rPr>
        <w:t xml:space="preserve"> the closing of a wide range media outlets, and the incarceration of over 80 journalists.  As discussed, w</w:t>
      </w:r>
      <w:r w:rsidR="005F49AD" w:rsidRPr="008137D7">
        <w:rPr>
          <w:rFonts w:eastAsia="Times New Roman"/>
        </w:rPr>
        <w:t xml:space="preserve">e </w:t>
      </w:r>
      <w:r w:rsidR="00D3191A" w:rsidRPr="008137D7">
        <w:rPr>
          <w:rFonts w:eastAsia="Times New Roman"/>
        </w:rPr>
        <w:t xml:space="preserve">also </w:t>
      </w:r>
      <w:r w:rsidR="005F49AD" w:rsidRPr="008137D7">
        <w:rPr>
          <w:rFonts w:eastAsia="Times New Roman"/>
        </w:rPr>
        <w:t xml:space="preserve">write this paper in the midst of an increasingly fraught relationship between the </w:t>
      </w:r>
      <w:r w:rsidR="00A925B6" w:rsidRPr="008137D7">
        <w:rPr>
          <w:rFonts w:eastAsia="Times New Roman"/>
        </w:rPr>
        <w:t>White House</w:t>
      </w:r>
      <w:r w:rsidR="005F49AD" w:rsidRPr="008137D7">
        <w:rPr>
          <w:rFonts w:eastAsia="Times New Roman"/>
        </w:rPr>
        <w:t xml:space="preserve"> and </w:t>
      </w:r>
      <w:r w:rsidR="00A1668F" w:rsidRPr="008137D7">
        <w:rPr>
          <w:rFonts w:eastAsia="Times New Roman"/>
        </w:rPr>
        <w:t xml:space="preserve">much of </w:t>
      </w:r>
      <w:r w:rsidR="005F49AD" w:rsidRPr="008137D7">
        <w:rPr>
          <w:rFonts w:eastAsia="Times New Roman"/>
        </w:rPr>
        <w:t xml:space="preserve">the </w:t>
      </w:r>
      <w:r w:rsidR="00A1668F" w:rsidRPr="008137D7">
        <w:rPr>
          <w:rFonts w:eastAsia="Times New Roman"/>
        </w:rPr>
        <w:t xml:space="preserve">mass </w:t>
      </w:r>
      <w:r w:rsidR="005F49AD" w:rsidRPr="008137D7">
        <w:rPr>
          <w:rFonts w:eastAsia="Times New Roman"/>
        </w:rPr>
        <w:t>media</w:t>
      </w:r>
      <w:r w:rsidR="00481596" w:rsidRPr="008137D7">
        <w:rPr>
          <w:rFonts w:eastAsia="Times New Roman"/>
        </w:rPr>
        <w:t>.</w:t>
      </w:r>
      <w:r w:rsidR="006A3A40" w:rsidRPr="008137D7">
        <w:rPr>
          <w:rFonts w:eastAsia="Times New Roman"/>
        </w:rPr>
        <w:t xml:space="preserve">  </w:t>
      </w:r>
      <w:r w:rsidR="000C3D66" w:rsidRPr="008137D7">
        <w:rPr>
          <w:rFonts w:eastAsia="Times New Roman"/>
        </w:rPr>
        <w:t>But i</w:t>
      </w:r>
      <w:r w:rsidR="006A3A40" w:rsidRPr="008137D7">
        <w:rPr>
          <w:rFonts w:eastAsia="Times New Roman"/>
        </w:rPr>
        <w:t xml:space="preserve">t is important to </w:t>
      </w:r>
      <w:r w:rsidR="000C3D66" w:rsidRPr="008137D7">
        <w:rPr>
          <w:rFonts w:eastAsia="Times New Roman"/>
        </w:rPr>
        <w:t>make clear</w:t>
      </w:r>
      <w:r w:rsidR="006A3A40" w:rsidRPr="008137D7">
        <w:rPr>
          <w:rFonts w:eastAsia="Times New Roman"/>
        </w:rPr>
        <w:t xml:space="preserve"> that we view this paper as </w:t>
      </w:r>
      <w:r w:rsidR="008C1BC9" w:rsidRPr="008137D7">
        <w:rPr>
          <w:rFonts w:eastAsia="Times New Roman"/>
        </w:rPr>
        <w:t>only a</w:t>
      </w:r>
      <w:r w:rsidR="006A3A40" w:rsidRPr="008137D7">
        <w:rPr>
          <w:rFonts w:eastAsia="Times New Roman"/>
        </w:rPr>
        <w:t xml:space="preserve"> first step in </w:t>
      </w:r>
      <w:r w:rsidR="00EA1492" w:rsidRPr="008137D7">
        <w:rPr>
          <w:rFonts w:eastAsia="Times New Roman"/>
        </w:rPr>
        <w:t>quantitatively</w:t>
      </w:r>
      <w:r w:rsidR="006A3A40" w:rsidRPr="008137D7">
        <w:rPr>
          <w:rFonts w:eastAsia="Times New Roman"/>
        </w:rPr>
        <w:t xml:space="preserve"> evaluating the role of a free press on public opinion.  There are a number of future directions that work can take, such as looking at media quality or the role of different economic models of the press. </w:t>
      </w:r>
      <w:r w:rsidR="00E24569" w:rsidRPr="008137D7">
        <w:rPr>
          <w:rFonts w:eastAsia="Times New Roman"/>
        </w:rPr>
        <w:t xml:space="preserve"> </w:t>
      </w:r>
      <w:r w:rsidR="000C3D66" w:rsidRPr="008137D7">
        <w:rPr>
          <w:rFonts w:eastAsia="Times New Roman"/>
        </w:rPr>
        <w:t xml:space="preserve">What we have done </w:t>
      </w:r>
      <w:r w:rsidR="008C1BC9" w:rsidRPr="008137D7">
        <w:rPr>
          <w:rFonts w:eastAsia="Times New Roman"/>
        </w:rPr>
        <w:t>represents</w:t>
      </w:r>
      <w:r w:rsidR="006A3A40" w:rsidRPr="008137D7">
        <w:rPr>
          <w:rFonts w:eastAsia="Times New Roman"/>
        </w:rPr>
        <w:t xml:space="preserve"> a jumping off point for those studies</w:t>
      </w:r>
      <w:r w:rsidR="000C3D66" w:rsidRPr="008137D7">
        <w:rPr>
          <w:rFonts w:eastAsia="Times New Roman"/>
        </w:rPr>
        <w:t>,</w:t>
      </w:r>
      <w:r w:rsidR="005367C0" w:rsidRPr="008137D7">
        <w:rPr>
          <w:rFonts w:eastAsia="Times New Roman"/>
        </w:rPr>
        <w:t xml:space="preserve"> not a final resting place</w:t>
      </w:r>
      <w:r w:rsidR="006A3A40" w:rsidRPr="008137D7">
        <w:rPr>
          <w:rFonts w:eastAsia="Times New Roman"/>
        </w:rPr>
        <w:t>.</w:t>
      </w:r>
    </w:p>
    <w:p w14:paraId="5E02938A" w14:textId="6290F3AF" w:rsidR="00E04331" w:rsidRPr="008137D7" w:rsidRDefault="00FC6F9D" w:rsidP="00FE0E1A">
      <w:pPr>
        <w:spacing w:line="480" w:lineRule="auto"/>
        <w:ind w:firstLine="720"/>
        <w:jc w:val="both"/>
        <w:rPr>
          <w:rFonts w:eastAsia="Times New Roman"/>
        </w:rPr>
      </w:pPr>
      <w:r w:rsidRPr="008137D7">
        <w:rPr>
          <w:rFonts w:eastAsia="Times New Roman"/>
        </w:rPr>
        <w:t xml:space="preserve">Note also that government-media relations are just one way in which the quality of information about policy may be waning.  Consider for instance ongoing debates about whether news consumers exhibit increasingly selective exposure via online, and increasingly partisan, media outlets (the recent literature is vast, but see, e.g., Iyengar and Hahn 2009; Stroud 2008, 2010; Garrett 2009; Messing and Westwood 2014), and whether this dynamic is ameliorated or worsened through the algorithms </w:t>
      </w:r>
      <w:r w:rsidR="000C3D66" w:rsidRPr="008137D7">
        <w:rPr>
          <w:rFonts w:eastAsia="Times New Roman"/>
        </w:rPr>
        <w:t xml:space="preserve">embedded </w:t>
      </w:r>
      <w:r w:rsidRPr="008137D7">
        <w:rPr>
          <w:rFonts w:eastAsia="Times New Roman"/>
        </w:rPr>
        <w:t xml:space="preserve">in search engines and social media (e.g., Bakshy et al. 2015; Flaxman et al. 2016). Although our focus is on the impact of freedom of the press in particular, our results may speak to the possible impacts of a broad range of both provision- and consumption-related dynamics </w:t>
      </w:r>
      <w:r w:rsidR="00042CC1" w:rsidRPr="008137D7">
        <w:rPr>
          <w:rFonts w:eastAsia="Times New Roman"/>
        </w:rPr>
        <w:t xml:space="preserve">affecting </w:t>
      </w:r>
      <w:r w:rsidRPr="008137D7">
        <w:rPr>
          <w:rFonts w:eastAsia="Times New Roman"/>
        </w:rPr>
        <w:t xml:space="preserve">the quality of information reaching citizens. </w:t>
      </w:r>
      <w:r w:rsidR="00C13784" w:rsidRPr="008137D7">
        <w:rPr>
          <w:rFonts w:eastAsia="Times New Roman"/>
        </w:rPr>
        <w:t xml:space="preserve">In short, the quality of policy information reaching citizens around the world </w:t>
      </w:r>
      <w:r w:rsidR="00317913" w:rsidRPr="008137D7">
        <w:rPr>
          <w:rFonts w:eastAsia="Times New Roman"/>
        </w:rPr>
        <w:t xml:space="preserve">seemingly </w:t>
      </w:r>
      <w:r w:rsidR="00C13784" w:rsidRPr="008137D7">
        <w:rPr>
          <w:rFonts w:eastAsia="Times New Roman"/>
        </w:rPr>
        <w:t>is not getting better</w:t>
      </w:r>
      <w:r w:rsidR="00481596" w:rsidRPr="008137D7">
        <w:rPr>
          <w:rFonts w:eastAsia="Times New Roman"/>
        </w:rPr>
        <w:t xml:space="preserve">.  </w:t>
      </w:r>
      <w:r w:rsidR="008A13B2" w:rsidRPr="008137D7">
        <w:rPr>
          <w:rFonts w:eastAsia="Times New Roman"/>
        </w:rPr>
        <w:t>Our analysis suggests that this may have consequences</w:t>
      </w:r>
      <w:r w:rsidR="008A13B2" w:rsidRPr="008137D7" w:rsidDel="008A13B2">
        <w:rPr>
          <w:rFonts w:eastAsia="Times New Roman"/>
        </w:rPr>
        <w:t xml:space="preserve"> </w:t>
      </w:r>
      <w:r w:rsidR="00C13784" w:rsidRPr="008137D7">
        <w:rPr>
          <w:rFonts w:eastAsia="Times New Roman"/>
        </w:rPr>
        <w:t>for both public responsiveness and political representation</w:t>
      </w:r>
      <w:r w:rsidR="00E06A06" w:rsidRPr="008137D7">
        <w:rPr>
          <w:rFonts w:eastAsia="Times New Roman"/>
        </w:rPr>
        <w:t xml:space="preserve"> itself</w:t>
      </w:r>
      <w:r w:rsidR="00C13784" w:rsidRPr="008137D7">
        <w:rPr>
          <w:rFonts w:eastAsia="Times New Roman"/>
        </w:rPr>
        <w:t>.</w:t>
      </w:r>
    </w:p>
    <w:p w14:paraId="4FC7FAB9" w14:textId="2B0AF26A" w:rsidR="008E7428" w:rsidRPr="008137D7" w:rsidRDefault="008E7428" w:rsidP="00FE0E1A">
      <w:pPr>
        <w:spacing w:line="480" w:lineRule="auto"/>
        <w:ind w:firstLine="720"/>
        <w:jc w:val="both"/>
        <w:rPr>
          <w:rFonts w:eastAsia="Times New Roman"/>
        </w:rPr>
      </w:pPr>
      <w:r w:rsidRPr="008137D7">
        <w:rPr>
          <w:rFonts w:eastAsia="Times New Roman"/>
        </w:rPr>
        <w:br w:type="page"/>
      </w:r>
    </w:p>
    <w:p w14:paraId="44B053DF" w14:textId="77777777" w:rsidR="00A16E33" w:rsidRPr="008137D7" w:rsidRDefault="002230A8" w:rsidP="00E04331">
      <w:pPr>
        <w:spacing w:after="120" w:line="480" w:lineRule="auto"/>
        <w:jc w:val="center"/>
        <w:rPr>
          <w:rFonts w:eastAsia="Times New Roman"/>
          <w:sz w:val="28"/>
          <w:szCs w:val="28"/>
        </w:rPr>
      </w:pPr>
      <w:r w:rsidRPr="008137D7">
        <w:rPr>
          <w:rFonts w:eastAsia="Times New Roman"/>
          <w:sz w:val="28"/>
          <w:szCs w:val="28"/>
        </w:rPr>
        <w:t>Bibliography</w:t>
      </w:r>
    </w:p>
    <w:p w14:paraId="05FA4478" w14:textId="77777777" w:rsidR="007B7728" w:rsidRPr="008137D7" w:rsidRDefault="007B7728" w:rsidP="007B7728">
      <w:pPr>
        <w:spacing w:line="480" w:lineRule="auto"/>
        <w:ind w:left="270" w:hanging="285"/>
        <w:jc w:val="both"/>
        <w:rPr>
          <w:rFonts w:eastAsia="Times New Roman"/>
        </w:rPr>
      </w:pPr>
      <w:r w:rsidRPr="008137D7">
        <w:rPr>
          <w:rFonts w:eastAsia="Times New Roman"/>
        </w:rPr>
        <w:t xml:space="preserve">Altheide, David L. 1997. “The News Media, the Problem Frame, and the Production of Fear.” </w:t>
      </w:r>
      <w:r w:rsidRPr="008137D7">
        <w:rPr>
          <w:rFonts w:eastAsia="Times New Roman"/>
          <w:i/>
        </w:rPr>
        <w:t>Sociological Quarterly</w:t>
      </w:r>
      <w:r w:rsidRPr="008137D7">
        <w:rPr>
          <w:rFonts w:eastAsia="Times New Roman"/>
        </w:rPr>
        <w:t xml:space="preserve"> 38: 647–68.</w:t>
      </w:r>
    </w:p>
    <w:p w14:paraId="6D215B20" w14:textId="77777777" w:rsidR="007B7728" w:rsidRPr="008137D7" w:rsidRDefault="007B7728" w:rsidP="007B7728">
      <w:pPr>
        <w:spacing w:line="480" w:lineRule="auto"/>
        <w:ind w:left="270" w:hanging="285"/>
        <w:jc w:val="both"/>
        <w:rPr>
          <w:rFonts w:eastAsia="Times New Roman"/>
        </w:rPr>
      </w:pPr>
      <w:r w:rsidRPr="008137D7">
        <w:rPr>
          <w:rFonts w:eastAsia="Times New Roman"/>
        </w:rPr>
        <w:t>Barabas, Jason, and Jennifer Jerit. 2009.  "Estimating the causal effects of media coverage on policy</w:t>
      </w:r>
      <w:r w:rsidRPr="008137D7">
        <w:rPr>
          <w:rFonts w:eastAsia="Calibri"/>
        </w:rPr>
        <w:t>‐</w:t>
      </w:r>
      <w:r w:rsidRPr="008137D7">
        <w:rPr>
          <w:rFonts w:eastAsia="Times New Roman"/>
        </w:rPr>
        <w:t xml:space="preserve">specific knowledge." </w:t>
      </w:r>
      <w:r w:rsidRPr="008137D7">
        <w:rPr>
          <w:rFonts w:eastAsia="Times New Roman"/>
          <w:i/>
        </w:rPr>
        <w:t>American Journal of Political Science</w:t>
      </w:r>
      <w:r w:rsidRPr="008137D7">
        <w:rPr>
          <w:rFonts w:eastAsia="Times New Roman"/>
        </w:rPr>
        <w:t xml:space="preserve"> 53(1): 73-89.</w:t>
      </w:r>
    </w:p>
    <w:p w14:paraId="33B1C8EC" w14:textId="60E90E7A" w:rsidR="007B7728" w:rsidRPr="008137D7" w:rsidRDefault="007B7728" w:rsidP="007B7728">
      <w:pPr>
        <w:spacing w:line="480" w:lineRule="auto"/>
        <w:ind w:left="270" w:hanging="285"/>
        <w:jc w:val="both"/>
        <w:rPr>
          <w:rFonts w:eastAsia="Times New Roman"/>
        </w:rPr>
      </w:pPr>
      <w:r w:rsidRPr="008137D7">
        <w:rPr>
          <w:rFonts w:eastAsia="Times New Roman"/>
        </w:rPr>
        <w:t xml:space="preserve">Bakshy, Eytan, Solomon Messing, and Lada A. Adamic. 2015. “Exposure to ideologically diverse news and opinion on Facebook.” </w:t>
      </w:r>
      <w:r w:rsidRPr="008137D7">
        <w:rPr>
          <w:rFonts w:eastAsia="Times New Roman"/>
          <w:i/>
          <w:iCs/>
        </w:rPr>
        <w:t>Science</w:t>
      </w:r>
      <w:r w:rsidRPr="008137D7">
        <w:rPr>
          <w:rFonts w:eastAsia="Times New Roman"/>
        </w:rPr>
        <w:t xml:space="preserve"> 348(6239): 1130–1132.</w:t>
      </w:r>
    </w:p>
    <w:p w14:paraId="67DD5B39" w14:textId="306F2ACA" w:rsidR="00DC1018" w:rsidRPr="008137D7" w:rsidRDefault="00DC1018" w:rsidP="007B7728">
      <w:pPr>
        <w:spacing w:line="480" w:lineRule="auto"/>
        <w:ind w:left="270" w:hanging="285"/>
        <w:jc w:val="both"/>
        <w:rPr>
          <w:rFonts w:eastAsia="Times New Roman"/>
        </w:rPr>
      </w:pPr>
      <w:r w:rsidRPr="008137D7">
        <w:rPr>
          <w:rFonts w:eastAsia="Times New Roman"/>
        </w:rPr>
        <w:t xml:space="preserve">Béland, Daniel and Edella Schlager. 2019. “Varieties of Policy Feedback Research: Looking Backward, Moving Forward.” </w:t>
      </w:r>
      <w:r w:rsidRPr="008137D7">
        <w:rPr>
          <w:rFonts w:eastAsia="Times New Roman"/>
          <w:i/>
          <w:iCs/>
        </w:rPr>
        <w:t>Policy Studies Journal</w:t>
      </w:r>
      <w:r w:rsidRPr="008137D7">
        <w:rPr>
          <w:rFonts w:eastAsia="Times New Roman"/>
        </w:rPr>
        <w:t xml:space="preserve"> 47(2): 184-205.</w:t>
      </w:r>
    </w:p>
    <w:p w14:paraId="4675C799" w14:textId="77777777" w:rsidR="007B7728" w:rsidRPr="008137D7" w:rsidRDefault="007B7728" w:rsidP="007B7728">
      <w:pPr>
        <w:spacing w:line="480" w:lineRule="auto"/>
        <w:ind w:left="270" w:hanging="285"/>
        <w:jc w:val="both"/>
        <w:rPr>
          <w:rFonts w:eastAsia="Times New Roman"/>
        </w:rPr>
      </w:pPr>
      <w:r w:rsidRPr="008137D7">
        <w:rPr>
          <w:rFonts w:eastAsia="Times New Roman"/>
        </w:rPr>
        <w:t xml:space="preserve">Bennett, W. Lance, Regina G. Lawrence, and Steven Livingston. 2008. </w:t>
      </w:r>
      <w:r w:rsidRPr="008137D7">
        <w:rPr>
          <w:rFonts w:eastAsia="Times New Roman"/>
          <w:i/>
          <w:iCs/>
        </w:rPr>
        <w:t>When the Press Fails: Political Power and the News Media from Iraq to Katrina</w:t>
      </w:r>
      <w:r w:rsidRPr="008137D7">
        <w:rPr>
          <w:rFonts w:eastAsia="Times New Roman"/>
        </w:rPr>
        <w:t>. University of Chicago Press.</w:t>
      </w:r>
    </w:p>
    <w:p w14:paraId="2F770576" w14:textId="77777777" w:rsidR="007B7728" w:rsidRPr="008137D7" w:rsidRDefault="007B7728" w:rsidP="007B7728">
      <w:pPr>
        <w:spacing w:line="480" w:lineRule="auto"/>
        <w:ind w:left="270" w:hanging="285"/>
        <w:jc w:val="both"/>
        <w:rPr>
          <w:rFonts w:eastAsia="Times New Roman"/>
        </w:rPr>
      </w:pPr>
      <w:r w:rsidRPr="008137D7">
        <w:rPr>
          <w:rFonts w:eastAsia="Times New Roman"/>
        </w:rPr>
        <w:t>Besley, Timothy, and Andrea Prat. "Handcuffs for the grabbing hand? Media capture and government accountability." The American Economic Review 96.3 (2006): 720-736.</w:t>
      </w:r>
    </w:p>
    <w:p w14:paraId="04194149" w14:textId="77777777" w:rsidR="007B7728" w:rsidRPr="008137D7" w:rsidRDefault="007B7728" w:rsidP="007B7728">
      <w:pPr>
        <w:spacing w:line="480" w:lineRule="auto"/>
        <w:ind w:left="270" w:hanging="285"/>
        <w:jc w:val="both"/>
        <w:rPr>
          <w:rFonts w:eastAsia="Times New Roman"/>
        </w:rPr>
      </w:pPr>
      <w:r w:rsidRPr="008137D7">
        <w:rPr>
          <w:rFonts w:eastAsia="Times New Roman"/>
        </w:rPr>
        <w:t xml:space="preserve">Boydstun, Amber E. </w:t>
      </w:r>
      <w:r w:rsidRPr="008137D7">
        <w:rPr>
          <w:rFonts w:eastAsia="Times New Roman"/>
          <w:i/>
          <w:iCs/>
        </w:rPr>
        <w:t>Making the news: Politics, the media, and agenda setting</w:t>
      </w:r>
      <w:r w:rsidRPr="008137D7">
        <w:rPr>
          <w:rFonts w:eastAsia="Times New Roman"/>
        </w:rPr>
        <w:t>. University of Chicago Press, 2013.</w:t>
      </w:r>
    </w:p>
    <w:p w14:paraId="57EA3096" w14:textId="77777777" w:rsidR="007B7728" w:rsidRPr="008137D7" w:rsidRDefault="007B7728" w:rsidP="007B7728">
      <w:pPr>
        <w:spacing w:line="480" w:lineRule="auto"/>
        <w:ind w:left="270" w:hanging="285"/>
        <w:jc w:val="both"/>
        <w:rPr>
          <w:rFonts w:eastAsia="Times New Roman"/>
        </w:rPr>
      </w:pPr>
      <w:r w:rsidRPr="008137D7">
        <w:rPr>
          <w:rFonts w:eastAsia="Times New Roman"/>
        </w:rPr>
        <w:t>Brooks, Clem, and Jeffrey Manza.  "Why welfare states persist: Public opinion and the future of social provision." (2007).</w:t>
      </w:r>
    </w:p>
    <w:p w14:paraId="4E56C4A1" w14:textId="77777777" w:rsidR="007B7728" w:rsidRPr="008137D7" w:rsidRDefault="007B7728" w:rsidP="007B7728">
      <w:pPr>
        <w:spacing w:line="480" w:lineRule="auto"/>
        <w:ind w:left="270" w:hanging="285"/>
        <w:jc w:val="both"/>
        <w:rPr>
          <w:rFonts w:eastAsia="Times New Roman"/>
        </w:rPr>
      </w:pPr>
      <w:r w:rsidRPr="008137D7">
        <w:rPr>
          <w:rFonts w:eastAsia="Times New Roman"/>
        </w:rPr>
        <w:t xml:space="preserve">Burstein, Paul. 2013. </w:t>
      </w:r>
      <w:r w:rsidRPr="008137D7">
        <w:rPr>
          <w:rFonts w:eastAsia="Times New Roman"/>
          <w:i/>
        </w:rPr>
        <w:t>American Public Opinion, Advocacy, and Policy in Congress</w:t>
      </w:r>
      <w:r w:rsidRPr="008137D7">
        <w:rPr>
          <w:rFonts w:eastAsia="Times New Roman"/>
        </w:rPr>
        <w:t>. New York: Cambridge University Press.</w:t>
      </w:r>
    </w:p>
    <w:p w14:paraId="71C24208" w14:textId="77777777" w:rsidR="007B7728" w:rsidRPr="008137D7" w:rsidRDefault="007B7728" w:rsidP="007B7728">
      <w:pPr>
        <w:spacing w:line="480" w:lineRule="auto"/>
        <w:ind w:left="270" w:hanging="285"/>
        <w:jc w:val="both"/>
        <w:rPr>
          <w:rFonts w:eastAsia="Times New Roman"/>
        </w:rPr>
      </w:pPr>
      <w:r w:rsidRPr="008137D7">
        <w:rPr>
          <w:rFonts w:eastAsia="Times New Roman"/>
        </w:rPr>
        <w:t>Cameron, A. C., Gelbach, J. B., &amp; Miller, D. L. (2011). Robust inference with multiway clustering. </w:t>
      </w:r>
      <w:r w:rsidRPr="008137D7">
        <w:rPr>
          <w:rFonts w:eastAsia="Times New Roman"/>
          <w:i/>
          <w:iCs/>
        </w:rPr>
        <w:t>Journal of Business &amp; Economic Statistics</w:t>
      </w:r>
      <w:r w:rsidRPr="008137D7">
        <w:rPr>
          <w:rFonts w:eastAsia="Times New Roman"/>
        </w:rPr>
        <w:t>, </w:t>
      </w:r>
      <w:r w:rsidRPr="008137D7">
        <w:rPr>
          <w:rFonts w:eastAsia="Times New Roman"/>
          <w:i/>
          <w:iCs/>
        </w:rPr>
        <w:t>29</w:t>
      </w:r>
      <w:r w:rsidRPr="008137D7">
        <w:rPr>
          <w:rFonts w:eastAsia="Times New Roman"/>
        </w:rPr>
        <w:t>(2), 238-249.</w:t>
      </w:r>
    </w:p>
    <w:p w14:paraId="446C1C2D" w14:textId="77777777" w:rsidR="007B7728" w:rsidRPr="008137D7" w:rsidRDefault="007B7728" w:rsidP="007B7728">
      <w:pPr>
        <w:spacing w:line="480" w:lineRule="auto"/>
        <w:ind w:left="270" w:hanging="285"/>
        <w:jc w:val="both"/>
        <w:rPr>
          <w:rFonts w:eastAsia="Times New Roman"/>
        </w:rPr>
      </w:pPr>
      <w:r w:rsidRPr="008137D7">
        <w:rPr>
          <w:rFonts w:eastAsia="Times New Roman"/>
        </w:rPr>
        <w:t xml:space="preserve">Carpini, Michael X. Delli, and Scott Keeter. </w:t>
      </w:r>
      <w:r w:rsidRPr="008137D7">
        <w:rPr>
          <w:rFonts w:eastAsia="Times New Roman"/>
          <w:i/>
        </w:rPr>
        <w:t>What Americans know about Politics and Why it Matters</w:t>
      </w:r>
      <w:r w:rsidRPr="008137D7">
        <w:rPr>
          <w:rFonts w:eastAsia="Times New Roman"/>
        </w:rPr>
        <w:t>.  Yale University Press, 1997.</w:t>
      </w:r>
    </w:p>
    <w:p w14:paraId="0281BA26" w14:textId="77777777" w:rsidR="007B7728" w:rsidRPr="008137D7" w:rsidRDefault="007B7728" w:rsidP="007B7728">
      <w:pPr>
        <w:spacing w:line="480" w:lineRule="auto"/>
        <w:ind w:left="270" w:hanging="285"/>
        <w:jc w:val="both"/>
        <w:rPr>
          <w:rFonts w:eastAsia="Times New Roman"/>
        </w:rPr>
      </w:pPr>
      <w:r w:rsidRPr="008137D7">
        <w:rPr>
          <w:rFonts w:eastAsia="Times New Roman"/>
        </w:rPr>
        <w:t xml:space="preserve">Cook, Fay Lomax, and Edith J. Barrett. 1992. </w:t>
      </w:r>
      <w:r w:rsidRPr="008137D7">
        <w:rPr>
          <w:rFonts w:eastAsia="Times New Roman"/>
          <w:i/>
          <w:iCs/>
        </w:rPr>
        <w:t>Support for the American Welfare State: The Views of Congress and the Public</w:t>
      </w:r>
      <w:r w:rsidRPr="008137D7">
        <w:rPr>
          <w:rFonts w:eastAsia="Times New Roman"/>
        </w:rPr>
        <w:t>. Columbia University Press.</w:t>
      </w:r>
    </w:p>
    <w:p w14:paraId="45CF0870" w14:textId="77777777" w:rsidR="007B7728" w:rsidRPr="008137D7" w:rsidRDefault="007B7728" w:rsidP="007B7728">
      <w:pPr>
        <w:spacing w:line="480" w:lineRule="auto"/>
        <w:ind w:left="270" w:hanging="285"/>
        <w:jc w:val="both"/>
        <w:rPr>
          <w:rFonts w:eastAsia="Times New Roman"/>
        </w:rPr>
      </w:pPr>
      <w:r w:rsidRPr="008137D7">
        <w:rPr>
          <w:rFonts w:eastAsia="Times New Roman"/>
        </w:rPr>
        <w:t>Coppedge, Michael, John Gerring, Carl Henrik Knutsen, Staffan I. Lindberg, Svend-Erik Skaaning, Jan Teorell, David Altman, Michael Bernhard, M. Steven Fish, Agnes Cornell, Sirianne Dahlum, Haakon Gjerløw, Adam Glynn, Allen Hicken, Joshua Krusell, Anna Lührmann, Kyle L. Marquardt, Kelly McMann, Valeriya Mechkova, Juraj Medzihorsky, Moa Olin, Pamela Paxton, Daniel Pemstein, Josefine Pernes, Johannes von Römer, Brigitte Seim, Rachel Sigman, Jeffrey Staton, Natalia Stepanova, Aksel Sundström, Eitan Tzelgov, Yi-ting Wang, Tore Wig, Steven Wilson, and Daniel Ziblatt. 2018. </w:t>
      </w:r>
      <w:r w:rsidRPr="008137D7">
        <w:rPr>
          <w:rFonts w:eastAsia="Times New Roman"/>
          <w:i/>
          <w:iCs/>
        </w:rPr>
        <w:t>"V-Dem [Country-Year/Country-Date] Dataset v8"</w:t>
      </w:r>
      <w:r w:rsidRPr="008137D7">
        <w:rPr>
          <w:rFonts w:eastAsia="Times New Roman"/>
        </w:rPr>
        <w:t>. Varieties of Democracy (V-Dem) Project. </w:t>
      </w:r>
      <w:hyperlink r:id="rId10" w:history="1">
        <w:r w:rsidRPr="008137D7">
          <w:rPr>
            <w:rStyle w:val="Hyperlink"/>
            <w:rFonts w:eastAsia="Times New Roman"/>
            <w:color w:val="auto"/>
          </w:rPr>
          <w:t>https://doi.org/10.23696/vdemcy18</w:t>
        </w:r>
      </w:hyperlink>
    </w:p>
    <w:p w14:paraId="32839937" w14:textId="77777777" w:rsidR="007B7728" w:rsidRPr="008137D7" w:rsidRDefault="007B7728" w:rsidP="007B7728">
      <w:pPr>
        <w:spacing w:line="480" w:lineRule="auto"/>
        <w:ind w:left="270" w:hanging="285"/>
        <w:jc w:val="both"/>
        <w:rPr>
          <w:rFonts w:eastAsia="Times New Roman"/>
        </w:rPr>
      </w:pPr>
      <w:r w:rsidRPr="008137D7">
        <w:rPr>
          <w:rFonts w:eastAsia="Times New Roman"/>
        </w:rPr>
        <w:t xml:space="preserve">Coyne, Christopher J., and Peter T. Leeson. "Read all about it! Understanding the role of media in economic development." </w:t>
      </w:r>
      <w:r w:rsidRPr="008137D7">
        <w:rPr>
          <w:rFonts w:eastAsia="Times New Roman"/>
          <w:i/>
        </w:rPr>
        <w:t xml:space="preserve">Kyklos </w:t>
      </w:r>
      <w:r w:rsidRPr="008137D7">
        <w:rPr>
          <w:rFonts w:eastAsia="Times New Roman"/>
        </w:rPr>
        <w:t>57.1 (2004): 21-44.</w:t>
      </w:r>
    </w:p>
    <w:p w14:paraId="7D99AC5E" w14:textId="77777777" w:rsidR="007B7728" w:rsidRPr="008137D7" w:rsidRDefault="007B7728" w:rsidP="007B7728">
      <w:pPr>
        <w:spacing w:line="480" w:lineRule="auto"/>
        <w:ind w:left="270" w:hanging="285"/>
        <w:jc w:val="both"/>
        <w:rPr>
          <w:rFonts w:eastAsia="Times New Roman"/>
        </w:rPr>
      </w:pPr>
      <w:r w:rsidRPr="008137D7">
        <w:rPr>
          <w:rFonts w:eastAsia="Times New Roman"/>
        </w:rPr>
        <w:t xml:space="preserve">Dalen, Arjen van, Claes de Vreese, and Erik Albæk. 2015. “Economic News through the Magnifying Glass.” </w:t>
      </w:r>
      <w:r w:rsidRPr="008137D7">
        <w:rPr>
          <w:rFonts w:eastAsia="Times New Roman"/>
          <w:i/>
          <w:iCs/>
        </w:rPr>
        <w:t>Journalism Studies</w:t>
      </w:r>
      <w:r w:rsidRPr="008137D7">
        <w:rPr>
          <w:rFonts w:eastAsia="Times New Roman"/>
        </w:rPr>
        <w:t xml:space="preserve"> 0(0): 1–20.</w:t>
      </w:r>
    </w:p>
    <w:p w14:paraId="0B7686BE" w14:textId="77777777" w:rsidR="007B7728" w:rsidRPr="008137D7" w:rsidRDefault="007B7728" w:rsidP="007B7728">
      <w:pPr>
        <w:spacing w:line="480" w:lineRule="auto"/>
        <w:ind w:left="270" w:hanging="285"/>
        <w:jc w:val="both"/>
        <w:rPr>
          <w:rFonts w:eastAsia="Times New Roman"/>
        </w:rPr>
      </w:pPr>
      <w:r w:rsidRPr="008137D7">
        <w:rPr>
          <w:rFonts w:eastAsia="Times New Roman"/>
        </w:rPr>
        <w:t xml:space="preserve">Delli Carpini, Michael X., Scott Keeter, and Sharon Webb. "The impact of presidential debates." </w:t>
      </w:r>
      <w:r w:rsidRPr="008137D7">
        <w:rPr>
          <w:rFonts w:eastAsia="Times New Roman"/>
          <w:i/>
          <w:iCs/>
        </w:rPr>
        <w:t>Politics and the press: The news media and their influences</w:t>
      </w:r>
      <w:r w:rsidRPr="008137D7">
        <w:rPr>
          <w:rFonts w:eastAsia="Times New Roman"/>
        </w:rPr>
        <w:t xml:space="preserve"> (1997): 145-164.</w:t>
      </w:r>
    </w:p>
    <w:p w14:paraId="5D1BCC69" w14:textId="77777777" w:rsidR="007B7728" w:rsidRPr="008137D7" w:rsidRDefault="007B7728" w:rsidP="007B7728">
      <w:pPr>
        <w:spacing w:line="480" w:lineRule="auto"/>
        <w:ind w:left="270" w:hanging="285"/>
        <w:jc w:val="both"/>
        <w:rPr>
          <w:rFonts w:eastAsia="Times New Roman"/>
        </w:rPr>
      </w:pPr>
      <w:r w:rsidRPr="008137D7">
        <w:rPr>
          <w:rFonts w:eastAsia="Times New Roman"/>
        </w:rPr>
        <w:t xml:space="preserve">Durr, Robert H. "What moves policy sentiment?." </w:t>
      </w:r>
      <w:r w:rsidRPr="008137D7">
        <w:rPr>
          <w:rFonts w:eastAsia="Times New Roman"/>
          <w:i/>
          <w:iCs/>
        </w:rPr>
        <w:t>American Political Science Review</w:t>
      </w:r>
      <w:r w:rsidRPr="008137D7">
        <w:rPr>
          <w:rFonts w:eastAsia="Times New Roman"/>
        </w:rPr>
        <w:t xml:space="preserve"> 87.1 (1993): 158-170.</w:t>
      </w:r>
    </w:p>
    <w:p w14:paraId="0E7DCA7D" w14:textId="77777777" w:rsidR="007B7728" w:rsidRPr="008137D7" w:rsidRDefault="007B7728" w:rsidP="007B7728">
      <w:pPr>
        <w:spacing w:line="480" w:lineRule="auto"/>
        <w:ind w:left="270" w:hanging="285"/>
        <w:jc w:val="both"/>
        <w:rPr>
          <w:rFonts w:eastAsia="Times New Roman"/>
        </w:rPr>
      </w:pPr>
      <w:r w:rsidRPr="008137D7">
        <w:rPr>
          <w:rFonts w:eastAsia="Times New Roman"/>
        </w:rPr>
        <w:t xml:space="preserve">Eichenberg, Richard C, and Richard Stoll. 2003. “Representing Defense: Democratic Control of the Defense Budget in the United States and Western Europe.” </w:t>
      </w:r>
      <w:r w:rsidRPr="008137D7">
        <w:rPr>
          <w:rFonts w:eastAsia="Times New Roman"/>
          <w:i/>
        </w:rPr>
        <w:t>The Journal of Conflict Resolution</w:t>
      </w:r>
      <w:r w:rsidRPr="008137D7">
        <w:rPr>
          <w:rFonts w:eastAsia="Times New Roman"/>
        </w:rPr>
        <w:t xml:space="preserve"> 47(4): 399–422.</w:t>
      </w:r>
    </w:p>
    <w:p w14:paraId="0ACDD7EF" w14:textId="77777777" w:rsidR="007B7728" w:rsidRPr="008137D7" w:rsidRDefault="007B7728" w:rsidP="007B7728">
      <w:pPr>
        <w:spacing w:line="480" w:lineRule="auto"/>
        <w:ind w:left="270" w:hanging="285"/>
        <w:jc w:val="both"/>
        <w:rPr>
          <w:rFonts w:eastAsia="Times New Roman"/>
        </w:rPr>
      </w:pPr>
      <w:r w:rsidRPr="008137D7">
        <w:rPr>
          <w:rFonts w:eastAsia="Times New Roman"/>
        </w:rPr>
        <w:t xml:space="preserve">Erikson, Robert S, Gerald C Wright, and John P McIver. 1994. </w:t>
      </w:r>
      <w:r w:rsidRPr="008137D7">
        <w:rPr>
          <w:rFonts w:eastAsia="Times New Roman"/>
          <w:i/>
        </w:rPr>
        <w:t>Statehouse Democracy: Public Opinion and Policy in the American States</w:t>
      </w:r>
      <w:r w:rsidRPr="008137D7">
        <w:rPr>
          <w:rFonts w:eastAsia="Times New Roman"/>
        </w:rPr>
        <w:t>. Cambridge: Cambridge University Press.</w:t>
      </w:r>
    </w:p>
    <w:p w14:paraId="15E199FC" w14:textId="77777777" w:rsidR="007B7728" w:rsidRPr="008137D7" w:rsidRDefault="007B7728" w:rsidP="007B7728">
      <w:pPr>
        <w:spacing w:line="480" w:lineRule="auto"/>
        <w:ind w:left="270" w:hanging="285"/>
        <w:jc w:val="both"/>
        <w:rPr>
          <w:rFonts w:eastAsia="Times New Roman"/>
        </w:rPr>
      </w:pPr>
      <w:r w:rsidRPr="008137D7">
        <w:rPr>
          <w:rFonts w:eastAsia="Times New Roman"/>
        </w:rPr>
        <w:t xml:space="preserve">Erikson, Robert S., Michael B. MacKuen, and James A. Stimson. </w:t>
      </w:r>
      <w:r w:rsidRPr="008137D7">
        <w:rPr>
          <w:rFonts w:eastAsia="Times New Roman"/>
          <w:i/>
          <w:iCs/>
        </w:rPr>
        <w:t>The macro polity</w:t>
      </w:r>
      <w:r w:rsidRPr="008137D7">
        <w:rPr>
          <w:rFonts w:eastAsia="Times New Roman"/>
        </w:rPr>
        <w:t>. Cambridge University Press, 2002.</w:t>
      </w:r>
    </w:p>
    <w:p w14:paraId="0ADD07D5" w14:textId="77777777" w:rsidR="007B7728" w:rsidRPr="008137D7" w:rsidRDefault="007B7728" w:rsidP="007B7728">
      <w:pPr>
        <w:spacing w:line="480" w:lineRule="auto"/>
        <w:ind w:left="270" w:hanging="285"/>
        <w:jc w:val="both"/>
        <w:rPr>
          <w:rFonts w:eastAsia="Times New Roman"/>
        </w:rPr>
      </w:pPr>
      <w:r w:rsidRPr="008137D7">
        <w:rPr>
          <w:rFonts w:eastAsia="Times New Roman"/>
        </w:rPr>
        <w:t xml:space="preserve">Flaxman, Seth, Sharad Goel, and Justin M. Rao. 2016. “Filter Bubbles, Echo Chambers, and Online News Consumption.” </w:t>
      </w:r>
      <w:r w:rsidRPr="008137D7">
        <w:rPr>
          <w:rFonts w:eastAsia="Times New Roman"/>
          <w:i/>
          <w:iCs/>
        </w:rPr>
        <w:t>Public Opinion Quarterly</w:t>
      </w:r>
      <w:r w:rsidRPr="008137D7">
        <w:rPr>
          <w:rFonts w:eastAsia="Times New Roman"/>
        </w:rPr>
        <w:t xml:space="preserve"> 80(S1): 298–320.</w:t>
      </w:r>
    </w:p>
    <w:p w14:paraId="5C821B18" w14:textId="77777777" w:rsidR="007B7728" w:rsidRPr="008137D7" w:rsidRDefault="007B7728" w:rsidP="007B7728">
      <w:pPr>
        <w:spacing w:line="480" w:lineRule="auto"/>
        <w:ind w:left="270" w:hanging="285"/>
        <w:jc w:val="both"/>
        <w:rPr>
          <w:rFonts w:eastAsia="Times New Roman"/>
        </w:rPr>
      </w:pPr>
      <w:r w:rsidRPr="008137D7">
        <w:rPr>
          <w:rFonts w:eastAsia="Times New Roman"/>
        </w:rPr>
        <w:t xml:space="preserve">Fraile, Marta. "Do information-rich contexts reduce knowledge inequalities? The contextual determinants of political knowledge in Europe." </w:t>
      </w:r>
      <w:r w:rsidRPr="008137D7">
        <w:rPr>
          <w:rFonts w:eastAsia="Times New Roman"/>
          <w:i/>
        </w:rPr>
        <w:t>Acta Politica</w:t>
      </w:r>
      <w:r w:rsidRPr="008137D7">
        <w:rPr>
          <w:rFonts w:eastAsia="Times New Roman"/>
        </w:rPr>
        <w:t xml:space="preserve"> 48, no. 2 (2013): 119-143.</w:t>
      </w:r>
    </w:p>
    <w:p w14:paraId="065641B6" w14:textId="77777777" w:rsidR="007B7728" w:rsidRPr="008137D7" w:rsidRDefault="007B7728" w:rsidP="007B7728">
      <w:pPr>
        <w:spacing w:line="480" w:lineRule="auto"/>
        <w:ind w:left="270" w:hanging="285"/>
        <w:jc w:val="both"/>
        <w:rPr>
          <w:rFonts w:eastAsia="Times New Roman"/>
        </w:rPr>
      </w:pPr>
      <w:r w:rsidRPr="008137D7">
        <w:rPr>
          <w:rFonts w:eastAsia="Times New Roman"/>
        </w:rPr>
        <w:t xml:space="preserve">Friedman, Sharon H., Sharon Dunwoody and Carol L. Rogers, eds. 1999. </w:t>
      </w:r>
      <w:r w:rsidRPr="008137D7">
        <w:rPr>
          <w:rFonts w:eastAsia="Times New Roman"/>
          <w:i/>
        </w:rPr>
        <w:t>Communicating Uncertainty: Media Coverage of New and Controversial Science</w:t>
      </w:r>
      <w:r w:rsidRPr="008137D7">
        <w:rPr>
          <w:rFonts w:eastAsia="Times New Roman"/>
        </w:rPr>
        <w:t>. New York: Routledge.</w:t>
      </w:r>
    </w:p>
    <w:p w14:paraId="36239C5D" w14:textId="77777777" w:rsidR="007B7728" w:rsidRPr="008137D7" w:rsidRDefault="007B7728" w:rsidP="007B7728">
      <w:pPr>
        <w:spacing w:line="480" w:lineRule="auto"/>
        <w:ind w:left="270" w:hanging="285"/>
        <w:jc w:val="both"/>
        <w:rPr>
          <w:rFonts w:eastAsia="Times New Roman"/>
        </w:rPr>
      </w:pPr>
      <w:r w:rsidRPr="008137D7">
        <w:rPr>
          <w:rFonts w:eastAsia="Times New Roman"/>
        </w:rPr>
        <w:t xml:space="preserve">Garrett, R. Kelly. 2009. “Politically Motivated Reinforcement Seeking: Reframing the Selective Exposure Debate.” </w:t>
      </w:r>
      <w:r w:rsidRPr="008137D7">
        <w:rPr>
          <w:rFonts w:eastAsia="Times New Roman"/>
          <w:i/>
          <w:iCs/>
        </w:rPr>
        <w:t>Journal of Communication</w:t>
      </w:r>
      <w:r w:rsidRPr="008137D7">
        <w:rPr>
          <w:rFonts w:eastAsia="Times New Roman"/>
        </w:rPr>
        <w:t xml:space="preserve"> 59(4): 676–699.</w:t>
      </w:r>
    </w:p>
    <w:p w14:paraId="0F326CF0" w14:textId="77777777" w:rsidR="007B7728" w:rsidRPr="008137D7" w:rsidRDefault="007B7728" w:rsidP="007B7728">
      <w:pPr>
        <w:spacing w:line="480" w:lineRule="auto"/>
        <w:ind w:left="270" w:hanging="285"/>
        <w:jc w:val="both"/>
        <w:rPr>
          <w:rFonts w:eastAsia="Times New Roman"/>
        </w:rPr>
      </w:pPr>
      <w:r w:rsidRPr="008137D7">
        <w:rPr>
          <w:rFonts w:eastAsia="Times New Roman"/>
        </w:rPr>
        <w:t xml:space="preserve">Goggin, Malcolm, and Christopher Wlezien. 1993. “Abortion Opinion and Policy in the American States.” In </w:t>
      </w:r>
      <w:r w:rsidRPr="008137D7">
        <w:rPr>
          <w:rFonts w:eastAsia="Times New Roman"/>
          <w:i/>
        </w:rPr>
        <w:t>Understanding the New Politics of Abortion</w:t>
      </w:r>
      <w:r w:rsidRPr="008137D7">
        <w:rPr>
          <w:rFonts w:eastAsia="Times New Roman"/>
        </w:rPr>
        <w:t>, ed. Malcolm Goggin. Newbury Park, CA: Sage.</w:t>
      </w:r>
    </w:p>
    <w:p w14:paraId="1C89DBCD" w14:textId="77777777" w:rsidR="007B7728" w:rsidRPr="008137D7" w:rsidRDefault="007B7728" w:rsidP="007B7728">
      <w:pPr>
        <w:spacing w:line="480" w:lineRule="auto"/>
        <w:ind w:left="270" w:hanging="285"/>
        <w:jc w:val="both"/>
        <w:rPr>
          <w:rFonts w:eastAsia="Times New Roman"/>
        </w:rPr>
      </w:pPr>
      <w:r w:rsidRPr="008137D7">
        <w:rPr>
          <w:rFonts w:eastAsia="Times New Roman"/>
        </w:rPr>
        <w:t xml:space="preserve">Groeling, Tim. 2013. “Media Bias by the Numbers: Challenges and Opportunities in the Empirical Study of Partisan News.” </w:t>
      </w:r>
      <w:r w:rsidRPr="008137D7">
        <w:rPr>
          <w:rFonts w:eastAsia="Times New Roman"/>
          <w:i/>
          <w:iCs/>
        </w:rPr>
        <w:t>Annual Review of Political Science</w:t>
      </w:r>
      <w:r w:rsidRPr="008137D7">
        <w:rPr>
          <w:rFonts w:eastAsia="Times New Roman"/>
        </w:rPr>
        <w:t xml:space="preserve"> 16(1): 129–51.</w:t>
      </w:r>
    </w:p>
    <w:p w14:paraId="6FC20C2E" w14:textId="77777777" w:rsidR="007B7728" w:rsidRPr="008137D7" w:rsidRDefault="007B7728" w:rsidP="007B7728">
      <w:pPr>
        <w:spacing w:line="480" w:lineRule="auto"/>
        <w:ind w:left="270" w:hanging="285"/>
        <w:jc w:val="both"/>
        <w:rPr>
          <w:rFonts w:eastAsia="Times New Roman"/>
        </w:rPr>
      </w:pPr>
      <w:r w:rsidRPr="008137D7">
        <w:rPr>
          <w:rFonts w:eastAsia="Times New Roman"/>
        </w:rPr>
        <w:t xml:space="preserve">Hasenfeld, Yeheskel, and Jane A. Rafferty. 1989. “The Determinants of Public Attitudes toward the Welfare State.” </w:t>
      </w:r>
      <w:r w:rsidRPr="008137D7">
        <w:rPr>
          <w:rFonts w:eastAsia="Times New Roman"/>
          <w:i/>
          <w:iCs/>
        </w:rPr>
        <w:t>Social Forces</w:t>
      </w:r>
      <w:r w:rsidRPr="008137D7">
        <w:rPr>
          <w:rFonts w:eastAsia="Times New Roman"/>
        </w:rPr>
        <w:t xml:space="preserve"> 67(4): 1027–1048.</w:t>
      </w:r>
    </w:p>
    <w:p w14:paraId="025A3035" w14:textId="77777777" w:rsidR="007B7728" w:rsidRPr="008137D7" w:rsidRDefault="007B7728" w:rsidP="007B7728">
      <w:pPr>
        <w:spacing w:line="480" w:lineRule="auto"/>
        <w:ind w:left="270" w:hanging="285"/>
        <w:jc w:val="both"/>
        <w:rPr>
          <w:rFonts w:eastAsia="Times New Roman"/>
        </w:rPr>
      </w:pPr>
      <w:r w:rsidRPr="008137D7">
        <w:rPr>
          <w:rFonts w:eastAsia="Times New Roman"/>
        </w:rPr>
        <w:t xml:space="preserve">Iyengar, Shanto, and Kyu S Hahn. 2009. “Red Media, Blue Media: Evidence of Ideological Selectivity in Media Use.” </w:t>
      </w:r>
      <w:r w:rsidRPr="008137D7">
        <w:rPr>
          <w:rFonts w:eastAsia="Times New Roman"/>
          <w:i/>
          <w:iCs/>
        </w:rPr>
        <w:t>Journal of Communication</w:t>
      </w:r>
      <w:r w:rsidRPr="008137D7">
        <w:rPr>
          <w:rFonts w:eastAsia="Times New Roman"/>
        </w:rPr>
        <w:t xml:space="preserve"> 59(1): 19–39.</w:t>
      </w:r>
    </w:p>
    <w:p w14:paraId="58F81F85" w14:textId="77777777" w:rsidR="007B7728" w:rsidRPr="008137D7" w:rsidRDefault="007B7728" w:rsidP="007B7728">
      <w:pPr>
        <w:spacing w:line="480" w:lineRule="auto"/>
        <w:ind w:left="270" w:hanging="285"/>
        <w:jc w:val="both"/>
        <w:rPr>
          <w:rFonts w:eastAsia="Times New Roman"/>
        </w:rPr>
      </w:pPr>
      <w:r w:rsidRPr="008137D7">
        <w:rPr>
          <w:rFonts w:eastAsia="Times New Roman"/>
        </w:rPr>
        <w:t>Iyengar, Shanto, and Donald R. Kinder. </w:t>
      </w:r>
      <w:r w:rsidRPr="008137D7">
        <w:rPr>
          <w:rFonts w:eastAsia="Times New Roman"/>
          <w:i/>
          <w:iCs/>
        </w:rPr>
        <w:t>News that matters: Television and American opinion</w:t>
      </w:r>
      <w:r w:rsidRPr="008137D7">
        <w:rPr>
          <w:rFonts w:eastAsia="Times New Roman"/>
        </w:rPr>
        <w:t>. University of Chicago Press, 2010.</w:t>
      </w:r>
    </w:p>
    <w:p w14:paraId="41DE08FC" w14:textId="77777777" w:rsidR="007B7728" w:rsidRPr="008137D7" w:rsidRDefault="007B7728" w:rsidP="007B7728">
      <w:pPr>
        <w:spacing w:line="480" w:lineRule="auto"/>
        <w:ind w:left="270" w:hanging="285"/>
        <w:jc w:val="both"/>
        <w:rPr>
          <w:rFonts w:eastAsia="Times New Roman"/>
        </w:rPr>
      </w:pPr>
      <w:r w:rsidRPr="008137D7">
        <w:rPr>
          <w:rFonts w:eastAsia="Times New Roman"/>
        </w:rPr>
        <w:t xml:space="preserve">Jennings, Will. 2009. “The Public Thermostat, Political Responsiveness and Error-Correction: Border Control and Asylum in Britain, 1994–2007.” </w:t>
      </w:r>
      <w:r w:rsidRPr="008137D7">
        <w:rPr>
          <w:rFonts w:eastAsia="Times New Roman"/>
          <w:i/>
        </w:rPr>
        <w:t>British Journal of Political Science</w:t>
      </w:r>
      <w:r w:rsidRPr="008137D7">
        <w:rPr>
          <w:rFonts w:eastAsia="Times New Roman"/>
        </w:rPr>
        <w:t xml:space="preserve"> 39(04): 847–70.</w:t>
      </w:r>
    </w:p>
    <w:p w14:paraId="7E0B89F4" w14:textId="77777777" w:rsidR="007B7728" w:rsidRPr="008137D7" w:rsidRDefault="007B7728" w:rsidP="007B7728">
      <w:pPr>
        <w:spacing w:line="480" w:lineRule="auto"/>
        <w:ind w:left="270" w:hanging="285"/>
        <w:jc w:val="both"/>
        <w:rPr>
          <w:rFonts w:eastAsia="Times New Roman"/>
        </w:rPr>
      </w:pPr>
      <w:r w:rsidRPr="008137D7">
        <w:rPr>
          <w:rFonts w:eastAsia="Times New Roman"/>
        </w:rPr>
        <w:t xml:space="preserve">Jennings, Will, and Peter John. 2009. “The Dynamics of Political Attention: Public Opinion and the Queen’s Speech in the United Kingdom.” </w:t>
      </w:r>
      <w:r w:rsidRPr="008137D7">
        <w:rPr>
          <w:rFonts w:eastAsia="Times New Roman"/>
          <w:i/>
        </w:rPr>
        <w:t>American Journal of Political Science</w:t>
      </w:r>
      <w:r w:rsidRPr="008137D7">
        <w:rPr>
          <w:rFonts w:eastAsia="Times New Roman"/>
        </w:rPr>
        <w:t xml:space="preserve"> 53(4): 838–54.</w:t>
      </w:r>
    </w:p>
    <w:p w14:paraId="1BB850C0" w14:textId="77777777" w:rsidR="007B7728" w:rsidRPr="008137D7" w:rsidRDefault="007B7728" w:rsidP="007B7728">
      <w:pPr>
        <w:spacing w:line="480" w:lineRule="auto"/>
        <w:ind w:left="270" w:hanging="285"/>
        <w:jc w:val="both"/>
        <w:rPr>
          <w:rFonts w:eastAsia="Times New Roman"/>
        </w:rPr>
      </w:pPr>
      <w:r w:rsidRPr="008137D7">
        <w:rPr>
          <w:rFonts w:eastAsia="Times New Roman"/>
        </w:rPr>
        <w:t xml:space="preserve">Lawrence, Regina G. 2000. “Game-Framing the Issues: Tracking the Strategy Frame in Public Policy News.” </w:t>
      </w:r>
      <w:r w:rsidRPr="008137D7">
        <w:rPr>
          <w:rFonts w:eastAsia="Times New Roman"/>
          <w:i/>
        </w:rPr>
        <w:t>Political Communication</w:t>
      </w:r>
      <w:r w:rsidRPr="008137D7">
        <w:rPr>
          <w:rFonts w:eastAsia="Times New Roman"/>
        </w:rPr>
        <w:t xml:space="preserve"> 17(2): 93–114.</w:t>
      </w:r>
    </w:p>
    <w:p w14:paraId="08FE9A03" w14:textId="77777777" w:rsidR="007B7728" w:rsidRPr="008137D7" w:rsidRDefault="007B7728" w:rsidP="007B7728">
      <w:pPr>
        <w:spacing w:line="480" w:lineRule="auto"/>
        <w:ind w:left="270" w:hanging="285"/>
        <w:jc w:val="both"/>
        <w:rPr>
          <w:rFonts w:eastAsia="Times New Roman"/>
        </w:rPr>
      </w:pPr>
      <w:r w:rsidRPr="008137D7">
        <w:rPr>
          <w:rFonts w:eastAsia="Times New Roman"/>
        </w:rPr>
        <w:t xml:space="preserve">Leeson, Peter T., and Christopher J. Coyne. "The reformers’ dilemma: media, policy ownership, and reform." </w:t>
      </w:r>
      <w:r w:rsidRPr="008137D7">
        <w:rPr>
          <w:rFonts w:eastAsia="Times New Roman"/>
          <w:i/>
        </w:rPr>
        <w:t>European Journal of Law and Economics</w:t>
      </w:r>
      <w:r w:rsidRPr="008137D7">
        <w:rPr>
          <w:rFonts w:eastAsia="Times New Roman"/>
        </w:rPr>
        <w:t xml:space="preserve"> 23.3 (2007): 237-250.</w:t>
      </w:r>
    </w:p>
    <w:p w14:paraId="2A672AC6" w14:textId="77777777" w:rsidR="007B7728" w:rsidRPr="008137D7" w:rsidRDefault="007B7728" w:rsidP="007B7728">
      <w:pPr>
        <w:spacing w:line="480" w:lineRule="auto"/>
        <w:ind w:left="270" w:hanging="285"/>
        <w:jc w:val="both"/>
        <w:rPr>
          <w:rFonts w:eastAsia="Times New Roman"/>
        </w:rPr>
      </w:pPr>
      <w:r w:rsidRPr="008137D7">
        <w:rPr>
          <w:rFonts w:eastAsia="Times New Roman"/>
        </w:rPr>
        <w:t xml:space="preserve">McQuail, Denis. "Accountability of media to society: principles and means." </w:t>
      </w:r>
      <w:r w:rsidRPr="008137D7">
        <w:rPr>
          <w:rFonts w:eastAsia="Times New Roman"/>
          <w:i/>
        </w:rPr>
        <w:t>European Journal of Communication</w:t>
      </w:r>
      <w:r w:rsidRPr="008137D7">
        <w:rPr>
          <w:rFonts w:eastAsia="Times New Roman"/>
        </w:rPr>
        <w:t xml:space="preserve"> 12.4 (1997): 511-529.</w:t>
      </w:r>
    </w:p>
    <w:p w14:paraId="52E0C4EC" w14:textId="77777777" w:rsidR="007B7728" w:rsidRPr="008137D7" w:rsidRDefault="007B7728" w:rsidP="007B7728">
      <w:pPr>
        <w:spacing w:line="480" w:lineRule="auto"/>
        <w:ind w:left="270" w:hanging="285"/>
        <w:jc w:val="both"/>
        <w:rPr>
          <w:rFonts w:eastAsia="Times New Roman"/>
        </w:rPr>
      </w:pPr>
      <w:r w:rsidRPr="008137D7">
        <w:rPr>
          <w:rFonts w:eastAsia="Times New Roman"/>
        </w:rPr>
        <w:t xml:space="preserve">Messing, Solomon, and Sean J. Westwood. 2014. “Selective Exposure in the Age of Social Media: Endorsements Trump Partisan Source Affiliation When Selecting News Online.” </w:t>
      </w:r>
      <w:r w:rsidRPr="008137D7">
        <w:rPr>
          <w:rFonts w:eastAsia="Times New Roman"/>
          <w:i/>
          <w:iCs/>
        </w:rPr>
        <w:t>Communication Research</w:t>
      </w:r>
      <w:r w:rsidRPr="008137D7">
        <w:rPr>
          <w:rFonts w:eastAsia="Times New Roman"/>
        </w:rPr>
        <w:t xml:space="preserve"> 41(8): 1042–1063.</w:t>
      </w:r>
    </w:p>
    <w:p w14:paraId="13EF6728" w14:textId="77777777" w:rsidR="007B7728" w:rsidRPr="008137D7" w:rsidRDefault="007B7728" w:rsidP="007B7728">
      <w:pPr>
        <w:spacing w:line="480" w:lineRule="auto"/>
        <w:ind w:left="270" w:hanging="285"/>
        <w:jc w:val="both"/>
        <w:rPr>
          <w:rFonts w:eastAsia="Times New Roman"/>
        </w:rPr>
      </w:pPr>
      <w:r w:rsidRPr="008137D7">
        <w:rPr>
          <w:rFonts w:eastAsia="Times New Roman"/>
        </w:rPr>
        <w:t xml:space="preserve">Meyrowitz, Joshua. 1994. “Visible and Invisible Candidates: a Case Study in ‘Competing Logics’ of Campaign Coverage.” </w:t>
      </w:r>
      <w:r w:rsidRPr="008137D7">
        <w:rPr>
          <w:rFonts w:eastAsia="Times New Roman"/>
          <w:i/>
        </w:rPr>
        <w:t>Political Communication</w:t>
      </w:r>
      <w:r w:rsidRPr="008137D7">
        <w:rPr>
          <w:rFonts w:eastAsia="Times New Roman"/>
        </w:rPr>
        <w:t xml:space="preserve"> 11(2): 145–64.</w:t>
      </w:r>
    </w:p>
    <w:p w14:paraId="62551FB4" w14:textId="77777777" w:rsidR="007B7728" w:rsidRPr="008137D7" w:rsidRDefault="007B7728" w:rsidP="007B7728">
      <w:pPr>
        <w:spacing w:line="480" w:lineRule="auto"/>
        <w:ind w:left="270" w:hanging="285"/>
        <w:jc w:val="both"/>
        <w:rPr>
          <w:rFonts w:eastAsia="Times New Roman"/>
        </w:rPr>
      </w:pPr>
      <w:r w:rsidRPr="008137D7">
        <w:rPr>
          <w:rFonts w:eastAsia="Times New Roman"/>
        </w:rPr>
        <w:t xml:space="preserve">Mulgan, Richard. 2003. </w:t>
      </w:r>
      <w:r w:rsidRPr="008137D7">
        <w:rPr>
          <w:rFonts w:eastAsia="Times New Roman"/>
          <w:i/>
        </w:rPr>
        <w:t>Holding Power to Account: Accountability in Modern Democracies</w:t>
      </w:r>
      <w:r w:rsidRPr="008137D7">
        <w:rPr>
          <w:rFonts w:eastAsia="Times New Roman"/>
        </w:rPr>
        <w:t>. Springer.</w:t>
      </w:r>
    </w:p>
    <w:p w14:paraId="76AE22BD" w14:textId="7F7EB5D1" w:rsidR="007B7728" w:rsidRPr="008137D7" w:rsidRDefault="007B7728" w:rsidP="007B7728">
      <w:pPr>
        <w:spacing w:line="480" w:lineRule="auto"/>
        <w:ind w:left="270" w:hanging="285"/>
        <w:jc w:val="both"/>
        <w:rPr>
          <w:rFonts w:eastAsia="Times New Roman"/>
        </w:rPr>
      </w:pPr>
      <w:r w:rsidRPr="008137D7">
        <w:rPr>
          <w:rFonts w:eastAsia="Times New Roman"/>
        </w:rPr>
        <w:t>Neuner, Fabian. G., Stuart N. Soroka, &amp; Christopher Wlezien. (2019). “Mass Media as a Source of Public Responsiveness.” </w:t>
      </w:r>
      <w:r w:rsidRPr="008137D7">
        <w:rPr>
          <w:rFonts w:eastAsia="Times New Roman"/>
          <w:i/>
          <w:iCs/>
        </w:rPr>
        <w:t>The International Journal of Press/Politics</w:t>
      </w:r>
      <w:r w:rsidR="00FE3082" w:rsidRPr="008137D7">
        <w:rPr>
          <w:rFonts w:eastAsia="Times New Roman"/>
          <w:i/>
          <w:iCs/>
        </w:rPr>
        <w:t xml:space="preserve"> </w:t>
      </w:r>
      <w:r w:rsidR="00FE3082" w:rsidRPr="008137D7">
        <w:rPr>
          <w:rFonts w:eastAsia="Times New Roman"/>
          <w:iCs/>
        </w:rPr>
        <w:t>24(3): 269-292</w:t>
      </w:r>
      <w:r w:rsidRPr="008137D7">
        <w:rPr>
          <w:rFonts w:eastAsia="Times New Roman"/>
        </w:rPr>
        <w:t>.</w:t>
      </w:r>
    </w:p>
    <w:p w14:paraId="1177B183" w14:textId="77777777" w:rsidR="007B7728" w:rsidRPr="008137D7" w:rsidRDefault="007B7728" w:rsidP="007B7728">
      <w:pPr>
        <w:spacing w:line="480" w:lineRule="auto"/>
        <w:ind w:left="270" w:hanging="285"/>
        <w:jc w:val="both"/>
        <w:rPr>
          <w:rFonts w:eastAsia="Times New Roman"/>
        </w:rPr>
      </w:pPr>
      <w:r w:rsidRPr="008137D7">
        <w:rPr>
          <w:rFonts w:eastAsia="Times New Roman"/>
        </w:rPr>
        <w:t xml:space="preserve">Norris, Pippa. "The Role of the Free Press in Promoting Democratization, Good Governance and Human Development." </w:t>
      </w:r>
      <w:r w:rsidRPr="008137D7">
        <w:rPr>
          <w:rFonts w:eastAsia="Times New Roman"/>
          <w:i/>
        </w:rPr>
        <w:t>matters</w:t>
      </w:r>
      <w:r w:rsidRPr="008137D7">
        <w:rPr>
          <w:rFonts w:eastAsia="Times New Roman"/>
        </w:rPr>
        <w:t xml:space="preserve"> 45.4-6 (2006): 66.</w:t>
      </w:r>
    </w:p>
    <w:p w14:paraId="37E1A404" w14:textId="77777777" w:rsidR="007B7728" w:rsidRPr="008137D7" w:rsidRDefault="007B7728" w:rsidP="007B7728">
      <w:pPr>
        <w:spacing w:line="480" w:lineRule="auto"/>
        <w:ind w:left="270" w:hanging="285"/>
        <w:jc w:val="both"/>
        <w:rPr>
          <w:rFonts w:eastAsia="Times New Roman"/>
        </w:rPr>
      </w:pPr>
      <w:r w:rsidRPr="008137D7">
        <w:rPr>
          <w:rFonts w:eastAsia="Times New Roman"/>
        </w:rPr>
        <w:t xml:space="preserve">Pacheco, Julianna. 2013. “The Thermostatic Model of Responsiveness in the American States.” </w:t>
      </w:r>
      <w:r w:rsidRPr="008137D7">
        <w:rPr>
          <w:rFonts w:eastAsia="Times New Roman"/>
          <w:i/>
        </w:rPr>
        <w:t>State Politics \&amp; Policy Quarterly</w:t>
      </w:r>
      <w:r w:rsidRPr="008137D7">
        <w:rPr>
          <w:rFonts w:eastAsia="Times New Roman"/>
        </w:rPr>
        <w:t xml:space="preserve"> 13(3): 306–32.</w:t>
      </w:r>
    </w:p>
    <w:p w14:paraId="665DF47C" w14:textId="77777777" w:rsidR="007B7728" w:rsidRPr="008137D7" w:rsidRDefault="007B7728" w:rsidP="007B7728">
      <w:pPr>
        <w:spacing w:line="480" w:lineRule="auto"/>
        <w:ind w:left="270" w:hanging="285"/>
        <w:jc w:val="both"/>
        <w:rPr>
          <w:rFonts w:eastAsia="Times New Roman"/>
        </w:rPr>
      </w:pPr>
      <w:r w:rsidRPr="008137D7">
        <w:rPr>
          <w:rFonts w:eastAsia="Times New Roman"/>
        </w:rPr>
        <w:t xml:space="preserve">Page, Benjamin, and Robert Shapiro. 1992. </w:t>
      </w:r>
      <w:r w:rsidRPr="008137D7">
        <w:rPr>
          <w:rFonts w:eastAsia="Times New Roman"/>
          <w:i/>
        </w:rPr>
        <w:t>The Rational Public: Fifty Years of Trends in Americans' Policy Preferences</w:t>
      </w:r>
      <w:r w:rsidRPr="008137D7">
        <w:rPr>
          <w:rFonts w:eastAsia="Times New Roman"/>
        </w:rPr>
        <w:t>. Chicago: University of Chicago Press.</w:t>
      </w:r>
    </w:p>
    <w:p w14:paraId="3D791A61" w14:textId="77777777" w:rsidR="007B7728" w:rsidRPr="008137D7" w:rsidRDefault="007B7728" w:rsidP="007B7728">
      <w:pPr>
        <w:spacing w:line="480" w:lineRule="auto"/>
        <w:ind w:left="270" w:hanging="285"/>
        <w:jc w:val="both"/>
        <w:rPr>
          <w:rFonts w:eastAsia="Times New Roman"/>
        </w:rPr>
      </w:pPr>
      <w:r w:rsidRPr="008137D7">
        <w:rPr>
          <w:rFonts w:eastAsia="Times New Roman"/>
        </w:rPr>
        <w:t xml:space="preserve">Patterson, T E. 1994. </w:t>
      </w:r>
      <w:r w:rsidRPr="008137D7">
        <w:rPr>
          <w:rFonts w:eastAsia="Times New Roman"/>
          <w:i/>
        </w:rPr>
        <w:t>Out of Order</w:t>
      </w:r>
      <w:r w:rsidRPr="008137D7">
        <w:rPr>
          <w:rFonts w:eastAsia="Times New Roman"/>
        </w:rPr>
        <w:t>. New York: Vintage Books.</w:t>
      </w:r>
    </w:p>
    <w:p w14:paraId="69F5D334" w14:textId="77777777" w:rsidR="007B7728" w:rsidRPr="008137D7" w:rsidRDefault="007B7728" w:rsidP="007B7728">
      <w:pPr>
        <w:spacing w:line="480" w:lineRule="auto"/>
        <w:ind w:left="270" w:hanging="285"/>
        <w:jc w:val="both"/>
        <w:rPr>
          <w:rFonts w:eastAsia="Times New Roman"/>
        </w:rPr>
      </w:pPr>
      <w:r w:rsidRPr="008137D7">
        <w:rPr>
          <w:rFonts w:eastAsia="Times New Roman"/>
        </w:rPr>
        <w:t xml:space="preserve">Shoemaker, Pamela J., and Tim P. Vos. 2009. </w:t>
      </w:r>
      <w:r w:rsidRPr="008137D7">
        <w:rPr>
          <w:rFonts w:eastAsia="Times New Roman"/>
          <w:i/>
          <w:iCs/>
        </w:rPr>
        <w:t>Gatekeeping Theory</w:t>
      </w:r>
      <w:r w:rsidRPr="008137D7">
        <w:rPr>
          <w:rFonts w:eastAsia="Times New Roman"/>
        </w:rPr>
        <w:t>. New York: Routledge.</w:t>
      </w:r>
    </w:p>
    <w:p w14:paraId="16B4552C" w14:textId="77777777" w:rsidR="007B7728" w:rsidRPr="008137D7" w:rsidRDefault="007B7728" w:rsidP="007B7728">
      <w:pPr>
        <w:spacing w:line="480" w:lineRule="auto"/>
        <w:ind w:left="270" w:hanging="285"/>
        <w:jc w:val="both"/>
        <w:rPr>
          <w:rFonts w:eastAsia="Times New Roman"/>
        </w:rPr>
      </w:pPr>
      <w:r w:rsidRPr="008137D7">
        <w:rPr>
          <w:rFonts w:eastAsia="Times New Roman"/>
        </w:rPr>
        <w:t xml:space="preserve">Soroka, Stuart N. 2012. “The Gatekeeping Function: Distributions of Information in Media and the Real World.” </w:t>
      </w:r>
      <w:r w:rsidRPr="008137D7">
        <w:rPr>
          <w:rFonts w:eastAsia="Times New Roman"/>
          <w:i/>
          <w:iCs/>
        </w:rPr>
        <w:t>The Journal of Politics</w:t>
      </w:r>
      <w:r w:rsidRPr="008137D7">
        <w:rPr>
          <w:rFonts w:eastAsia="Times New Roman"/>
        </w:rPr>
        <w:t xml:space="preserve"> 74(02): 514–28.</w:t>
      </w:r>
    </w:p>
    <w:p w14:paraId="1F344650" w14:textId="77777777" w:rsidR="007B7728" w:rsidRPr="008137D7" w:rsidRDefault="007B7728" w:rsidP="007B7728">
      <w:pPr>
        <w:spacing w:line="480" w:lineRule="auto"/>
        <w:ind w:left="270" w:hanging="285"/>
        <w:jc w:val="both"/>
        <w:rPr>
          <w:rFonts w:eastAsia="Times New Roman"/>
          <w:lang w:val="fr-FR"/>
        </w:rPr>
      </w:pPr>
      <w:r w:rsidRPr="008137D7">
        <w:rPr>
          <w:rFonts w:eastAsia="Times New Roman"/>
        </w:rPr>
        <w:t>Soroka, Stuart N., and Christopher Wlezien. "Opinion representation and policy feedback: Canada in comparative perspective." </w:t>
      </w:r>
      <w:r w:rsidRPr="008137D7">
        <w:rPr>
          <w:rFonts w:eastAsia="Times New Roman"/>
          <w:i/>
          <w:iCs/>
          <w:lang w:val="fr-FR"/>
        </w:rPr>
        <w:t>Canadian Journal of Political Science/Revue canadienne de science politique</w:t>
      </w:r>
      <w:r w:rsidRPr="008137D7">
        <w:rPr>
          <w:rFonts w:eastAsia="Times New Roman"/>
          <w:lang w:val="fr-FR"/>
        </w:rPr>
        <w:t> 37.3 (2004): 531-559.</w:t>
      </w:r>
    </w:p>
    <w:p w14:paraId="337A2FEC" w14:textId="77777777" w:rsidR="007B7728" w:rsidRPr="008137D7" w:rsidRDefault="007B7728" w:rsidP="007B7728">
      <w:pPr>
        <w:spacing w:line="480" w:lineRule="auto"/>
        <w:ind w:left="270" w:hanging="285"/>
        <w:jc w:val="both"/>
        <w:rPr>
          <w:rFonts w:eastAsia="Times New Roman"/>
        </w:rPr>
      </w:pPr>
      <w:r w:rsidRPr="008137D7">
        <w:rPr>
          <w:rFonts w:eastAsia="Times New Roman"/>
        </w:rPr>
        <w:t xml:space="preserve">Soroka, Stuart N, and Christopher Wlezien. 2010. </w:t>
      </w:r>
      <w:r w:rsidRPr="008137D7">
        <w:rPr>
          <w:rFonts w:eastAsia="Times New Roman"/>
          <w:i/>
        </w:rPr>
        <w:t>Degrees of Democracy: Politics, Public Opinion and Policy</w:t>
      </w:r>
      <w:r w:rsidRPr="008137D7">
        <w:rPr>
          <w:rFonts w:eastAsia="Times New Roman"/>
        </w:rPr>
        <w:t>. Cambridge MA: Cambridge University Press.</w:t>
      </w:r>
    </w:p>
    <w:p w14:paraId="718D47CC" w14:textId="77777777" w:rsidR="007B7728" w:rsidRPr="008137D7" w:rsidRDefault="007B7728" w:rsidP="007B7728">
      <w:pPr>
        <w:spacing w:line="480" w:lineRule="auto"/>
        <w:ind w:left="270" w:hanging="285"/>
        <w:jc w:val="both"/>
        <w:rPr>
          <w:rFonts w:eastAsia="Times New Roman"/>
        </w:rPr>
      </w:pPr>
      <w:r w:rsidRPr="008137D7">
        <w:rPr>
          <w:rFonts w:eastAsia="Times New Roman"/>
        </w:rPr>
        <w:t xml:space="preserve">Stimson, James A., 1999. </w:t>
      </w:r>
      <w:r w:rsidRPr="008137D7">
        <w:rPr>
          <w:rFonts w:eastAsia="Times New Roman"/>
          <w:i/>
          <w:iCs/>
        </w:rPr>
        <w:t>Public Opinion in America: Moods, Cycles, and Swings</w:t>
      </w:r>
      <w:r w:rsidRPr="008137D7">
        <w:rPr>
          <w:rFonts w:eastAsia="Times New Roman"/>
        </w:rPr>
        <w:t>. Boulder CO: Westview Press.</w:t>
      </w:r>
    </w:p>
    <w:p w14:paraId="54085FDC" w14:textId="77777777" w:rsidR="007B7728" w:rsidRPr="008137D7" w:rsidRDefault="007B7728" w:rsidP="007B7728">
      <w:pPr>
        <w:spacing w:line="480" w:lineRule="auto"/>
        <w:ind w:left="270" w:hanging="285"/>
        <w:jc w:val="both"/>
        <w:rPr>
          <w:rFonts w:eastAsia="Times New Roman"/>
        </w:rPr>
      </w:pPr>
      <w:r w:rsidRPr="008137D7">
        <w:rPr>
          <w:rFonts w:eastAsia="Times New Roman"/>
        </w:rPr>
        <w:t xml:space="preserve">Stimson, James A., 1999. Party government and responsiveness. </w:t>
      </w:r>
      <w:r w:rsidRPr="008137D7">
        <w:rPr>
          <w:rFonts w:eastAsia="Times New Roman"/>
          <w:i/>
          <w:iCs/>
        </w:rPr>
        <w:t>Democracy, accountability, and representation</w:t>
      </w:r>
      <w:r w:rsidRPr="008137D7">
        <w:rPr>
          <w:rFonts w:eastAsia="Times New Roman"/>
        </w:rPr>
        <w:t xml:space="preserve">, </w:t>
      </w:r>
      <w:r w:rsidRPr="008137D7">
        <w:rPr>
          <w:rFonts w:eastAsia="Times New Roman"/>
          <w:i/>
          <w:iCs/>
        </w:rPr>
        <w:t>2</w:t>
      </w:r>
      <w:r w:rsidRPr="008137D7">
        <w:rPr>
          <w:rFonts w:eastAsia="Times New Roman"/>
        </w:rPr>
        <w:t>.</w:t>
      </w:r>
    </w:p>
    <w:p w14:paraId="60525369" w14:textId="77777777" w:rsidR="007B7728" w:rsidRPr="008137D7" w:rsidRDefault="007B7728" w:rsidP="007B7728">
      <w:pPr>
        <w:spacing w:line="480" w:lineRule="auto"/>
        <w:ind w:left="270" w:hanging="285"/>
        <w:jc w:val="both"/>
        <w:rPr>
          <w:rFonts w:eastAsia="Times New Roman"/>
        </w:rPr>
      </w:pPr>
      <w:r w:rsidRPr="008137D7">
        <w:rPr>
          <w:rFonts w:eastAsia="Times New Roman"/>
        </w:rPr>
        <w:t xml:space="preserve">Stimson, James A, Michael B Mackuen, and Robert S Erikson. 1995. “Dynamic Representation.” The </w:t>
      </w:r>
      <w:r w:rsidRPr="008137D7">
        <w:rPr>
          <w:rFonts w:eastAsia="Times New Roman"/>
          <w:i/>
        </w:rPr>
        <w:t>American Political Science Review</w:t>
      </w:r>
      <w:r w:rsidRPr="008137D7">
        <w:rPr>
          <w:rFonts w:eastAsia="Times New Roman"/>
        </w:rPr>
        <w:t xml:space="preserve"> 89(3): 543–65.</w:t>
      </w:r>
    </w:p>
    <w:p w14:paraId="5156D0D7" w14:textId="77777777" w:rsidR="007B7728" w:rsidRPr="008137D7" w:rsidRDefault="007B7728" w:rsidP="007B7728">
      <w:pPr>
        <w:spacing w:line="480" w:lineRule="auto"/>
        <w:ind w:left="270" w:hanging="285"/>
        <w:jc w:val="both"/>
        <w:rPr>
          <w:rFonts w:eastAsia="Times New Roman"/>
        </w:rPr>
      </w:pPr>
      <w:r w:rsidRPr="008137D7">
        <w:rPr>
          <w:rFonts w:eastAsia="Times New Roman"/>
        </w:rPr>
        <w:t xml:space="preserve">Stocking, S. Holly, and Lisa W. Holstein. 2008. “Manufacturing doubt: journalists' roles and the construction of ignorance in a scientific controversy.” </w:t>
      </w:r>
      <w:r w:rsidRPr="008137D7">
        <w:rPr>
          <w:rFonts w:eastAsia="Times New Roman"/>
          <w:i/>
          <w:iCs/>
        </w:rPr>
        <w:t>Public Understanding of Science</w:t>
      </w:r>
      <w:r w:rsidRPr="008137D7">
        <w:rPr>
          <w:rFonts w:eastAsia="Times New Roman"/>
        </w:rPr>
        <w:t xml:space="preserve"> 18(1); 23-42.</w:t>
      </w:r>
    </w:p>
    <w:p w14:paraId="0A969EF3" w14:textId="77777777" w:rsidR="007B7728" w:rsidRPr="008137D7" w:rsidRDefault="007B7728" w:rsidP="007B7728">
      <w:pPr>
        <w:spacing w:line="480" w:lineRule="auto"/>
        <w:ind w:left="270" w:hanging="285"/>
        <w:jc w:val="both"/>
        <w:rPr>
          <w:rFonts w:eastAsia="Times New Roman"/>
        </w:rPr>
      </w:pPr>
      <w:r w:rsidRPr="008137D7">
        <w:rPr>
          <w:rFonts w:eastAsia="Times New Roman"/>
        </w:rPr>
        <w:t xml:space="preserve">Stroud, Natalie Jomini. 2010. “Polarization and Partisan Selective Exposure.” </w:t>
      </w:r>
      <w:r w:rsidRPr="008137D7">
        <w:rPr>
          <w:rFonts w:eastAsia="Times New Roman"/>
          <w:i/>
          <w:iCs/>
        </w:rPr>
        <w:t>Journal of Communication</w:t>
      </w:r>
      <w:r w:rsidRPr="008137D7">
        <w:rPr>
          <w:rFonts w:eastAsia="Times New Roman"/>
        </w:rPr>
        <w:t xml:space="preserve"> 60(3): 556–576.</w:t>
      </w:r>
    </w:p>
    <w:p w14:paraId="4F5C97C2" w14:textId="77777777" w:rsidR="007B7728" w:rsidRPr="008137D7" w:rsidRDefault="007B7728" w:rsidP="007B7728">
      <w:pPr>
        <w:spacing w:line="480" w:lineRule="auto"/>
        <w:ind w:left="270" w:hanging="285"/>
        <w:jc w:val="both"/>
        <w:rPr>
          <w:rFonts w:eastAsia="Times New Roman"/>
        </w:rPr>
      </w:pPr>
      <w:r w:rsidRPr="008137D7">
        <w:rPr>
          <w:rFonts w:eastAsia="Times New Roman"/>
        </w:rPr>
        <w:t xml:space="preserve">Stroud, Natalie Jomini. 2008. “Media Use and Political Predispositions: Revisiting the Concept of Selective Exposure.” </w:t>
      </w:r>
      <w:r w:rsidRPr="008137D7">
        <w:rPr>
          <w:rFonts w:eastAsia="Times New Roman"/>
          <w:i/>
          <w:iCs/>
        </w:rPr>
        <w:t>Political Behavior</w:t>
      </w:r>
      <w:r w:rsidRPr="008137D7">
        <w:rPr>
          <w:rFonts w:eastAsia="Times New Roman"/>
        </w:rPr>
        <w:t xml:space="preserve"> 30(3): 341–366.</w:t>
      </w:r>
    </w:p>
    <w:p w14:paraId="2E36D242" w14:textId="77777777" w:rsidR="007B7728" w:rsidRPr="008137D7" w:rsidRDefault="007B7728" w:rsidP="007B7728">
      <w:pPr>
        <w:spacing w:line="480" w:lineRule="auto"/>
        <w:ind w:left="270" w:hanging="285"/>
        <w:jc w:val="both"/>
        <w:rPr>
          <w:rFonts w:eastAsia="Times New Roman"/>
        </w:rPr>
      </w:pPr>
      <w:r w:rsidRPr="008137D7">
        <w:rPr>
          <w:rFonts w:eastAsia="Times New Roman"/>
        </w:rPr>
        <w:t xml:space="preserve">Williams, Christopher J. and Martijn Schoonvelde. 2018. “It Takes Three: How Mass Media Coverage Conditions Public Responsiveness to Policy Outplus in the United States.” </w:t>
      </w:r>
      <w:r w:rsidRPr="008137D7">
        <w:rPr>
          <w:rFonts w:eastAsia="Times New Roman"/>
          <w:i/>
        </w:rPr>
        <w:t>Social Science Quarterly</w:t>
      </w:r>
      <w:r w:rsidRPr="008137D7">
        <w:rPr>
          <w:rFonts w:eastAsia="Times New Roman"/>
        </w:rPr>
        <w:t xml:space="preserve"> 99(5): 1627-1636,</w:t>
      </w:r>
    </w:p>
    <w:p w14:paraId="082CED38" w14:textId="77777777" w:rsidR="007B7728" w:rsidRPr="008137D7" w:rsidRDefault="007B7728" w:rsidP="007B7728">
      <w:pPr>
        <w:spacing w:line="480" w:lineRule="auto"/>
        <w:ind w:left="270" w:hanging="285"/>
        <w:rPr>
          <w:rFonts w:eastAsia="Times New Roman"/>
        </w:rPr>
      </w:pPr>
      <w:r w:rsidRPr="008137D7">
        <w:rPr>
          <w:rFonts w:eastAsia="Times New Roman"/>
        </w:rPr>
        <w:t xml:space="preserve">Wlezien, Christopher. 1995. “The Public as Thermostat: Dynamics of Preferences for Spending.” </w:t>
      </w:r>
      <w:r w:rsidRPr="008137D7">
        <w:rPr>
          <w:rFonts w:eastAsia="Times New Roman"/>
          <w:i/>
        </w:rPr>
        <w:t>American Journal of Political Science</w:t>
      </w:r>
      <w:r w:rsidRPr="008137D7">
        <w:rPr>
          <w:rFonts w:eastAsia="Times New Roman"/>
        </w:rPr>
        <w:t xml:space="preserve"> 39(4): 981–1000.</w:t>
      </w:r>
    </w:p>
    <w:p w14:paraId="7E3F25C8" w14:textId="77777777" w:rsidR="007B7728" w:rsidRPr="008137D7" w:rsidRDefault="007B7728" w:rsidP="007B7728">
      <w:pPr>
        <w:spacing w:line="480" w:lineRule="auto"/>
        <w:ind w:left="270" w:hanging="285"/>
        <w:rPr>
          <w:rFonts w:eastAsia="Times New Roman"/>
        </w:rPr>
      </w:pPr>
      <w:r w:rsidRPr="008137D7">
        <w:rPr>
          <w:rFonts w:eastAsia="Times New Roman"/>
        </w:rPr>
        <w:t xml:space="preserve">Wlezien, Christopher. 2004. “Patterns of Representation: Dynamics of Public Preferences and Policy.” </w:t>
      </w:r>
      <w:r w:rsidRPr="008137D7">
        <w:rPr>
          <w:rFonts w:eastAsia="Times New Roman"/>
          <w:i/>
        </w:rPr>
        <w:t>Journal of Politics</w:t>
      </w:r>
      <w:r w:rsidRPr="008137D7">
        <w:rPr>
          <w:rFonts w:eastAsia="Times New Roman"/>
        </w:rPr>
        <w:t xml:space="preserve"> 66: 1–24.</w:t>
      </w:r>
    </w:p>
    <w:p w14:paraId="579972B3" w14:textId="77777777" w:rsidR="007B7728" w:rsidRPr="008137D7" w:rsidRDefault="007B7728" w:rsidP="007B7728">
      <w:pPr>
        <w:spacing w:line="480" w:lineRule="auto"/>
        <w:ind w:left="270" w:hanging="285"/>
        <w:rPr>
          <w:rFonts w:eastAsia="Times New Roman"/>
        </w:rPr>
      </w:pPr>
      <w:r w:rsidRPr="008137D7">
        <w:rPr>
          <w:rFonts w:eastAsia="Times New Roman"/>
        </w:rPr>
        <w:t xml:space="preserve">Wlezien, Christopher. 2017.  “Public Opinion and Policy Representation: On Conceptualization, Measurement, and Interpretation.”  </w:t>
      </w:r>
      <w:r w:rsidRPr="008137D7">
        <w:rPr>
          <w:rFonts w:eastAsia="Times New Roman"/>
          <w:i/>
        </w:rPr>
        <w:t>Policy Studies Journal</w:t>
      </w:r>
      <w:r w:rsidRPr="008137D7">
        <w:rPr>
          <w:rFonts w:eastAsia="Times New Roman"/>
        </w:rPr>
        <w:t xml:space="preserve"> 45(4):561-582.</w:t>
      </w:r>
    </w:p>
    <w:p w14:paraId="34D21F69" w14:textId="77777777" w:rsidR="007B7728" w:rsidRPr="008137D7" w:rsidRDefault="007B7728" w:rsidP="007B7728">
      <w:pPr>
        <w:spacing w:line="480" w:lineRule="auto"/>
        <w:ind w:left="270" w:hanging="285"/>
        <w:rPr>
          <w:rFonts w:eastAsia="Times New Roman"/>
        </w:rPr>
      </w:pPr>
      <w:r w:rsidRPr="008137D7">
        <w:rPr>
          <w:rFonts w:eastAsia="Times New Roman"/>
        </w:rPr>
        <w:t xml:space="preserve">Wlezien, Christopher, and Stuart N. Soroka. 2012. “Political Institutions and the Opinion–Policy Link.” </w:t>
      </w:r>
      <w:r w:rsidRPr="008137D7">
        <w:rPr>
          <w:rFonts w:eastAsia="Times New Roman"/>
          <w:i/>
        </w:rPr>
        <w:t>West European Politics</w:t>
      </w:r>
      <w:r w:rsidRPr="008137D7">
        <w:rPr>
          <w:rFonts w:eastAsia="Times New Roman"/>
        </w:rPr>
        <w:t xml:space="preserve"> 35(6): 1407–32.</w:t>
      </w:r>
    </w:p>
    <w:p w14:paraId="7C0BC593" w14:textId="77777777" w:rsidR="007B7728" w:rsidRPr="008137D7" w:rsidRDefault="007B7728" w:rsidP="007B7728">
      <w:pPr>
        <w:spacing w:line="480" w:lineRule="auto"/>
        <w:ind w:left="270" w:hanging="285"/>
        <w:rPr>
          <w:rFonts w:eastAsia="Times New Roman"/>
        </w:rPr>
      </w:pPr>
      <w:r w:rsidRPr="008137D7">
        <w:rPr>
          <w:rFonts w:eastAsia="Times New Roman"/>
        </w:rPr>
        <w:t>Wlezien, Christopher and Stuart N. Soroka. 2015. “Responsiveness and Representation A Preliminary Analysis of Wave 4 CSES Data,” 2015 Annual Meeting of the American Political Science Association.</w:t>
      </w:r>
    </w:p>
    <w:p w14:paraId="6AA78EB6" w14:textId="77777777" w:rsidR="007B7728" w:rsidRPr="008137D7" w:rsidRDefault="007B7728" w:rsidP="007B7728">
      <w:pPr>
        <w:spacing w:line="276" w:lineRule="auto"/>
        <w:rPr>
          <w:rFonts w:eastAsia="Times New Roman"/>
          <w:sz w:val="22"/>
          <w:szCs w:val="22"/>
        </w:rPr>
      </w:pPr>
    </w:p>
    <w:p w14:paraId="391AD521" w14:textId="77777777" w:rsidR="007B7728" w:rsidRPr="008137D7" w:rsidRDefault="007B7728" w:rsidP="007B7728"/>
    <w:p w14:paraId="557FF4D0" w14:textId="6C0BAEE4" w:rsidR="00032BEA" w:rsidRPr="008137D7" w:rsidRDefault="00032BEA" w:rsidP="004927BF">
      <w:pPr>
        <w:spacing w:line="276" w:lineRule="auto"/>
        <w:rPr>
          <w:rFonts w:eastAsia="Times New Roman"/>
          <w:sz w:val="22"/>
          <w:szCs w:val="22"/>
        </w:rPr>
      </w:pPr>
    </w:p>
    <w:p w14:paraId="174160CF" w14:textId="6EF33ABB" w:rsidR="008D7496" w:rsidRPr="008137D7" w:rsidRDefault="008D7496">
      <w:pPr>
        <w:spacing w:line="276" w:lineRule="auto"/>
        <w:rPr>
          <w:rFonts w:eastAsia="Times New Roman"/>
          <w:sz w:val="22"/>
          <w:szCs w:val="22"/>
        </w:rPr>
      </w:pPr>
    </w:p>
    <w:sectPr w:rsidR="008D7496" w:rsidRPr="008137D7">
      <w:footerReference w:type="even" r:id="rId11"/>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B4203" w14:textId="77777777" w:rsidR="00217836" w:rsidRDefault="00217836">
      <w:r>
        <w:separator/>
      </w:r>
    </w:p>
  </w:endnote>
  <w:endnote w:type="continuationSeparator" w:id="0">
    <w:p w14:paraId="48743B0F" w14:textId="77777777" w:rsidR="00217836" w:rsidRDefault="0021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46C71" w14:textId="77777777" w:rsidR="00BA5BB5" w:rsidRDefault="00BA5BB5" w:rsidP="00E016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1C959C" w14:textId="77777777" w:rsidR="00BA5BB5" w:rsidRDefault="00BA5BB5" w:rsidP="00E016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7331198"/>
      <w:docPartObj>
        <w:docPartGallery w:val="Page Numbers (Bottom of Page)"/>
        <w:docPartUnique/>
      </w:docPartObj>
    </w:sdtPr>
    <w:sdtEndPr>
      <w:rPr>
        <w:rStyle w:val="PageNumber"/>
      </w:rPr>
    </w:sdtEndPr>
    <w:sdtContent>
      <w:p w14:paraId="4B650317" w14:textId="6F43929B" w:rsidR="00FC01B3" w:rsidRDefault="00FC01B3" w:rsidP="006F62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F44E6">
          <w:rPr>
            <w:rStyle w:val="PageNumber"/>
            <w:noProof/>
          </w:rPr>
          <w:t>3</w:t>
        </w:r>
        <w:r>
          <w:rPr>
            <w:rStyle w:val="PageNumber"/>
          </w:rPr>
          <w:fldChar w:fldCharType="end"/>
        </w:r>
      </w:p>
    </w:sdtContent>
  </w:sdt>
  <w:p w14:paraId="7FF74027" w14:textId="77777777" w:rsidR="00FC01B3" w:rsidRDefault="00FC01B3" w:rsidP="00E016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97279" w14:textId="77777777" w:rsidR="00217836" w:rsidRDefault="00217836">
      <w:r>
        <w:separator/>
      </w:r>
    </w:p>
  </w:footnote>
  <w:footnote w:type="continuationSeparator" w:id="0">
    <w:p w14:paraId="3CB9AC40" w14:textId="77777777" w:rsidR="00217836" w:rsidRDefault="00217836">
      <w:r>
        <w:continuationSeparator/>
      </w:r>
    </w:p>
  </w:footnote>
  <w:footnote w:id="1">
    <w:p w14:paraId="7473C58F" w14:textId="7324174D" w:rsidR="00BA5BB5" w:rsidRPr="008137D7" w:rsidRDefault="00BA5BB5" w:rsidP="000C2C09">
      <w:pPr>
        <w:pStyle w:val="FootnoteText"/>
        <w:spacing w:line="480" w:lineRule="auto"/>
      </w:pPr>
      <w:r w:rsidRPr="008137D7">
        <w:rPr>
          <w:rStyle w:val="FootnoteReference"/>
        </w:rPr>
        <w:footnoteRef/>
      </w:r>
      <w:r w:rsidRPr="008137D7">
        <w:t xml:space="preserve"> </w:t>
      </w:r>
      <w:r w:rsidRPr="008137D7">
        <w:rPr>
          <w:rFonts w:eastAsia="Times New Roman"/>
        </w:rPr>
        <w:t xml:space="preserve">Consider just a small collection of recent headlines: “Donald Trump’s threat to press freedom: why it matters” (Mirren Gidda and Zach Schonfeld, </w:t>
      </w:r>
      <w:r w:rsidRPr="008137D7">
        <w:rPr>
          <w:rFonts w:eastAsia="Times New Roman"/>
          <w:i/>
        </w:rPr>
        <w:t>Newsweek</w:t>
      </w:r>
      <w:r w:rsidRPr="008137D7">
        <w:rPr>
          <w:rFonts w:eastAsia="Times New Roman"/>
        </w:rPr>
        <w:t xml:space="preserve">, 11 December 2016); or “On freedom of the press, Donald Trump wants to make America like England again” (Callum Borchers, </w:t>
      </w:r>
      <w:r w:rsidRPr="008137D7">
        <w:rPr>
          <w:rFonts w:eastAsia="Times New Roman"/>
          <w:i/>
        </w:rPr>
        <w:t>The Washington Post</w:t>
      </w:r>
      <w:r w:rsidRPr="008137D7">
        <w:rPr>
          <w:rFonts w:eastAsia="Times New Roman"/>
        </w:rPr>
        <w:t>, 24 October 2016).</w:t>
      </w:r>
    </w:p>
  </w:footnote>
  <w:footnote w:id="2">
    <w:p w14:paraId="09CC9FF5" w14:textId="100DF2E6" w:rsidR="00BA5BB5" w:rsidRPr="008137D7" w:rsidRDefault="00BA5BB5" w:rsidP="00451A8F">
      <w:pPr>
        <w:pStyle w:val="FootnoteText"/>
        <w:spacing w:line="480" w:lineRule="auto"/>
      </w:pPr>
      <w:r w:rsidRPr="008137D7">
        <w:rPr>
          <w:rStyle w:val="FootnoteReference"/>
        </w:rPr>
        <w:footnoteRef/>
      </w:r>
      <w:r w:rsidRPr="008137D7">
        <w:t xml:space="preserve"> Note that the application of the thermostatic model does not require that levels of relative preferences actually tap whether people want more or less policy but that the variation in those preferences is meaningful, for example, reflecting variation in the (underlying) preferred levels of policy and policy across countries.  See Soroka and Wlezien (2010); also see Wlezien (2017).  </w:t>
      </w:r>
    </w:p>
  </w:footnote>
  <w:footnote w:id="3">
    <w:p w14:paraId="32F28375" w14:textId="2A55E25D" w:rsidR="00BA5BB5" w:rsidRPr="008137D7" w:rsidRDefault="00BA5BB5" w:rsidP="003B075D">
      <w:pPr>
        <w:pStyle w:val="FootnoteText"/>
        <w:spacing w:line="480" w:lineRule="auto"/>
        <w:jc w:val="both"/>
      </w:pPr>
      <w:r w:rsidRPr="008137D7">
        <w:rPr>
          <w:rStyle w:val="FootnoteReference"/>
        </w:rPr>
        <w:footnoteRef/>
      </w:r>
      <w:r w:rsidRPr="008137D7">
        <w:t xml:space="preserve"> Note that the information also may be important for positive feedback, at least insofar as individuals respond to collective policy and not their personal consumption. See, e.g., Béland and Schlager (2019).</w:t>
      </w:r>
    </w:p>
  </w:footnote>
  <w:footnote w:id="4">
    <w:p w14:paraId="655C6C39" w14:textId="1CA01F15" w:rsidR="00BA5BB5" w:rsidRPr="008137D7" w:rsidRDefault="00BA5BB5" w:rsidP="008D6DCF">
      <w:pPr>
        <w:spacing w:line="480" w:lineRule="auto"/>
        <w:jc w:val="both"/>
        <w:rPr>
          <w:rFonts w:eastAsia="Times New Roman"/>
        </w:rPr>
      </w:pPr>
      <w:r w:rsidRPr="008137D7">
        <w:rPr>
          <w:vertAlign w:val="superscript"/>
        </w:rPr>
        <w:footnoteRef/>
      </w:r>
      <w:r w:rsidRPr="008137D7">
        <w:rPr>
          <w:rFonts w:eastAsia="Times New Roman"/>
        </w:rPr>
        <w:t xml:space="preserve"> Seven countries have two elections included in the dataset, and for the sake of simplicity we begin by dropping the second election for each. These countries are: Mexico, Taiwan, New Zealand, Russia, Canada, Greece, and Latvia.  There are several countries for which there is missing data on either survey or aggregate-level variables important to our analysis; in particular, we cannot use countries for which we do not have OECD spending data (see below).  The countries that remain in our sample are then follows: Australia, Austria, Canada, Czech Republic, Finland, France, Germany, Great Britain, Greece, Ireland, Israel, Iceland, Japan, Korea, Mexico, Norway, New Zealand, Poland, Portugal, Slovenia, Sweden, Switzerland, Turkey, and the US.   </w:t>
      </w:r>
    </w:p>
  </w:footnote>
  <w:footnote w:id="5">
    <w:p w14:paraId="68F8E8B6" w14:textId="5DD43B5D" w:rsidR="00BA5BB5" w:rsidRPr="008137D7" w:rsidRDefault="00BA5BB5" w:rsidP="00665C54">
      <w:pPr>
        <w:pStyle w:val="FootnoteText"/>
        <w:spacing w:line="480" w:lineRule="auto"/>
        <w:jc w:val="both"/>
      </w:pPr>
      <w:r w:rsidRPr="008137D7">
        <w:rPr>
          <w:rStyle w:val="FootnoteReference"/>
        </w:rPr>
        <w:footnoteRef/>
      </w:r>
      <w:r w:rsidRPr="008137D7">
        <w:t xml:space="preserve"> Detailed descriptions of the SOCX subdomains are readily available at: https://www.oecd.org/social/soc/SOCX_Manuel_2019.pdf.</w:t>
      </w:r>
    </w:p>
  </w:footnote>
  <w:footnote w:id="6">
    <w:p w14:paraId="0C252851" w14:textId="74C240BA" w:rsidR="00BA5BB5" w:rsidRPr="008137D7" w:rsidRDefault="00BA5BB5" w:rsidP="00146FF8">
      <w:pPr>
        <w:pStyle w:val="FootnoteText"/>
        <w:spacing w:line="480" w:lineRule="auto"/>
        <w:jc w:val="both"/>
      </w:pPr>
      <w:r w:rsidRPr="008137D7">
        <w:rPr>
          <w:rStyle w:val="FootnoteReference"/>
        </w:rPr>
        <w:footnoteRef/>
      </w:r>
      <w:r w:rsidRPr="008137D7">
        <w:t xml:space="preserve"> </w:t>
      </w:r>
      <w:r w:rsidRPr="008137D7">
        <w:rPr>
          <w:rFonts w:eastAsia="Times New Roman"/>
        </w:rPr>
        <w:t xml:space="preserve">We also test for the possibility that the moderating effect of </w:t>
      </w:r>
      <w:r w:rsidRPr="008137D7">
        <w:rPr>
          <w:rFonts w:eastAsia="Times New Roman"/>
          <w:i/>
        </w:rPr>
        <w:t>Press Limits</w:t>
      </w:r>
      <w:r w:rsidRPr="008137D7">
        <w:rPr>
          <w:rFonts w:eastAsia="Times New Roman"/>
        </w:rPr>
        <w:t xml:space="preserve"> is nonlinear, i.e., that marginal increases in </w:t>
      </w:r>
      <w:r w:rsidRPr="008137D7">
        <w:rPr>
          <w:rFonts w:eastAsia="Times New Roman"/>
          <w:i/>
        </w:rPr>
        <w:t>Press Limits</w:t>
      </w:r>
      <w:r w:rsidRPr="008137D7">
        <w:rPr>
          <w:rFonts w:eastAsia="Times New Roman"/>
        </w:rPr>
        <w:t xml:space="preserve"> matter little in a largely free media environment, but the impact of limits accumulate exponentially. There are hints of such a relationship in models that include a quadratic version of </w:t>
      </w:r>
      <w:r w:rsidRPr="008137D7">
        <w:rPr>
          <w:rFonts w:eastAsia="Times New Roman"/>
          <w:i/>
        </w:rPr>
        <w:t>Press Limits</w:t>
      </w:r>
      <w:r w:rsidRPr="008137D7">
        <w:rPr>
          <w:rFonts w:eastAsia="Times New Roman"/>
        </w:rPr>
        <w:t xml:space="preserve">; but the full specification, including both the linear and quadratic versions of </w:t>
      </w:r>
      <w:r w:rsidRPr="008137D7">
        <w:rPr>
          <w:rFonts w:eastAsia="Times New Roman"/>
          <w:i/>
        </w:rPr>
        <w:t>Press Limits</w:t>
      </w:r>
      <w:r w:rsidRPr="008137D7">
        <w:rPr>
          <w:rFonts w:eastAsia="Times New Roman"/>
        </w:rPr>
        <w:t xml:space="preserve">, and interactions of each with spending, produces a very high degree of multicollinearity amongst variables for which our sample size is just 23 (countries).  If we calculate variance inflation factors (VIF) using country-level values for each of the five variables required in the full interactive specification, the VIF for </w:t>
      </w:r>
      <w:r w:rsidRPr="008137D7">
        <w:rPr>
          <w:rFonts w:eastAsia="Times New Roman"/>
          <w:i/>
          <w:iCs/>
        </w:rPr>
        <w:t>Spending</w:t>
      </w:r>
      <w:r w:rsidRPr="008137D7">
        <w:rPr>
          <w:rFonts w:eastAsia="Times New Roman"/>
        </w:rPr>
        <w:t xml:space="preserve">, </w:t>
      </w:r>
      <w:r w:rsidRPr="008137D7">
        <w:rPr>
          <w:rFonts w:eastAsia="Times New Roman"/>
          <w:i/>
          <w:iCs/>
        </w:rPr>
        <w:t>Press Limits</w:t>
      </w:r>
      <w:r w:rsidRPr="008137D7">
        <w:rPr>
          <w:rFonts w:eastAsia="Times New Roman"/>
        </w:rPr>
        <w:t xml:space="preserve">, </w:t>
      </w:r>
      <w:r w:rsidRPr="008137D7">
        <w:rPr>
          <w:rFonts w:eastAsia="Times New Roman"/>
          <w:i/>
          <w:iCs/>
        </w:rPr>
        <w:t>Spending * Press Limits</w:t>
      </w:r>
      <w:r w:rsidRPr="008137D7">
        <w:rPr>
          <w:rFonts w:eastAsia="Times New Roman"/>
        </w:rPr>
        <w:t xml:space="preserve"> and </w:t>
      </w:r>
      <w:r w:rsidRPr="008137D7">
        <w:rPr>
          <w:rFonts w:eastAsia="Times New Roman"/>
          <w:i/>
          <w:iCs/>
        </w:rPr>
        <w:t>Spending * Press Limits</w:t>
      </w:r>
      <w:r w:rsidRPr="008137D7">
        <w:rPr>
          <w:rFonts w:eastAsia="Times New Roman"/>
        </w:rPr>
        <w:t xml:space="preserve"> </w:t>
      </w:r>
      <w:r w:rsidRPr="008137D7">
        <w:rPr>
          <w:rFonts w:eastAsia="Times New Roman"/>
          <w:i/>
          <w:iCs/>
        </w:rPr>
        <w:t>squared</w:t>
      </w:r>
      <w:r w:rsidRPr="008137D7">
        <w:rPr>
          <w:rFonts w:eastAsia="Times New Roman"/>
        </w:rPr>
        <w:t xml:space="preserve">  are all over 200; and the VIF for </w:t>
      </w:r>
      <w:r w:rsidRPr="008137D7">
        <w:rPr>
          <w:rFonts w:eastAsia="Times New Roman"/>
          <w:i/>
          <w:iCs/>
        </w:rPr>
        <w:t>Press Limits squared</w:t>
      </w:r>
      <w:r w:rsidRPr="008137D7">
        <w:rPr>
          <w:rFonts w:eastAsia="Times New Roman"/>
        </w:rPr>
        <w:t xml:space="preserve"> is over 40. Sticking with the simple linear version, in contrast, leads to VIFs below 10 for all variables.</w:t>
      </w:r>
    </w:p>
  </w:footnote>
  <w:footnote w:id="7">
    <w:p w14:paraId="2136FCCD" w14:textId="1EDB99DF" w:rsidR="00BA5BB5" w:rsidRPr="008137D7" w:rsidRDefault="00BA5BB5" w:rsidP="00DC1018">
      <w:pPr>
        <w:pStyle w:val="FootnoteText"/>
        <w:spacing w:line="480" w:lineRule="auto"/>
        <w:jc w:val="both"/>
      </w:pPr>
      <w:r w:rsidRPr="008137D7">
        <w:rPr>
          <w:rStyle w:val="FootnoteReference"/>
        </w:rPr>
        <w:footnoteRef/>
      </w:r>
      <w:r w:rsidRPr="008137D7">
        <w:t xml:space="preserve"> Though note that effects are clearer when considering a broader range of press freedoms – we rely on just the 10</w:t>
      </w:r>
      <w:r w:rsidRPr="008137D7">
        <w:rPr>
          <w:vertAlign w:val="superscript"/>
        </w:rPr>
        <w:t>th</w:t>
      </w:r>
      <w:r w:rsidRPr="008137D7">
        <w:t xml:space="preserve"> and 90</w:t>
      </w:r>
      <w:r w:rsidRPr="008137D7">
        <w:rPr>
          <w:vertAlign w:val="superscript"/>
        </w:rPr>
        <w:t>th</w:t>
      </w:r>
      <w:r w:rsidRPr="008137D7">
        <w:t xml:space="preserve"> percentiles here..</w:t>
      </w:r>
    </w:p>
  </w:footnote>
  <w:footnote w:id="8">
    <w:p w14:paraId="23019058" w14:textId="3A0D1F3B" w:rsidR="00BA5BB5" w:rsidRPr="008137D7" w:rsidRDefault="00BA5BB5" w:rsidP="008D7C22">
      <w:pPr>
        <w:pStyle w:val="FootnoteText"/>
        <w:spacing w:line="480" w:lineRule="auto"/>
        <w:jc w:val="both"/>
      </w:pPr>
      <w:r w:rsidRPr="008137D7">
        <w:rPr>
          <w:rStyle w:val="FootnoteReference"/>
        </w:rPr>
        <w:footnoteRef/>
      </w:r>
      <w:r w:rsidRPr="008137D7">
        <w:t xml:space="preserve"> We do not include these tests in the Appendix, but results are easily replicated using the script and data made available at (</w:t>
      </w:r>
      <w:r w:rsidRPr="008137D7">
        <w:rPr>
          <w:i/>
        </w:rPr>
        <w:t>redacted</w:t>
      </w:r>
      <w:r w:rsidRPr="008137D7">
        <w:t>).</w:t>
      </w:r>
    </w:p>
  </w:footnote>
  <w:footnote w:id="9">
    <w:p w14:paraId="4295C289" w14:textId="20569182" w:rsidR="00BA5BB5" w:rsidRPr="008137D7" w:rsidRDefault="00BA5BB5" w:rsidP="00C10939">
      <w:pPr>
        <w:pStyle w:val="FootnoteText"/>
        <w:jc w:val="both"/>
      </w:pPr>
      <w:r w:rsidRPr="008137D7">
        <w:rPr>
          <w:rStyle w:val="FootnoteReference"/>
        </w:rPr>
        <w:footnoteRef/>
      </w:r>
      <w:r w:rsidRPr="008137D7">
        <w:t xml:space="preserve"> Https://freedomhouse.org/report/freedom-press/freedom-press-2016.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017F6"/>
    <w:multiLevelType w:val="hybridMultilevel"/>
    <w:tmpl w:val="25D6D470"/>
    <w:lvl w:ilvl="0" w:tplc="D6841C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261F1"/>
    <w:multiLevelType w:val="hybridMultilevel"/>
    <w:tmpl w:val="7A46592C"/>
    <w:lvl w:ilvl="0" w:tplc="A02E9B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4096" w:nlCheck="1" w:checkStyle="0"/>
  <w:activeWritingStyle w:appName="MSWord" w:lang="en-US" w:vendorID="64" w:dllVersion="6" w:nlCheck="1" w:checkStyle="1"/>
  <w:activeWritingStyle w:appName="MSWord" w:lang="fr-FR" w:vendorID="64" w:dllVersion="409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2" w:dllVersion="6"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E33"/>
    <w:rsid w:val="00002330"/>
    <w:rsid w:val="000030A2"/>
    <w:rsid w:val="00005413"/>
    <w:rsid w:val="00006D3F"/>
    <w:rsid w:val="00007C05"/>
    <w:rsid w:val="00014E7D"/>
    <w:rsid w:val="00017544"/>
    <w:rsid w:val="00021B31"/>
    <w:rsid w:val="000223EC"/>
    <w:rsid w:val="00022647"/>
    <w:rsid w:val="00022C99"/>
    <w:rsid w:val="000238AE"/>
    <w:rsid w:val="0002421C"/>
    <w:rsid w:val="0002546D"/>
    <w:rsid w:val="00027B5C"/>
    <w:rsid w:val="00027B72"/>
    <w:rsid w:val="00030121"/>
    <w:rsid w:val="000309CD"/>
    <w:rsid w:val="00032869"/>
    <w:rsid w:val="00032BEA"/>
    <w:rsid w:val="00032DB5"/>
    <w:rsid w:val="000349D2"/>
    <w:rsid w:val="0003521C"/>
    <w:rsid w:val="000377E4"/>
    <w:rsid w:val="000378C2"/>
    <w:rsid w:val="000402F9"/>
    <w:rsid w:val="0004198C"/>
    <w:rsid w:val="00042CC1"/>
    <w:rsid w:val="00046574"/>
    <w:rsid w:val="00047179"/>
    <w:rsid w:val="00050097"/>
    <w:rsid w:val="00051EE3"/>
    <w:rsid w:val="0005472E"/>
    <w:rsid w:val="000564C6"/>
    <w:rsid w:val="000573EB"/>
    <w:rsid w:val="00060693"/>
    <w:rsid w:val="0006172B"/>
    <w:rsid w:val="00061D5C"/>
    <w:rsid w:val="0006201B"/>
    <w:rsid w:val="00063DA9"/>
    <w:rsid w:val="00065336"/>
    <w:rsid w:val="00065399"/>
    <w:rsid w:val="00070A35"/>
    <w:rsid w:val="00071FF8"/>
    <w:rsid w:val="00072CCD"/>
    <w:rsid w:val="000730C9"/>
    <w:rsid w:val="00075898"/>
    <w:rsid w:val="000828F2"/>
    <w:rsid w:val="00083749"/>
    <w:rsid w:val="0008606C"/>
    <w:rsid w:val="000861C1"/>
    <w:rsid w:val="00086C87"/>
    <w:rsid w:val="00090AB6"/>
    <w:rsid w:val="00091477"/>
    <w:rsid w:val="000944CD"/>
    <w:rsid w:val="0009523A"/>
    <w:rsid w:val="000959B6"/>
    <w:rsid w:val="0009600D"/>
    <w:rsid w:val="000A1069"/>
    <w:rsid w:val="000A125F"/>
    <w:rsid w:val="000A21FF"/>
    <w:rsid w:val="000A281B"/>
    <w:rsid w:val="000A3143"/>
    <w:rsid w:val="000A3146"/>
    <w:rsid w:val="000A37FF"/>
    <w:rsid w:val="000A49CD"/>
    <w:rsid w:val="000B13F7"/>
    <w:rsid w:val="000B2ABC"/>
    <w:rsid w:val="000B2CD1"/>
    <w:rsid w:val="000B38E1"/>
    <w:rsid w:val="000B3D6A"/>
    <w:rsid w:val="000B59DC"/>
    <w:rsid w:val="000C1F6C"/>
    <w:rsid w:val="000C2226"/>
    <w:rsid w:val="000C230A"/>
    <w:rsid w:val="000C2C09"/>
    <w:rsid w:val="000C2C74"/>
    <w:rsid w:val="000C3D66"/>
    <w:rsid w:val="000C69EE"/>
    <w:rsid w:val="000C7B5D"/>
    <w:rsid w:val="000D022A"/>
    <w:rsid w:val="000D1860"/>
    <w:rsid w:val="000D4E48"/>
    <w:rsid w:val="000D63F4"/>
    <w:rsid w:val="000D6654"/>
    <w:rsid w:val="000D7238"/>
    <w:rsid w:val="000D78FA"/>
    <w:rsid w:val="000E0833"/>
    <w:rsid w:val="000E0E50"/>
    <w:rsid w:val="000E1742"/>
    <w:rsid w:val="000E4FA5"/>
    <w:rsid w:val="000E5733"/>
    <w:rsid w:val="000E6054"/>
    <w:rsid w:val="000E752C"/>
    <w:rsid w:val="000E7C78"/>
    <w:rsid w:val="000F0515"/>
    <w:rsid w:val="000F21D4"/>
    <w:rsid w:val="000F299A"/>
    <w:rsid w:val="000F4BA2"/>
    <w:rsid w:val="000F64F0"/>
    <w:rsid w:val="000F6D1E"/>
    <w:rsid w:val="000F7E4B"/>
    <w:rsid w:val="00102503"/>
    <w:rsid w:val="00102632"/>
    <w:rsid w:val="001027B4"/>
    <w:rsid w:val="00104240"/>
    <w:rsid w:val="00104A34"/>
    <w:rsid w:val="00107A24"/>
    <w:rsid w:val="00107CB0"/>
    <w:rsid w:val="00112659"/>
    <w:rsid w:val="00112D61"/>
    <w:rsid w:val="001133D0"/>
    <w:rsid w:val="00114882"/>
    <w:rsid w:val="00115E83"/>
    <w:rsid w:val="001161E5"/>
    <w:rsid w:val="001164A8"/>
    <w:rsid w:val="001175BB"/>
    <w:rsid w:val="0011771E"/>
    <w:rsid w:val="0012029D"/>
    <w:rsid w:val="00120FC6"/>
    <w:rsid w:val="00122DB2"/>
    <w:rsid w:val="00124A75"/>
    <w:rsid w:val="00125CA5"/>
    <w:rsid w:val="001261BD"/>
    <w:rsid w:val="0012628F"/>
    <w:rsid w:val="00126EAA"/>
    <w:rsid w:val="0012732B"/>
    <w:rsid w:val="001315C1"/>
    <w:rsid w:val="0013177A"/>
    <w:rsid w:val="0013275F"/>
    <w:rsid w:val="0013424E"/>
    <w:rsid w:val="001358F4"/>
    <w:rsid w:val="0014000B"/>
    <w:rsid w:val="00141882"/>
    <w:rsid w:val="00141A56"/>
    <w:rsid w:val="00143316"/>
    <w:rsid w:val="001444C5"/>
    <w:rsid w:val="00145480"/>
    <w:rsid w:val="001464A9"/>
    <w:rsid w:val="00146FF8"/>
    <w:rsid w:val="00147245"/>
    <w:rsid w:val="00150469"/>
    <w:rsid w:val="0015089B"/>
    <w:rsid w:val="0015142A"/>
    <w:rsid w:val="00152182"/>
    <w:rsid w:val="00152FE3"/>
    <w:rsid w:val="0015380B"/>
    <w:rsid w:val="001542C7"/>
    <w:rsid w:val="001549CB"/>
    <w:rsid w:val="0015537F"/>
    <w:rsid w:val="00155839"/>
    <w:rsid w:val="0015605E"/>
    <w:rsid w:val="00160BDC"/>
    <w:rsid w:val="00160D68"/>
    <w:rsid w:val="00161814"/>
    <w:rsid w:val="001636FA"/>
    <w:rsid w:val="00163D42"/>
    <w:rsid w:val="00165FCA"/>
    <w:rsid w:val="00167F11"/>
    <w:rsid w:val="00170E63"/>
    <w:rsid w:val="00171780"/>
    <w:rsid w:val="00172F3A"/>
    <w:rsid w:val="00173108"/>
    <w:rsid w:val="00175021"/>
    <w:rsid w:val="00175A44"/>
    <w:rsid w:val="00180FE5"/>
    <w:rsid w:val="00181A40"/>
    <w:rsid w:val="00183726"/>
    <w:rsid w:val="00186559"/>
    <w:rsid w:val="00186BCF"/>
    <w:rsid w:val="001874A6"/>
    <w:rsid w:val="00187732"/>
    <w:rsid w:val="001909D5"/>
    <w:rsid w:val="00192F69"/>
    <w:rsid w:val="00193EAB"/>
    <w:rsid w:val="00194170"/>
    <w:rsid w:val="00194FFA"/>
    <w:rsid w:val="00195D3C"/>
    <w:rsid w:val="00196115"/>
    <w:rsid w:val="00197266"/>
    <w:rsid w:val="001A0C3F"/>
    <w:rsid w:val="001A41FD"/>
    <w:rsid w:val="001B0AE9"/>
    <w:rsid w:val="001B0CFC"/>
    <w:rsid w:val="001B1FF2"/>
    <w:rsid w:val="001B242F"/>
    <w:rsid w:val="001B25AE"/>
    <w:rsid w:val="001B297D"/>
    <w:rsid w:val="001B2E8A"/>
    <w:rsid w:val="001B2EC9"/>
    <w:rsid w:val="001B3466"/>
    <w:rsid w:val="001B37FE"/>
    <w:rsid w:val="001B3FC2"/>
    <w:rsid w:val="001B429D"/>
    <w:rsid w:val="001B4639"/>
    <w:rsid w:val="001B60D0"/>
    <w:rsid w:val="001B67E5"/>
    <w:rsid w:val="001B6C66"/>
    <w:rsid w:val="001B7494"/>
    <w:rsid w:val="001C0A53"/>
    <w:rsid w:val="001C1D72"/>
    <w:rsid w:val="001C4315"/>
    <w:rsid w:val="001C4573"/>
    <w:rsid w:val="001C5FDA"/>
    <w:rsid w:val="001C710E"/>
    <w:rsid w:val="001C732B"/>
    <w:rsid w:val="001C7C71"/>
    <w:rsid w:val="001D0A93"/>
    <w:rsid w:val="001D111A"/>
    <w:rsid w:val="001D1237"/>
    <w:rsid w:val="001D176F"/>
    <w:rsid w:val="001D18DB"/>
    <w:rsid w:val="001D2A90"/>
    <w:rsid w:val="001D3EC1"/>
    <w:rsid w:val="001D4537"/>
    <w:rsid w:val="001D45F9"/>
    <w:rsid w:val="001D52AA"/>
    <w:rsid w:val="001D6F0C"/>
    <w:rsid w:val="001D70AF"/>
    <w:rsid w:val="001D7259"/>
    <w:rsid w:val="001D7ABD"/>
    <w:rsid w:val="001E147E"/>
    <w:rsid w:val="001E23F2"/>
    <w:rsid w:val="001E3899"/>
    <w:rsid w:val="001E3BAE"/>
    <w:rsid w:val="001E4356"/>
    <w:rsid w:val="001E48EE"/>
    <w:rsid w:val="001E4BC5"/>
    <w:rsid w:val="001E6BB9"/>
    <w:rsid w:val="001F0340"/>
    <w:rsid w:val="001F2376"/>
    <w:rsid w:val="001F246C"/>
    <w:rsid w:val="001F2741"/>
    <w:rsid w:val="001F29D7"/>
    <w:rsid w:val="001F29FF"/>
    <w:rsid w:val="001F4A53"/>
    <w:rsid w:val="001F4FE9"/>
    <w:rsid w:val="001F61B0"/>
    <w:rsid w:val="001F6774"/>
    <w:rsid w:val="001F6B93"/>
    <w:rsid w:val="001F7DD5"/>
    <w:rsid w:val="001F7FF3"/>
    <w:rsid w:val="0020054C"/>
    <w:rsid w:val="002011FC"/>
    <w:rsid w:val="00201279"/>
    <w:rsid w:val="00201DFE"/>
    <w:rsid w:val="0020232E"/>
    <w:rsid w:val="00204924"/>
    <w:rsid w:val="00204E9E"/>
    <w:rsid w:val="002050FB"/>
    <w:rsid w:val="0020602D"/>
    <w:rsid w:val="00206528"/>
    <w:rsid w:val="00210CC7"/>
    <w:rsid w:val="00211DE9"/>
    <w:rsid w:val="00212328"/>
    <w:rsid w:val="00212A22"/>
    <w:rsid w:val="00214CFB"/>
    <w:rsid w:val="00215BA9"/>
    <w:rsid w:val="00217836"/>
    <w:rsid w:val="00217A7C"/>
    <w:rsid w:val="002219BA"/>
    <w:rsid w:val="002230A8"/>
    <w:rsid w:val="00223320"/>
    <w:rsid w:val="002249B9"/>
    <w:rsid w:val="00224E14"/>
    <w:rsid w:val="002257E4"/>
    <w:rsid w:val="002257F7"/>
    <w:rsid w:val="002262BE"/>
    <w:rsid w:val="002265D8"/>
    <w:rsid w:val="002268CA"/>
    <w:rsid w:val="00227C9B"/>
    <w:rsid w:val="00232FFA"/>
    <w:rsid w:val="002368EB"/>
    <w:rsid w:val="00236B47"/>
    <w:rsid w:val="00240422"/>
    <w:rsid w:val="0024157A"/>
    <w:rsid w:val="00242EFF"/>
    <w:rsid w:val="00244433"/>
    <w:rsid w:val="00245A4C"/>
    <w:rsid w:val="00245C0B"/>
    <w:rsid w:val="0025274C"/>
    <w:rsid w:val="002536BB"/>
    <w:rsid w:val="00253844"/>
    <w:rsid w:val="00253C3A"/>
    <w:rsid w:val="00253D62"/>
    <w:rsid w:val="00255BCA"/>
    <w:rsid w:val="002665CA"/>
    <w:rsid w:val="0026689B"/>
    <w:rsid w:val="00267597"/>
    <w:rsid w:val="0027024A"/>
    <w:rsid w:val="00275661"/>
    <w:rsid w:val="00276491"/>
    <w:rsid w:val="0027673F"/>
    <w:rsid w:val="00276802"/>
    <w:rsid w:val="002805A9"/>
    <w:rsid w:val="00282189"/>
    <w:rsid w:val="00284B36"/>
    <w:rsid w:val="00285697"/>
    <w:rsid w:val="002859A8"/>
    <w:rsid w:val="00285A29"/>
    <w:rsid w:val="00285AA8"/>
    <w:rsid w:val="00286170"/>
    <w:rsid w:val="002865A2"/>
    <w:rsid w:val="00286B97"/>
    <w:rsid w:val="00287028"/>
    <w:rsid w:val="00287D4A"/>
    <w:rsid w:val="00287DA1"/>
    <w:rsid w:val="00291AB3"/>
    <w:rsid w:val="002951AF"/>
    <w:rsid w:val="0029540A"/>
    <w:rsid w:val="002964AD"/>
    <w:rsid w:val="00297ACE"/>
    <w:rsid w:val="002A0DF3"/>
    <w:rsid w:val="002A302E"/>
    <w:rsid w:val="002A4243"/>
    <w:rsid w:val="002A5BE3"/>
    <w:rsid w:val="002B0593"/>
    <w:rsid w:val="002B14A5"/>
    <w:rsid w:val="002B554C"/>
    <w:rsid w:val="002B694E"/>
    <w:rsid w:val="002B7529"/>
    <w:rsid w:val="002B7A61"/>
    <w:rsid w:val="002C05E6"/>
    <w:rsid w:val="002C1080"/>
    <w:rsid w:val="002C1BBB"/>
    <w:rsid w:val="002C2836"/>
    <w:rsid w:val="002C4263"/>
    <w:rsid w:val="002C5DD8"/>
    <w:rsid w:val="002C7075"/>
    <w:rsid w:val="002C7D09"/>
    <w:rsid w:val="002D1A26"/>
    <w:rsid w:val="002D21E9"/>
    <w:rsid w:val="002D2419"/>
    <w:rsid w:val="002D32FD"/>
    <w:rsid w:val="002D34F9"/>
    <w:rsid w:val="002D36E4"/>
    <w:rsid w:val="002D6BDE"/>
    <w:rsid w:val="002D7E95"/>
    <w:rsid w:val="002E0759"/>
    <w:rsid w:val="002E091B"/>
    <w:rsid w:val="002E10DE"/>
    <w:rsid w:val="002E3E62"/>
    <w:rsid w:val="002E4930"/>
    <w:rsid w:val="002E69BE"/>
    <w:rsid w:val="002E6AE1"/>
    <w:rsid w:val="002E74A1"/>
    <w:rsid w:val="002E7870"/>
    <w:rsid w:val="002F07E1"/>
    <w:rsid w:val="002F1AD5"/>
    <w:rsid w:val="002F210F"/>
    <w:rsid w:val="002F2D37"/>
    <w:rsid w:val="002F35BB"/>
    <w:rsid w:val="002F4C14"/>
    <w:rsid w:val="002F52E6"/>
    <w:rsid w:val="002F56B4"/>
    <w:rsid w:val="002F5E5B"/>
    <w:rsid w:val="002F6528"/>
    <w:rsid w:val="002F6A0A"/>
    <w:rsid w:val="002F7C1C"/>
    <w:rsid w:val="002F7F5B"/>
    <w:rsid w:val="00300A06"/>
    <w:rsid w:val="00300D29"/>
    <w:rsid w:val="003015C9"/>
    <w:rsid w:val="00303302"/>
    <w:rsid w:val="00303E28"/>
    <w:rsid w:val="00304C89"/>
    <w:rsid w:val="003052C5"/>
    <w:rsid w:val="00305B46"/>
    <w:rsid w:val="00306F2D"/>
    <w:rsid w:val="0030714F"/>
    <w:rsid w:val="0030731B"/>
    <w:rsid w:val="00307EB3"/>
    <w:rsid w:val="00310125"/>
    <w:rsid w:val="00310E78"/>
    <w:rsid w:val="0031121B"/>
    <w:rsid w:val="00311E37"/>
    <w:rsid w:val="00312733"/>
    <w:rsid w:val="00312D7B"/>
    <w:rsid w:val="003140C8"/>
    <w:rsid w:val="0031446C"/>
    <w:rsid w:val="0031484D"/>
    <w:rsid w:val="003158A8"/>
    <w:rsid w:val="003165E2"/>
    <w:rsid w:val="00317154"/>
    <w:rsid w:val="003174F4"/>
    <w:rsid w:val="00317913"/>
    <w:rsid w:val="00317A27"/>
    <w:rsid w:val="003216E5"/>
    <w:rsid w:val="003219E8"/>
    <w:rsid w:val="00322B56"/>
    <w:rsid w:val="00323046"/>
    <w:rsid w:val="00330233"/>
    <w:rsid w:val="00330BD0"/>
    <w:rsid w:val="00330C33"/>
    <w:rsid w:val="003329A1"/>
    <w:rsid w:val="00332DFE"/>
    <w:rsid w:val="00333104"/>
    <w:rsid w:val="003339E3"/>
    <w:rsid w:val="00333C65"/>
    <w:rsid w:val="00334D96"/>
    <w:rsid w:val="003351DF"/>
    <w:rsid w:val="0033737B"/>
    <w:rsid w:val="00337928"/>
    <w:rsid w:val="00340C08"/>
    <w:rsid w:val="00341DA1"/>
    <w:rsid w:val="00342404"/>
    <w:rsid w:val="0034383C"/>
    <w:rsid w:val="00343E5C"/>
    <w:rsid w:val="00344074"/>
    <w:rsid w:val="00344A6D"/>
    <w:rsid w:val="003513F4"/>
    <w:rsid w:val="00352A40"/>
    <w:rsid w:val="00356830"/>
    <w:rsid w:val="003603ED"/>
    <w:rsid w:val="00363461"/>
    <w:rsid w:val="00364750"/>
    <w:rsid w:val="00366590"/>
    <w:rsid w:val="00366F61"/>
    <w:rsid w:val="003674C9"/>
    <w:rsid w:val="003679DC"/>
    <w:rsid w:val="00370F23"/>
    <w:rsid w:val="0037123C"/>
    <w:rsid w:val="00371E22"/>
    <w:rsid w:val="0037244B"/>
    <w:rsid w:val="003730BE"/>
    <w:rsid w:val="00373A57"/>
    <w:rsid w:val="00373DA3"/>
    <w:rsid w:val="00374D38"/>
    <w:rsid w:val="003751AE"/>
    <w:rsid w:val="0037696D"/>
    <w:rsid w:val="00376A04"/>
    <w:rsid w:val="00376EFC"/>
    <w:rsid w:val="0037708D"/>
    <w:rsid w:val="00382392"/>
    <w:rsid w:val="0038356C"/>
    <w:rsid w:val="003835A9"/>
    <w:rsid w:val="00392CAA"/>
    <w:rsid w:val="00396038"/>
    <w:rsid w:val="0039660E"/>
    <w:rsid w:val="00397419"/>
    <w:rsid w:val="00397D3C"/>
    <w:rsid w:val="003A0392"/>
    <w:rsid w:val="003A0439"/>
    <w:rsid w:val="003A119B"/>
    <w:rsid w:val="003A1229"/>
    <w:rsid w:val="003A3303"/>
    <w:rsid w:val="003A5294"/>
    <w:rsid w:val="003A5BE1"/>
    <w:rsid w:val="003A5C34"/>
    <w:rsid w:val="003B075D"/>
    <w:rsid w:val="003B092A"/>
    <w:rsid w:val="003B123A"/>
    <w:rsid w:val="003B2AA4"/>
    <w:rsid w:val="003B2DEE"/>
    <w:rsid w:val="003B3052"/>
    <w:rsid w:val="003B4BFE"/>
    <w:rsid w:val="003B55B3"/>
    <w:rsid w:val="003B57F9"/>
    <w:rsid w:val="003B5C47"/>
    <w:rsid w:val="003B76C7"/>
    <w:rsid w:val="003C4623"/>
    <w:rsid w:val="003C6654"/>
    <w:rsid w:val="003D037E"/>
    <w:rsid w:val="003D084B"/>
    <w:rsid w:val="003D17A8"/>
    <w:rsid w:val="003D248F"/>
    <w:rsid w:val="003D24CD"/>
    <w:rsid w:val="003D3308"/>
    <w:rsid w:val="003D6578"/>
    <w:rsid w:val="003D6C1F"/>
    <w:rsid w:val="003E106B"/>
    <w:rsid w:val="003E107C"/>
    <w:rsid w:val="003E129F"/>
    <w:rsid w:val="003E17AE"/>
    <w:rsid w:val="003E1F40"/>
    <w:rsid w:val="003E4BBD"/>
    <w:rsid w:val="003E51D9"/>
    <w:rsid w:val="003E5C0D"/>
    <w:rsid w:val="003E6E73"/>
    <w:rsid w:val="003E7AFC"/>
    <w:rsid w:val="003F0E1C"/>
    <w:rsid w:val="003F0E3C"/>
    <w:rsid w:val="003F13F8"/>
    <w:rsid w:val="003F2C4D"/>
    <w:rsid w:val="003F2DC5"/>
    <w:rsid w:val="003F594F"/>
    <w:rsid w:val="003F6F3A"/>
    <w:rsid w:val="0040113B"/>
    <w:rsid w:val="0040146B"/>
    <w:rsid w:val="00401F51"/>
    <w:rsid w:val="0040242A"/>
    <w:rsid w:val="004024B0"/>
    <w:rsid w:val="004033F5"/>
    <w:rsid w:val="00405786"/>
    <w:rsid w:val="00406E44"/>
    <w:rsid w:val="00407B10"/>
    <w:rsid w:val="00407B28"/>
    <w:rsid w:val="00407C6E"/>
    <w:rsid w:val="004137F7"/>
    <w:rsid w:val="0041501A"/>
    <w:rsid w:val="004163A0"/>
    <w:rsid w:val="0042004E"/>
    <w:rsid w:val="004200BB"/>
    <w:rsid w:val="00420D61"/>
    <w:rsid w:val="00420EFA"/>
    <w:rsid w:val="004212D0"/>
    <w:rsid w:val="00421626"/>
    <w:rsid w:val="00422F76"/>
    <w:rsid w:val="00423F56"/>
    <w:rsid w:val="00424188"/>
    <w:rsid w:val="00424AA5"/>
    <w:rsid w:val="00424B90"/>
    <w:rsid w:val="00425A55"/>
    <w:rsid w:val="004262EE"/>
    <w:rsid w:val="004263BD"/>
    <w:rsid w:val="00426FBF"/>
    <w:rsid w:val="00430249"/>
    <w:rsid w:val="004303FF"/>
    <w:rsid w:val="00431A0E"/>
    <w:rsid w:val="00431E2C"/>
    <w:rsid w:val="00432CC8"/>
    <w:rsid w:val="00433BCD"/>
    <w:rsid w:val="0043707F"/>
    <w:rsid w:val="004403E6"/>
    <w:rsid w:val="004405F5"/>
    <w:rsid w:val="0044129B"/>
    <w:rsid w:val="00441468"/>
    <w:rsid w:val="00441D94"/>
    <w:rsid w:val="00445C94"/>
    <w:rsid w:val="00446838"/>
    <w:rsid w:val="00446F59"/>
    <w:rsid w:val="0045195F"/>
    <w:rsid w:val="00451A8F"/>
    <w:rsid w:val="00452F08"/>
    <w:rsid w:val="00453E5F"/>
    <w:rsid w:val="00453FBD"/>
    <w:rsid w:val="0045439C"/>
    <w:rsid w:val="004555D1"/>
    <w:rsid w:val="00455C90"/>
    <w:rsid w:val="0045727E"/>
    <w:rsid w:val="004577E4"/>
    <w:rsid w:val="00457C22"/>
    <w:rsid w:val="004604B8"/>
    <w:rsid w:val="004612BB"/>
    <w:rsid w:val="00462FEE"/>
    <w:rsid w:val="00464032"/>
    <w:rsid w:val="004652C7"/>
    <w:rsid w:val="004657E5"/>
    <w:rsid w:val="00466AFE"/>
    <w:rsid w:val="00467E4B"/>
    <w:rsid w:val="004726E7"/>
    <w:rsid w:val="00472F53"/>
    <w:rsid w:val="004750D1"/>
    <w:rsid w:val="00475D8F"/>
    <w:rsid w:val="00476CAE"/>
    <w:rsid w:val="00477177"/>
    <w:rsid w:val="00480166"/>
    <w:rsid w:val="00480224"/>
    <w:rsid w:val="00481094"/>
    <w:rsid w:val="00481596"/>
    <w:rsid w:val="004828BB"/>
    <w:rsid w:val="00483481"/>
    <w:rsid w:val="0048571D"/>
    <w:rsid w:val="00485844"/>
    <w:rsid w:val="00485BF2"/>
    <w:rsid w:val="00487A3C"/>
    <w:rsid w:val="00490460"/>
    <w:rsid w:val="004904A9"/>
    <w:rsid w:val="00491637"/>
    <w:rsid w:val="004927BF"/>
    <w:rsid w:val="004940BA"/>
    <w:rsid w:val="00494872"/>
    <w:rsid w:val="00494DD0"/>
    <w:rsid w:val="00494FD0"/>
    <w:rsid w:val="0049606B"/>
    <w:rsid w:val="00496B15"/>
    <w:rsid w:val="00497542"/>
    <w:rsid w:val="0049782F"/>
    <w:rsid w:val="004A25B4"/>
    <w:rsid w:val="004A5B15"/>
    <w:rsid w:val="004B1190"/>
    <w:rsid w:val="004B1CF6"/>
    <w:rsid w:val="004B2371"/>
    <w:rsid w:val="004B2C4C"/>
    <w:rsid w:val="004B3D57"/>
    <w:rsid w:val="004B4CF3"/>
    <w:rsid w:val="004B5506"/>
    <w:rsid w:val="004B681D"/>
    <w:rsid w:val="004C07CD"/>
    <w:rsid w:val="004C150B"/>
    <w:rsid w:val="004C3013"/>
    <w:rsid w:val="004C3988"/>
    <w:rsid w:val="004C3A81"/>
    <w:rsid w:val="004C4329"/>
    <w:rsid w:val="004C5106"/>
    <w:rsid w:val="004C57F2"/>
    <w:rsid w:val="004C65C6"/>
    <w:rsid w:val="004C7911"/>
    <w:rsid w:val="004D0F12"/>
    <w:rsid w:val="004D1719"/>
    <w:rsid w:val="004D178B"/>
    <w:rsid w:val="004D1C9A"/>
    <w:rsid w:val="004D2844"/>
    <w:rsid w:val="004D5595"/>
    <w:rsid w:val="004D5B35"/>
    <w:rsid w:val="004D7003"/>
    <w:rsid w:val="004D7852"/>
    <w:rsid w:val="004D7DC0"/>
    <w:rsid w:val="004E03AA"/>
    <w:rsid w:val="004E03AB"/>
    <w:rsid w:val="004E0E25"/>
    <w:rsid w:val="004E1235"/>
    <w:rsid w:val="004E1385"/>
    <w:rsid w:val="004E1892"/>
    <w:rsid w:val="004E245E"/>
    <w:rsid w:val="004E261C"/>
    <w:rsid w:val="004E2EDE"/>
    <w:rsid w:val="004E3975"/>
    <w:rsid w:val="004E39D5"/>
    <w:rsid w:val="004E6265"/>
    <w:rsid w:val="004E7BBF"/>
    <w:rsid w:val="004E7BEC"/>
    <w:rsid w:val="004E7D23"/>
    <w:rsid w:val="004F2154"/>
    <w:rsid w:val="004F26FB"/>
    <w:rsid w:val="004F2A98"/>
    <w:rsid w:val="004F3402"/>
    <w:rsid w:val="004F41F0"/>
    <w:rsid w:val="004F4721"/>
    <w:rsid w:val="004F6625"/>
    <w:rsid w:val="00501A7E"/>
    <w:rsid w:val="00503280"/>
    <w:rsid w:val="00503402"/>
    <w:rsid w:val="00505F74"/>
    <w:rsid w:val="00506771"/>
    <w:rsid w:val="005076ED"/>
    <w:rsid w:val="00510627"/>
    <w:rsid w:val="00510BCB"/>
    <w:rsid w:val="00510C68"/>
    <w:rsid w:val="00513C47"/>
    <w:rsid w:val="00513F9E"/>
    <w:rsid w:val="0051439F"/>
    <w:rsid w:val="00515C2B"/>
    <w:rsid w:val="005164D6"/>
    <w:rsid w:val="0051694A"/>
    <w:rsid w:val="00516C7F"/>
    <w:rsid w:val="005208C2"/>
    <w:rsid w:val="00523C93"/>
    <w:rsid w:val="005249C4"/>
    <w:rsid w:val="00525271"/>
    <w:rsid w:val="0052554A"/>
    <w:rsid w:val="00526027"/>
    <w:rsid w:val="00526116"/>
    <w:rsid w:val="00526473"/>
    <w:rsid w:val="005269BF"/>
    <w:rsid w:val="00526A74"/>
    <w:rsid w:val="00530B8C"/>
    <w:rsid w:val="00534446"/>
    <w:rsid w:val="005347C7"/>
    <w:rsid w:val="005349EA"/>
    <w:rsid w:val="00534A99"/>
    <w:rsid w:val="005367C0"/>
    <w:rsid w:val="00540440"/>
    <w:rsid w:val="0054128D"/>
    <w:rsid w:val="00543B57"/>
    <w:rsid w:val="00543EDB"/>
    <w:rsid w:val="00545B38"/>
    <w:rsid w:val="00546265"/>
    <w:rsid w:val="00546F21"/>
    <w:rsid w:val="00552069"/>
    <w:rsid w:val="00552F43"/>
    <w:rsid w:val="00553D5E"/>
    <w:rsid w:val="005547CA"/>
    <w:rsid w:val="00555902"/>
    <w:rsid w:val="005567C5"/>
    <w:rsid w:val="005602A6"/>
    <w:rsid w:val="005610F4"/>
    <w:rsid w:val="00561FB7"/>
    <w:rsid w:val="00562330"/>
    <w:rsid w:val="00563B87"/>
    <w:rsid w:val="00564341"/>
    <w:rsid w:val="00564E32"/>
    <w:rsid w:val="005651D1"/>
    <w:rsid w:val="005659C6"/>
    <w:rsid w:val="00566778"/>
    <w:rsid w:val="005672BA"/>
    <w:rsid w:val="005707B8"/>
    <w:rsid w:val="00571182"/>
    <w:rsid w:val="0057223E"/>
    <w:rsid w:val="00573217"/>
    <w:rsid w:val="00574870"/>
    <w:rsid w:val="00574EF5"/>
    <w:rsid w:val="005764AA"/>
    <w:rsid w:val="00576B8C"/>
    <w:rsid w:val="005778C4"/>
    <w:rsid w:val="005806BD"/>
    <w:rsid w:val="0058131C"/>
    <w:rsid w:val="00582E95"/>
    <w:rsid w:val="00582F42"/>
    <w:rsid w:val="0058467A"/>
    <w:rsid w:val="0058482C"/>
    <w:rsid w:val="00584982"/>
    <w:rsid w:val="00585170"/>
    <w:rsid w:val="00585A0E"/>
    <w:rsid w:val="005875E4"/>
    <w:rsid w:val="00590A3E"/>
    <w:rsid w:val="005921D8"/>
    <w:rsid w:val="00593485"/>
    <w:rsid w:val="00595A27"/>
    <w:rsid w:val="00597203"/>
    <w:rsid w:val="00597E81"/>
    <w:rsid w:val="005A0078"/>
    <w:rsid w:val="005A0496"/>
    <w:rsid w:val="005A1F71"/>
    <w:rsid w:val="005A26F9"/>
    <w:rsid w:val="005A2FDA"/>
    <w:rsid w:val="005A3615"/>
    <w:rsid w:val="005A6D34"/>
    <w:rsid w:val="005A7F63"/>
    <w:rsid w:val="005B060F"/>
    <w:rsid w:val="005B1B6C"/>
    <w:rsid w:val="005B1F92"/>
    <w:rsid w:val="005B30FA"/>
    <w:rsid w:val="005B536F"/>
    <w:rsid w:val="005B5A81"/>
    <w:rsid w:val="005B63EF"/>
    <w:rsid w:val="005B6E1F"/>
    <w:rsid w:val="005B73BC"/>
    <w:rsid w:val="005C230F"/>
    <w:rsid w:val="005C30D6"/>
    <w:rsid w:val="005C3E66"/>
    <w:rsid w:val="005C5584"/>
    <w:rsid w:val="005C7956"/>
    <w:rsid w:val="005C7B5F"/>
    <w:rsid w:val="005D17B9"/>
    <w:rsid w:val="005D180D"/>
    <w:rsid w:val="005D1E4F"/>
    <w:rsid w:val="005D3602"/>
    <w:rsid w:val="005D3CA5"/>
    <w:rsid w:val="005D4580"/>
    <w:rsid w:val="005D4A1E"/>
    <w:rsid w:val="005D64E2"/>
    <w:rsid w:val="005D7EF5"/>
    <w:rsid w:val="005E0E7C"/>
    <w:rsid w:val="005E2E82"/>
    <w:rsid w:val="005E382B"/>
    <w:rsid w:val="005E3959"/>
    <w:rsid w:val="005E4838"/>
    <w:rsid w:val="005E484D"/>
    <w:rsid w:val="005E49EE"/>
    <w:rsid w:val="005E4E31"/>
    <w:rsid w:val="005E6276"/>
    <w:rsid w:val="005E6D97"/>
    <w:rsid w:val="005E7257"/>
    <w:rsid w:val="005F0A86"/>
    <w:rsid w:val="005F49AD"/>
    <w:rsid w:val="005F5D80"/>
    <w:rsid w:val="005F6F18"/>
    <w:rsid w:val="006000EF"/>
    <w:rsid w:val="00602607"/>
    <w:rsid w:val="00602639"/>
    <w:rsid w:val="0060490F"/>
    <w:rsid w:val="00604FA3"/>
    <w:rsid w:val="006052A9"/>
    <w:rsid w:val="006058F1"/>
    <w:rsid w:val="006061FF"/>
    <w:rsid w:val="006062C1"/>
    <w:rsid w:val="00606325"/>
    <w:rsid w:val="006067D3"/>
    <w:rsid w:val="00610284"/>
    <w:rsid w:val="00610A7E"/>
    <w:rsid w:val="0061294D"/>
    <w:rsid w:val="006133C3"/>
    <w:rsid w:val="00613643"/>
    <w:rsid w:val="006146CD"/>
    <w:rsid w:val="006153F1"/>
    <w:rsid w:val="006155B1"/>
    <w:rsid w:val="00615F74"/>
    <w:rsid w:val="00620599"/>
    <w:rsid w:val="00621673"/>
    <w:rsid w:val="006243DE"/>
    <w:rsid w:val="0062569A"/>
    <w:rsid w:val="0062587D"/>
    <w:rsid w:val="006269DA"/>
    <w:rsid w:val="006308CE"/>
    <w:rsid w:val="0063349A"/>
    <w:rsid w:val="00633CB9"/>
    <w:rsid w:val="00634520"/>
    <w:rsid w:val="006363E8"/>
    <w:rsid w:val="00637879"/>
    <w:rsid w:val="0063796E"/>
    <w:rsid w:val="00637EF8"/>
    <w:rsid w:val="00640667"/>
    <w:rsid w:val="00641086"/>
    <w:rsid w:val="00643257"/>
    <w:rsid w:val="00645D2E"/>
    <w:rsid w:val="00647154"/>
    <w:rsid w:val="0065093E"/>
    <w:rsid w:val="0065099A"/>
    <w:rsid w:val="00652420"/>
    <w:rsid w:val="00652BDE"/>
    <w:rsid w:val="006537CC"/>
    <w:rsid w:val="00655D74"/>
    <w:rsid w:val="00656410"/>
    <w:rsid w:val="00656E7D"/>
    <w:rsid w:val="00656EC8"/>
    <w:rsid w:val="00656F1F"/>
    <w:rsid w:val="00660669"/>
    <w:rsid w:val="00664C74"/>
    <w:rsid w:val="00665C54"/>
    <w:rsid w:val="006665C7"/>
    <w:rsid w:val="0066663D"/>
    <w:rsid w:val="00674F64"/>
    <w:rsid w:val="006767F1"/>
    <w:rsid w:val="00677553"/>
    <w:rsid w:val="006801AB"/>
    <w:rsid w:val="00680FD2"/>
    <w:rsid w:val="006816D0"/>
    <w:rsid w:val="00682BAB"/>
    <w:rsid w:val="006853C5"/>
    <w:rsid w:val="00686646"/>
    <w:rsid w:val="006867C0"/>
    <w:rsid w:val="00687BBD"/>
    <w:rsid w:val="00691320"/>
    <w:rsid w:val="006922DD"/>
    <w:rsid w:val="006933D8"/>
    <w:rsid w:val="006944E4"/>
    <w:rsid w:val="00696D2D"/>
    <w:rsid w:val="00697B20"/>
    <w:rsid w:val="006A1730"/>
    <w:rsid w:val="006A3A40"/>
    <w:rsid w:val="006A58CE"/>
    <w:rsid w:val="006A6D7B"/>
    <w:rsid w:val="006B0303"/>
    <w:rsid w:val="006B0676"/>
    <w:rsid w:val="006B0925"/>
    <w:rsid w:val="006B4195"/>
    <w:rsid w:val="006B4358"/>
    <w:rsid w:val="006B4370"/>
    <w:rsid w:val="006B4D64"/>
    <w:rsid w:val="006B521F"/>
    <w:rsid w:val="006B5907"/>
    <w:rsid w:val="006B6C71"/>
    <w:rsid w:val="006C22EB"/>
    <w:rsid w:val="006C3658"/>
    <w:rsid w:val="006C3F90"/>
    <w:rsid w:val="006C6691"/>
    <w:rsid w:val="006C6929"/>
    <w:rsid w:val="006C7969"/>
    <w:rsid w:val="006D2934"/>
    <w:rsid w:val="006D3C01"/>
    <w:rsid w:val="006D4D15"/>
    <w:rsid w:val="006D5EDC"/>
    <w:rsid w:val="006D660B"/>
    <w:rsid w:val="006D7D3C"/>
    <w:rsid w:val="006E00A2"/>
    <w:rsid w:val="006E2151"/>
    <w:rsid w:val="006E21C4"/>
    <w:rsid w:val="006E2C5C"/>
    <w:rsid w:val="006E397C"/>
    <w:rsid w:val="006E4103"/>
    <w:rsid w:val="006E46F5"/>
    <w:rsid w:val="006E477A"/>
    <w:rsid w:val="006E4C98"/>
    <w:rsid w:val="006E565B"/>
    <w:rsid w:val="006E5BCC"/>
    <w:rsid w:val="006E6A15"/>
    <w:rsid w:val="006F0041"/>
    <w:rsid w:val="006F10EE"/>
    <w:rsid w:val="006F1131"/>
    <w:rsid w:val="006F4503"/>
    <w:rsid w:val="006F47B2"/>
    <w:rsid w:val="006F6295"/>
    <w:rsid w:val="006F645D"/>
    <w:rsid w:val="00701521"/>
    <w:rsid w:val="00703A86"/>
    <w:rsid w:val="0070675E"/>
    <w:rsid w:val="00706EF5"/>
    <w:rsid w:val="00706F76"/>
    <w:rsid w:val="0070717B"/>
    <w:rsid w:val="00710943"/>
    <w:rsid w:val="00710DB1"/>
    <w:rsid w:val="007147B4"/>
    <w:rsid w:val="00717585"/>
    <w:rsid w:val="00717AAE"/>
    <w:rsid w:val="0072007E"/>
    <w:rsid w:val="00722114"/>
    <w:rsid w:val="007236EC"/>
    <w:rsid w:val="0072422B"/>
    <w:rsid w:val="007242B5"/>
    <w:rsid w:val="007263D7"/>
    <w:rsid w:val="0072795A"/>
    <w:rsid w:val="00732ADD"/>
    <w:rsid w:val="00736046"/>
    <w:rsid w:val="00736245"/>
    <w:rsid w:val="00736690"/>
    <w:rsid w:val="0073702D"/>
    <w:rsid w:val="007406D7"/>
    <w:rsid w:val="00740D8F"/>
    <w:rsid w:val="00745947"/>
    <w:rsid w:val="0075277D"/>
    <w:rsid w:val="00752B15"/>
    <w:rsid w:val="00752DE9"/>
    <w:rsid w:val="0075371F"/>
    <w:rsid w:val="00756871"/>
    <w:rsid w:val="00756CE8"/>
    <w:rsid w:val="00757C78"/>
    <w:rsid w:val="00760658"/>
    <w:rsid w:val="0076116E"/>
    <w:rsid w:val="00761466"/>
    <w:rsid w:val="007632BF"/>
    <w:rsid w:val="007648AD"/>
    <w:rsid w:val="007669EC"/>
    <w:rsid w:val="0076733E"/>
    <w:rsid w:val="00767469"/>
    <w:rsid w:val="0077016E"/>
    <w:rsid w:val="0077094A"/>
    <w:rsid w:val="0077203C"/>
    <w:rsid w:val="0077303C"/>
    <w:rsid w:val="00773ED8"/>
    <w:rsid w:val="00774252"/>
    <w:rsid w:val="007765F7"/>
    <w:rsid w:val="00777307"/>
    <w:rsid w:val="00777FBF"/>
    <w:rsid w:val="00781AA5"/>
    <w:rsid w:val="00781C95"/>
    <w:rsid w:val="00786615"/>
    <w:rsid w:val="0078748B"/>
    <w:rsid w:val="0078773A"/>
    <w:rsid w:val="00787B8F"/>
    <w:rsid w:val="00790662"/>
    <w:rsid w:val="00793FAA"/>
    <w:rsid w:val="007952CA"/>
    <w:rsid w:val="00795387"/>
    <w:rsid w:val="00795B2D"/>
    <w:rsid w:val="007978A5"/>
    <w:rsid w:val="007A15B5"/>
    <w:rsid w:val="007A1B1C"/>
    <w:rsid w:val="007A1F82"/>
    <w:rsid w:val="007A24C5"/>
    <w:rsid w:val="007A2819"/>
    <w:rsid w:val="007A2A89"/>
    <w:rsid w:val="007A377A"/>
    <w:rsid w:val="007A43BB"/>
    <w:rsid w:val="007A6C94"/>
    <w:rsid w:val="007A7EE9"/>
    <w:rsid w:val="007B056A"/>
    <w:rsid w:val="007B09D0"/>
    <w:rsid w:val="007B5710"/>
    <w:rsid w:val="007B6037"/>
    <w:rsid w:val="007B6D61"/>
    <w:rsid w:val="007B7728"/>
    <w:rsid w:val="007C11B9"/>
    <w:rsid w:val="007C4EF7"/>
    <w:rsid w:val="007C4F8C"/>
    <w:rsid w:val="007C52AD"/>
    <w:rsid w:val="007C556A"/>
    <w:rsid w:val="007C6856"/>
    <w:rsid w:val="007C6F2F"/>
    <w:rsid w:val="007C7604"/>
    <w:rsid w:val="007D0202"/>
    <w:rsid w:val="007D0AB2"/>
    <w:rsid w:val="007D0E34"/>
    <w:rsid w:val="007D288C"/>
    <w:rsid w:val="007D2F75"/>
    <w:rsid w:val="007D48E9"/>
    <w:rsid w:val="007D54FE"/>
    <w:rsid w:val="007D5A65"/>
    <w:rsid w:val="007D5CE9"/>
    <w:rsid w:val="007D7A6D"/>
    <w:rsid w:val="007E1122"/>
    <w:rsid w:val="007E1391"/>
    <w:rsid w:val="007E6189"/>
    <w:rsid w:val="007E6251"/>
    <w:rsid w:val="007E6D09"/>
    <w:rsid w:val="007E72A6"/>
    <w:rsid w:val="007E7D4C"/>
    <w:rsid w:val="007F06FB"/>
    <w:rsid w:val="007F0E25"/>
    <w:rsid w:val="007F15E7"/>
    <w:rsid w:val="007F4215"/>
    <w:rsid w:val="007F44E6"/>
    <w:rsid w:val="007F54D7"/>
    <w:rsid w:val="007F5BB9"/>
    <w:rsid w:val="007F791B"/>
    <w:rsid w:val="007F79A7"/>
    <w:rsid w:val="007F7D66"/>
    <w:rsid w:val="00800857"/>
    <w:rsid w:val="00801DF4"/>
    <w:rsid w:val="00801F01"/>
    <w:rsid w:val="008042CA"/>
    <w:rsid w:val="00806BB2"/>
    <w:rsid w:val="00806DB4"/>
    <w:rsid w:val="00807F05"/>
    <w:rsid w:val="0081013E"/>
    <w:rsid w:val="00810A6A"/>
    <w:rsid w:val="00810EDE"/>
    <w:rsid w:val="00812B4F"/>
    <w:rsid w:val="008137D7"/>
    <w:rsid w:val="008143C2"/>
    <w:rsid w:val="00814673"/>
    <w:rsid w:val="00814B4C"/>
    <w:rsid w:val="00814B7B"/>
    <w:rsid w:val="00814C05"/>
    <w:rsid w:val="00815A29"/>
    <w:rsid w:val="00815A65"/>
    <w:rsid w:val="00816E97"/>
    <w:rsid w:val="00820B3D"/>
    <w:rsid w:val="00822242"/>
    <w:rsid w:val="008225A5"/>
    <w:rsid w:val="00822692"/>
    <w:rsid w:val="0082574B"/>
    <w:rsid w:val="00830841"/>
    <w:rsid w:val="00830882"/>
    <w:rsid w:val="008314DD"/>
    <w:rsid w:val="00831885"/>
    <w:rsid w:val="008323E3"/>
    <w:rsid w:val="00835B3D"/>
    <w:rsid w:val="00835F65"/>
    <w:rsid w:val="0083671F"/>
    <w:rsid w:val="008367F2"/>
    <w:rsid w:val="00836B20"/>
    <w:rsid w:val="0083705E"/>
    <w:rsid w:val="008403CA"/>
    <w:rsid w:val="00840E76"/>
    <w:rsid w:val="00842CD8"/>
    <w:rsid w:val="008434B8"/>
    <w:rsid w:val="00843CC9"/>
    <w:rsid w:val="00845442"/>
    <w:rsid w:val="008508EC"/>
    <w:rsid w:val="00850F2D"/>
    <w:rsid w:val="00852B43"/>
    <w:rsid w:val="008543CC"/>
    <w:rsid w:val="00856AD5"/>
    <w:rsid w:val="00860F90"/>
    <w:rsid w:val="00861654"/>
    <w:rsid w:val="00861712"/>
    <w:rsid w:val="00861724"/>
    <w:rsid w:val="0086221B"/>
    <w:rsid w:val="00862C73"/>
    <w:rsid w:val="008634EF"/>
    <w:rsid w:val="00863F46"/>
    <w:rsid w:val="0086518E"/>
    <w:rsid w:val="008654D3"/>
    <w:rsid w:val="00867746"/>
    <w:rsid w:val="00870D93"/>
    <w:rsid w:val="00872718"/>
    <w:rsid w:val="0087387A"/>
    <w:rsid w:val="0087495B"/>
    <w:rsid w:val="00877132"/>
    <w:rsid w:val="0087752B"/>
    <w:rsid w:val="00880C15"/>
    <w:rsid w:val="00881913"/>
    <w:rsid w:val="008835D7"/>
    <w:rsid w:val="00883B48"/>
    <w:rsid w:val="00884AC2"/>
    <w:rsid w:val="00884B74"/>
    <w:rsid w:val="0088715E"/>
    <w:rsid w:val="00891583"/>
    <w:rsid w:val="00891731"/>
    <w:rsid w:val="008948F1"/>
    <w:rsid w:val="00896071"/>
    <w:rsid w:val="0089670F"/>
    <w:rsid w:val="0089683F"/>
    <w:rsid w:val="008A0647"/>
    <w:rsid w:val="008A0ABE"/>
    <w:rsid w:val="008A0B21"/>
    <w:rsid w:val="008A0ED8"/>
    <w:rsid w:val="008A126D"/>
    <w:rsid w:val="008A13B2"/>
    <w:rsid w:val="008A14F4"/>
    <w:rsid w:val="008A487B"/>
    <w:rsid w:val="008A50D0"/>
    <w:rsid w:val="008A5101"/>
    <w:rsid w:val="008A7202"/>
    <w:rsid w:val="008A7283"/>
    <w:rsid w:val="008B1D80"/>
    <w:rsid w:val="008B56A4"/>
    <w:rsid w:val="008C06C2"/>
    <w:rsid w:val="008C1BC9"/>
    <w:rsid w:val="008C2118"/>
    <w:rsid w:val="008C3339"/>
    <w:rsid w:val="008C3EEA"/>
    <w:rsid w:val="008C59C7"/>
    <w:rsid w:val="008C5A18"/>
    <w:rsid w:val="008C5DAE"/>
    <w:rsid w:val="008C7E8D"/>
    <w:rsid w:val="008D0D5C"/>
    <w:rsid w:val="008D2F90"/>
    <w:rsid w:val="008D4BEA"/>
    <w:rsid w:val="008D636E"/>
    <w:rsid w:val="008D6DCF"/>
    <w:rsid w:val="008D7496"/>
    <w:rsid w:val="008D7C22"/>
    <w:rsid w:val="008D7D5B"/>
    <w:rsid w:val="008E1A70"/>
    <w:rsid w:val="008E25F1"/>
    <w:rsid w:val="008E277B"/>
    <w:rsid w:val="008E5EF1"/>
    <w:rsid w:val="008E637F"/>
    <w:rsid w:val="008E7428"/>
    <w:rsid w:val="008E7484"/>
    <w:rsid w:val="008F0173"/>
    <w:rsid w:val="008F1CEC"/>
    <w:rsid w:val="008F28E9"/>
    <w:rsid w:val="008F2DD6"/>
    <w:rsid w:val="008F62A9"/>
    <w:rsid w:val="008F6B98"/>
    <w:rsid w:val="0090092C"/>
    <w:rsid w:val="009014D4"/>
    <w:rsid w:val="00903136"/>
    <w:rsid w:val="00905DCF"/>
    <w:rsid w:val="00906010"/>
    <w:rsid w:val="009130D9"/>
    <w:rsid w:val="00914E9B"/>
    <w:rsid w:val="009160A3"/>
    <w:rsid w:val="009169FB"/>
    <w:rsid w:val="009177C7"/>
    <w:rsid w:val="00917D72"/>
    <w:rsid w:val="0092014D"/>
    <w:rsid w:val="00921166"/>
    <w:rsid w:val="00921EC5"/>
    <w:rsid w:val="00922E5B"/>
    <w:rsid w:val="00926106"/>
    <w:rsid w:val="00926523"/>
    <w:rsid w:val="00926A40"/>
    <w:rsid w:val="0093200D"/>
    <w:rsid w:val="00932C02"/>
    <w:rsid w:val="00932DEF"/>
    <w:rsid w:val="00937811"/>
    <w:rsid w:val="009404AF"/>
    <w:rsid w:val="00942755"/>
    <w:rsid w:val="00942A4C"/>
    <w:rsid w:val="00942B18"/>
    <w:rsid w:val="00942B31"/>
    <w:rsid w:val="00945010"/>
    <w:rsid w:val="00945473"/>
    <w:rsid w:val="00945646"/>
    <w:rsid w:val="0094571D"/>
    <w:rsid w:val="00946ABF"/>
    <w:rsid w:val="00951068"/>
    <w:rsid w:val="009518C9"/>
    <w:rsid w:val="00951D03"/>
    <w:rsid w:val="00953A26"/>
    <w:rsid w:val="0095557E"/>
    <w:rsid w:val="009559E6"/>
    <w:rsid w:val="00956612"/>
    <w:rsid w:val="00960C53"/>
    <w:rsid w:val="00961AF6"/>
    <w:rsid w:val="00962733"/>
    <w:rsid w:val="0096419D"/>
    <w:rsid w:val="00965803"/>
    <w:rsid w:val="00965EF5"/>
    <w:rsid w:val="00971DA7"/>
    <w:rsid w:val="00972D71"/>
    <w:rsid w:val="00973678"/>
    <w:rsid w:val="009771D8"/>
    <w:rsid w:val="009773CA"/>
    <w:rsid w:val="00977922"/>
    <w:rsid w:val="00977DBF"/>
    <w:rsid w:val="00980235"/>
    <w:rsid w:val="00981AD9"/>
    <w:rsid w:val="00982550"/>
    <w:rsid w:val="009826EB"/>
    <w:rsid w:val="009849A7"/>
    <w:rsid w:val="009852B8"/>
    <w:rsid w:val="00986493"/>
    <w:rsid w:val="009877D6"/>
    <w:rsid w:val="00987C77"/>
    <w:rsid w:val="00992F64"/>
    <w:rsid w:val="00993B25"/>
    <w:rsid w:val="0099414D"/>
    <w:rsid w:val="00997F8F"/>
    <w:rsid w:val="009A06DA"/>
    <w:rsid w:val="009A1CCE"/>
    <w:rsid w:val="009A4AEF"/>
    <w:rsid w:val="009A79D5"/>
    <w:rsid w:val="009B1638"/>
    <w:rsid w:val="009B2194"/>
    <w:rsid w:val="009B33A8"/>
    <w:rsid w:val="009B406E"/>
    <w:rsid w:val="009B461F"/>
    <w:rsid w:val="009B7640"/>
    <w:rsid w:val="009B7B03"/>
    <w:rsid w:val="009C0341"/>
    <w:rsid w:val="009C0537"/>
    <w:rsid w:val="009C0A77"/>
    <w:rsid w:val="009C2108"/>
    <w:rsid w:val="009C21BB"/>
    <w:rsid w:val="009C2615"/>
    <w:rsid w:val="009C2F83"/>
    <w:rsid w:val="009C7A17"/>
    <w:rsid w:val="009D053B"/>
    <w:rsid w:val="009D0DC3"/>
    <w:rsid w:val="009D4762"/>
    <w:rsid w:val="009D4F6A"/>
    <w:rsid w:val="009E0335"/>
    <w:rsid w:val="009E0C0F"/>
    <w:rsid w:val="009E0D3E"/>
    <w:rsid w:val="009E112B"/>
    <w:rsid w:val="009E277D"/>
    <w:rsid w:val="009E2BF7"/>
    <w:rsid w:val="009E395F"/>
    <w:rsid w:val="009E3E1E"/>
    <w:rsid w:val="009E4CD8"/>
    <w:rsid w:val="009E5E3E"/>
    <w:rsid w:val="009E6CCA"/>
    <w:rsid w:val="009E7553"/>
    <w:rsid w:val="009F2060"/>
    <w:rsid w:val="009F257F"/>
    <w:rsid w:val="009F326A"/>
    <w:rsid w:val="009F347F"/>
    <w:rsid w:val="009F53F0"/>
    <w:rsid w:val="009F5ADA"/>
    <w:rsid w:val="009F5F16"/>
    <w:rsid w:val="009F6421"/>
    <w:rsid w:val="00A0247B"/>
    <w:rsid w:val="00A03368"/>
    <w:rsid w:val="00A046B1"/>
    <w:rsid w:val="00A046F3"/>
    <w:rsid w:val="00A052AF"/>
    <w:rsid w:val="00A0657E"/>
    <w:rsid w:val="00A07196"/>
    <w:rsid w:val="00A12A70"/>
    <w:rsid w:val="00A12D7A"/>
    <w:rsid w:val="00A12EA6"/>
    <w:rsid w:val="00A13DA0"/>
    <w:rsid w:val="00A15004"/>
    <w:rsid w:val="00A15DC7"/>
    <w:rsid w:val="00A160C6"/>
    <w:rsid w:val="00A1668F"/>
    <w:rsid w:val="00A16E33"/>
    <w:rsid w:val="00A2019B"/>
    <w:rsid w:val="00A211EE"/>
    <w:rsid w:val="00A234FB"/>
    <w:rsid w:val="00A23F35"/>
    <w:rsid w:val="00A24E66"/>
    <w:rsid w:val="00A25BB7"/>
    <w:rsid w:val="00A27BE2"/>
    <w:rsid w:val="00A32266"/>
    <w:rsid w:val="00A32F75"/>
    <w:rsid w:val="00A331EB"/>
    <w:rsid w:val="00A3501F"/>
    <w:rsid w:val="00A35856"/>
    <w:rsid w:val="00A35CBF"/>
    <w:rsid w:val="00A36185"/>
    <w:rsid w:val="00A364A2"/>
    <w:rsid w:val="00A36BA4"/>
    <w:rsid w:val="00A4072A"/>
    <w:rsid w:val="00A409EF"/>
    <w:rsid w:val="00A40DCD"/>
    <w:rsid w:val="00A415F8"/>
    <w:rsid w:val="00A42567"/>
    <w:rsid w:val="00A443DC"/>
    <w:rsid w:val="00A44595"/>
    <w:rsid w:val="00A45B1B"/>
    <w:rsid w:val="00A45B37"/>
    <w:rsid w:val="00A465A2"/>
    <w:rsid w:val="00A4761B"/>
    <w:rsid w:val="00A52039"/>
    <w:rsid w:val="00A52047"/>
    <w:rsid w:val="00A524D2"/>
    <w:rsid w:val="00A5278F"/>
    <w:rsid w:val="00A5353E"/>
    <w:rsid w:val="00A53A1A"/>
    <w:rsid w:val="00A53B9A"/>
    <w:rsid w:val="00A5452D"/>
    <w:rsid w:val="00A55F6E"/>
    <w:rsid w:val="00A5641C"/>
    <w:rsid w:val="00A56CDA"/>
    <w:rsid w:val="00A602B1"/>
    <w:rsid w:val="00A61E40"/>
    <w:rsid w:val="00A62782"/>
    <w:rsid w:val="00A6390F"/>
    <w:rsid w:val="00A63B00"/>
    <w:rsid w:val="00A64360"/>
    <w:rsid w:val="00A64525"/>
    <w:rsid w:val="00A6457B"/>
    <w:rsid w:val="00A64FBE"/>
    <w:rsid w:val="00A660D7"/>
    <w:rsid w:val="00A6672A"/>
    <w:rsid w:val="00A67C96"/>
    <w:rsid w:val="00A67DDD"/>
    <w:rsid w:val="00A72F01"/>
    <w:rsid w:val="00A7316E"/>
    <w:rsid w:val="00A731A7"/>
    <w:rsid w:val="00A73DCE"/>
    <w:rsid w:val="00A755C6"/>
    <w:rsid w:val="00A76778"/>
    <w:rsid w:val="00A801BE"/>
    <w:rsid w:val="00A8023B"/>
    <w:rsid w:val="00A81F10"/>
    <w:rsid w:val="00A82EE6"/>
    <w:rsid w:val="00A83E7A"/>
    <w:rsid w:val="00A84069"/>
    <w:rsid w:val="00A8608C"/>
    <w:rsid w:val="00A91D14"/>
    <w:rsid w:val="00A925B6"/>
    <w:rsid w:val="00A92619"/>
    <w:rsid w:val="00A92845"/>
    <w:rsid w:val="00A93641"/>
    <w:rsid w:val="00A93C4F"/>
    <w:rsid w:val="00A93CAC"/>
    <w:rsid w:val="00A93D93"/>
    <w:rsid w:val="00A94AD9"/>
    <w:rsid w:val="00A94EF6"/>
    <w:rsid w:val="00A955F5"/>
    <w:rsid w:val="00A96429"/>
    <w:rsid w:val="00A9666C"/>
    <w:rsid w:val="00A97331"/>
    <w:rsid w:val="00AA1090"/>
    <w:rsid w:val="00AA324D"/>
    <w:rsid w:val="00AA36D8"/>
    <w:rsid w:val="00AA601A"/>
    <w:rsid w:val="00AA6E6D"/>
    <w:rsid w:val="00AB062C"/>
    <w:rsid w:val="00AB080E"/>
    <w:rsid w:val="00AB0AA8"/>
    <w:rsid w:val="00AB2FCF"/>
    <w:rsid w:val="00AB42C2"/>
    <w:rsid w:val="00AB42F9"/>
    <w:rsid w:val="00AB5265"/>
    <w:rsid w:val="00AB57D5"/>
    <w:rsid w:val="00AB5A46"/>
    <w:rsid w:val="00AB60DE"/>
    <w:rsid w:val="00AC0707"/>
    <w:rsid w:val="00AC0EA2"/>
    <w:rsid w:val="00AC28C8"/>
    <w:rsid w:val="00AC4B66"/>
    <w:rsid w:val="00AC583B"/>
    <w:rsid w:val="00AC5A93"/>
    <w:rsid w:val="00AC6028"/>
    <w:rsid w:val="00AC7999"/>
    <w:rsid w:val="00AC7A6D"/>
    <w:rsid w:val="00AD0A20"/>
    <w:rsid w:val="00AD1330"/>
    <w:rsid w:val="00AD1331"/>
    <w:rsid w:val="00AD20E5"/>
    <w:rsid w:val="00AD3B5D"/>
    <w:rsid w:val="00AD464C"/>
    <w:rsid w:val="00AD623F"/>
    <w:rsid w:val="00AD630F"/>
    <w:rsid w:val="00AD6E27"/>
    <w:rsid w:val="00AE3799"/>
    <w:rsid w:val="00AE3E0F"/>
    <w:rsid w:val="00AE6B48"/>
    <w:rsid w:val="00AF01EC"/>
    <w:rsid w:val="00AF0EA5"/>
    <w:rsid w:val="00AF19DE"/>
    <w:rsid w:val="00AF2D4C"/>
    <w:rsid w:val="00AF3D6E"/>
    <w:rsid w:val="00AF55E8"/>
    <w:rsid w:val="00AF60C2"/>
    <w:rsid w:val="00AF649C"/>
    <w:rsid w:val="00AF789D"/>
    <w:rsid w:val="00B0025B"/>
    <w:rsid w:val="00B00AA1"/>
    <w:rsid w:val="00B014AE"/>
    <w:rsid w:val="00B02F4C"/>
    <w:rsid w:val="00B04A79"/>
    <w:rsid w:val="00B05F14"/>
    <w:rsid w:val="00B063EE"/>
    <w:rsid w:val="00B11810"/>
    <w:rsid w:val="00B12CD3"/>
    <w:rsid w:val="00B12D77"/>
    <w:rsid w:val="00B139F4"/>
    <w:rsid w:val="00B13D22"/>
    <w:rsid w:val="00B14AA1"/>
    <w:rsid w:val="00B154C0"/>
    <w:rsid w:val="00B24FAE"/>
    <w:rsid w:val="00B25610"/>
    <w:rsid w:val="00B25BA3"/>
    <w:rsid w:val="00B264C2"/>
    <w:rsid w:val="00B2788A"/>
    <w:rsid w:val="00B31480"/>
    <w:rsid w:val="00B31AF7"/>
    <w:rsid w:val="00B32114"/>
    <w:rsid w:val="00B33E91"/>
    <w:rsid w:val="00B35830"/>
    <w:rsid w:val="00B35B9B"/>
    <w:rsid w:val="00B36489"/>
    <w:rsid w:val="00B37DB5"/>
    <w:rsid w:val="00B41949"/>
    <w:rsid w:val="00B41EC3"/>
    <w:rsid w:val="00B42895"/>
    <w:rsid w:val="00B42F9D"/>
    <w:rsid w:val="00B431BD"/>
    <w:rsid w:val="00B44BD6"/>
    <w:rsid w:val="00B47E2C"/>
    <w:rsid w:val="00B500D8"/>
    <w:rsid w:val="00B503E5"/>
    <w:rsid w:val="00B51C31"/>
    <w:rsid w:val="00B51F14"/>
    <w:rsid w:val="00B52808"/>
    <w:rsid w:val="00B55E21"/>
    <w:rsid w:val="00B565AA"/>
    <w:rsid w:val="00B569FE"/>
    <w:rsid w:val="00B575FC"/>
    <w:rsid w:val="00B60198"/>
    <w:rsid w:val="00B6171D"/>
    <w:rsid w:val="00B63321"/>
    <w:rsid w:val="00B66DE5"/>
    <w:rsid w:val="00B7291F"/>
    <w:rsid w:val="00B72BF9"/>
    <w:rsid w:val="00B74413"/>
    <w:rsid w:val="00B74E7A"/>
    <w:rsid w:val="00B76456"/>
    <w:rsid w:val="00B76E3D"/>
    <w:rsid w:val="00B7759A"/>
    <w:rsid w:val="00B80A82"/>
    <w:rsid w:val="00B80D01"/>
    <w:rsid w:val="00B8122E"/>
    <w:rsid w:val="00B84B12"/>
    <w:rsid w:val="00B8641D"/>
    <w:rsid w:val="00B87BD1"/>
    <w:rsid w:val="00B9055D"/>
    <w:rsid w:val="00B9176E"/>
    <w:rsid w:val="00B91D2E"/>
    <w:rsid w:val="00B92EF9"/>
    <w:rsid w:val="00B94B24"/>
    <w:rsid w:val="00B94F54"/>
    <w:rsid w:val="00B95307"/>
    <w:rsid w:val="00B956F0"/>
    <w:rsid w:val="00B96570"/>
    <w:rsid w:val="00B967B6"/>
    <w:rsid w:val="00B96AAD"/>
    <w:rsid w:val="00BA3AFF"/>
    <w:rsid w:val="00BA42B0"/>
    <w:rsid w:val="00BA492E"/>
    <w:rsid w:val="00BA49F6"/>
    <w:rsid w:val="00BA55FC"/>
    <w:rsid w:val="00BA5BB5"/>
    <w:rsid w:val="00BA6D37"/>
    <w:rsid w:val="00BB139D"/>
    <w:rsid w:val="00BB2005"/>
    <w:rsid w:val="00BB27ED"/>
    <w:rsid w:val="00BB2D23"/>
    <w:rsid w:val="00BB36F7"/>
    <w:rsid w:val="00BB48C5"/>
    <w:rsid w:val="00BB4C56"/>
    <w:rsid w:val="00BB6D56"/>
    <w:rsid w:val="00BB795E"/>
    <w:rsid w:val="00BC002E"/>
    <w:rsid w:val="00BC0F13"/>
    <w:rsid w:val="00BC26C1"/>
    <w:rsid w:val="00BC47FB"/>
    <w:rsid w:val="00BC5E2A"/>
    <w:rsid w:val="00BD1677"/>
    <w:rsid w:val="00BD2A31"/>
    <w:rsid w:val="00BD30BD"/>
    <w:rsid w:val="00BD36A1"/>
    <w:rsid w:val="00BD38B8"/>
    <w:rsid w:val="00BD394B"/>
    <w:rsid w:val="00BD4646"/>
    <w:rsid w:val="00BD5B71"/>
    <w:rsid w:val="00BD661C"/>
    <w:rsid w:val="00BD670C"/>
    <w:rsid w:val="00BD6AB0"/>
    <w:rsid w:val="00BE1110"/>
    <w:rsid w:val="00BE122A"/>
    <w:rsid w:val="00BE2B52"/>
    <w:rsid w:val="00BE2DFB"/>
    <w:rsid w:val="00BE46D4"/>
    <w:rsid w:val="00BE4EC1"/>
    <w:rsid w:val="00BE60EF"/>
    <w:rsid w:val="00BF0B5D"/>
    <w:rsid w:val="00BF24E5"/>
    <w:rsid w:val="00BF6CD4"/>
    <w:rsid w:val="00BF7A23"/>
    <w:rsid w:val="00C0034C"/>
    <w:rsid w:val="00C01362"/>
    <w:rsid w:val="00C01371"/>
    <w:rsid w:val="00C01994"/>
    <w:rsid w:val="00C01EEE"/>
    <w:rsid w:val="00C04C22"/>
    <w:rsid w:val="00C05176"/>
    <w:rsid w:val="00C05245"/>
    <w:rsid w:val="00C054BA"/>
    <w:rsid w:val="00C06C6F"/>
    <w:rsid w:val="00C10939"/>
    <w:rsid w:val="00C125EF"/>
    <w:rsid w:val="00C13784"/>
    <w:rsid w:val="00C1516E"/>
    <w:rsid w:val="00C211F7"/>
    <w:rsid w:val="00C21D00"/>
    <w:rsid w:val="00C22224"/>
    <w:rsid w:val="00C2370E"/>
    <w:rsid w:val="00C239C7"/>
    <w:rsid w:val="00C248AD"/>
    <w:rsid w:val="00C26DD6"/>
    <w:rsid w:val="00C277F6"/>
    <w:rsid w:val="00C3054A"/>
    <w:rsid w:val="00C32590"/>
    <w:rsid w:val="00C32640"/>
    <w:rsid w:val="00C339F6"/>
    <w:rsid w:val="00C35EF1"/>
    <w:rsid w:val="00C40014"/>
    <w:rsid w:val="00C419D6"/>
    <w:rsid w:val="00C42D09"/>
    <w:rsid w:val="00C44353"/>
    <w:rsid w:val="00C461BF"/>
    <w:rsid w:val="00C50585"/>
    <w:rsid w:val="00C518D2"/>
    <w:rsid w:val="00C53306"/>
    <w:rsid w:val="00C53FF7"/>
    <w:rsid w:val="00C5459C"/>
    <w:rsid w:val="00C54F3E"/>
    <w:rsid w:val="00C55689"/>
    <w:rsid w:val="00C56998"/>
    <w:rsid w:val="00C5704A"/>
    <w:rsid w:val="00C61010"/>
    <w:rsid w:val="00C63D8A"/>
    <w:rsid w:val="00C63F66"/>
    <w:rsid w:val="00C722A6"/>
    <w:rsid w:val="00C7440D"/>
    <w:rsid w:val="00C772B3"/>
    <w:rsid w:val="00C8070F"/>
    <w:rsid w:val="00C81817"/>
    <w:rsid w:val="00C8192D"/>
    <w:rsid w:val="00C82A6A"/>
    <w:rsid w:val="00C8478B"/>
    <w:rsid w:val="00C84C71"/>
    <w:rsid w:val="00C864DB"/>
    <w:rsid w:val="00C8712B"/>
    <w:rsid w:val="00C8791D"/>
    <w:rsid w:val="00C91624"/>
    <w:rsid w:val="00C923C7"/>
    <w:rsid w:val="00C92916"/>
    <w:rsid w:val="00C94B20"/>
    <w:rsid w:val="00C95036"/>
    <w:rsid w:val="00C95ADE"/>
    <w:rsid w:val="00C97E8B"/>
    <w:rsid w:val="00CA1876"/>
    <w:rsid w:val="00CA1AA2"/>
    <w:rsid w:val="00CA2AE6"/>
    <w:rsid w:val="00CA4675"/>
    <w:rsid w:val="00CA46AD"/>
    <w:rsid w:val="00CA6AF7"/>
    <w:rsid w:val="00CB04F3"/>
    <w:rsid w:val="00CB1BBB"/>
    <w:rsid w:val="00CB26C7"/>
    <w:rsid w:val="00CB351C"/>
    <w:rsid w:val="00CB366D"/>
    <w:rsid w:val="00CB41B6"/>
    <w:rsid w:val="00CB43EE"/>
    <w:rsid w:val="00CB4795"/>
    <w:rsid w:val="00CB6678"/>
    <w:rsid w:val="00CC00EC"/>
    <w:rsid w:val="00CC094D"/>
    <w:rsid w:val="00CC19F7"/>
    <w:rsid w:val="00CC43D5"/>
    <w:rsid w:val="00CC4C02"/>
    <w:rsid w:val="00CC4DA5"/>
    <w:rsid w:val="00CC5677"/>
    <w:rsid w:val="00CC5DC2"/>
    <w:rsid w:val="00CC6203"/>
    <w:rsid w:val="00CC672D"/>
    <w:rsid w:val="00CD059B"/>
    <w:rsid w:val="00CD191C"/>
    <w:rsid w:val="00CD29E8"/>
    <w:rsid w:val="00CD3DE0"/>
    <w:rsid w:val="00CD4574"/>
    <w:rsid w:val="00CD4B6F"/>
    <w:rsid w:val="00CD507B"/>
    <w:rsid w:val="00CD50C4"/>
    <w:rsid w:val="00CD7291"/>
    <w:rsid w:val="00CD7A29"/>
    <w:rsid w:val="00CE13CC"/>
    <w:rsid w:val="00CE1E35"/>
    <w:rsid w:val="00CE2A0C"/>
    <w:rsid w:val="00CE366C"/>
    <w:rsid w:val="00CE3A85"/>
    <w:rsid w:val="00CE4489"/>
    <w:rsid w:val="00CE45CF"/>
    <w:rsid w:val="00CE4D68"/>
    <w:rsid w:val="00CE68A6"/>
    <w:rsid w:val="00CF190A"/>
    <w:rsid w:val="00CF21F8"/>
    <w:rsid w:val="00CF60BA"/>
    <w:rsid w:val="00CF61EC"/>
    <w:rsid w:val="00CF68D4"/>
    <w:rsid w:val="00CF6EA2"/>
    <w:rsid w:val="00D00276"/>
    <w:rsid w:val="00D00B6A"/>
    <w:rsid w:val="00D00C33"/>
    <w:rsid w:val="00D01090"/>
    <w:rsid w:val="00D01F57"/>
    <w:rsid w:val="00D023D8"/>
    <w:rsid w:val="00D024CC"/>
    <w:rsid w:val="00D02D1D"/>
    <w:rsid w:val="00D05721"/>
    <w:rsid w:val="00D07315"/>
    <w:rsid w:val="00D1024F"/>
    <w:rsid w:val="00D103E7"/>
    <w:rsid w:val="00D1072B"/>
    <w:rsid w:val="00D14981"/>
    <w:rsid w:val="00D15811"/>
    <w:rsid w:val="00D15EBF"/>
    <w:rsid w:val="00D168FD"/>
    <w:rsid w:val="00D16DBE"/>
    <w:rsid w:val="00D17AFC"/>
    <w:rsid w:val="00D213A3"/>
    <w:rsid w:val="00D2142C"/>
    <w:rsid w:val="00D24542"/>
    <w:rsid w:val="00D245C6"/>
    <w:rsid w:val="00D24D48"/>
    <w:rsid w:val="00D24EC6"/>
    <w:rsid w:val="00D252D5"/>
    <w:rsid w:val="00D274D9"/>
    <w:rsid w:val="00D27848"/>
    <w:rsid w:val="00D27C95"/>
    <w:rsid w:val="00D3191A"/>
    <w:rsid w:val="00D3690F"/>
    <w:rsid w:val="00D37661"/>
    <w:rsid w:val="00D40AA4"/>
    <w:rsid w:val="00D40F15"/>
    <w:rsid w:val="00D41A1F"/>
    <w:rsid w:val="00D43241"/>
    <w:rsid w:val="00D44F42"/>
    <w:rsid w:val="00D455C9"/>
    <w:rsid w:val="00D45BA1"/>
    <w:rsid w:val="00D46399"/>
    <w:rsid w:val="00D466B5"/>
    <w:rsid w:val="00D4744B"/>
    <w:rsid w:val="00D47486"/>
    <w:rsid w:val="00D506B8"/>
    <w:rsid w:val="00D51341"/>
    <w:rsid w:val="00D5170B"/>
    <w:rsid w:val="00D51A7C"/>
    <w:rsid w:val="00D51AD4"/>
    <w:rsid w:val="00D52BF5"/>
    <w:rsid w:val="00D52E48"/>
    <w:rsid w:val="00D52F64"/>
    <w:rsid w:val="00D5445E"/>
    <w:rsid w:val="00D54D6F"/>
    <w:rsid w:val="00D54DEE"/>
    <w:rsid w:val="00D55D70"/>
    <w:rsid w:val="00D56801"/>
    <w:rsid w:val="00D56BAD"/>
    <w:rsid w:val="00D60D4C"/>
    <w:rsid w:val="00D610F5"/>
    <w:rsid w:val="00D614AC"/>
    <w:rsid w:val="00D62ECE"/>
    <w:rsid w:val="00D63F3B"/>
    <w:rsid w:val="00D640B6"/>
    <w:rsid w:val="00D64F9E"/>
    <w:rsid w:val="00D64FD6"/>
    <w:rsid w:val="00D6733A"/>
    <w:rsid w:val="00D722ED"/>
    <w:rsid w:val="00D72785"/>
    <w:rsid w:val="00D731A2"/>
    <w:rsid w:val="00D745D8"/>
    <w:rsid w:val="00D752FA"/>
    <w:rsid w:val="00D75C9C"/>
    <w:rsid w:val="00D7756C"/>
    <w:rsid w:val="00D8061B"/>
    <w:rsid w:val="00D848CE"/>
    <w:rsid w:val="00D858B1"/>
    <w:rsid w:val="00D85B28"/>
    <w:rsid w:val="00D86B93"/>
    <w:rsid w:val="00D901CE"/>
    <w:rsid w:val="00D9046E"/>
    <w:rsid w:val="00D90E73"/>
    <w:rsid w:val="00D92B79"/>
    <w:rsid w:val="00D93B56"/>
    <w:rsid w:val="00D93D59"/>
    <w:rsid w:val="00D95D30"/>
    <w:rsid w:val="00D9621E"/>
    <w:rsid w:val="00DA0850"/>
    <w:rsid w:val="00DA130C"/>
    <w:rsid w:val="00DA2700"/>
    <w:rsid w:val="00DA33FB"/>
    <w:rsid w:val="00DA3F8B"/>
    <w:rsid w:val="00DA5472"/>
    <w:rsid w:val="00DA5E94"/>
    <w:rsid w:val="00DA6246"/>
    <w:rsid w:val="00DB0613"/>
    <w:rsid w:val="00DB19FB"/>
    <w:rsid w:val="00DB26D4"/>
    <w:rsid w:val="00DB2B82"/>
    <w:rsid w:val="00DB2D05"/>
    <w:rsid w:val="00DB368D"/>
    <w:rsid w:val="00DB37A3"/>
    <w:rsid w:val="00DB5C92"/>
    <w:rsid w:val="00DB6C66"/>
    <w:rsid w:val="00DB7BF1"/>
    <w:rsid w:val="00DB7FDE"/>
    <w:rsid w:val="00DC0191"/>
    <w:rsid w:val="00DC1018"/>
    <w:rsid w:val="00DC28D9"/>
    <w:rsid w:val="00DC3AD6"/>
    <w:rsid w:val="00DC5CDB"/>
    <w:rsid w:val="00DC7CF9"/>
    <w:rsid w:val="00DC7F6D"/>
    <w:rsid w:val="00DD043E"/>
    <w:rsid w:val="00DD0620"/>
    <w:rsid w:val="00DD06E6"/>
    <w:rsid w:val="00DD0807"/>
    <w:rsid w:val="00DD128D"/>
    <w:rsid w:val="00DD19BB"/>
    <w:rsid w:val="00DD1EE8"/>
    <w:rsid w:val="00DD2158"/>
    <w:rsid w:val="00DD2B9A"/>
    <w:rsid w:val="00DD57D1"/>
    <w:rsid w:val="00DD6271"/>
    <w:rsid w:val="00DD6E0A"/>
    <w:rsid w:val="00DE4F34"/>
    <w:rsid w:val="00DE5B87"/>
    <w:rsid w:val="00DE71E5"/>
    <w:rsid w:val="00DF0935"/>
    <w:rsid w:val="00DF21BA"/>
    <w:rsid w:val="00DF394F"/>
    <w:rsid w:val="00DF4A62"/>
    <w:rsid w:val="00DF552C"/>
    <w:rsid w:val="00DF5A90"/>
    <w:rsid w:val="00DF61B1"/>
    <w:rsid w:val="00DF6462"/>
    <w:rsid w:val="00E00E8F"/>
    <w:rsid w:val="00E00F74"/>
    <w:rsid w:val="00E01697"/>
    <w:rsid w:val="00E01CE0"/>
    <w:rsid w:val="00E02193"/>
    <w:rsid w:val="00E02326"/>
    <w:rsid w:val="00E0238A"/>
    <w:rsid w:val="00E02E73"/>
    <w:rsid w:val="00E0370D"/>
    <w:rsid w:val="00E04008"/>
    <w:rsid w:val="00E04331"/>
    <w:rsid w:val="00E0461E"/>
    <w:rsid w:val="00E049A3"/>
    <w:rsid w:val="00E05E8C"/>
    <w:rsid w:val="00E06A06"/>
    <w:rsid w:val="00E0762E"/>
    <w:rsid w:val="00E07A2C"/>
    <w:rsid w:val="00E1052B"/>
    <w:rsid w:val="00E10D22"/>
    <w:rsid w:val="00E11848"/>
    <w:rsid w:val="00E11BF2"/>
    <w:rsid w:val="00E11D45"/>
    <w:rsid w:val="00E137F5"/>
    <w:rsid w:val="00E13ECB"/>
    <w:rsid w:val="00E14038"/>
    <w:rsid w:val="00E15559"/>
    <w:rsid w:val="00E17AFF"/>
    <w:rsid w:val="00E21087"/>
    <w:rsid w:val="00E22275"/>
    <w:rsid w:val="00E22D3B"/>
    <w:rsid w:val="00E233B0"/>
    <w:rsid w:val="00E24569"/>
    <w:rsid w:val="00E24A99"/>
    <w:rsid w:val="00E31ADC"/>
    <w:rsid w:val="00E32224"/>
    <w:rsid w:val="00E32BAD"/>
    <w:rsid w:val="00E360A3"/>
    <w:rsid w:val="00E36ABD"/>
    <w:rsid w:val="00E37D75"/>
    <w:rsid w:val="00E410EF"/>
    <w:rsid w:val="00E413BD"/>
    <w:rsid w:val="00E4294C"/>
    <w:rsid w:val="00E4301A"/>
    <w:rsid w:val="00E44199"/>
    <w:rsid w:val="00E44E27"/>
    <w:rsid w:val="00E452D6"/>
    <w:rsid w:val="00E45648"/>
    <w:rsid w:val="00E45ACA"/>
    <w:rsid w:val="00E46A37"/>
    <w:rsid w:val="00E47350"/>
    <w:rsid w:val="00E47D21"/>
    <w:rsid w:val="00E50632"/>
    <w:rsid w:val="00E51289"/>
    <w:rsid w:val="00E52D99"/>
    <w:rsid w:val="00E54476"/>
    <w:rsid w:val="00E559AF"/>
    <w:rsid w:val="00E56B22"/>
    <w:rsid w:val="00E5720D"/>
    <w:rsid w:val="00E5754B"/>
    <w:rsid w:val="00E60025"/>
    <w:rsid w:val="00E62321"/>
    <w:rsid w:val="00E63DFE"/>
    <w:rsid w:val="00E65832"/>
    <w:rsid w:val="00E65A2B"/>
    <w:rsid w:val="00E65CF2"/>
    <w:rsid w:val="00E66C65"/>
    <w:rsid w:val="00E72B06"/>
    <w:rsid w:val="00E730A8"/>
    <w:rsid w:val="00E73989"/>
    <w:rsid w:val="00E75D09"/>
    <w:rsid w:val="00E804DD"/>
    <w:rsid w:val="00E804FE"/>
    <w:rsid w:val="00E81B05"/>
    <w:rsid w:val="00E83AE5"/>
    <w:rsid w:val="00E8548E"/>
    <w:rsid w:val="00E868AE"/>
    <w:rsid w:val="00E869BB"/>
    <w:rsid w:val="00E86C52"/>
    <w:rsid w:val="00E86E12"/>
    <w:rsid w:val="00E9359F"/>
    <w:rsid w:val="00E953EA"/>
    <w:rsid w:val="00E9751C"/>
    <w:rsid w:val="00E976A1"/>
    <w:rsid w:val="00E97B69"/>
    <w:rsid w:val="00EA098C"/>
    <w:rsid w:val="00EA1131"/>
    <w:rsid w:val="00EA11F7"/>
    <w:rsid w:val="00EA121A"/>
    <w:rsid w:val="00EA1492"/>
    <w:rsid w:val="00EA561D"/>
    <w:rsid w:val="00EA77F7"/>
    <w:rsid w:val="00EB0A58"/>
    <w:rsid w:val="00EB0D9C"/>
    <w:rsid w:val="00EB211B"/>
    <w:rsid w:val="00EB4E52"/>
    <w:rsid w:val="00EB4FEC"/>
    <w:rsid w:val="00EB5006"/>
    <w:rsid w:val="00EC2A76"/>
    <w:rsid w:val="00EC2F3A"/>
    <w:rsid w:val="00EC3272"/>
    <w:rsid w:val="00EC3CC6"/>
    <w:rsid w:val="00EC4677"/>
    <w:rsid w:val="00EC756E"/>
    <w:rsid w:val="00EC7FA7"/>
    <w:rsid w:val="00ED0CD0"/>
    <w:rsid w:val="00ED11FE"/>
    <w:rsid w:val="00ED12D8"/>
    <w:rsid w:val="00ED1C83"/>
    <w:rsid w:val="00ED26D2"/>
    <w:rsid w:val="00ED4563"/>
    <w:rsid w:val="00ED4FC4"/>
    <w:rsid w:val="00EE02A5"/>
    <w:rsid w:val="00EE047A"/>
    <w:rsid w:val="00EE04EB"/>
    <w:rsid w:val="00EE090C"/>
    <w:rsid w:val="00EE27C4"/>
    <w:rsid w:val="00EE69C9"/>
    <w:rsid w:val="00EF046B"/>
    <w:rsid w:val="00EF05D1"/>
    <w:rsid w:val="00EF0C8A"/>
    <w:rsid w:val="00EF1932"/>
    <w:rsid w:val="00EF4874"/>
    <w:rsid w:val="00EF4DF4"/>
    <w:rsid w:val="00EF5928"/>
    <w:rsid w:val="00EF6CFB"/>
    <w:rsid w:val="00EF6D16"/>
    <w:rsid w:val="00EF6ED5"/>
    <w:rsid w:val="00F0314B"/>
    <w:rsid w:val="00F0354C"/>
    <w:rsid w:val="00F04EE6"/>
    <w:rsid w:val="00F05FC8"/>
    <w:rsid w:val="00F0611F"/>
    <w:rsid w:val="00F1000E"/>
    <w:rsid w:val="00F10FAD"/>
    <w:rsid w:val="00F118D6"/>
    <w:rsid w:val="00F12488"/>
    <w:rsid w:val="00F12C5D"/>
    <w:rsid w:val="00F1307D"/>
    <w:rsid w:val="00F137E7"/>
    <w:rsid w:val="00F152A9"/>
    <w:rsid w:val="00F15D53"/>
    <w:rsid w:val="00F15DC1"/>
    <w:rsid w:val="00F1744E"/>
    <w:rsid w:val="00F178AC"/>
    <w:rsid w:val="00F17AEE"/>
    <w:rsid w:val="00F22FD0"/>
    <w:rsid w:val="00F23906"/>
    <w:rsid w:val="00F23F60"/>
    <w:rsid w:val="00F25E4B"/>
    <w:rsid w:val="00F271B0"/>
    <w:rsid w:val="00F27C90"/>
    <w:rsid w:val="00F31349"/>
    <w:rsid w:val="00F3170D"/>
    <w:rsid w:val="00F3459B"/>
    <w:rsid w:val="00F356BE"/>
    <w:rsid w:val="00F36C2A"/>
    <w:rsid w:val="00F37135"/>
    <w:rsid w:val="00F372C2"/>
    <w:rsid w:val="00F4022B"/>
    <w:rsid w:val="00F40279"/>
    <w:rsid w:val="00F43AE9"/>
    <w:rsid w:val="00F47815"/>
    <w:rsid w:val="00F479A5"/>
    <w:rsid w:val="00F50675"/>
    <w:rsid w:val="00F50691"/>
    <w:rsid w:val="00F52BB7"/>
    <w:rsid w:val="00F5317B"/>
    <w:rsid w:val="00F54943"/>
    <w:rsid w:val="00F54CF9"/>
    <w:rsid w:val="00F5534D"/>
    <w:rsid w:val="00F55A73"/>
    <w:rsid w:val="00F5667B"/>
    <w:rsid w:val="00F56981"/>
    <w:rsid w:val="00F61908"/>
    <w:rsid w:val="00F619F6"/>
    <w:rsid w:val="00F61F7E"/>
    <w:rsid w:val="00F6413E"/>
    <w:rsid w:val="00F659AB"/>
    <w:rsid w:val="00F65F46"/>
    <w:rsid w:val="00F662AB"/>
    <w:rsid w:val="00F666DF"/>
    <w:rsid w:val="00F66754"/>
    <w:rsid w:val="00F66AF2"/>
    <w:rsid w:val="00F71567"/>
    <w:rsid w:val="00F7299F"/>
    <w:rsid w:val="00F729E2"/>
    <w:rsid w:val="00F737D5"/>
    <w:rsid w:val="00F764B7"/>
    <w:rsid w:val="00F76F8C"/>
    <w:rsid w:val="00F808F0"/>
    <w:rsid w:val="00F8132A"/>
    <w:rsid w:val="00F814E5"/>
    <w:rsid w:val="00F81C78"/>
    <w:rsid w:val="00F83AC7"/>
    <w:rsid w:val="00F84005"/>
    <w:rsid w:val="00F8627E"/>
    <w:rsid w:val="00F8648C"/>
    <w:rsid w:val="00F870E3"/>
    <w:rsid w:val="00F874B5"/>
    <w:rsid w:val="00F87CE3"/>
    <w:rsid w:val="00F9056C"/>
    <w:rsid w:val="00F909F4"/>
    <w:rsid w:val="00F92176"/>
    <w:rsid w:val="00F94376"/>
    <w:rsid w:val="00F9438E"/>
    <w:rsid w:val="00F94608"/>
    <w:rsid w:val="00F957B5"/>
    <w:rsid w:val="00F9595D"/>
    <w:rsid w:val="00F966F4"/>
    <w:rsid w:val="00F976BF"/>
    <w:rsid w:val="00FA05FF"/>
    <w:rsid w:val="00FA12BC"/>
    <w:rsid w:val="00FA16A1"/>
    <w:rsid w:val="00FA26FB"/>
    <w:rsid w:val="00FA2C15"/>
    <w:rsid w:val="00FA40A3"/>
    <w:rsid w:val="00FA478B"/>
    <w:rsid w:val="00FA4B9A"/>
    <w:rsid w:val="00FA6E8B"/>
    <w:rsid w:val="00FA7246"/>
    <w:rsid w:val="00FA742C"/>
    <w:rsid w:val="00FA7725"/>
    <w:rsid w:val="00FA7F3F"/>
    <w:rsid w:val="00FB2505"/>
    <w:rsid w:val="00FB2B61"/>
    <w:rsid w:val="00FB3BC2"/>
    <w:rsid w:val="00FB405B"/>
    <w:rsid w:val="00FB4F13"/>
    <w:rsid w:val="00FB627C"/>
    <w:rsid w:val="00FB7643"/>
    <w:rsid w:val="00FC01B3"/>
    <w:rsid w:val="00FC29C9"/>
    <w:rsid w:val="00FC3055"/>
    <w:rsid w:val="00FC4708"/>
    <w:rsid w:val="00FC56BA"/>
    <w:rsid w:val="00FC63CE"/>
    <w:rsid w:val="00FC6724"/>
    <w:rsid w:val="00FC6F9D"/>
    <w:rsid w:val="00FD00C5"/>
    <w:rsid w:val="00FD33D9"/>
    <w:rsid w:val="00FD3B17"/>
    <w:rsid w:val="00FD49D7"/>
    <w:rsid w:val="00FD4BC8"/>
    <w:rsid w:val="00FD61D5"/>
    <w:rsid w:val="00FE06F6"/>
    <w:rsid w:val="00FE0E1A"/>
    <w:rsid w:val="00FE243E"/>
    <w:rsid w:val="00FE3082"/>
    <w:rsid w:val="00FE337E"/>
    <w:rsid w:val="00FE3F24"/>
    <w:rsid w:val="00FE4BF8"/>
    <w:rsid w:val="00FE537F"/>
    <w:rsid w:val="00FE5835"/>
    <w:rsid w:val="00FE71CA"/>
    <w:rsid w:val="00FF0750"/>
    <w:rsid w:val="00FF186D"/>
    <w:rsid w:val="00FF3349"/>
    <w:rsid w:val="00FF33CC"/>
    <w:rsid w:val="00FF3AAF"/>
    <w:rsid w:val="00FF4694"/>
    <w:rsid w:val="00FF4A22"/>
    <w:rsid w:val="00FF658A"/>
    <w:rsid w:val="00FF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08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707F"/>
    <w:pPr>
      <w:spacing w:line="240" w:lineRule="auto"/>
    </w:pPr>
    <w:rPr>
      <w:rFonts w:ascii="Times New Roman" w:hAnsi="Times New Roman" w:cs="Times New Roman"/>
      <w:color w:val="auto"/>
      <w:sz w:val="24"/>
      <w:szCs w:val="24"/>
    </w:rPr>
  </w:style>
  <w:style w:type="paragraph" w:styleId="Heading1">
    <w:name w:val="heading 1"/>
    <w:basedOn w:val="Normal"/>
    <w:next w:val="Normal"/>
    <w:link w:val="Heading1Char"/>
    <w:pPr>
      <w:keepNext/>
      <w:keepLines/>
      <w:spacing w:before="400" w:after="120" w:line="276" w:lineRule="auto"/>
      <w:contextualSpacing/>
      <w:outlineLvl w:val="0"/>
    </w:pPr>
    <w:rPr>
      <w:rFonts w:ascii="Arial" w:hAnsi="Arial" w:cs="Arial"/>
      <w:color w:val="000000"/>
      <w:sz w:val="40"/>
      <w:szCs w:val="40"/>
    </w:rPr>
  </w:style>
  <w:style w:type="paragraph" w:styleId="Heading2">
    <w:name w:val="heading 2"/>
    <w:basedOn w:val="Normal"/>
    <w:next w:val="Normal"/>
    <w:link w:val="Heading2Char"/>
    <w:pPr>
      <w:keepNext/>
      <w:keepLines/>
      <w:spacing w:before="360" w:after="120" w:line="276" w:lineRule="auto"/>
      <w:contextualSpacing/>
      <w:outlineLvl w:val="1"/>
    </w:pPr>
    <w:rPr>
      <w:rFonts w:ascii="Arial" w:hAnsi="Arial" w:cs="Arial"/>
      <w:color w:val="000000"/>
      <w:sz w:val="32"/>
      <w:szCs w:val="32"/>
    </w:rPr>
  </w:style>
  <w:style w:type="paragraph" w:styleId="Heading3">
    <w:name w:val="heading 3"/>
    <w:basedOn w:val="Normal"/>
    <w:next w:val="Normal"/>
    <w:link w:val="Heading3Char"/>
    <w:pPr>
      <w:keepNext/>
      <w:keepLines/>
      <w:spacing w:before="320" w:after="80" w:line="276" w:lineRule="auto"/>
      <w:contextualSpacing/>
      <w:outlineLvl w:val="2"/>
    </w:pPr>
    <w:rPr>
      <w:rFonts w:ascii="Arial" w:hAnsi="Arial" w:cs="Arial"/>
      <w:color w:val="434343"/>
      <w:sz w:val="28"/>
      <w:szCs w:val="28"/>
    </w:rPr>
  </w:style>
  <w:style w:type="paragraph" w:styleId="Heading4">
    <w:name w:val="heading 4"/>
    <w:basedOn w:val="Normal"/>
    <w:next w:val="Normal"/>
    <w:link w:val="Heading4Char"/>
    <w:pPr>
      <w:keepNext/>
      <w:keepLines/>
      <w:spacing w:before="280" w:after="80" w:line="276" w:lineRule="auto"/>
      <w:contextualSpacing/>
      <w:outlineLvl w:val="3"/>
    </w:pPr>
    <w:rPr>
      <w:rFonts w:ascii="Arial" w:hAnsi="Arial" w:cs="Arial"/>
      <w:color w:val="666666"/>
    </w:rPr>
  </w:style>
  <w:style w:type="paragraph" w:styleId="Heading5">
    <w:name w:val="heading 5"/>
    <w:basedOn w:val="Normal"/>
    <w:next w:val="Normal"/>
    <w:link w:val="Heading5Char"/>
    <w:pPr>
      <w:keepNext/>
      <w:keepLines/>
      <w:spacing w:before="240" w:after="80" w:line="276" w:lineRule="auto"/>
      <w:contextualSpacing/>
      <w:outlineLvl w:val="4"/>
    </w:pPr>
    <w:rPr>
      <w:rFonts w:ascii="Arial" w:hAnsi="Arial" w:cs="Arial"/>
      <w:color w:val="666666"/>
      <w:sz w:val="22"/>
      <w:szCs w:val="22"/>
    </w:rPr>
  </w:style>
  <w:style w:type="paragraph" w:styleId="Heading6">
    <w:name w:val="heading 6"/>
    <w:basedOn w:val="Normal"/>
    <w:next w:val="Normal"/>
    <w:link w:val="Heading6Char"/>
    <w:pPr>
      <w:keepNext/>
      <w:keepLines/>
      <w:spacing w:before="240" w:after="80" w:line="276" w:lineRule="auto"/>
      <w:contextualSpacing/>
      <w:outlineLvl w:val="5"/>
    </w:pPr>
    <w:rPr>
      <w:rFonts w:ascii="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after="60" w:line="276" w:lineRule="auto"/>
      <w:contextualSpacing/>
    </w:pPr>
    <w:rPr>
      <w:rFonts w:ascii="Arial" w:hAnsi="Arial" w:cs="Arial"/>
      <w:color w:val="000000"/>
      <w:sz w:val="52"/>
      <w:szCs w:val="52"/>
    </w:rPr>
  </w:style>
  <w:style w:type="paragraph" w:styleId="Subtitle">
    <w:name w:val="Subtitle"/>
    <w:basedOn w:val="Normal"/>
    <w:next w:val="Normal"/>
    <w:link w:val="SubtitleChar"/>
    <w:pPr>
      <w:keepNext/>
      <w:keepLines/>
      <w:spacing w:after="320" w:line="276" w:lineRule="auto"/>
      <w:contextualSpacing/>
    </w:pPr>
    <w:rPr>
      <w:rFonts w:ascii="Arial" w:hAnsi="Arial" w:cs="Arial"/>
      <w:color w:val="666666"/>
      <w:sz w:val="30"/>
      <w:szCs w:val="30"/>
    </w:rPr>
  </w:style>
  <w:style w:type="table" w:customStyle="1" w:styleId="1">
    <w:name w:val="1"/>
    <w:basedOn w:val="TableNormal"/>
    <w:tblPr>
      <w:tblStyleRowBandSize w:val="1"/>
      <w:tblStyleColBandSize w:val="1"/>
    </w:tblPr>
  </w:style>
  <w:style w:type="paragraph" w:styleId="FootnoteText">
    <w:name w:val="footnote text"/>
    <w:basedOn w:val="Normal"/>
    <w:link w:val="FootnoteTextChar"/>
    <w:uiPriority w:val="99"/>
    <w:unhideWhenUsed/>
    <w:rsid w:val="00C01371"/>
    <w:rPr>
      <w:rFonts w:eastAsiaTheme="minorHAnsi"/>
    </w:rPr>
  </w:style>
  <w:style w:type="character" w:customStyle="1" w:styleId="FootnoteTextChar">
    <w:name w:val="Footnote Text Char"/>
    <w:basedOn w:val="DefaultParagraphFont"/>
    <w:link w:val="FootnoteText"/>
    <w:uiPriority w:val="99"/>
    <w:rsid w:val="00C01371"/>
    <w:rPr>
      <w:rFonts w:ascii="Times New Roman" w:eastAsiaTheme="minorHAnsi" w:hAnsi="Times New Roman" w:cs="Times New Roman"/>
      <w:color w:val="auto"/>
      <w:sz w:val="24"/>
      <w:szCs w:val="24"/>
    </w:rPr>
  </w:style>
  <w:style w:type="character" w:styleId="FootnoteReference">
    <w:name w:val="footnote reference"/>
    <w:basedOn w:val="DefaultParagraphFont"/>
    <w:uiPriority w:val="99"/>
    <w:unhideWhenUsed/>
    <w:rsid w:val="00C01371"/>
    <w:rPr>
      <w:vertAlign w:val="superscript"/>
    </w:rPr>
  </w:style>
  <w:style w:type="paragraph" w:styleId="Header">
    <w:name w:val="header"/>
    <w:basedOn w:val="Normal"/>
    <w:link w:val="HeaderChar"/>
    <w:uiPriority w:val="99"/>
    <w:unhideWhenUsed/>
    <w:rsid w:val="00C01371"/>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C01371"/>
    <w:rPr>
      <w:rFonts w:ascii="Times New Roman" w:eastAsiaTheme="minorHAnsi" w:hAnsi="Times New Roman" w:cs="Times New Roman"/>
      <w:color w:val="auto"/>
      <w:sz w:val="24"/>
      <w:szCs w:val="24"/>
    </w:rPr>
  </w:style>
  <w:style w:type="paragraph" w:styleId="Footer">
    <w:name w:val="footer"/>
    <w:basedOn w:val="Normal"/>
    <w:link w:val="FooterChar"/>
    <w:uiPriority w:val="99"/>
    <w:unhideWhenUsed/>
    <w:rsid w:val="00C01371"/>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C01371"/>
    <w:rPr>
      <w:rFonts w:ascii="Times New Roman" w:eastAsiaTheme="minorHAnsi" w:hAnsi="Times New Roman" w:cs="Times New Roman"/>
      <w:color w:val="auto"/>
      <w:sz w:val="24"/>
      <w:szCs w:val="24"/>
    </w:rPr>
  </w:style>
  <w:style w:type="character" w:styleId="CommentReference">
    <w:name w:val="annotation reference"/>
    <w:basedOn w:val="DefaultParagraphFont"/>
    <w:uiPriority w:val="99"/>
    <w:semiHidden/>
    <w:unhideWhenUsed/>
    <w:rsid w:val="00C01371"/>
    <w:rPr>
      <w:sz w:val="18"/>
      <w:szCs w:val="18"/>
    </w:rPr>
  </w:style>
  <w:style w:type="paragraph" w:styleId="CommentText">
    <w:name w:val="annotation text"/>
    <w:basedOn w:val="Normal"/>
    <w:link w:val="CommentTextChar"/>
    <w:uiPriority w:val="99"/>
    <w:semiHidden/>
    <w:unhideWhenUsed/>
    <w:rsid w:val="00C01371"/>
    <w:rPr>
      <w:rFonts w:eastAsiaTheme="minorHAnsi"/>
    </w:rPr>
  </w:style>
  <w:style w:type="character" w:customStyle="1" w:styleId="CommentTextChar">
    <w:name w:val="Comment Text Char"/>
    <w:basedOn w:val="DefaultParagraphFont"/>
    <w:link w:val="CommentText"/>
    <w:uiPriority w:val="99"/>
    <w:semiHidden/>
    <w:rsid w:val="00C01371"/>
    <w:rPr>
      <w:rFonts w:ascii="Times New Roman" w:eastAsiaTheme="minorHAnsi" w:hAnsi="Times New Roman" w:cs="Times New Roman"/>
      <w:color w:val="auto"/>
      <w:sz w:val="24"/>
      <w:szCs w:val="24"/>
    </w:rPr>
  </w:style>
  <w:style w:type="paragraph" w:styleId="CommentSubject">
    <w:name w:val="annotation subject"/>
    <w:basedOn w:val="CommentText"/>
    <w:next w:val="CommentText"/>
    <w:link w:val="CommentSubjectChar"/>
    <w:uiPriority w:val="99"/>
    <w:semiHidden/>
    <w:unhideWhenUsed/>
    <w:rsid w:val="00C01371"/>
    <w:rPr>
      <w:b/>
      <w:bCs/>
      <w:sz w:val="20"/>
      <w:szCs w:val="20"/>
    </w:rPr>
  </w:style>
  <w:style w:type="character" w:customStyle="1" w:styleId="CommentSubjectChar">
    <w:name w:val="Comment Subject Char"/>
    <w:basedOn w:val="CommentTextChar"/>
    <w:link w:val="CommentSubject"/>
    <w:uiPriority w:val="99"/>
    <w:semiHidden/>
    <w:rsid w:val="00C01371"/>
    <w:rPr>
      <w:rFonts w:ascii="Times New Roman" w:eastAsiaTheme="minorHAnsi" w:hAnsi="Times New Roman" w:cs="Times New Roman"/>
      <w:b/>
      <w:bCs/>
      <w:color w:val="auto"/>
      <w:sz w:val="20"/>
      <w:szCs w:val="20"/>
    </w:rPr>
  </w:style>
  <w:style w:type="paragraph" w:styleId="BalloonText">
    <w:name w:val="Balloon Text"/>
    <w:basedOn w:val="Normal"/>
    <w:link w:val="BalloonTextChar"/>
    <w:uiPriority w:val="99"/>
    <w:semiHidden/>
    <w:unhideWhenUsed/>
    <w:rsid w:val="00C01371"/>
    <w:rPr>
      <w:rFonts w:eastAsiaTheme="minorHAnsi"/>
      <w:sz w:val="18"/>
      <w:szCs w:val="18"/>
    </w:rPr>
  </w:style>
  <w:style w:type="character" w:customStyle="1" w:styleId="BalloonTextChar">
    <w:name w:val="Balloon Text Char"/>
    <w:basedOn w:val="DefaultParagraphFont"/>
    <w:link w:val="BalloonText"/>
    <w:uiPriority w:val="99"/>
    <w:semiHidden/>
    <w:rsid w:val="00C01371"/>
    <w:rPr>
      <w:rFonts w:ascii="Times New Roman" w:eastAsiaTheme="minorHAnsi" w:hAnsi="Times New Roman" w:cs="Times New Roman"/>
      <w:color w:val="auto"/>
      <w:sz w:val="18"/>
      <w:szCs w:val="18"/>
    </w:rPr>
  </w:style>
  <w:style w:type="character" w:styleId="Hyperlink">
    <w:name w:val="Hyperlink"/>
    <w:basedOn w:val="DefaultParagraphFont"/>
    <w:uiPriority w:val="99"/>
    <w:unhideWhenUsed/>
    <w:rsid w:val="00C01371"/>
    <w:rPr>
      <w:color w:val="0563C1" w:themeColor="hyperlink"/>
      <w:u w:val="single"/>
    </w:rPr>
  </w:style>
  <w:style w:type="character" w:styleId="FollowedHyperlink">
    <w:name w:val="FollowedHyperlink"/>
    <w:basedOn w:val="DefaultParagraphFont"/>
    <w:uiPriority w:val="99"/>
    <w:semiHidden/>
    <w:unhideWhenUsed/>
    <w:rsid w:val="00C01371"/>
    <w:rPr>
      <w:color w:val="954F72" w:themeColor="followedHyperlink"/>
      <w:u w:val="single"/>
    </w:rPr>
  </w:style>
  <w:style w:type="paragraph" w:styleId="NormalWeb">
    <w:name w:val="Normal (Web)"/>
    <w:basedOn w:val="Normal"/>
    <w:uiPriority w:val="99"/>
    <w:unhideWhenUsed/>
    <w:rsid w:val="00C01371"/>
    <w:pPr>
      <w:spacing w:before="100" w:beforeAutospacing="1" w:after="100" w:afterAutospacing="1"/>
    </w:pPr>
    <w:rPr>
      <w:rFonts w:eastAsia="Times New Roman"/>
    </w:rPr>
  </w:style>
  <w:style w:type="paragraph" w:styleId="Revision">
    <w:name w:val="Revision"/>
    <w:hidden/>
    <w:uiPriority w:val="99"/>
    <w:semiHidden/>
    <w:rsid w:val="00C01371"/>
    <w:pPr>
      <w:spacing w:line="240" w:lineRule="auto"/>
    </w:pPr>
    <w:rPr>
      <w:rFonts w:ascii="Times New Roman" w:eastAsiaTheme="minorHAnsi" w:hAnsi="Times New Roman" w:cs="Times New Roman"/>
      <w:color w:val="auto"/>
      <w:sz w:val="24"/>
      <w:szCs w:val="24"/>
    </w:rPr>
  </w:style>
  <w:style w:type="table" w:styleId="TableGrid">
    <w:name w:val="Table Grid"/>
    <w:basedOn w:val="TableNormal"/>
    <w:uiPriority w:val="39"/>
    <w:rsid w:val="00C01371"/>
    <w:pPr>
      <w:spacing w:line="240" w:lineRule="auto"/>
    </w:pPr>
    <w:rPr>
      <w:rFonts w:ascii="Times New Roman" w:eastAsiaTheme="minorHAnsi" w:hAnsi="Times New Roman" w:cs="Times New Roman"/>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E7257"/>
  </w:style>
  <w:style w:type="character" w:customStyle="1" w:styleId="UnresolvedMention1">
    <w:name w:val="Unresolved Mention1"/>
    <w:basedOn w:val="DefaultParagraphFont"/>
    <w:uiPriority w:val="99"/>
    <w:semiHidden/>
    <w:unhideWhenUsed/>
    <w:rsid w:val="00DC0191"/>
    <w:rPr>
      <w:color w:val="605E5C"/>
      <w:shd w:val="clear" w:color="auto" w:fill="E1DFDD"/>
    </w:rPr>
  </w:style>
  <w:style w:type="character" w:customStyle="1" w:styleId="Heading1Char">
    <w:name w:val="Heading 1 Char"/>
    <w:basedOn w:val="DefaultParagraphFont"/>
    <w:link w:val="Heading1"/>
    <w:rsid w:val="002A302E"/>
    <w:rPr>
      <w:sz w:val="40"/>
      <w:szCs w:val="40"/>
    </w:rPr>
  </w:style>
  <w:style w:type="character" w:customStyle="1" w:styleId="Heading2Char">
    <w:name w:val="Heading 2 Char"/>
    <w:basedOn w:val="DefaultParagraphFont"/>
    <w:link w:val="Heading2"/>
    <w:rsid w:val="002A302E"/>
    <w:rPr>
      <w:sz w:val="32"/>
      <w:szCs w:val="32"/>
    </w:rPr>
  </w:style>
  <w:style w:type="character" w:customStyle="1" w:styleId="Heading3Char">
    <w:name w:val="Heading 3 Char"/>
    <w:basedOn w:val="DefaultParagraphFont"/>
    <w:link w:val="Heading3"/>
    <w:rsid w:val="002A302E"/>
    <w:rPr>
      <w:color w:val="434343"/>
      <w:sz w:val="28"/>
      <w:szCs w:val="28"/>
    </w:rPr>
  </w:style>
  <w:style w:type="character" w:customStyle="1" w:styleId="Heading4Char">
    <w:name w:val="Heading 4 Char"/>
    <w:basedOn w:val="DefaultParagraphFont"/>
    <w:link w:val="Heading4"/>
    <w:rsid w:val="002A302E"/>
    <w:rPr>
      <w:color w:val="666666"/>
      <w:sz w:val="24"/>
      <w:szCs w:val="24"/>
    </w:rPr>
  </w:style>
  <w:style w:type="character" w:customStyle="1" w:styleId="Heading5Char">
    <w:name w:val="Heading 5 Char"/>
    <w:basedOn w:val="DefaultParagraphFont"/>
    <w:link w:val="Heading5"/>
    <w:rsid w:val="002A302E"/>
    <w:rPr>
      <w:color w:val="666666"/>
    </w:rPr>
  </w:style>
  <w:style w:type="character" w:customStyle="1" w:styleId="Heading6Char">
    <w:name w:val="Heading 6 Char"/>
    <w:basedOn w:val="DefaultParagraphFont"/>
    <w:link w:val="Heading6"/>
    <w:rsid w:val="002A302E"/>
    <w:rPr>
      <w:i/>
      <w:color w:val="666666"/>
    </w:rPr>
  </w:style>
  <w:style w:type="character" w:customStyle="1" w:styleId="TitleChar">
    <w:name w:val="Title Char"/>
    <w:basedOn w:val="DefaultParagraphFont"/>
    <w:link w:val="Title"/>
    <w:rsid w:val="002A302E"/>
    <w:rPr>
      <w:sz w:val="52"/>
      <w:szCs w:val="52"/>
    </w:rPr>
  </w:style>
  <w:style w:type="character" w:customStyle="1" w:styleId="SubtitleChar">
    <w:name w:val="Subtitle Char"/>
    <w:basedOn w:val="DefaultParagraphFont"/>
    <w:link w:val="Subtitle"/>
    <w:rsid w:val="002A302E"/>
    <w:rPr>
      <w:color w:val="666666"/>
      <w:sz w:val="30"/>
      <w:szCs w:val="30"/>
    </w:rPr>
  </w:style>
  <w:style w:type="character" w:customStyle="1" w:styleId="UnresolvedMention2">
    <w:name w:val="Unresolved Mention2"/>
    <w:basedOn w:val="DefaultParagraphFont"/>
    <w:uiPriority w:val="99"/>
    <w:semiHidden/>
    <w:unhideWhenUsed/>
    <w:rsid w:val="00B66DE5"/>
    <w:rPr>
      <w:color w:val="605E5C"/>
      <w:shd w:val="clear" w:color="auto" w:fill="E1DFDD"/>
    </w:rPr>
  </w:style>
  <w:style w:type="character" w:customStyle="1" w:styleId="UnresolvedMention3">
    <w:name w:val="Unresolved Mention3"/>
    <w:basedOn w:val="DefaultParagraphFont"/>
    <w:uiPriority w:val="99"/>
    <w:semiHidden/>
    <w:unhideWhenUsed/>
    <w:rsid w:val="007B7728"/>
    <w:rPr>
      <w:color w:val="605E5C"/>
      <w:shd w:val="clear" w:color="auto" w:fill="E1DFDD"/>
    </w:rPr>
  </w:style>
  <w:style w:type="character" w:customStyle="1" w:styleId="citation-select">
    <w:name w:val="citation-select"/>
    <w:basedOn w:val="DefaultParagraphFont"/>
    <w:rsid w:val="00E73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8537">
      <w:bodyDiv w:val="1"/>
      <w:marLeft w:val="0"/>
      <w:marRight w:val="0"/>
      <w:marTop w:val="0"/>
      <w:marBottom w:val="0"/>
      <w:divBdr>
        <w:top w:val="none" w:sz="0" w:space="0" w:color="auto"/>
        <w:left w:val="none" w:sz="0" w:space="0" w:color="auto"/>
        <w:bottom w:val="none" w:sz="0" w:space="0" w:color="auto"/>
        <w:right w:val="none" w:sz="0" w:space="0" w:color="auto"/>
      </w:divBdr>
      <w:divsChild>
        <w:div w:id="1894541272">
          <w:marLeft w:val="0"/>
          <w:marRight w:val="0"/>
          <w:marTop w:val="0"/>
          <w:marBottom w:val="0"/>
          <w:divBdr>
            <w:top w:val="none" w:sz="0" w:space="0" w:color="auto"/>
            <w:left w:val="none" w:sz="0" w:space="0" w:color="auto"/>
            <w:bottom w:val="none" w:sz="0" w:space="0" w:color="auto"/>
            <w:right w:val="none" w:sz="0" w:space="0" w:color="auto"/>
          </w:divBdr>
          <w:divsChild>
            <w:div w:id="18774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7858">
      <w:bodyDiv w:val="1"/>
      <w:marLeft w:val="0"/>
      <w:marRight w:val="0"/>
      <w:marTop w:val="0"/>
      <w:marBottom w:val="0"/>
      <w:divBdr>
        <w:top w:val="none" w:sz="0" w:space="0" w:color="auto"/>
        <w:left w:val="none" w:sz="0" w:space="0" w:color="auto"/>
        <w:bottom w:val="none" w:sz="0" w:space="0" w:color="auto"/>
        <w:right w:val="none" w:sz="0" w:space="0" w:color="auto"/>
      </w:divBdr>
    </w:div>
    <w:div w:id="68693019">
      <w:bodyDiv w:val="1"/>
      <w:marLeft w:val="0"/>
      <w:marRight w:val="0"/>
      <w:marTop w:val="0"/>
      <w:marBottom w:val="0"/>
      <w:divBdr>
        <w:top w:val="none" w:sz="0" w:space="0" w:color="auto"/>
        <w:left w:val="none" w:sz="0" w:space="0" w:color="auto"/>
        <w:bottom w:val="none" w:sz="0" w:space="0" w:color="auto"/>
        <w:right w:val="none" w:sz="0" w:space="0" w:color="auto"/>
      </w:divBdr>
    </w:div>
    <w:div w:id="165636777">
      <w:bodyDiv w:val="1"/>
      <w:marLeft w:val="0"/>
      <w:marRight w:val="0"/>
      <w:marTop w:val="0"/>
      <w:marBottom w:val="0"/>
      <w:divBdr>
        <w:top w:val="none" w:sz="0" w:space="0" w:color="auto"/>
        <w:left w:val="none" w:sz="0" w:space="0" w:color="auto"/>
        <w:bottom w:val="none" w:sz="0" w:space="0" w:color="auto"/>
        <w:right w:val="none" w:sz="0" w:space="0" w:color="auto"/>
      </w:divBdr>
      <w:divsChild>
        <w:div w:id="1629512087">
          <w:marLeft w:val="0"/>
          <w:marRight w:val="0"/>
          <w:marTop w:val="0"/>
          <w:marBottom w:val="0"/>
          <w:divBdr>
            <w:top w:val="none" w:sz="0" w:space="0" w:color="auto"/>
            <w:left w:val="none" w:sz="0" w:space="0" w:color="auto"/>
            <w:bottom w:val="none" w:sz="0" w:space="0" w:color="auto"/>
            <w:right w:val="none" w:sz="0" w:space="0" w:color="auto"/>
          </w:divBdr>
          <w:divsChild>
            <w:div w:id="816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5186">
      <w:bodyDiv w:val="1"/>
      <w:marLeft w:val="0"/>
      <w:marRight w:val="0"/>
      <w:marTop w:val="0"/>
      <w:marBottom w:val="0"/>
      <w:divBdr>
        <w:top w:val="none" w:sz="0" w:space="0" w:color="auto"/>
        <w:left w:val="none" w:sz="0" w:space="0" w:color="auto"/>
        <w:bottom w:val="none" w:sz="0" w:space="0" w:color="auto"/>
        <w:right w:val="none" w:sz="0" w:space="0" w:color="auto"/>
      </w:divBdr>
      <w:divsChild>
        <w:div w:id="1816021671">
          <w:marLeft w:val="0"/>
          <w:marRight w:val="0"/>
          <w:marTop w:val="0"/>
          <w:marBottom w:val="0"/>
          <w:divBdr>
            <w:top w:val="none" w:sz="0" w:space="0" w:color="auto"/>
            <w:left w:val="none" w:sz="0" w:space="0" w:color="auto"/>
            <w:bottom w:val="none" w:sz="0" w:space="0" w:color="auto"/>
            <w:right w:val="none" w:sz="0" w:space="0" w:color="auto"/>
          </w:divBdr>
          <w:divsChild>
            <w:div w:id="1438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44640">
      <w:bodyDiv w:val="1"/>
      <w:marLeft w:val="0"/>
      <w:marRight w:val="0"/>
      <w:marTop w:val="0"/>
      <w:marBottom w:val="0"/>
      <w:divBdr>
        <w:top w:val="none" w:sz="0" w:space="0" w:color="auto"/>
        <w:left w:val="none" w:sz="0" w:space="0" w:color="auto"/>
        <w:bottom w:val="none" w:sz="0" w:space="0" w:color="auto"/>
        <w:right w:val="none" w:sz="0" w:space="0" w:color="auto"/>
      </w:divBdr>
      <w:divsChild>
        <w:div w:id="766081320">
          <w:marLeft w:val="0"/>
          <w:marRight w:val="0"/>
          <w:marTop w:val="0"/>
          <w:marBottom w:val="0"/>
          <w:divBdr>
            <w:top w:val="none" w:sz="0" w:space="0" w:color="auto"/>
            <w:left w:val="none" w:sz="0" w:space="0" w:color="auto"/>
            <w:bottom w:val="none" w:sz="0" w:space="0" w:color="auto"/>
            <w:right w:val="none" w:sz="0" w:space="0" w:color="auto"/>
          </w:divBdr>
          <w:divsChild>
            <w:div w:id="14614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45407">
      <w:bodyDiv w:val="1"/>
      <w:marLeft w:val="0"/>
      <w:marRight w:val="0"/>
      <w:marTop w:val="0"/>
      <w:marBottom w:val="0"/>
      <w:divBdr>
        <w:top w:val="none" w:sz="0" w:space="0" w:color="auto"/>
        <w:left w:val="none" w:sz="0" w:space="0" w:color="auto"/>
        <w:bottom w:val="none" w:sz="0" w:space="0" w:color="auto"/>
        <w:right w:val="none" w:sz="0" w:space="0" w:color="auto"/>
      </w:divBdr>
      <w:divsChild>
        <w:div w:id="79109236">
          <w:marLeft w:val="0"/>
          <w:marRight w:val="0"/>
          <w:marTop w:val="0"/>
          <w:marBottom w:val="0"/>
          <w:divBdr>
            <w:top w:val="none" w:sz="0" w:space="0" w:color="auto"/>
            <w:left w:val="none" w:sz="0" w:space="0" w:color="auto"/>
            <w:bottom w:val="none" w:sz="0" w:space="0" w:color="auto"/>
            <w:right w:val="none" w:sz="0" w:space="0" w:color="auto"/>
          </w:divBdr>
          <w:divsChild>
            <w:div w:id="75139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2621">
      <w:bodyDiv w:val="1"/>
      <w:marLeft w:val="0"/>
      <w:marRight w:val="0"/>
      <w:marTop w:val="0"/>
      <w:marBottom w:val="0"/>
      <w:divBdr>
        <w:top w:val="none" w:sz="0" w:space="0" w:color="auto"/>
        <w:left w:val="none" w:sz="0" w:space="0" w:color="auto"/>
        <w:bottom w:val="none" w:sz="0" w:space="0" w:color="auto"/>
        <w:right w:val="none" w:sz="0" w:space="0" w:color="auto"/>
      </w:divBdr>
    </w:div>
    <w:div w:id="581986793">
      <w:bodyDiv w:val="1"/>
      <w:marLeft w:val="0"/>
      <w:marRight w:val="0"/>
      <w:marTop w:val="0"/>
      <w:marBottom w:val="0"/>
      <w:divBdr>
        <w:top w:val="none" w:sz="0" w:space="0" w:color="auto"/>
        <w:left w:val="none" w:sz="0" w:space="0" w:color="auto"/>
        <w:bottom w:val="none" w:sz="0" w:space="0" w:color="auto"/>
        <w:right w:val="none" w:sz="0" w:space="0" w:color="auto"/>
      </w:divBdr>
    </w:div>
    <w:div w:id="632834649">
      <w:bodyDiv w:val="1"/>
      <w:marLeft w:val="0"/>
      <w:marRight w:val="0"/>
      <w:marTop w:val="0"/>
      <w:marBottom w:val="0"/>
      <w:divBdr>
        <w:top w:val="none" w:sz="0" w:space="0" w:color="auto"/>
        <w:left w:val="none" w:sz="0" w:space="0" w:color="auto"/>
        <w:bottom w:val="none" w:sz="0" w:space="0" w:color="auto"/>
        <w:right w:val="none" w:sz="0" w:space="0" w:color="auto"/>
      </w:divBdr>
    </w:div>
    <w:div w:id="688872383">
      <w:bodyDiv w:val="1"/>
      <w:marLeft w:val="0"/>
      <w:marRight w:val="0"/>
      <w:marTop w:val="0"/>
      <w:marBottom w:val="0"/>
      <w:divBdr>
        <w:top w:val="none" w:sz="0" w:space="0" w:color="auto"/>
        <w:left w:val="none" w:sz="0" w:space="0" w:color="auto"/>
        <w:bottom w:val="none" w:sz="0" w:space="0" w:color="auto"/>
        <w:right w:val="none" w:sz="0" w:space="0" w:color="auto"/>
      </w:divBdr>
      <w:divsChild>
        <w:div w:id="489754306">
          <w:marLeft w:val="0"/>
          <w:marRight w:val="0"/>
          <w:marTop w:val="0"/>
          <w:marBottom w:val="0"/>
          <w:divBdr>
            <w:top w:val="none" w:sz="0" w:space="0" w:color="auto"/>
            <w:left w:val="none" w:sz="0" w:space="0" w:color="auto"/>
            <w:bottom w:val="none" w:sz="0" w:space="0" w:color="auto"/>
            <w:right w:val="none" w:sz="0" w:space="0" w:color="auto"/>
          </w:divBdr>
          <w:divsChild>
            <w:div w:id="61541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6994">
      <w:bodyDiv w:val="1"/>
      <w:marLeft w:val="0"/>
      <w:marRight w:val="0"/>
      <w:marTop w:val="0"/>
      <w:marBottom w:val="0"/>
      <w:divBdr>
        <w:top w:val="none" w:sz="0" w:space="0" w:color="auto"/>
        <w:left w:val="none" w:sz="0" w:space="0" w:color="auto"/>
        <w:bottom w:val="none" w:sz="0" w:space="0" w:color="auto"/>
        <w:right w:val="none" w:sz="0" w:space="0" w:color="auto"/>
      </w:divBdr>
      <w:divsChild>
        <w:div w:id="647318968">
          <w:marLeft w:val="0"/>
          <w:marRight w:val="0"/>
          <w:marTop w:val="0"/>
          <w:marBottom w:val="0"/>
          <w:divBdr>
            <w:top w:val="none" w:sz="0" w:space="0" w:color="auto"/>
            <w:left w:val="none" w:sz="0" w:space="0" w:color="auto"/>
            <w:bottom w:val="none" w:sz="0" w:space="0" w:color="auto"/>
            <w:right w:val="none" w:sz="0" w:space="0" w:color="auto"/>
          </w:divBdr>
          <w:divsChild>
            <w:div w:id="3811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89076">
      <w:bodyDiv w:val="1"/>
      <w:marLeft w:val="0"/>
      <w:marRight w:val="0"/>
      <w:marTop w:val="0"/>
      <w:marBottom w:val="0"/>
      <w:divBdr>
        <w:top w:val="none" w:sz="0" w:space="0" w:color="auto"/>
        <w:left w:val="none" w:sz="0" w:space="0" w:color="auto"/>
        <w:bottom w:val="none" w:sz="0" w:space="0" w:color="auto"/>
        <w:right w:val="none" w:sz="0" w:space="0" w:color="auto"/>
      </w:divBdr>
    </w:div>
    <w:div w:id="779883977">
      <w:bodyDiv w:val="1"/>
      <w:marLeft w:val="0"/>
      <w:marRight w:val="0"/>
      <w:marTop w:val="0"/>
      <w:marBottom w:val="0"/>
      <w:divBdr>
        <w:top w:val="none" w:sz="0" w:space="0" w:color="auto"/>
        <w:left w:val="none" w:sz="0" w:space="0" w:color="auto"/>
        <w:bottom w:val="none" w:sz="0" w:space="0" w:color="auto"/>
        <w:right w:val="none" w:sz="0" w:space="0" w:color="auto"/>
      </w:divBdr>
      <w:divsChild>
        <w:div w:id="757749380">
          <w:marLeft w:val="0"/>
          <w:marRight w:val="0"/>
          <w:marTop w:val="0"/>
          <w:marBottom w:val="0"/>
          <w:divBdr>
            <w:top w:val="none" w:sz="0" w:space="0" w:color="auto"/>
            <w:left w:val="none" w:sz="0" w:space="0" w:color="auto"/>
            <w:bottom w:val="none" w:sz="0" w:space="0" w:color="auto"/>
            <w:right w:val="none" w:sz="0" w:space="0" w:color="auto"/>
          </w:divBdr>
          <w:divsChild>
            <w:div w:id="8746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86737">
      <w:bodyDiv w:val="1"/>
      <w:marLeft w:val="0"/>
      <w:marRight w:val="0"/>
      <w:marTop w:val="0"/>
      <w:marBottom w:val="0"/>
      <w:divBdr>
        <w:top w:val="none" w:sz="0" w:space="0" w:color="auto"/>
        <w:left w:val="none" w:sz="0" w:space="0" w:color="auto"/>
        <w:bottom w:val="none" w:sz="0" w:space="0" w:color="auto"/>
        <w:right w:val="none" w:sz="0" w:space="0" w:color="auto"/>
      </w:divBdr>
      <w:divsChild>
        <w:div w:id="1027490465">
          <w:marLeft w:val="0"/>
          <w:marRight w:val="0"/>
          <w:marTop w:val="0"/>
          <w:marBottom w:val="0"/>
          <w:divBdr>
            <w:top w:val="none" w:sz="0" w:space="0" w:color="auto"/>
            <w:left w:val="none" w:sz="0" w:space="0" w:color="auto"/>
            <w:bottom w:val="none" w:sz="0" w:space="0" w:color="auto"/>
            <w:right w:val="none" w:sz="0" w:space="0" w:color="auto"/>
          </w:divBdr>
          <w:divsChild>
            <w:div w:id="70602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1411">
      <w:bodyDiv w:val="1"/>
      <w:marLeft w:val="0"/>
      <w:marRight w:val="0"/>
      <w:marTop w:val="0"/>
      <w:marBottom w:val="0"/>
      <w:divBdr>
        <w:top w:val="none" w:sz="0" w:space="0" w:color="auto"/>
        <w:left w:val="none" w:sz="0" w:space="0" w:color="auto"/>
        <w:bottom w:val="none" w:sz="0" w:space="0" w:color="auto"/>
        <w:right w:val="none" w:sz="0" w:space="0" w:color="auto"/>
      </w:divBdr>
    </w:div>
    <w:div w:id="896814711">
      <w:bodyDiv w:val="1"/>
      <w:marLeft w:val="0"/>
      <w:marRight w:val="0"/>
      <w:marTop w:val="0"/>
      <w:marBottom w:val="0"/>
      <w:divBdr>
        <w:top w:val="none" w:sz="0" w:space="0" w:color="auto"/>
        <w:left w:val="none" w:sz="0" w:space="0" w:color="auto"/>
        <w:bottom w:val="none" w:sz="0" w:space="0" w:color="auto"/>
        <w:right w:val="none" w:sz="0" w:space="0" w:color="auto"/>
      </w:divBdr>
    </w:div>
    <w:div w:id="920992117">
      <w:bodyDiv w:val="1"/>
      <w:marLeft w:val="0"/>
      <w:marRight w:val="0"/>
      <w:marTop w:val="0"/>
      <w:marBottom w:val="0"/>
      <w:divBdr>
        <w:top w:val="none" w:sz="0" w:space="0" w:color="auto"/>
        <w:left w:val="none" w:sz="0" w:space="0" w:color="auto"/>
        <w:bottom w:val="none" w:sz="0" w:space="0" w:color="auto"/>
        <w:right w:val="none" w:sz="0" w:space="0" w:color="auto"/>
      </w:divBdr>
    </w:div>
    <w:div w:id="976571447">
      <w:bodyDiv w:val="1"/>
      <w:marLeft w:val="0"/>
      <w:marRight w:val="0"/>
      <w:marTop w:val="0"/>
      <w:marBottom w:val="0"/>
      <w:divBdr>
        <w:top w:val="none" w:sz="0" w:space="0" w:color="auto"/>
        <w:left w:val="none" w:sz="0" w:space="0" w:color="auto"/>
        <w:bottom w:val="none" w:sz="0" w:space="0" w:color="auto"/>
        <w:right w:val="none" w:sz="0" w:space="0" w:color="auto"/>
      </w:divBdr>
    </w:div>
    <w:div w:id="1042897968">
      <w:bodyDiv w:val="1"/>
      <w:marLeft w:val="0"/>
      <w:marRight w:val="0"/>
      <w:marTop w:val="0"/>
      <w:marBottom w:val="0"/>
      <w:divBdr>
        <w:top w:val="none" w:sz="0" w:space="0" w:color="auto"/>
        <w:left w:val="none" w:sz="0" w:space="0" w:color="auto"/>
        <w:bottom w:val="none" w:sz="0" w:space="0" w:color="auto"/>
        <w:right w:val="none" w:sz="0" w:space="0" w:color="auto"/>
      </w:divBdr>
    </w:div>
    <w:div w:id="1070616370">
      <w:bodyDiv w:val="1"/>
      <w:marLeft w:val="0"/>
      <w:marRight w:val="0"/>
      <w:marTop w:val="0"/>
      <w:marBottom w:val="0"/>
      <w:divBdr>
        <w:top w:val="none" w:sz="0" w:space="0" w:color="auto"/>
        <w:left w:val="none" w:sz="0" w:space="0" w:color="auto"/>
        <w:bottom w:val="none" w:sz="0" w:space="0" w:color="auto"/>
        <w:right w:val="none" w:sz="0" w:space="0" w:color="auto"/>
      </w:divBdr>
      <w:divsChild>
        <w:div w:id="1586108349">
          <w:marLeft w:val="0"/>
          <w:marRight w:val="0"/>
          <w:marTop w:val="0"/>
          <w:marBottom w:val="0"/>
          <w:divBdr>
            <w:top w:val="none" w:sz="0" w:space="0" w:color="auto"/>
            <w:left w:val="none" w:sz="0" w:space="0" w:color="auto"/>
            <w:bottom w:val="none" w:sz="0" w:space="0" w:color="auto"/>
            <w:right w:val="none" w:sz="0" w:space="0" w:color="auto"/>
          </w:divBdr>
          <w:divsChild>
            <w:div w:id="5031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77053">
      <w:bodyDiv w:val="1"/>
      <w:marLeft w:val="0"/>
      <w:marRight w:val="0"/>
      <w:marTop w:val="0"/>
      <w:marBottom w:val="0"/>
      <w:divBdr>
        <w:top w:val="none" w:sz="0" w:space="0" w:color="auto"/>
        <w:left w:val="none" w:sz="0" w:space="0" w:color="auto"/>
        <w:bottom w:val="none" w:sz="0" w:space="0" w:color="auto"/>
        <w:right w:val="none" w:sz="0" w:space="0" w:color="auto"/>
      </w:divBdr>
    </w:div>
    <w:div w:id="1270351082">
      <w:bodyDiv w:val="1"/>
      <w:marLeft w:val="0"/>
      <w:marRight w:val="0"/>
      <w:marTop w:val="0"/>
      <w:marBottom w:val="0"/>
      <w:divBdr>
        <w:top w:val="none" w:sz="0" w:space="0" w:color="auto"/>
        <w:left w:val="none" w:sz="0" w:space="0" w:color="auto"/>
        <w:bottom w:val="none" w:sz="0" w:space="0" w:color="auto"/>
        <w:right w:val="none" w:sz="0" w:space="0" w:color="auto"/>
      </w:divBdr>
    </w:div>
    <w:div w:id="1281767895">
      <w:bodyDiv w:val="1"/>
      <w:marLeft w:val="0"/>
      <w:marRight w:val="0"/>
      <w:marTop w:val="0"/>
      <w:marBottom w:val="0"/>
      <w:divBdr>
        <w:top w:val="none" w:sz="0" w:space="0" w:color="auto"/>
        <w:left w:val="none" w:sz="0" w:space="0" w:color="auto"/>
        <w:bottom w:val="none" w:sz="0" w:space="0" w:color="auto"/>
        <w:right w:val="none" w:sz="0" w:space="0" w:color="auto"/>
      </w:divBdr>
    </w:div>
    <w:div w:id="1437213139">
      <w:bodyDiv w:val="1"/>
      <w:marLeft w:val="0"/>
      <w:marRight w:val="0"/>
      <w:marTop w:val="0"/>
      <w:marBottom w:val="0"/>
      <w:divBdr>
        <w:top w:val="none" w:sz="0" w:space="0" w:color="auto"/>
        <w:left w:val="none" w:sz="0" w:space="0" w:color="auto"/>
        <w:bottom w:val="none" w:sz="0" w:space="0" w:color="auto"/>
        <w:right w:val="none" w:sz="0" w:space="0" w:color="auto"/>
      </w:divBdr>
    </w:div>
    <w:div w:id="1497840285">
      <w:bodyDiv w:val="1"/>
      <w:marLeft w:val="0"/>
      <w:marRight w:val="0"/>
      <w:marTop w:val="0"/>
      <w:marBottom w:val="0"/>
      <w:divBdr>
        <w:top w:val="none" w:sz="0" w:space="0" w:color="auto"/>
        <w:left w:val="none" w:sz="0" w:space="0" w:color="auto"/>
        <w:bottom w:val="none" w:sz="0" w:space="0" w:color="auto"/>
        <w:right w:val="none" w:sz="0" w:space="0" w:color="auto"/>
      </w:divBdr>
      <w:divsChild>
        <w:div w:id="1651446374">
          <w:marLeft w:val="0"/>
          <w:marRight w:val="0"/>
          <w:marTop w:val="0"/>
          <w:marBottom w:val="0"/>
          <w:divBdr>
            <w:top w:val="none" w:sz="0" w:space="0" w:color="auto"/>
            <w:left w:val="none" w:sz="0" w:space="0" w:color="auto"/>
            <w:bottom w:val="none" w:sz="0" w:space="0" w:color="auto"/>
            <w:right w:val="none" w:sz="0" w:space="0" w:color="auto"/>
          </w:divBdr>
          <w:divsChild>
            <w:div w:id="103719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3051">
      <w:bodyDiv w:val="1"/>
      <w:marLeft w:val="0"/>
      <w:marRight w:val="0"/>
      <w:marTop w:val="0"/>
      <w:marBottom w:val="0"/>
      <w:divBdr>
        <w:top w:val="none" w:sz="0" w:space="0" w:color="auto"/>
        <w:left w:val="none" w:sz="0" w:space="0" w:color="auto"/>
        <w:bottom w:val="none" w:sz="0" w:space="0" w:color="auto"/>
        <w:right w:val="none" w:sz="0" w:space="0" w:color="auto"/>
      </w:divBdr>
    </w:div>
    <w:div w:id="1623263423">
      <w:bodyDiv w:val="1"/>
      <w:marLeft w:val="0"/>
      <w:marRight w:val="0"/>
      <w:marTop w:val="0"/>
      <w:marBottom w:val="0"/>
      <w:divBdr>
        <w:top w:val="none" w:sz="0" w:space="0" w:color="auto"/>
        <w:left w:val="none" w:sz="0" w:space="0" w:color="auto"/>
        <w:bottom w:val="none" w:sz="0" w:space="0" w:color="auto"/>
        <w:right w:val="none" w:sz="0" w:space="0" w:color="auto"/>
      </w:divBdr>
    </w:div>
    <w:div w:id="1629817738">
      <w:bodyDiv w:val="1"/>
      <w:marLeft w:val="0"/>
      <w:marRight w:val="0"/>
      <w:marTop w:val="0"/>
      <w:marBottom w:val="0"/>
      <w:divBdr>
        <w:top w:val="none" w:sz="0" w:space="0" w:color="auto"/>
        <w:left w:val="none" w:sz="0" w:space="0" w:color="auto"/>
        <w:bottom w:val="none" w:sz="0" w:space="0" w:color="auto"/>
        <w:right w:val="none" w:sz="0" w:space="0" w:color="auto"/>
      </w:divBdr>
      <w:divsChild>
        <w:div w:id="1497111226">
          <w:marLeft w:val="0"/>
          <w:marRight w:val="0"/>
          <w:marTop w:val="0"/>
          <w:marBottom w:val="0"/>
          <w:divBdr>
            <w:top w:val="none" w:sz="0" w:space="0" w:color="auto"/>
            <w:left w:val="none" w:sz="0" w:space="0" w:color="auto"/>
            <w:bottom w:val="none" w:sz="0" w:space="0" w:color="auto"/>
            <w:right w:val="none" w:sz="0" w:space="0" w:color="auto"/>
          </w:divBdr>
          <w:divsChild>
            <w:div w:id="8960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5907">
      <w:bodyDiv w:val="1"/>
      <w:marLeft w:val="0"/>
      <w:marRight w:val="0"/>
      <w:marTop w:val="0"/>
      <w:marBottom w:val="0"/>
      <w:divBdr>
        <w:top w:val="none" w:sz="0" w:space="0" w:color="auto"/>
        <w:left w:val="none" w:sz="0" w:space="0" w:color="auto"/>
        <w:bottom w:val="none" w:sz="0" w:space="0" w:color="auto"/>
        <w:right w:val="none" w:sz="0" w:space="0" w:color="auto"/>
      </w:divBdr>
      <w:divsChild>
        <w:div w:id="1077478957">
          <w:marLeft w:val="0"/>
          <w:marRight w:val="0"/>
          <w:marTop w:val="0"/>
          <w:marBottom w:val="0"/>
          <w:divBdr>
            <w:top w:val="none" w:sz="0" w:space="0" w:color="auto"/>
            <w:left w:val="none" w:sz="0" w:space="0" w:color="auto"/>
            <w:bottom w:val="none" w:sz="0" w:space="0" w:color="auto"/>
            <w:right w:val="none" w:sz="0" w:space="0" w:color="auto"/>
          </w:divBdr>
          <w:divsChild>
            <w:div w:id="21376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70307">
      <w:bodyDiv w:val="1"/>
      <w:marLeft w:val="0"/>
      <w:marRight w:val="0"/>
      <w:marTop w:val="0"/>
      <w:marBottom w:val="0"/>
      <w:divBdr>
        <w:top w:val="none" w:sz="0" w:space="0" w:color="auto"/>
        <w:left w:val="none" w:sz="0" w:space="0" w:color="auto"/>
        <w:bottom w:val="none" w:sz="0" w:space="0" w:color="auto"/>
        <w:right w:val="none" w:sz="0" w:space="0" w:color="auto"/>
      </w:divBdr>
    </w:div>
    <w:div w:id="1782992423">
      <w:bodyDiv w:val="1"/>
      <w:marLeft w:val="0"/>
      <w:marRight w:val="0"/>
      <w:marTop w:val="0"/>
      <w:marBottom w:val="0"/>
      <w:divBdr>
        <w:top w:val="none" w:sz="0" w:space="0" w:color="auto"/>
        <w:left w:val="none" w:sz="0" w:space="0" w:color="auto"/>
        <w:bottom w:val="none" w:sz="0" w:space="0" w:color="auto"/>
        <w:right w:val="none" w:sz="0" w:space="0" w:color="auto"/>
      </w:divBdr>
    </w:div>
    <w:div w:id="1919247078">
      <w:bodyDiv w:val="1"/>
      <w:marLeft w:val="0"/>
      <w:marRight w:val="0"/>
      <w:marTop w:val="0"/>
      <w:marBottom w:val="0"/>
      <w:divBdr>
        <w:top w:val="none" w:sz="0" w:space="0" w:color="auto"/>
        <w:left w:val="none" w:sz="0" w:space="0" w:color="auto"/>
        <w:bottom w:val="none" w:sz="0" w:space="0" w:color="auto"/>
        <w:right w:val="none" w:sz="0" w:space="0" w:color="auto"/>
      </w:divBdr>
      <w:divsChild>
        <w:div w:id="1332946299">
          <w:marLeft w:val="0"/>
          <w:marRight w:val="0"/>
          <w:marTop w:val="0"/>
          <w:marBottom w:val="0"/>
          <w:divBdr>
            <w:top w:val="none" w:sz="0" w:space="0" w:color="auto"/>
            <w:left w:val="none" w:sz="0" w:space="0" w:color="auto"/>
            <w:bottom w:val="none" w:sz="0" w:space="0" w:color="auto"/>
            <w:right w:val="none" w:sz="0" w:space="0" w:color="auto"/>
          </w:divBdr>
          <w:divsChild>
            <w:div w:id="14650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20949">
      <w:bodyDiv w:val="1"/>
      <w:marLeft w:val="0"/>
      <w:marRight w:val="0"/>
      <w:marTop w:val="0"/>
      <w:marBottom w:val="0"/>
      <w:divBdr>
        <w:top w:val="none" w:sz="0" w:space="0" w:color="auto"/>
        <w:left w:val="none" w:sz="0" w:space="0" w:color="auto"/>
        <w:bottom w:val="none" w:sz="0" w:space="0" w:color="auto"/>
        <w:right w:val="none" w:sz="0" w:space="0" w:color="auto"/>
      </w:divBdr>
    </w:div>
    <w:div w:id="2079741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7910/DVN/OGQJX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i.org/10.23696/vdemcy18" TargetMode="External"/><Relationship Id="rId4" Type="http://schemas.openxmlformats.org/officeDocument/2006/relationships/settings" Target="settings.xml"/><Relationship Id="rId9" Type="http://schemas.openxmlformats.org/officeDocument/2006/relationships/hyperlink" Target="https://www.v-dem.net/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360BC5-7F7B-4659-8FF7-8915C697C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8482</Words>
  <Characters>48352</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56721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Boylan,Jennifer C</cp:lastModifiedBy>
  <cp:revision>2</cp:revision>
  <dcterms:created xsi:type="dcterms:W3CDTF">2019-08-12T15:23:00Z</dcterms:created>
  <dcterms:modified xsi:type="dcterms:W3CDTF">2019-08-12T15:23:00Z</dcterms:modified>
  <cp:category/>
</cp:coreProperties>
</file>