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D4" w:rsidRPr="00C80B77" w:rsidRDefault="00072171" w:rsidP="00AB256D">
      <w:pPr>
        <w:pStyle w:val="Heading1"/>
      </w:pPr>
      <w:bookmarkStart w:id="0" w:name="_GoBack"/>
      <w:bookmarkEnd w:id="0"/>
      <w:r w:rsidRPr="00C80B77">
        <w:t>Appendi</w:t>
      </w:r>
      <w:r w:rsidR="00CE5E67" w:rsidRPr="00C80B77">
        <w:t>ces</w:t>
      </w:r>
    </w:p>
    <w:p w:rsidR="00E07752" w:rsidRPr="00AB256D" w:rsidRDefault="00E07752" w:rsidP="00AB256D">
      <w:pPr>
        <w:pStyle w:val="Heading1"/>
        <w:rPr>
          <w:b w:val="0"/>
        </w:rPr>
      </w:pPr>
      <w:r w:rsidRPr="00AB256D">
        <w:t xml:space="preserve">“A Path out of Patriarchy: </w:t>
      </w:r>
      <w:r w:rsidR="00AB256D" w:rsidRPr="00AB256D">
        <w:t>Political Agency and Social Identity of Women Fighters</w:t>
      </w:r>
      <w:r w:rsidRPr="00AB256D">
        <w:t>”</w:t>
      </w:r>
    </w:p>
    <w:p w:rsidR="00DE7BA7" w:rsidRDefault="0037020A" w:rsidP="000A4B82">
      <w:pPr>
        <w:pStyle w:val="Heading2"/>
        <w:rPr>
          <w:szCs w:val="24"/>
        </w:rPr>
      </w:pPr>
      <w:r>
        <w:rPr>
          <w:szCs w:val="24"/>
        </w:rPr>
        <w:t>Appendix A</w:t>
      </w:r>
      <w:r w:rsidRPr="00AB256D">
        <w:rPr>
          <w:szCs w:val="24"/>
        </w:rPr>
        <w:t xml:space="preserve">. </w:t>
      </w:r>
      <w:proofErr w:type="spellStart"/>
      <w:r>
        <w:rPr>
          <w:szCs w:val="24"/>
        </w:rPr>
        <w:t>Ethnicized</w:t>
      </w:r>
      <w:proofErr w:type="spellEnd"/>
      <w:r>
        <w:rPr>
          <w:szCs w:val="24"/>
        </w:rPr>
        <w:t xml:space="preserve"> Gender Inequality and Women’s Violent Mobilization in Turkey </w:t>
      </w:r>
      <w:r w:rsidRPr="00AB256D">
        <w:rPr>
          <w:szCs w:val="24"/>
        </w:rPr>
        <w:t xml:space="preserve"> </w:t>
      </w:r>
    </w:p>
    <w:p w:rsidR="00DE7BA7" w:rsidRPr="00F36436" w:rsidRDefault="00DE7BA7" w:rsidP="00B80382">
      <w:pPr>
        <w:spacing w:after="0" w:line="360" w:lineRule="auto"/>
        <w:rPr>
          <w:sz w:val="24"/>
          <w:szCs w:val="24"/>
        </w:rPr>
      </w:pPr>
      <w:r w:rsidRPr="0E5900BA">
        <w:rPr>
          <w:sz w:val="24"/>
          <w:szCs w:val="24"/>
        </w:rPr>
        <w:t xml:space="preserve">Figure </w:t>
      </w:r>
      <w:r w:rsidR="00E02A7C">
        <w:rPr>
          <w:sz w:val="24"/>
          <w:szCs w:val="24"/>
        </w:rPr>
        <w:t xml:space="preserve">A. </w:t>
      </w:r>
      <w:r w:rsidRPr="0E5900BA">
        <w:rPr>
          <w:sz w:val="24"/>
          <w:szCs w:val="24"/>
        </w:rPr>
        <w:t xml:space="preserve">1 visualizes two dimensions of gender inequality at the provincial level in Turkey: the ratio of teenage mothers (x-axis) and the average marriage age for women (y-axis). Provinces with darker circle have a higher ratio of Kurdish population; provinces represented by larger circles have a higher number of women militants. The figure shows that most Kurdish provinces (with the exception of </w:t>
      </w:r>
      <w:proofErr w:type="spellStart"/>
      <w:r w:rsidRPr="0E5900BA">
        <w:rPr>
          <w:sz w:val="24"/>
          <w:szCs w:val="24"/>
        </w:rPr>
        <w:t>Tunceli</w:t>
      </w:r>
      <w:proofErr w:type="spellEnd"/>
      <w:r w:rsidRPr="0E5900BA">
        <w:rPr>
          <w:sz w:val="24"/>
          <w:szCs w:val="24"/>
        </w:rPr>
        <w:t xml:space="preserve">) have higher levels of gender inequality (located in the bottom-right side of the graph). It also suggests significant spatial variation in the number of women joining the insurgency. </w:t>
      </w:r>
    </w:p>
    <w:p w:rsidR="00DE7BA7" w:rsidRPr="00F36436" w:rsidRDefault="00DE7BA7" w:rsidP="00DE7BA7">
      <w:pPr>
        <w:spacing w:after="0" w:line="360" w:lineRule="auto"/>
        <w:rPr>
          <w:sz w:val="24"/>
          <w:szCs w:val="24"/>
        </w:rPr>
      </w:pPr>
      <w:r w:rsidRPr="0E5900BA">
        <w:rPr>
          <w:sz w:val="24"/>
          <w:szCs w:val="24"/>
        </w:rPr>
        <w:t xml:space="preserve">Figure </w:t>
      </w:r>
      <w:r w:rsidR="00B80382">
        <w:rPr>
          <w:sz w:val="24"/>
          <w:szCs w:val="24"/>
        </w:rPr>
        <w:t>A.</w:t>
      </w:r>
      <w:r w:rsidRPr="0E5900BA">
        <w:rPr>
          <w:sz w:val="24"/>
          <w:szCs w:val="24"/>
        </w:rPr>
        <w:t xml:space="preserve">1. Two Dimensions of Patriarchy and Women’s Violent Mobilization in Turkey </w:t>
      </w:r>
    </w:p>
    <w:p w:rsidR="00DE7BA7" w:rsidRPr="00F36436" w:rsidRDefault="00DE7BA7" w:rsidP="00DE7BA7">
      <w:pPr>
        <w:spacing w:after="0" w:line="240" w:lineRule="auto"/>
        <w:rPr>
          <w:sz w:val="24"/>
          <w:szCs w:val="24"/>
        </w:rPr>
      </w:pPr>
    </w:p>
    <w:p w:rsidR="00DE7BA7" w:rsidRDefault="00DE7BA7" w:rsidP="00E02A7C">
      <w:pPr>
        <w:spacing w:after="0" w:line="240" w:lineRule="auto"/>
        <w:rPr>
          <w:sz w:val="24"/>
          <w:szCs w:val="24"/>
        </w:rPr>
      </w:pPr>
      <w:r w:rsidRPr="00F36436">
        <w:rPr>
          <w:noProof/>
          <w:sz w:val="24"/>
          <w:szCs w:val="24"/>
        </w:rPr>
        <w:drawing>
          <wp:inline distT="0" distB="0" distL="0" distR="0" wp14:anchorId="194C114A" wp14:editId="164007C5">
            <wp:extent cx="5943600" cy="4053385"/>
            <wp:effectExtent l="0" t="0" r="0" b="4445"/>
            <wp:docPr id="6" name="Picture 6" descr="C:\Users\gu829279\Desktop\Provinces-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829279\Desktop\Provinces-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974" cy="4054322"/>
                    </a:xfrm>
                    <a:prstGeom prst="rect">
                      <a:avLst/>
                    </a:prstGeom>
                    <a:noFill/>
                    <a:ln>
                      <a:noFill/>
                    </a:ln>
                  </pic:spPr>
                </pic:pic>
              </a:graphicData>
            </a:graphic>
          </wp:inline>
        </w:drawing>
      </w:r>
      <w:r w:rsidRPr="00F36436">
        <w:rPr>
          <w:sz w:val="24"/>
          <w:szCs w:val="24"/>
        </w:rPr>
        <w:t xml:space="preserve"> </w:t>
      </w:r>
    </w:p>
    <w:p w:rsidR="00125AEF" w:rsidRDefault="00125AEF" w:rsidP="00E02A7C">
      <w:pPr>
        <w:spacing w:after="0" w:line="240" w:lineRule="auto"/>
        <w:rPr>
          <w:sz w:val="24"/>
          <w:szCs w:val="24"/>
        </w:rPr>
      </w:pPr>
    </w:p>
    <w:p w:rsidR="00125AEF" w:rsidRDefault="00125AEF" w:rsidP="00E02A7C">
      <w:pPr>
        <w:spacing w:after="0" w:line="240" w:lineRule="auto"/>
        <w:rPr>
          <w:sz w:val="24"/>
          <w:szCs w:val="24"/>
        </w:rPr>
      </w:pPr>
    </w:p>
    <w:p w:rsidR="00125AEF" w:rsidRDefault="00125AEF">
      <w:pPr>
        <w:rPr>
          <w:sz w:val="24"/>
          <w:szCs w:val="24"/>
        </w:rPr>
      </w:pPr>
      <w:r>
        <w:rPr>
          <w:sz w:val="24"/>
          <w:szCs w:val="24"/>
        </w:rPr>
        <w:br w:type="page"/>
      </w:r>
    </w:p>
    <w:p w:rsidR="00125AEF" w:rsidRPr="00F36436" w:rsidRDefault="00125AEF" w:rsidP="00E02A7C">
      <w:pPr>
        <w:spacing w:after="0" w:line="240" w:lineRule="auto"/>
        <w:rPr>
          <w:sz w:val="24"/>
          <w:szCs w:val="24"/>
        </w:rPr>
      </w:pPr>
    </w:p>
    <w:p w:rsidR="00E07752" w:rsidRPr="00AB256D" w:rsidRDefault="0037020A" w:rsidP="00C9799C">
      <w:pPr>
        <w:pStyle w:val="Heading2"/>
        <w:rPr>
          <w:szCs w:val="24"/>
        </w:rPr>
      </w:pPr>
      <w:r>
        <w:rPr>
          <w:szCs w:val="24"/>
        </w:rPr>
        <w:t>Appendix B</w:t>
      </w:r>
      <w:r w:rsidR="00C9799C" w:rsidRPr="00AB256D">
        <w:rPr>
          <w:szCs w:val="24"/>
        </w:rPr>
        <w:t xml:space="preserve">. PKK’s Gender Narrative during its Formative Years </w:t>
      </w:r>
    </w:p>
    <w:p w:rsidR="004720AD" w:rsidRPr="00AB256D" w:rsidRDefault="0037020A" w:rsidP="00204A5F">
      <w:pPr>
        <w:rPr>
          <w:sz w:val="24"/>
          <w:szCs w:val="24"/>
        </w:rPr>
      </w:pPr>
      <w:r>
        <w:rPr>
          <w:sz w:val="24"/>
          <w:szCs w:val="24"/>
        </w:rPr>
        <w:t>Table B</w:t>
      </w:r>
      <w:r w:rsidR="004720AD" w:rsidRPr="00AB256D">
        <w:rPr>
          <w:sz w:val="24"/>
          <w:szCs w:val="24"/>
        </w:rPr>
        <w:t xml:space="preserve">.1. </w:t>
      </w:r>
      <w:r w:rsidR="00204A5F" w:rsidRPr="00AB256D">
        <w:rPr>
          <w:sz w:val="24"/>
          <w:szCs w:val="24"/>
        </w:rPr>
        <w:t xml:space="preserve">Gender Equality Themed Essays in </w:t>
      </w:r>
      <w:proofErr w:type="spellStart"/>
      <w:r w:rsidR="00204A5F" w:rsidRPr="00AB256D">
        <w:rPr>
          <w:i/>
          <w:iCs/>
          <w:sz w:val="24"/>
          <w:szCs w:val="24"/>
        </w:rPr>
        <w:t>Serxwebûn</w:t>
      </w:r>
      <w:proofErr w:type="spellEnd"/>
      <w:r w:rsidR="00204A5F" w:rsidRPr="00AB256D">
        <w:rPr>
          <w:i/>
          <w:iCs/>
          <w:sz w:val="24"/>
          <w:szCs w:val="24"/>
        </w:rPr>
        <w:t xml:space="preserve"> </w:t>
      </w:r>
      <w:r w:rsidR="00204A5F" w:rsidRPr="00AB256D">
        <w:rPr>
          <w:sz w:val="24"/>
          <w:szCs w:val="24"/>
        </w:rPr>
        <w:t>(1982-1991)</w:t>
      </w:r>
    </w:p>
    <w:tbl>
      <w:tblPr>
        <w:tblStyle w:val="GridTable2"/>
        <w:tblW w:w="0" w:type="auto"/>
        <w:tblLook w:val="04A0" w:firstRow="1" w:lastRow="0" w:firstColumn="1" w:lastColumn="0" w:noHBand="0" w:noVBand="1"/>
      </w:tblPr>
      <w:tblGrid>
        <w:gridCol w:w="1350"/>
        <w:gridCol w:w="2250"/>
        <w:gridCol w:w="5750"/>
      </w:tblGrid>
      <w:tr w:rsidR="004720AD" w:rsidTr="00AB2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double" w:sz="4" w:space="0" w:color="auto"/>
              <w:bottom w:val="double" w:sz="4" w:space="0" w:color="auto"/>
            </w:tcBorders>
          </w:tcPr>
          <w:p w:rsidR="004720AD" w:rsidRPr="00AB256D" w:rsidRDefault="004720AD" w:rsidP="00E11B15">
            <w:pPr>
              <w:rPr>
                <w:sz w:val="24"/>
                <w:szCs w:val="24"/>
              </w:rPr>
            </w:pPr>
            <w:r w:rsidRPr="00AB256D">
              <w:rPr>
                <w:sz w:val="24"/>
                <w:szCs w:val="24"/>
              </w:rPr>
              <w:t>Publication Year</w:t>
            </w:r>
          </w:p>
        </w:tc>
        <w:tc>
          <w:tcPr>
            <w:tcW w:w="2250" w:type="dxa"/>
            <w:tcBorders>
              <w:top w:val="double" w:sz="4" w:space="0" w:color="auto"/>
              <w:bottom w:val="double" w:sz="4" w:space="0" w:color="auto"/>
            </w:tcBorders>
          </w:tcPr>
          <w:p w:rsidR="007E51EF" w:rsidRPr="00AB256D" w:rsidRDefault="00D451DC" w:rsidP="007E51EF">
            <w:pPr>
              <w:cnfStyle w:val="100000000000" w:firstRow="1" w:lastRow="0" w:firstColumn="0" w:lastColumn="0" w:oddVBand="0" w:evenVBand="0" w:oddHBand="0" w:evenHBand="0" w:firstRowFirstColumn="0" w:firstRowLastColumn="0" w:lastRowFirstColumn="0" w:lastRowLastColumn="0"/>
              <w:rPr>
                <w:sz w:val="24"/>
                <w:szCs w:val="24"/>
              </w:rPr>
            </w:pPr>
            <w:r w:rsidRPr="00AB256D">
              <w:rPr>
                <w:sz w:val="24"/>
                <w:szCs w:val="24"/>
              </w:rPr>
              <w:t xml:space="preserve">Essays on Women’s </w:t>
            </w:r>
          </w:p>
          <w:p w:rsidR="004720AD" w:rsidRPr="00AB256D" w:rsidRDefault="00D451DC" w:rsidP="007E51EF">
            <w:pPr>
              <w:cnfStyle w:val="100000000000" w:firstRow="1" w:lastRow="0" w:firstColumn="0" w:lastColumn="0" w:oddVBand="0" w:evenVBand="0" w:oddHBand="0" w:evenHBand="0" w:firstRowFirstColumn="0" w:firstRowLastColumn="0" w:lastRowFirstColumn="0" w:lastRowLastColumn="0"/>
              <w:rPr>
                <w:sz w:val="24"/>
                <w:szCs w:val="24"/>
              </w:rPr>
            </w:pPr>
            <w:r w:rsidRPr="00AB256D">
              <w:rPr>
                <w:sz w:val="24"/>
                <w:szCs w:val="24"/>
              </w:rPr>
              <w:t>Question (Pages)</w:t>
            </w:r>
          </w:p>
        </w:tc>
        <w:tc>
          <w:tcPr>
            <w:tcW w:w="5750" w:type="dxa"/>
            <w:tcBorders>
              <w:top w:val="double" w:sz="4" w:space="0" w:color="auto"/>
              <w:bottom w:val="double" w:sz="4" w:space="0" w:color="auto"/>
            </w:tcBorders>
          </w:tcPr>
          <w:p w:rsidR="004720AD" w:rsidRPr="00AB256D" w:rsidRDefault="004720AD" w:rsidP="00E11B15">
            <w:pPr>
              <w:cnfStyle w:val="100000000000" w:firstRow="1" w:lastRow="0" w:firstColumn="0" w:lastColumn="0" w:oddVBand="0" w:evenVBand="0" w:oddHBand="0" w:evenHBand="0" w:firstRowFirstColumn="0" w:firstRowLastColumn="0" w:lastRowFirstColumn="0" w:lastRowLastColumn="0"/>
              <w:rPr>
                <w:sz w:val="24"/>
                <w:szCs w:val="24"/>
              </w:rPr>
            </w:pPr>
            <w:r w:rsidRPr="00AB256D">
              <w:rPr>
                <w:sz w:val="24"/>
                <w:szCs w:val="24"/>
              </w:rPr>
              <w:t>Contents</w:t>
            </w:r>
          </w:p>
        </w:tc>
      </w:tr>
      <w:tr w:rsidR="004720AD" w:rsidTr="00AB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double" w:sz="4" w:space="0" w:color="auto"/>
            </w:tcBorders>
          </w:tcPr>
          <w:p w:rsidR="004720AD" w:rsidRPr="00AB256D" w:rsidRDefault="004720AD" w:rsidP="00E11B15">
            <w:pPr>
              <w:rPr>
                <w:sz w:val="24"/>
                <w:szCs w:val="24"/>
              </w:rPr>
            </w:pPr>
            <w:r w:rsidRPr="00AB256D">
              <w:rPr>
                <w:sz w:val="24"/>
                <w:szCs w:val="24"/>
              </w:rPr>
              <w:t>1984</w:t>
            </w:r>
          </w:p>
        </w:tc>
        <w:tc>
          <w:tcPr>
            <w:tcW w:w="2250" w:type="dxa"/>
            <w:tcBorders>
              <w:top w:val="double" w:sz="4" w:space="0" w:color="auto"/>
            </w:tcBorders>
          </w:tcPr>
          <w:p w:rsidR="004720AD" w:rsidRPr="00AB256D" w:rsidRDefault="004D1CED" w:rsidP="00E11B15">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rPr>
              <w:t>1</w:t>
            </w:r>
          </w:p>
        </w:tc>
        <w:tc>
          <w:tcPr>
            <w:tcW w:w="5750" w:type="dxa"/>
            <w:tcBorders>
              <w:top w:val="double" w:sz="4" w:space="0" w:color="auto"/>
            </w:tcBorders>
          </w:tcPr>
          <w:p w:rsidR="004720AD" w:rsidRPr="00AB256D" w:rsidRDefault="004D1CED" w:rsidP="00D451DC">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rPr>
              <w:t>An article about International Women’s Day</w:t>
            </w:r>
            <w:r w:rsidR="00D451DC" w:rsidRPr="00AB256D">
              <w:rPr>
                <w:sz w:val="24"/>
                <w:szCs w:val="24"/>
              </w:rPr>
              <w:t xml:space="preserve"> </w:t>
            </w:r>
          </w:p>
        </w:tc>
      </w:tr>
      <w:tr w:rsidR="004720AD" w:rsidTr="00AB256D">
        <w:tc>
          <w:tcPr>
            <w:cnfStyle w:val="001000000000" w:firstRow="0" w:lastRow="0" w:firstColumn="1" w:lastColumn="0" w:oddVBand="0" w:evenVBand="0" w:oddHBand="0" w:evenHBand="0" w:firstRowFirstColumn="0" w:firstRowLastColumn="0" w:lastRowFirstColumn="0" w:lastRowLastColumn="0"/>
            <w:tcW w:w="1350" w:type="dxa"/>
          </w:tcPr>
          <w:p w:rsidR="004720AD" w:rsidRPr="00AB256D" w:rsidRDefault="004720AD" w:rsidP="004720AD">
            <w:pPr>
              <w:rPr>
                <w:sz w:val="24"/>
                <w:szCs w:val="24"/>
              </w:rPr>
            </w:pPr>
            <w:r w:rsidRPr="00AB256D">
              <w:rPr>
                <w:sz w:val="24"/>
                <w:szCs w:val="24"/>
              </w:rPr>
              <w:t>1985</w:t>
            </w:r>
          </w:p>
        </w:tc>
        <w:tc>
          <w:tcPr>
            <w:tcW w:w="2250" w:type="dxa"/>
          </w:tcPr>
          <w:p w:rsidR="004720AD" w:rsidRPr="00AB256D" w:rsidRDefault="00D451DC" w:rsidP="00E11B15">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rPr>
              <w:t>0</w:t>
            </w:r>
          </w:p>
        </w:tc>
        <w:tc>
          <w:tcPr>
            <w:tcW w:w="5750" w:type="dxa"/>
          </w:tcPr>
          <w:p w:rsidR="004720AD" w:rsidRPr="00AB256D" w:rsidRDefault="004720AD" w:rsidP="00E11B15">
            <w:pPr>
              <w:cnfStyle w:val="000000000000" w:firstRow="0" w:lastRow="0" w:firstColumn="0" w:lastColumn="0" w:oddVBand="0" w:evenVBand="0" w:oddHBand="0" w:evenHBand="0" w:firstRowFirstColumn="0" w:firstRowLastColumn="0" w:lastRowFirstColumn="0" w:lastRowLastColumn="0"/>
              <w:rPr>
                <w:sz w:val="24"/>
                <w:szCs w:val="24"/>
              </w:rPr>
            </w:pPr>
          </w:p>
        </w:tc>
      </w:tr>
      <w:tr w:rsidR="004720AD" w:rsidTr="00AB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720AD" w:rsidRPr="00AB256D" w:rsidRDefault="004720AD" w:rsidP="004720AD">
            <w:pPr>
              <w:rPr>
                <w:sz w:val="24"/>
                <w:szCs w:val="24"/>
              </w:rPr>
            </w:pPr>
            <w:r w:rsidRPr="00AB256D">
              <w:rPr>
                <w:sz w:val="24"/>
                <w:szCs w:val="24"/>
              </w:rPr>
              <w:t>1986</w:t>
            </w:r>
          </w:p>
        </w:tc>
        <w:tc>
          <w:tcPr>
            <w:tcW w:w="2250" w:type="dxa"/>
          </w:tcPr>
          <w:p w:rsidR="004720AD" w:rsidRPr="00AB256D" w:rsidRDefault="00D451DC" w:rsidP="00E11B15">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rPr>
              <w:t>0</w:t>
            </w:r>
          </w:p>
        </w:tc>
        <w:tc>
          <w:tcPr>
            <w:tcW w:w="5750" w:type="dxa"/>
          </w:tcPr>
          <w:p w:rsidR="004720AD" w:rsidRPr="00AB256D" w:rsidRDefault="004720AD" w:rsidP="00E11B15">
            <w:pPr>
              <w:cnfStyle w:val="000000100000" w:firstRow="0" w:lastRow="0" w:firstColumn="0" w:lastColumn="0" w:oddVBand="0" w:evenVBand="0" w:oddHBand="1" w:evenHBand="0" w:firstRowFirstColumn="0" w:firstRowLastColumn="0" w:lastRowFirstColumn="0" w:lastRowLastColumn="0"/>
              <w:rPr>
                <w:sz w:val="24"/>
                <w:szCs w:val="24"/>
              </w:rPr>
            </w:pPr>
          </w:p>
        </w:tc>
      </w:tr>
      <w:tr w:rsidR="004720AD" w:rsidTr="00AB256D">
        <w:tc>
          <w:tcPr>
            <w:cnfStyle w:val="001000000000" w:firstRow="0" w:lastRow="0" w:firstColumn="1" w:lastColumn="0" w:oddVBand="0" w:evenVBand="0" w:oddHBand="0" w:evenHBand="0" w:firstRowFirstColumn="0" w:firstRowLastColumn="0" w:lastRowFirstColumn="0" w:lastRowLastColumn="0"/>
            <w:tcW w:w="1350" w:type="dxa"/>
          </w:tcPr>
          <w:p w:rsidR="004720AD" w:rsidRPr="00AB256D" w:rsidRDefault="004720AD" w:rsidP="00E11B15">
            <w:pPr>
              <w:rPr>
                <w:sz w:val="24"/>
                <w:szCs w:val="24"/>
              </w:rPr>
            </w:pPr>
            <w:r w:rsidRPr="00AB256D">
              <w:rPr>
                <w:sz w:val="24"/>
                <w:szCs w:val="24"/>
              </w:rPr>
              <w:t>1987</w:t>
            </w:r>
          </w:p>
        </w:tc>
        <w:tc>
          <w:tcPr>
            <w:tcW w:w="2250" w:type="dxa"/>
          </w:tcPr>
          <w:p w:rsidR="004720AD" w:rsidRPr="00AB256D" w:rsidRDefault="00D451DC" w:rsidP="00E11B15">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rPr>
              <w:t>11</w:t>
            </w:r>
          </w:p>
        </w:tc>
        <w:tc>
          <w:tcPr>
            <w:tcW w:w="5750" w:type="dxa"/>
          </w:tcPr>
          <w:p w:rsidR="004720AD" w:rsidRPr="00AB256D" w:rsidRDefault="00D451DC" w:rsidP="00D451DC">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rPr>
              <w:t>A very long and multi-issue article titled “Women’s Rights and Freedom Problem” that pays special attention to women’s mobilization for the first time</w:t>
            </w:r>
          </w:p>
        </w:tc>
      </w:tr>
      <w:tr w:rsidR="004720AD" w:rsidTr="00AB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720AD" w:rsidRPr="00AB256D" w:rsidRDefault="004720AD" w:rsidP="00E11B15">
            <w:pPr>
              <w:rPr>
                <w:sz w:val="24"/>
                <w:szCs w:val="24"/>
              </w:rPr>
            </w:pPr>
            <w:r w:rsidRPr="00AB256D">
              <w:rPr>
                <w:sz w:val="24"/>
                <w:szCs w:val="24"/>
              </w:rPr>
              <w:t>1988</w:t>
            </w:r>
          </w:p>
        </w:tc>
        <w:tc>
          <w:tcPr>
            <w:tcW w:w="2250" w:type="dxa"/>
          </w:tcPr>
          <w:p w:rsidR="004720AD" w:rsidRPr="00AB256D" w:rsidRDefault="004D1CED" w:rsidP="00E11B15">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rPr>
              <w:t>6</w:t>
            </w:r>
          </w:p>
        </w:tc>
        <w:tc>
          <w:tcPr>
            <w:tcW w:w="5750" w:type="dxa"/>
          </w:tcPr>
          <w:p w:rsidR="004720AD" w:rsidRPr="00AB256D" w:rsidRDefault="00D451DC" w:rsidP="00D451DC">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rPr>
              <w:t xml:space="preserve">A very long and multi-issue article titled “Family, Women’s Rights and Freedom Problem in Kurdistan” that offers an extensive critique of women’s societal oppression </w:t>
            </w:r>
          </w:p>
        </w:tc>
      </w:tr>
      <w:tr w:rsidR="004720AD" w:rsidTr="00AB256D">
        <w:tc>
          <w:tcPr>
            <w:cnfStyle w:val="001000000000" w:firstRow="0" w:lastRow="0" w:firstColumn="1" w:lastColumn="0" w:oddVBand="0" w:evenVBand="0" w:oddHBand="0" w:evenHBand="0" w:firstRowFirstColumn="0" w:firstRowLastColumn="0" w:lastRowFirstColumn="0" w:lastRowLastColumn="0"/>
            <w:tcW w:w="1350" w:type="dxa"/>
          </w:tcPr>
          <w:p w:rsidR="004720AD" w:rsidRPr="00AB256D" w:rsidRDefault="004720AD" w:rsidP="00E11B15">
            <w:pPr>
              <w:rPr>
                <w:sz w:val="24"/>
                <w:szCs w:val="24"/>
              </w:rPr>
            </w:pPr>
            <w:r w:rsidRPr="00AB256D">
              <w:rPr>
                <w:sz w:val="24"/>
                <w:szCs w:val="24"/>
              </w:rPr>
              <w:t>1989</w:t>
            </w:r>
          </w:p>
        </w:tc>
        <w:tc>
          <w:tcPr>
            <w:tcW w:w="2250" w:type="dxa"/>
          </w:tcPr>
          <w:p w:rsidR="004720AD" w:rsidRPr="00AB256D" w:rsidRDefault="004D1CED" w:rsidP="00E11B15">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rPr>
              <w:t>2.5</w:t>
            </w:r>
          </w:p>
        </w:tc>
        <w:tc>
          <w:tcPr>
            <w:tcW w:w="5750" w:type="dxa"/>
          </w:tcPr>
          <w:p w:rsidR="004720AD" w:rsidRPr="00AB256D" w:rsidRDefault="00D451DC" w:rsidP="00E11B15">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lang w:val="tr-TR"/>
              </w:rPr>
              <w:t xml:space="preserve">An article titled </w:t>
            </w:r>
            <w:r w:rsidR="00B86136" w:rsidRPr="00AB256D">
              <w:rPr>
                <w:sz w:val="24"/>
                <w:szCs w:val="24"/>
                <w:lang w:val="tr-TR"/>
              </w:rPr>
              <w:t xml:space="preserve">“Family and the Women Question in Kurdistan and the Revolutionary Approach of our Party” addressing the challenges of mixed-gender guerilla army </w:t>
            </w:r>
          </w:p>
        </w:tc>
      </w:tr>
      <w:tr w:rsidR="004720AD" w:rsidTr="00AB2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4720AD" w:rsidRPr="00AB256D" w:rsidRDefault="004720AD" w:rsidP="00E11B15">
            <w:pPr>
              <w:rPr>
                <w:sz w:val="24"/>
                <w:szCs w:val="24"/>
              </w:rPr>
            </w:pPr>
            <w:r w:rsidRPr="00AB256D">
              <w:rPr>
                <w:sz w:val="24"/>
                <w:szCs w:val="24"/>
              </w:rPr>
              <w:t>1990</w:t>
            </w:r>
          </w:p>
        </w:tc>
        <w:tc>
          <w:tcPr>
            <w:tcW w:w="2250" w:type="dxa"/>
          </w:tcPr>
          <w:p w:rsidR="004720AD" w:rsidRPr="00AB256D" w:rsidRDefault="004D1CED" w:rsidP="00E11B15">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rPr>
              <w:t>3.5</w:t>
            </w:r>
          </w:p>
        </w:tc>
        <w:tc>
          <w:tcPr>
            <w:tcW w:w="5750" w:type="dxa"/>
          </w:tcPr>
          <w:p w:rsidR="004720AD" w:rsidRPr="00AB256D" w:rsidRDefault="00D451DC" w:rsidP="00E11B15">
            <w:pPr>
              <w:cnfStyle w:val="000000100000" w:firstRow="0" w:lastRow="0" w:firstColumn="0" w:lastColumn="0" w:oddVBand="0" w:evenVBand="0" w:oddHBand="1" w:evenHBand="0" w:firstRowFirstColumn="0" w:firstRowLastColumn="0" w:lastRowFirstColumn="0" w:lastRowLastColumn="0"/>
              <w:rPr>
                <w:sz w:val="24"/>
                <w:szCs w:val="24"/>
              </w:rPr>
            </w:pPr>
            <w:r w:rsidRPr="00AB256D">
              <w:rPr>
                <w:sz w:val="24"/>
                <w:szCs w:val="24"/>
                <w:lang w:val="tr-TR"/>
              </w:rPr>
              <w:t>Öcalan’s speech that aims to replace the family with the party</w:t>
            </w:r>
          </w:p>
        </w:tc>
      </w:tr>
      <w:tr w:rsidR="004720AD" w:rsidTr="00AB256D">
        <w:tc>
          <w:tcPr>
            <w:cnfStyle w:val="001000000000" w:firstRow="0" w:lastRow="0" w:firstColumn="1" w:lastColumn="0" w:oddVBand="0" w:evenVBand="0" w:oddHBand="0" w:evenHBand="0" w:firstRowFirstColumn="0" w:firstRowLastColumn="0" w:lastRowFirstColumn="0" w:lastRowLastColumn="0"/>
            <w:tcW w:w="1350" w:type="dxa"/>
            <w:tcBorders>
              <w:bottom w:val="double" w:sz="4" w:space="0" w:color="auto"/>
            </w:tcBorders>
          </w:tcPr>
          <w:p w:rsidR="004720AD" w:rsidRPr="00AB256D" w:rsidRDefault="004720AD" w:rsidP="00E11B15">
            <w:pPr>
              <w:rPr>
                <w:sz w:val="24"/>
                <w:szCs w:val="24"/>
              </w:rPr>
            </w:pPr>
            <w:r w:rsidRPr="00AB256D">
              <w:rPr>
                <w:sz w:val="24"/>
                <w:szCs w:val="24"/>
              </w:rPr>
              <w:t>1991</w:t>
            </w:r>
          </w:p>
        </w:tc>
        <w:tc>
          <w:tcPr>
            <w:tcW w:w="2250" w:type="dxa"/>
            <w:tcBorders>
              <w:bottom w:val="double" w:sz="4" w:space="0" w:color="auto"/>
            </w:tcBorders>
          </w:tcPr>
          <w:p w:rsidR="004720AD" w:rsidRPr="00AB256D" w:rsidRDefault="004D1CED" w:rsidP="00E11B15">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rPr>
              <w:t>4</w:t>
            </w:r>
          </w:p>
        </w:tc>
        <w:tc>
          <w:tcPr>
            <w:tcW w:w="5750" w:type="dxa"/>
            <w:tcBorders>
              <w:bottom w:val="double" w:sz="4" w:space="0" w:color="auto"/>
            </w:tcBorders>
          </w:tcPr>
          <w:p w:rsidR="004720AD" w:rsidRPr="00AB256D" w:rsidRDefault="00B86136" w:rsidP="00E11B15">
            <w:pPr>
              <w:cnfStyle w:val="000000000000" w:firstRow="0" w:lastRow="0" w:firstColumn="0" w:lastColumn="0" w:oddVBand="0" w:evenVBand="0" w:oddHBand="0" w:evenHBand="0" w:firstRowFirstColumn="0" w:firstRowLastColumn="0" w:lastRowFirstColumn="0" w:lastRowLastColumn="0"/>
              <w:rPr>
                <w:sz w:val="24"/>
                <w:szCs w:val="24"/>
              </w:rPr>
            </w:pPr>
            <w:r w:rsidRPr="00AB256D">
              <w:rPr>
                <w:sz w:val="24"/>
                <w:szCs w:val="24"/>
              </w:rPr>
              <w:t xml:space="preserve">An article titled “Thoughts on the Women Question” suggesting that the only way out of patriarchy is via women’s active involvement in the struggle </w:t>
            </w:r>
          </w:p>
        </w:tc>
      </w:tr>
    </w:tbl>
    <w:p w:rsidR="004720AD" w:rsidRDefault="004720AD" w:rsidP="00E11B15"/>
    <w:p w:rsidR="004720AD" w:rsidRDefault="004720AD" w:rsidP="00E11B15"/>
    <w:p w:rsidR="00997037" w:rsidRDefault="00997037" w:rsidP="00E11B15"/>
    <w:p w:rsidR="00997037" w:rsidRDefault="00997037" w:rsidP="00E11B15"/>
    <w:p w:rsidR="00997037" w:rsidRDefault="00997037" w:rsidP="00E11B15"/>
    <w:p w:rsidR="00997037" w:rsidRDefault="00997037" w:rsidP="00E11B15"/>
    <w:p w:rsidR="00997037" w:rsidRDefault="00997037" w:rsidP="00E11B15"/>
    <w:p w:rsidR="00997037" w:rsidRDefault="00997037" w:rsidP="00E11B15"/>
    <w:p w:rsidR="00997037" w:rsidRDefault="00997037" w:rsidP="00E11B15"/>
    <w:p w:rsidR="00997037" w:rsidRDefault="00997037" w:rsidP="00E11B15"/>
    <w:p w:rsidR="00430D5F" w:rsidRDefault="00430D5F">
      <w:r>
        <w:br w:type="page"/>
      </w:r>
    </w:p>
    <w:p w:rsidR="00997037" w:rsidRDefault="000A4B82" w:rsidP="00C9799C">
      <w:pPr>
        <w:pStyle w:val="Heading2"/>
      </w:pPr>
      <w:r>
        <w:lastRenderedPageBreak/>
        <w:t>Appendix C</w:t>
      </w:r>
      <w:r w:rsidR="00C9799C">
        <w:t xml:space="preserve">. In-Depth Interviews </w:t>
      </w:r>
    </w:p>
    <w:p w:rsidR="008914B6" w:rsidRPr="007A29FF" w:rsidRDefault="007A7BB6" w:rsidP="00002A1F">
      <w:pPr>
        <w:pStyle w:val="Default"/>
        <w:spacing w:after="200"/>
      </w:pPr>
      <w:r w:rsidRPr="007A29FF">
        <w:t xml:space="preserve">The article utilizes information obtained from </w:t>
      </w:r>
      <w:r w:rsidR="00AE4396" w:rsidRPr="007A29FF">
        <w:t xml:space="preserve">face-to-face </w:t>
      </w:r>
      <w:r w:rsidRPr="007A29FF">
        <w:t xml:space="preserve">in-depth interviews conducted </w:t>
      </w:r>
      <w:r w:rsidR="00AE4396" w:rsidRPr="007A29FF">
        <w:t>d</w:t>
      </w:r>
      <w:r w:rsidR="008914B6" w:rsidRPr="007A29FF">
        <w:t>uring my fieldwork</w:t>
      </w:r>
      <w:r w:rsidR="00AE4396" w:rsidRPr="007A29FF">
        <w:t xml:space="preserve"> in Turkey </w:t>
      </w:r>
      <w:r w:rsidR="00E30079" w:rsidRPr="007A29FF">
        <w:t xml:space="preserve">(predominantly Kurdish parts and Istanbul) </w:t>
      </w:r>
      <w:r w:rsidR="00AE4396" w:rsidRPr="007A29FF">
        <w:t xml:space="preserve">from 2012 to 2013. </w:t>
      </w:r>
      <w:r w:rsidR="00002A1F">
        <w:t>Four</w:t>
      </w:r>
      <w:r w:rsidR="00B62D38">
        <w:t xml:space="preserve"> </w:t>
      </w:r>
      <w:r w:rsidR="00AE4396" w:rsidRPr="007A29FF">
        <w:t xml:space="preserve">additional face-to-face interviews and </w:t>
      </w:r>
      <w:r w:rsidR="00002A1F">
        <w:t>a phone interview</w:t>
      </w:r>
      <w:r w:rsidR="00AE4396" w:rsidRPr="007A29FF">
        <w:t xml:space="preserve"> were conducted in 201</w:t>
      </w:r>
      <w:r w:rsidR="00B62D38">
        <w:t>6</w:t>
      </w:r>
      <w:r w:rsidR="00AE4396" w:rsidRPr="007A29FF">
        <w:t xml:space="preserve"> and 201</w:t>
      </w:r>
      <w:r w:rsidR="00B62D38">
        <w:t>8</w:t>
      </w:r>
      <w:r w:rsidR="00AE4396" w:rsidRPr="007A29FF">
        <w:t xml:space="preserve">. </w:t>
      </w:r>
      <w:r w:rsidR="006D72CC" w:rsidRPr="007A29FF">
        <w:t>The research had the approval of the Institutional Review Board of XXX (project number</w:t>
      </w:r>
      <w:r w:rsidR="003A32DA">
        <w:t xml:space="preserve">s 942 and </w:t>
      </w:r>
      <w:r w:rsidR="003A32DA" w:rsidRPr="003A32DA">
        <w:t>SBE-18-13819</w:t>
      </w:r>
      <w:r w:rsidR="006D72CC" w:rsidRPr="007A29FF">
        <w:t xml:space="preserve">). </w:t>
      </w:r>
      <w:r w:rsidR="00AE4396" w:rsidRPr="007A29FF">
        <w:t xml:space="preserve">Most of the face-to-face interviews were with individuals who had family members involved in the PKK insurgency. </w:t>
      </w:r>
      <w:r w:rsidR="00B91040">
        <w:t xml:space="preserve">These </w:t>
      </w:r>
      <w:r w:rsidR="00704E4D" w:rsidRPr="007A29FF">
        <w:t>7</w:t>
      </w:r>
      <w:r w:rsidR="000D03ED">
        <w:t>3</w:t>
      </w:r>
      <w:r w:rsidR="008914B6" w:rsidRPr="007A29FF">
        <w:t xml:space="preserve"> interviews produced information about </w:t>
      </w:r>
      <w:r w:rsidR="00AE4396" w:rsidRPr="007A29FF">
        <w:t xml:space="preserve">the life stories of </w:t>
      </w:r>
      <w:r w:rsidR="008914B6" w:rsidRPr="007A29FF">
        <w:t>7</w:t>
      </w:r>
      <w:r w:rsidR="003C5852">
        <w:t>7</w:t>
      </w:r>
      <w:r w:rsidR="008914B6" w:rsidRPr="007A29FF">
        <w:t xml:space="preserve"> </w:t>
      </w:r>
      <w:r w:rsidR="00AE4396" w:rsidRPr="007A29FF">
        <w:t xml:space="preserve">militants (including </w:t>
      </w:r>
      <w:r w:rsidR="003C17B3">
        <w:t xml:space="preserve">20 </w:t>
      </w:r>
      <w:r w:rsidR="006D72CC" w:rsidRPr="007A29FF">
        <w:t xml:space="preserve">women). An overwhelming majority of these militants </w:t>
      </w:r>
      <w:r w:rsidR="00FF2DCD" w:rsidRPr="007A29FF">
        <w:t>already lost their lives</w:t>
      </w:r>
      <w:r w:rsidR="00AE4396" w:rsidRPr="007A29FF">
        <w:t xml:space="preserve"> by the time of interview. </w:t>
      </w:r>
      <w:r w:rsidR="00FF2DCD" w:rsidRPr="007A29FF">
        <w:t xml:space="preserve">I have realized that my interviewees were more willing to talk about their deceased relatives. They exhibited more hesitation to talk about </w:t>
      </w:r>
      <w:r w:rsidR="001D5F00" w:rsidRPr="007A29FF">
        <w:t xml:space="preserve">individuals who were still active in the insurgent ranks. </w:t>
      </w:r>
      <w:r w:rsidR="006C4E30" w:rsidRPr="007A29FF">
        <w:t xml:space="preserve">I conducted most of the interviews in private settings in Turkish and occasionally in </w:t>
      </w:r>
      <w:proofErr w:type="spellStart"/>
      <w:r w:rsidR="006C4E30" w:rsidRPr="007A29FF">
        <w:t>Kurmanjî</w:t>
      </w:r>
      <w:proofErr w:type="spellEnd"/>
      <w:r w:rsidR="006C4E30" w:rsidRPr="007A29FF">
        <w:t xml:space="preserve"> and </w:t>
      </w:r>
      <w:proofErr w:type="spellStart"/>
      <w:r w:rsidR="006C4E30" w:rsidRPr="007A29FF">
        <w:t>Zazaki</w:t>
      </w:r>
      <w:proofErr w:type="spellEnd"/>
      <w:r w:rsidR="006C4E30" w:rsidRPr="007A29FF">
        <w:t xml:space="preserve"> dialects of Kurdish (in times with the help of translator trusted by the interviewee). Most interviews lasted between 45 minutes and 2 hours. In some cases, the conversations extended for much longer periods over a period of several weeks and months. </w:t>
      </w:r>
      <w:r w:rsidR="005006F1" w:rsidRPr="007A29FF">
        <w:t xml:space="preserve">I recruited my interviewees through associations established to help victims of political violence and personal connections to maximize variation in terms of geographical scope and temporal period. </w:t>
      </w:r>
    </w:p>
    <w:p w:rsidR="00AF0E43" w:rsidRPr="007A29FF" w:rsidRDefault="00AE4396" w:rsidP="00AF0E43">
      <w:pPr>
        <w:pStyle w:val="Default"/>
        <w:spacing w:after="200"/>
      </w:pPr>
      <w:r w:rsidRPr="007A29FF">
        <w:t xml:space="preserve">Armed clashes between the Turkish security forces and the PKK continued to take place during the time of the interviews. </w:t>
      </w:r>
      <w:r w:rsidR="00AF0E43" w:rsidRPr="007A29FF">
        <w:t xml:space="preserve">The IRB approved my request for not obtaining written consent from the participants in the research project. </w:t>
      </w:r>
      <w:r w:rsidR="006D72CC" w:rsidRPr="007A29FF">
        <w:t xml:space="preserve">Their consent was obtained orally. </w:t>
      </w:r>
      <w:r w:rsidR="00AF0E43" w:rsidRPr="007A29FF">
        <w:t xml:space="preserve">None of the interviews </w:t>
      </w:r>
      <w:r w:rsidR="006D72CC" w:rsidRPr="007A29FF">
        <w:t>was</w:t>
      </w:r>
      <w:r w:rsidR="00AF0E43" w:rsidRPr="007A29FF">
        <w:t xml:space="preserve"> audio recorded or videotaped for security reasons. </w:t>
      </w:r>
      <w:r w:rsidR="006D72CC" w:rsidRPr="007A29FF">
        <w:t>I took extensive notes during my interviews and put these notes in a narrative format after the interview was completed (typically in the same evening).</w:t>
      </w:r>
    </w:p>
    <w:p w:rsidR="00AE4396" w:rsidRPr="007A29FF" w:rsidRDefault="00AE4396" w:rsidP="006D72CC">
      <w:pPr>
        <w:pStyle w:val="Default"/>
        <w:spacing w:after="200"/>
      </w:pPr>
      <w:r w:rsidRPr="007A29FF">
        <w:t xml:space="preserve">The initiation of a series of negotiations between the Turkish government and the insurgency resulted in an extended truce from early 2013 to mid-2015. However, after the June 2015 parliamentary elections, the process collapsed and resulted in the re-intensification of violence in the country. It has become increasingly difficult for the scholars to carry out any type of research on the situation under the prevailing political circumstances. </w:t>
      </w:r>
      <w:r w:rsidR="006D72CC" w:rsidRPr="007A29FF">
        <w:t xml:space="preserve">Being affiliated with the PKK is a crime carrying heavy penalties in Turkey. Many individuals were detained and imprisoned on terrorism charges. In fact, some of the individuals I interviewed were later arrested. For this reason, I have decided not to make English translations of my interviews publicly available. Even anonymized translations may contain information that can compromise the confidentiality of the interviewees and unintentionally generate risks for their well-beings. </w:t>
      </w:r>
    </w:p>
    <w:p w:rsidR="00AF0E43" w:rsidRDefault="001D5F00" w:rsidP="009B0690">
      <w:pPr>
        <w:pStyle w:val="Default"/>
        <w:spacing w:after="200"/>
      </w:pPr>
      <w:r w:rsidRPr="007A29FF">
        <w:t xml:space="preserve">Most of the interviewees were ethnic Kurds and citizens of Turkey. A majority of them was from lower and lower-middle classes and had limited means and educational capital. </w:t>
      </w:r>
      <w:r w:rsidR="000B4EB3" w:rsidRPr="007A29FF">
        <w:t>Some of them</w:t>
      </w:r>
      <w:r w:rsidRPr="007A29FF">
        <w:t xml:space="preserve"> were subject to violent practices </w:t>
      </w:r>
      <w:r w:rsidR="000B4EB3" w:rsidRPr="007A29FF">
        <w:t xml:space="preserve">by state forces including forced evacuations, extended detentions and physical mistreatment. Almost none of them received any professional help addressing their trauma caused by exposure to political violence. </w:t>
      </w:r>
      <w:r w:rsidR="009B0690" w:rsidRPr="007A29FF">
        <w:t xml:space="preserve">Partially for this reason, they welcomed the opportunity to speak freely about their perceptions of the Kurdish conflict and the effects of this conflict on their family life. </w:t>
      </w:r>
    </w:p>
    <w:p w:rsidR="007B7F89" w:rsidRDefault="007B7F89" w:rsidP="009B0690">
      <w:pPr>
        <w:pStyle w:val="Default"/>
        <w:spacing w:after="200"/>
      </w:pPr>
    </w:p>
    <w:p w:rsidR="007B7F89" w:rsidRDefault="007B7F89" w:rsidP="009B0690">
      <w:pPr>
        <w:pStyle w:val="Default"/>
        <w:spacing w:after="200"/>
      </w:pPr>
      <w:r>
        <w:lastRenderedPageBreak/>
        <w:t>Table C.1 In-Depth Interviews Cited in the Article</w:t>
      </w:r>
    </w:p>
    <w:tbl>
      <w:tblPr>
        <w:tblStyle w:val="GridTable2"/>
        <w:tblW w:w="0" w:type="auto"/>
        <w:tblLook w:val="04A0" w:firstRow="1" w:lastRow="0" w:firstColumn="1" w:lastColumn="0" w:noHBand="0" w:noVBand="1"/>
      </w:tblPr>
      <w:tblGrid>
        <w:gridCol w:w="1800"/>
        <w:gridCol w:w="3960"/>
        <w:gridCol w:w="3590"/>
      </w:tblGrid>
      <w:tr w:rsidR="007B7F89" w:rsidTr="00566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double" w:sz="4" w:space="0" w:color="auto"/>
              <w:bottom w:val="double" w:sz="4" w:space="0" w:color="auto"/>
            </w:tcBorders>
          </w:tcPr>
          <w:p w:rsidR="007B7F89" w:rsidRPr="00AB256D" w:rsidRDefault="007B7F89" w:rsidP="007B7F89">
            <w:pPr>
              <w:rPr>
                <w:sz w:val="24"/>
                <w:szCs w:val="24"/>
              </w:rPr>
            </w:pPr>
            <w:r>
              <w:rPr>
                <w:sz w:val="24"/>
                <w:szCs w:val="24"/>
              </w:rPr>
              <w:t>Interview</w:t>
            </w:r>
            <w:r w:rsidRPr="00AB256D">
              <w:rPr>
                <w:sz w:val="24"/>
                <w:szCs w:val="24"/>
              </w:rPr>
              <w:t xml:space="preserve"> </w:t>
            </w:r>
            <w:r>
              <w:rPr>
                <w:sz w:val="24"/>
                <w:szCs w:val="24"/>
              </w:rPr>
              <w:t>Code</w:t>
            </w:r>
          </w:p>
        </w:tc>
        <w:tc>
          <w:tcPr>
            <w:tcW w:w="3960" w:type="dxa"/>
            <w:tcBorders>
              <w:top w:val="double" w:sz="4" w:space="0" w:color="auto"/>
              <w:bottom w:val="double" w:sz="4" w:space="0" w:color="auto"/>
            </w:tcBorders>
          </w:tcPr>
          <w:p w:rsidR="007B7F89" w:rsidRPr="00AB256D" w:rsidRDefault="007B7F89" w:rsidP="008957D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Interview Subject</w:t>
            </w:r>
          </w:p>
        </w:tc>
        <w:tc>
          <w:tcPr>
            <w:tcW w:w="3590" w:type="dxa"/>
            <w:tcBorders>
              <w:top w:val="double" w:sz="4" w:space="0" w:color="auto"/>
              <w:bottom w:val="double" w:sz="4" w:space="0" w:color="auto"/>
            </w:tcBorders>
          </w:tcPr>
          <w:p w:rsidR="007B7F89" w:rsidRPr="00AB256D" w:rsidRDefault="007B7F89" w:rsidP="008957D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Interview Date and Location</w:t>
            </w:r>
          </w:p>
        </w:tc>
      </w:tr>
      <w:tr w:rsidR="007B7F89" w:rsidTr="0056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double" w:sz="4" w:space="0" w:color="auto"/>
            </w:tcBorders>
          </w:tcPr>
          <w:p w:rsidR="007B7F89" w:rsidRPr="007B7F89" w:rsidRDefault="007B7F89" w:rsidP="008957DE">
            <w:pPr>
              <w:rPr>
                <w:b w:val="0"/>
                <w:bCs w:val="0"/>
                <w:sz w:val="24"/>
                <w:szCs w:val="24"/>
              </w:rPr>
            </w:pPr>
            <w:r w:rsidRPr="007B7F89">
              <w:rPr>
                <w:b w:val="0"/>
                <w:bCs w:val="0"/>
                <w:sz w:val="24"/>
                <w:szCs w:val="24"/>
              </w:rPr>
              <w:t>Interview I</w:t>
            </w:r>
          </w:p>
        </w:tc>
        <w:tc>
          <w:tcPr>
            <w:tcW w:w="3960" w:type="dxa"/>
            <w:tcBorders>
              <w:top w:val="double" w:sz="4" w:space="0" w:color="auto"/>
            </w:tcBorders>
          </w:tcPr>
          <w:p w:rsidR="007B7F89" w:rsidRPr="00AB256D" w:rsidRDefault="007B7F89" w:rsidP="008957D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Male</w:t>
            </w:r>
          </w:p>
        </w:tc>
        <w:tc>
          <w:tcPr>
            <w:tcW w:w="3590" w:type="dxa"/>
            <w:tcBorders>
              <w:top w:val="double" w:sz="4" w:space="0" w:color="auto"/>
            </w:tcBorders>
          </w:tcPr>
          <w:p w:rsidR="007B7F89" w:rsidRPr="00AB256D" w:rsidRDefault="007B7F89" w:rsidP="008957D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August 20, 2012, Chicago</w:t>
            </w:r>
          </w:p>
        </w:tc>
      </w:tr>
      <w:tr w:rsidR="007B7F89" w:rsidTr="00566129">
        <w:tc>
          <w:tcPr>
            <w:cnfStyle w:val="001000000000" w:firstRow="0" w:lastRow="0" w:firstColumn="1" w:lastColumn="0" w:oddVBand="0" w:evenVBand="0" w:oddHBand="0" w:evenHBand="0" w:firstRowFirstColumn="0" w:firstRowLastColumn="0" w:lastRowFirstColumn="0" w:lastRowLastColumn="0"/>
            <w:tcW w:w="1800" w:type="dxa"/>
          </w:tcPr>
          <w:p w:rsidR="007B7F89" w:rsidRPr="007B7F89" w:rsidRDefault="007B7F89" w:rsidP="008957DE">
            <w:pPr>
              <w:rPr>
                <w:b w:val="0"/>
                <w:bCs w:val="0"/>
                <w:sz w:val="24"/>
                <w:szCs w:val="24"/>
              </w:rPr>
            </w:pPr>
            <w:r>
              <w:rPr>
                <w:b w:val="0"/>
                <w:bCs w:val="0"/>
                <w:sz w:val="24"/>
                <w:szCs w:val="24"/>
              </w:rPr>
              <w:t>Interview L</w:t>
            </w:r>
          </w:p>
        </w:tc>
        <w:tc>
          <w:tcPr>
            <w:tcW w:w="3960" w:type="dxa"/>
          </w:tcPr>
          <w:p w:rsidR="007B7F89" w:rsidRPr="00AB256D" w:rsidRDefault="007B7F89" w:rsidP="008957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Mother of a deceased female militant</w:t>
            </w:r>
          </w:p>
        </w:tc>
        <w:tc>
          <w:tcPr>
            <w:tcW w:w="3590" w:type="dxa"/>
          </w:tcPr>
          <w:p w:rsidR="007B7F89" w:rsidRPr="00AB256D" w:rsidRDefault="007B7F89" w:rsidP="008957D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November 24, 2012, Istanbul</w:t>
            </w:r>
          </w:p>
        </w:tc>
      </w:tr>
      <w:tr w:rsidR="007B7F89" w:rsidTr="0056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7B7F89" w:rsidRPr="007B7F89" w:rsidRDefault="007B7F89" w:rsidP="008957DE">
            <w:pPr>
              <w:rPr>
                <w:b w:val="0"/>
                <w:bCs w:val="0"/>
                <w:sz w:val="24"/>
                <w:szCs w:val="24"/>
              </w:rPr>
            </w:pPr>
            <w:r>
              <w:rPr>
                <w:b w:val="0"/>
                <w:bCs w:val="0"/>
                <w:sz w:val="24"/>
                <w:szCs w:val="24"/>
              </w:rPr>
              <w:t>Interview LVII</w:t>
            </w:r>
          </w:p>
        </w:tc>
        <w:tc>
          <w:tcPr>
            <w:tcW w:w="3960" w:type="dxa"/>
          </w:tcPr>
          <w:p w:rsidR="007B7F89" w:rsidRPr="00AB256D" w:rsidRDefault="007B7F89" w:rsidP="008957D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Father of a deceased female militant</w:t>
            </w:r>
          </w:p>
        </w:tc>
        <w:tc>
          <w:tcPr>
            <w:tcW w:w="3590" w:type="dxa"/>
          </w:tcPr>
          <w:p w:rsidR="007B7F89" w:rsidRPr="007B7F89" w:rsidRDefault="007B7F89" w:rsidP="008957DE">
            <w:pPr>
              <w:cnfStyle w:val="000000100000" w:firstRow="0" w:lastRow="0" w:firstColumn="0" w:lastColumn="0" w:oddVBand="0" w:evenVBand="0" w:oddHBand="1" w:evenHBand="0" w:firstRowFirstColumn="0" w:firstRowLastColumn="0" w:lastRowFirstColumn="0" w:lastRowLastColumn="0"/>
              <w:rPr>
                <w:sz w:val="24"/>
                <w:szCs w:val="24"/>
                <w:lang w:val="tr-TR"/>
              </w:rPr>
            </w:pPr>
            <w:r>
              <w:rPr>
                <w:sz w:val="24"/>
                <w:szCs w:val="24"/>
              </w:rPr>
              <w:t xml:space="preserve">December 6, 2012, </w:t>
            </w:r>
            <w:proofErr w:type="spellStart"/>
            <w:r>
              <w:rPr>
                <w:sz w:val="24"/>
                <w:szCs w:val="24"/>
              </w:rPr>
              <w:t>Diyarb</w:t>
            </w:r>
            <w:proofErr w:type="spellEnd"/>
            <w:r>
              <w:rPr>
                <w:sz w:val="24"/>
                <w:szCs w:val="24"/>
                <w:lang w:val="tr-TR"/>
              </w:rPr>
              <w:t>akır</w:t>
            </w:r>
          </w:p>
        </w:tc>
      </w:tr>
      <w:tr w:rsidR="00566129" w:rsidTr="00566129">
        <w:tc>
          <w:tcPr>
            <w:cnfStyle w:val="001000000000" w:firstRow="0" w:lastRow="0" w:firstColumn="1" w:lastColumn="0" w:oddVBand="0" w:evenVBand="0" w:oddHBand="0" w:evenHBand="0" w:firstRowFirstColumn="0" w:firstRowLastColumn="0" w:lastRowFirstColumn="0" w:lastRowLastColumn="0"/>
            <w:tcW w:w="1800" w:type="dxa"/>
          </w:tcPr>
          <w:p w:rsidR="00566129" w:rsidRDefault="00566129" w:rsidP="00566129">
            <w:pPr>
              <w:rPr>
                <w:b w:val="0"/>
                <w:bCs w:val="0"/>
                <w:sz w:val="24"/>
                <w:szCs w:val="24"/>
              </w:rPr>
            </w:pPr>
            <w:r>
              <w:rPr>
                <w:b w:val="0"/>
                <w:bCs w:val="0"/>
                <w:sz w:val="24"/>
                <w:szCs w:val="24"/>
              </w:rPr>
              <w:t>Interview LXII</w:t>
            </w:r>
          </w:p>
        </w:tc>
        <w:tc>
          <w:tcPr>
            <w:tcW w:w="396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Sister of a female militant </w:t>
            </w:r>
          </w:p>
        </w:tc>
        <w:tc>
          <w:tcPr>
            <w:tcW w:w="3590" w:type="dxa"/>
          </w:tcPr>
          <w:p w:rsidR="00566129"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December</w:t>
            </w:r>
            <w:r w:rsidR="00605591">
              <w:rPr>
                <w:sz w:val="24"/>
                <w:szCs w:val="24"/>
              </w:rPr>
              <w:t xml:space="preserve"> 27</w:t>
            </w:r>
            <w:r>
              <w:rPr>
                <w:sz w:val="24"/>
                <w:szCs w:val="24"/>
              </w:rPr>
              <w:t>,</w:t>
            </w:r>
            <w:r w:rsidR="00605591">
              <w:rPr>
                <w:sz w:val="24"/>
                <w:szCs w:val="24"/>
              </w:rPr>
              <w:t xml:space="preserve"> 2012,</w:t>
            </w:r>
            <w:r>
              <w:rPr>
                <w:sz w:val="24"/>
                <w:szCs w:val="24"/>
              </w:rPr>
              <w:t xml:space="preserve"> Istanbul</w:t>
            </w:r>
          </w:p>
        </w:tc>
      </w:tr>
      <w:tr w:rsidR="00566129" w:rsidTr="0056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566129" w:rsidRDefault="00566129" w:rsidP="00566129">
            <w:pPr>
              <w:rPr>
                <w:b w:val="0"/>
                <w:bCs w:val="0"/>
                <w:sz w:val="24"/>
                <w:szCs w:val="24"/>
              </w:rPr>
            </w:pPr>
            <w:r>
              <w:rPr>
                <w:b w:val="0"/>
                <w:bCs w:val="0"/>
                <w:sz w:val="24"/>
                <w:szCs w:val="24"/>
              </w:rPr>
              <w:t>Interview LXIII</w:t>
            </w:r>
          </w:p>
        </w:tc>
        <w:tc>
          <w:tcPr>
            <w:tcW w:w="396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Parents of a deceased female militant</w:t>
            </w:r>
          </w:p>
        </w:tc>
        <w:tc>
          <w:tcPr>
            <w:tcW w:w="359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December 28, 2012, Istanbul</w:t>
            </w:r>
          </w:p>
        </w:tc>
      </w:tr>
      <w:tr w:rsidR="00566129" w:rsidTr="00566129">
        <w:tc>
          <w:tcPr>
            <w:cnfStyle w:val="001000000000" w:firstRow="0" w:lastRow="0" w:firstColumn="1" w:lastColumn="0" w:oddVBand="0" w:evenVBand="0" w:oddHBand="0" w:evenHBand="0" w:firstRowFirstColumn="0" w:firstRowLastColumn="0" w:lastRowFirstColumn="0" w:lastRowLastColumn="0"/>
            <w:tcW w:w="1800" w:type="dxa"/>
          </w:tcPr>
          <w:p w:rsidR="00566129" w:rsidRPr="007B7F89" w:rsidRDefault="00566129" w:rsidP="00566129">
            <w:pPr>
              <w:rPr>
                <w:b w:val="0"/>
                <w:bCs w:val="0"/>
                <w:sz w:val="24"/>
                <w:szCs w:val="24"/>
              </w:rPr>
            </w:pPr>
            <w:r>
              <w:rPr>
                <w:b w:val="0"/>
                <w:bCs w:val="0"/>
                <w:sz w:val="24"/>
                <w:szCs w:val="24"/>
              </w:rPr>
              <w:t>Interview LXIV</w:t>
            </w:r>
          </w:p>
        </w:tc>
        <w:tc>
          <w:tcPr>
            <w:tcW w:w="396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Parents of a deceased female militant</w:t>
            </w:r>
          </w:p>
        </w:tc>
        <w:tc>
          <w:tcPr>
            <w:tcW w:w="359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December 28, 2012, Istanbul</w:t>
            </w:r>
          </w:p>
        </w:tc>
      </w:tr>
      <w:tr w:rsidR="00566129" w:rsidTr="0056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566129" w:rsidRPr="007B7F89" w:rsidRDefault="00566129" w:rsidP="00566129">
            <w:pPr>
              <w:rPr>
                <w:b w:val="0"/>
                <w:bCs w:val="0"/>
                <w:sz w:val="24"/>
                <w:szCs w:val="24"/>
              </w:rPr>
            </w:pPr>
            <w:r>
              <w:rPr>
                <w:b w:val="0"/>
                <w:bCs w:val="0"/>
                <w:sz w:val="24"/>
                <w:szCs w:val="24"/>
              </w:rPr>
              <w:t>Interview LXVII</w:t>
            </w:r>
          </w:p>
        </w:tc>
        <w:tc>
          <w:tcPr>
            <w:tcW w:w="396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Sister of a female militant </w:t>
            </w:r>
          </w:p>
        </w:tc>
        <w:tc>
          <w:tcPr>
            <w:tcW w:w="359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July 11, 2013, Van</w:t>
            </w:r>
          </w:p>
        </w:tc>
      </w:tr>
      <w:tr w:rsidR="00566129" w:rsidTr="00566129">
        <w:tc>
          <w:tcPr>
            <w:cnfStyle w:val="001000000000" w:firstRow="0" w:lastRow="0" w:firstColumn="1" w:lastColumn="0" w:oddVBand="0" w:evenVBand="0" w:oddHBand="0" w:evenHBand="0" w:firstRowFirstColumn="0" w:firstRowLastColumn="0" w:lastRowFirstColumn="0" w:lastRowLastColumn="0"/>
            <w:tcW w:w="1800" w:type="dxa"/>
          </w:tcPr>
          <w:p w:rsidR="00566129" w:rsidRPr="007B7F89" w:rsidRDefault="00566129" w:rsidP="00566129">
            <w:pPr>
              <w:rPr>
                <w:b w:val="0"/>
                <w:bCs w:val="0"/>
                <w:sz w:val="24"/>
                <w:szCs w:val="24"/>
              </w:rPr>
            </w:pPr>
            <w:r>
              <w:rPr>
                <w:b w:val="0"/>
                <w:bCs w:val="0"/>
                <w:sz w:val="24"/>
                <w:szCs w:val="24"/>
              </w:rPr>
              <w:t>Interview LXX</w:t>
            </w:r>
          </w:p>
        </w:tc>
        <w:tc>
          <w:tcPr>
            <w:tcW w:w="396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Former male militant </w:t>
            </w:r>
          </w:p>
        </w:tc>
        <w:tc>
          <w:tcPr>
            <w:tcW w:w="359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September 13, 2016, phone interview</w:t>
            </w:r>
          </w:p>
        </w:tc>
      </w:tr>
      <w:tr w:rsidR="00566129" w:rsidTr="0056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566129" w:rsidRPr="007B7F89" w:rsidRDefault="00566129" w:rsidP="00566129">
            <w:pPr>
              <w:rPr>
                <w:b w:val="0"/>
                <w:bCs w:val="0"/>
                <w:sz w:val="24"/>
                <w:szCs w:val="24"/>
              </w:rPr>
            </w:pPr>
            <w:r>
              <w:rPr>
                <w:b w:val="0"/>
                <w:bCs w:val="0"/>
                <w:sz w:val="24"/>
                <w:szCs w:val="24"/>
              </w:rPr>
              <w:t>Interview LXXI</w:t>
            </w:r>
          </w:p>
        </w:tc>
        <w:tc>
          <w:tcPr>
            <w:tcW w:w="396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Former male militant commander</w:t>
            </w:r>
          </w:p>
        </w:tc>
        <w:tc>
          <w:tcPr>
            <w:tcW w:w="359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May 29-30, 2018, </w:t>
            </w:r>
            <w:proofErr w:type="spellStart"/>
            <w:r>
              <w:rPr>
                <w:sz w:val="24"/>
                <w:szCs w:val="24"/>
              </w:rPr>
              <w:t>Dohuk</w:t>
            </w:r>
            <w:proofErr w:type="spellEnd"/>
          </w:p>
        </w:tc>
      </w:tr>
      <w:tr w:rsidR="00566129" w:rsidTr="00566129">
        <w:tc>
          <w:tcPr>
            <w:cnfStyle w:val="001000000000" w:firstRow="0" w:lastRow="0" w:firstColumn="1" w:lastColumn="0" w:oddVBand="0" w:evenVBand="0" w:oddHBand="0" w:evenHBand="0" w:firstRowFirstColumn="0" w:firstRowLastColumn="0" w:lastRowFirstColumn="0" w:lastRowLastColumn="0"/>
            <w:tcW w:w="1800" w:type="dxa"/>
          </w:tcPr>
          <w:p w:rsidR="00566129" w:rsidRPr="007B7F89" w:rsidRDefault="00566129" w:rsidP="00566129">
            <w:pPr>
              <w:rPr>
                <w:b w:val="0"/>
                <w:bCs w:val="0"/>
                <w:sz w:val="24"/>
                <w:szCs w:val="24"/>
              </w:rPr>
            </w:pPr>
            <w:r>
              <w:rPr>
                <w:b w:val="0"/>
                <w:bCs w:val="0"/>
                <w:sz w:val="24"/>
                <w:szCs w:val="24"/>
              </w:rPr>
              <w:t>Interview LXXII</w:t>
            </w:r>
          </w:p>
        </w:tc>
        <w:tc>
          <w:tcPr>
            <w:tcW w:w="396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Former female militant </w:t>
            </w:r>
          </w:p>
        </w:tc>
        <w:tc>
          <w:tcPr>
            <w:tcW w:w="3590" w:type="dxa"/>
          </w:tcPr>
          <w:p w:rsidR="00566129" w:rsidRPr="00AB256D" w:rsidRDefault="00566129" w:rsidP="0056612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May 29-30, 2018, </w:t>
            </w:r>
            <w:proofErr w:type="spellStart"/>
            <w:r>
              <w:rPr>
                <w:sz w:val="24"/>
                <w:szCs w:val="24"/>
              </w:rPr>
              <w:t>Dohuk</w:t>
            </w:r>
            <w:proofErr w:type="spellEnd"/>
          </w:p>
        </w:tc>
      </w:tr>
      <w:tr w:rsidR="00566129" w:rsidTr="0056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566129" w:rsidRDefault="00566129" w:rsidP="00566129">
            <w:pPr>
              <w:rPr>
                <w:b w:val="0"/>
                <w:bCs w:val="0"/>
                <w:sz w:val="24"/>
                <w:szCs w:val="24"/>
              </w:rPr>
            </w:pPr>
            <w:r>
              <w:rPr>
                <w:b w:val="0"/>
                <w:bCs w:val="0"/>
                <w:sz w:val="24"/>
                <w:szCs w:val="24"/>
              </w:rPr>
              <w:t>Interview LXXIII</w:t>
            </w:r>
          </w:p>
        </w:tc>
        <w:tc>
          <w:tcPr>
            <w:tcW w:w="396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Former female militant commander </w:t>
            </w:r>
          </w:p>
        </w:tc>
        <w:tc>
          <w:tcPr>
            <w:tcW w:w="3590" w:type="dxa"/>
          </w:tcPr>
          <w:p w:rsidR="00566129" w:rsidRPr="00AB256D" w:rsidRDefault="00566129" w:rsidP="0056612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May 31, 2018, Erbil</w:t>
            </w:r>
          </w:p>
        </w:tc>
      </w:tr>
    </w:tbl>
    <w:p w:rsidR="007B7F89" w:rsidRPr="007A29FF" w:rsidRDefault="007B7F89" w:rsidP="009B0690">
      <w:pPr>
        <w:pStyle w:val="Default"/>
        <w:spacing w:after="200"/>
      </w:pPr>
    </w:p>
    <w:p w:rsidR="00AF0E43" w:rsidRDefault="00AF0E43" w:rsidP="00AE4396">
      <w:pPr>
        <w:pStyle w:val="Default"/>
        <w:spacing w:after="200"/>
        <w:rPr>
          <w:sz w:val="23"/>
          <w:szCs w:val="23"/>
        </w:rPr>
      </w:pPr>
    </w:p>
    <w:p w:rsidR="00B059BD" w:rsidRDefault="00B059BD" w:rsidP="00600C09">
      <w:pPr>
        <w:pStyle w:val="Heading2"/>
        <w:sectPr w:rsidR="00B059BD" w:rsidSect="00320F29">
          <w:footerReference w:type="default" r:id="rId9"/>
          <w:pgSz w:w="12240" w:h="15840"/>
          <w:pgMar w:top="1440" w:right="1440" w:bottom="1440" w:left="1440" w:header="720" w:footer="720" w:gutter="0"/>
          <w:cols w:space="720"/>
          <w:docGrid w:linePitch="360"/>
        </w:sectPr>
      </w:pPr>
    </w:p>
    <w:p w:rsidR="00B059BD" w:rsidRDefault="000A4B82" w:rsidP="00600C09">
      <w:pPr>
        <w:pStyle w:val="Heading2"/>
      </w:pPr>
      <w:r>
        <w:lastRenderedPageBreak/>
        <w:t>Appendix D</w:t>
      </w:r>
      <w:r w:rsidR="00B059BD">
        <w:t xml:space="preserve">. The KIM Dataset Supplementary Figures </w:t>
      </w:r>
    </w:p>
    <w:p w:rsidR="00600C09" w:rsidRDefault="00600C09" w:rsidP="0061598C">
      <w:pPr>
        <w:spacing w:after="0"/>
      </w:pPr>
    </w:p>
    <w:p w:rsidR="00600C09" w:rsidRPr="00EF3325" w:rsidRDefault="004B3961" w:rsidP="00EF3325">
      <w:pPr>
        <w:spacing w:after="0"/>
        <w:rPr>
          <w:sz w:val="24"/>
          <w:szCs w:val="24"/>
        </w:rPr>
      </w:pPr>
      <w:r w:rsidRPr="00EF3325">
        <w:rPr>
          <w:sz w:val="24"/>
          <w:szCs w:val="24"/>
        </w:rPr>
        <w:t xml:space="preserve">Figure </w:t>
      </w:r>
      <w:r w:rsidR="000A4B82">
        <w:rPr>
          <w:sz w:val="24"/>
          <w:szCs w:val="24"/>
        </w:rPr>
        <w:t>D</w:t>
      </w:r>
      <w:r w:rsidR="00B059BD" w:rsidRPr="00EF3325">
        <w:rPr>
          <w:sz w:val="24"/>
          <w:szCs w:val="24"/>
        </w:rPr>
        <w:t>.1</w:t>
      </w:r>
      <w:r w:rsidR="00C91827" w:rsidRPr="00EF3325">
        <w:rPr>
          <w:sz w:val="24"/>
          <w:szCs w:val="24"/>
        </w:rPr>
        <w:t>.</w:t>
      </w:r>
      <w:r w:rsidR="009C4873" w:rsidRPr="00EF3325">
        <w:rPr>
          <w:sz w:val="24"/>
          <w:szCs w:val="24"/>
        </w:rPr>
        <w:t xml:space="preserve"> Birth</w:t>
      </w:r>
      <w:r w:rsidR="00EF3325">
        <w:rPr>
          <w:sz w:val="24"/>
          <w:szCs w:val="24"/>
        </w:rPr>
        <w:t>places</w:t>
      </w:r>
      <w:r w:rsidR="009C4873" w:rsidRPr="00EF3325">
        <w:rPr>
          <w:sz w:val="24"/>
          <w:szCs w:val="24"/>
        </w:rPr>
        <w:t xml:space="preserve"> of Female PKK Militants </w:t>
      </w:r>
    </w:p>
    <w:p w:rsidR="00C91827" w:rsidRDefault="00C91827" w:rsidP="00E11B15">
      <w:pPr>
        <w:spacing w:after="0"/>
      </w:pPr>
      <w:r>
        <w:rPr>
          <w:noProof/>
        </w:rPr>
        <w:drawing>
          <wp:inline distT="0" distB="0" distL="0" distR="0">
            <wp:extent cx="7991475" cy="460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eRecruitsMap.jpg"/>
                    <pic:cNvPicPr/>
                  </pic:nvPicPr>
                  <pic:blipFill>
                    <a:blip r:embed="rId10">
                      <a:extLst>
                        <a:ext uri="{28A0092B-C50C-407E-A947-70E740481C1C}">
                          <a14:useLocalDpi xmlns:a14="http://schemas.microsoft.com/office/drawing/2010/main" val="0"/>
                        </a:ext>
                      </a:extLst>
                    </a:blip>
                    <a:stretch>
                      <a:fillRect/>
                    </a:stretch>
                  </pic:blipFill>
                  <pic:spPr>
                    <a:xfrm>
                      <a:off x="0" y="0"/>
                      <a:ext cx="7991475" cy="4600575"/>
                    </a:xfrm>
                    <a:prstGeom prst="rect">
                      <a:avLst/>
                    </a:prstGeom>
                  </pic:spPr>
                </pic:pic>
              </a:graphicData>
            </a:graphic>
          </wp:inline>
        </w:drawing>
      </w:r>
    </w:p>
    <w:p w:rsidR="00320F29" w:rsidRDefault="00C91827" w:rsidP="00975E23">
      <w:pPr>
        <w:spacing w:after="0" w:line="240" w:lineRule="auto"/>
        <w:rPr>
          <w:sz w:val="20"/>
          <w:szCs w:val="20"/>
        </w:rPr>
      </w:pPr>
      <w:r w:rsidRPr="000647D8">
        <w:rPr>
          <w:sz w:val="20"/>
          <w:szCs w:val="20"/>
        </w:rPr>
        <w:t xml:space="preserve">Source: KIM Dataset. </w:t>
      </w:r>
      <w:r w:rsidR="00D95D49" w:rsidRPr="000647D8">
        <w:rPr>
          <w:sz w:val="20"/>
          <w:szCs w:val="20"/>
        </w:rPr>
        <w:t xml:space="preserve"> </w:t>
      </w:r>
      <w:r w:rsidR="00DA48B7" w:rsidRPr="000647D8">
        <w:rPr>
          <w:sz w:val="20"/>
          <w:szCs w:val="20"/>
        </w:rPr>
        <w:t>Birthplaces</w:t>
      </w:r>
      <w:r w:rsidR="00D95D49" w:rsidRPr="000647D8">
        <w:rPr>
          <w:sz w:val="20"/>
          <w:szCs w:val="20"/>
        </w:rPr>
        <w:t xml:space="preserve"> of 17 out of 1,385</w:t>
      </w:r>
      <w:r w:rsidR="00144BB5" w:rsidRPr="000647D8">
        <w:rPr>
          <w:sz w:val="20"/>
          <w:szCs w:val="20"/>
        </w:rPr>
        <w:t xml:space="preserve"> militants </w:t>
      </w:r>
      <w:r w:rsidR="00D95D49" w:rsidRPr="000647D8">
        <w:rPr>
          <w:sz w:val="20"/>
          <w:szCs w:val="20"/>
        </w:rPr>
        <w:t xml:space="preserve">remain </w:t>
      </w:r>
      <w:r w:rsidR="00144BB5" w:rsidRPr="000647D8">
        <w:rPr>
          <w:sz w:val="20"/>
          <w:szCs w:val="20"/>
        </w:rPr>
        <w:t>unknown.</w:t>
      </w:r>
      <w:r w:rsidR="001C03A0">
        <w:rPr>
          <w:sz w:val="20"/>
          <w:szCs w:val="20"/>
        </w:rPr>
        <w:t xml:space="preserve"> Around 82 percent of all female militants were born in Turkey.</w:t>
      </w:r>
      <w:r w:rsidR="00144BB5" w:rsidRPr="000647D8">
        <w:rPr>
          <w:sz w:val="20"/>
          <w:szCs w:val="20"/>
        </w:rPr>
        <w:t xml:space="preserve"> </w:t>
      </w:r>
      <w:r w:rsidR="000D419B" w:rsidRPr="000647D8">
        <w:rPr>
          <w:sz w:val="20"/>
          <w:szCs w:val="20"/>
        </w:rPr>
        <w:t>Proportionally speaking, more male</w:t>
      </w:r>
      <w:r w:rsidR="00AE18B9" w:rsidRPr="000647D8">
        <w:rPr>
          <w:sz w:val="20"/>
          <w:szCs w:val="20"/>
        </w:rPr>
        <w:t xml:space="preserve"> militants were born in Turkey than females (20.3 and 18.6 percent, respectively), a </w:t>
      </w:r>
      <w:r w:rsidR="004F5113" w:rsidRPr="000647D8">
        <w:rPr>
          <w:sz w:val="20"/>
          <w:szCs w:val="20"/>
        </w:rPr>
        <w:t xml:space="preserve">difference </w:t>
      </w:r>
      <w:r w:rsidR="00AE18B9" w:rsidRPr="000647D8">
        <w:rPr>
          <w:sz w:val="20"/>
          <w:szCs w:val="20"/>
        </w:rPr>
        <w:t xml:space="preserve">that is not significant at </w:t>
      </w:r>
      <w:r w:rsidR="00AE18B9" w:rsidRPr="000647D8">
        <w:rPr>
          <w:i/>
          <w:iCs/>
          <w:sz w:val="20"/>
          <w:szCs w:val="20"/>
        </w:rPr>
        <w:t xml:space="preserve">p </w:t>
      </w:r>
      <w:r w:rsidR="006F3CB0">
        <w:rPr>
          <w:sz w:val="20"/>
          <w:szCs w:val="20"/>
        </w:rPr>
        <w:t>&lt; 0.05.</w:t>
      </w:r>
    </w:p>
    <w:p w:rsidR="00075E17" w:rsidRDefault="00075E17" w:rsidP="00AE18B9">
      <w:pPr>
        <w:spacing w:after="0"/>
        <w:rPr>
          <w:sz w:val="20"/>
          <w:szCs w:val="20"/>
        </w:rPr>
      </w:pPr>
    </w:p>
    <w:p w:rsidR="00075E17" w:rsidRPr="000647D8" w:rsidRDefault="00075E17" w:rsidP="00AE18B9">
      <w:pPr>
        <w:spacing w:after="0"/>
        <w:rPr>
          <w:sz w:val="20"/>
          <w:szCs w:val="20"/>
        </w:rPr>
        <w:sectPr w:rsidR="00075E17" w:rsidRPr="000647D8" w:rsidSect="00320F29">
          <w:pgSz w:w="15840" w:h="12240" w:orient="landscape"/>
          <w:pgMar w:top="1440" w:right="1440" w:bottom="1440" w:left="1440" w:header="720" w:footer="720" w:gutter="0"/>
          <w:cols w:space="720"/>
          <w:docGrid w:linePitch="360"/>
        </w:sectPr>
      </w:pPr>
    </w:p>
    <w:p w:rsidR="00B059BD" w:rsidRPr="00EF3325" w:rsidRDefault="000A4B82" w:rsidP="00B059BD">
      <w:pPr>
        <w:rPr>
          <w:sz w:val="24"/>
          <w:szCs w:val="24"/>
        </w:rPr>
      </w:pPr>
      <w:r>
        <w:rPr>
          <w:sz w:val="24"/>
          <w:szCs w:val="24"/>
        </w:rPr>
        <w:lastRenderedPageBreak/>
        <w:t>Figure D</w:t>
      </w:r>
      <w:r w:rsidR="00D24F91" w:rsidRPr="00EF3325">
        <w:rPr>
          <w:sz w:val="24"/>
          <w:szCs w:val="24"/>
        </w:rPr>
        <w:t>.2</w:t>
      </w:r>
      <w:r w:rsidR="00B059BD" w:rsidRPr="00EF3325">
        <w:rPr>
          <w:sz w:val="24"/>
          <w:szCs w:val="24"/>
        </w:rPr>
        <w:t>. Education Levels and Location of Recruitment</w:t>
      </w:r>
    </w:p>
    <w:p w:rsidR="00B059BD" w:rsidRPr="00403FCF" w:rsidRDefault="00B059BD" w:rsidP="00B059BD">
      <w:r>
        <w:rPr>
          <w:noProof/>
        </w:rPr>
        <w:drawing>
          <wp:inline distT="0" distB="0" distL="0" distR="0" wp14:anchorId="1C1AE465" wp14:editId="4EB8C8F6">
            <wp:extent cx="4953000" cy="3505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59BD" w:rsidRDefault="00B059BD" w:rsidP="00975E23">
      <w:pPr>
        <w:spacing w:after="0" w:line="240" w:lineRule="auto"/>
        <w:rPr>
          <w:sz w:val="20"/>
          <w:szCs w:val="20"/>
        </w:rPr>
      </w:pPr>
      <w:r w:rsidRPr="00AA542F">
        <w:rPr>
          <w:sz w:val="20"/>
          <w:szCs w:val="20"/>
        </w:rPr>
        <w:t xml:space="preserve">Source: KIM Dataset. Numbers </w:t>
      </w:r>
      <w:r>
        <w:rPr>
          <w:sz w:val="20"/>
          <w:szCs w:val="20"/>
        </w:rPr>
        <w:t xml:space="preserve">represent </w:t>
      </w:r>
      <w:r w:rsidRPr="00AA542F">
        <w:rPr>
          <w:sz w:val="20"/>
          <w:szCs w:val="20"/>
        </w:rPr>
        <w:t xml:space="preserve">percentages for </w:t>
      </w:r>
      <w:r>
        <w:rPr>
          <w:sz w:val="20"/>
          <w:szCs w:val="20"/>
        </w:rPr>
        <w:t xml:space="preserve">each education category in </w:t>
      </w:r>
      <w:r w:rsidRPr="00AA542F">
        <w:rPr>
          <w:sz w:val="20"/>
          <w:szCs w:val="20"/>
        </w:rPr>
        <w:t xml:space="preserve">each LOR. Education </w:t>
      </w:r>
      <w:r>
        <w:rPr>
          <w:sz w:val="20"/>
          <w:szCs w:val="20"/>
        </w:rPr>
        <w:t>information is available for 1,472</w:t>
      </w:r>
      <w:r w:rsidRPr="00AA542F">
        <w:rPr>
          <w:sz w:val="20"/>
          <w:szCs w:val="20"/>
        </w:rPr>
        <w:t xml:space="preserve"> PKK mil</w:t>
      </w:r>
      <w:r>
        <w:rPr>
          <w:sz w:val="20"/>
          <w:szCs w:val="20"/>
        </w:rPr>
        <w:t>itants (out of a sample of 9,193</w:t>
      </w:r>
      <w:r w:rsidRPr="00AA542F">
        <w:rPr>
          <w:sz w:val="20"/>
          <w:szCs w:val="20"/>
        </w:rPr>
        <w:t xml:space="preserve">). Location of Recruitment </w:t>
      </w:r>
      <w:r>
        <w:rPr>
          <w:sz w:val="20"/>
          <w:szCs w:val="20"/>
        </w:rPr>
        <w:t>information is available for 2,853</w:t>
      </w:r>
      <w:r w:rsidRPr="00AA542F">
        <w:rPr>
          <w:sz w:val="20"/>
          <w:szCs w:val="20"/>
        </w:rPr>
        <w:t xml:space="preserve"> of them</w:t>
      </w:r>
      <w:r>
        <w:rPr>
          <w:sz w:val="20"/>
          <w:szCs w:val="20"/>
        </w:rPr>
        <w:t>.</w:t>
      </w:r>
    </w:p>
    <w:p w:rsidR="00B059BD" w:rsidRDefault="00B059BD" w:rsidP="00B059BD">
      <w:pPr>
        <w:spacing w:after="0" w:line="240" w:lineRule="auto"/>
        <w:rPr>
          <w:sz w:val="20"/>
          <w:szCs w:val="20"/>
        </w:rPr>
      </w:pPr>
    </w:p>
    <w:p w:rsidR="0008029C" w:rsidRDefault="00D24F91" w:rsidP="008036F8">
      <w:pPr>
        <w:spacing w:after="0"/>
        <w:rPr>
          <w:rFonts w:cs="Courier New"/>
          <w:sz w:val="24"/>
          <w:szCs w:val="24"/>
        </w:rPr>
      </w:pPr>
      <w:r>
        <w:rPr>
          <w:rFonts w:cs="Courier New"/>
          <w:sz w:val="24"/>
          <w:szCs w:val="24"/>
        </w:rPr>
        <w:t xml:space="preserve">Figure </w:t>
      </w:r>
      <w:r w:rsidR="008036F8">
        <w:rPr>
          <w:rFonts w:cs="Courier New"/>
          <w:sz w:val="24"/>
          <w:szCs w:val="24"/>
        </w:rPr>
        <w:t>D</w:t>
      </w:r>
      <w:r>
        <w:rPr>
          <w:rFonts w:cs="Courier New"/>
          <w:sz w:val="24"/>
          <w:szCs w:val="24"/>
        </w:rPr>
        <w:t>.3</w:t>
      </w:r>
      <w:r w:rsidR="00A77FE8" w:rsidRPr="00A77FE8">
        <w:rPr>
          <w:rFonts w:cs="Courier New"/>
          <w:sz w:val="24"/>
          <w:szCs w:val="24"/>
        </w:rPr>
        <w:t xml:space="preserve"> Box Plots Showing </w:t>
      </w:r>
      <w:r w:rsidR="00135393">
        <w:rPr>
          <w:rFonts w:cs="Courier New"/>
          <w:sz w:val="24"/>
          <w:szCs w:val="24"/>
        </w:rPr>
        <w:t>Years Spent in Ranks</w:t>
      </w:r>
      <w:r w:rsidR="00A77FE8" w:rsidRPr="00A77FE8">
        <w:rPr>
          <w:rFonts w:cs="Courier New"/>
          <w:sz w:val="24"/>
          <w:szCs w:val="24"/>
        </w:rPr>
        <w:t xml:space="preserve"> for Female and Male PKK Militants </w:t>
      </w:r>
    </w:p>
    <w:p w:rsidR="0008029C" w:rsidRDefault="0008029C" w:rsidP="0008029C">
      <w:pPr>
        <w:spacing w:after="0"/>
        <w:rPr>
          <w:rFonts w:cs="Courier New"/>
          <w:sz w:val="24"/>
          <w:szCs w:val="24"/>
        </w:rPr>
      </w:pPr>
    </w:p>
    <w:p w:rsidR="00075E17" w:rsidRDefault="0008029C" w:rsidP="00975E23">
      <w:pPr>
        <w:spacing w:line="240" w:lineRule="auto"/>
        <w:rPr>
          <w:rFonts w:cs="Courier New"/>
          <w:sz w:val="20"/>
          <w:szCs w:val="20"/>
        </w:rPr>
      </w:pPr>
      <w:r w:rsidRPr="0008029C">
        <w:rPr>
          <w:rFonts w:cs="Courier New"/>
          <w:noProof/>
          <w:sz w:val="24"/>
          <w:szCs w:val="24"/>
        </w:rPr>
        <w:drawing>
          <wp:inline distT="0" distB="0" distL="0" distR="0" wp14:anchorId="33ED62F9" wp14:editId="34FAC86B">
            <wp:extent cx="5943600" cy="260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r w:rsidRPr="0008029C">
        <w:rPr>
          <w:rFonts w:cs="Courier New"/>
          <w:sz w:val="24"/>
          <w:szCs w:val="24"/>
        </w:rPr>
        <w:t xml:space="preserve"> </w:t>
      </w:r>
      <w:r w:rsidRPr="0018144C">
        <w:rPr>
          <w:rFonts w:cs="Courier New"/>
          <w:sz w:val="20"/>
          <w:szCs w:val="20"/>
        </w:rPr>
        <w:t>Source: KIM Dataset</w:t>
      </w:r>
      <w:r w:rsidR="007160FB">
        <w:rPr>
          <w:rFonts w:cs="Courier New"/>
          <w:sz w:val="20"/>
          <w:szCs w:val="20"/>
        </w:rPr>
        <w:t xml:space="preserve"> (sample of 7,365 militants)</w:t>
      </w:r>
      <w:r w:rsidRPr="0018144C">
        <w:rPr>
          <w:rFonts w:cs="Courier New"/>
          <w:sz w:val="20"/>
          <w:szCs w:val="20"/>
        </w:rPr>
        <w:t xml:space="preserve">. Difference between </w:t>
      </w:r>
      <w:r w:rsidR="007D435A" w:rsidRPr="0018144C">
        <w:rPr>
          <w:rFonts w:cs="Courier New"/>
          <w:sz w:val="20"/>
          <w:szCs w:val="20"/>
        </w:rPr>
        <w:t xml:space="preserve">years in ranks spent by </w:t>
      </w:r>
      <w:r w:rsidRPr="0018144C">
        <w:rPr>
          <w:rFonts w:cs="Courier New"/>
          <w:sz w:val="20"/>
          <w:szCs w:val="20"/>
        </w:rPr>
        <w:t xml:space="preserve">female and male </w:t>
      </w:r>
      <w:r w:rsidR="007D435A" w:rsidRPr="0018144C">
        <w:rPr>
          <w:rFonts w:cs="Courier New"/>
          <w:sz w:val="20"/>
          <w:szCs w:val="20"/>
        </w:rPr>
        <w:t xml:space="preserve">militants before their death is significant at </w:t>
      </w:r>
      <w:r w:rsidR="007D435A" w:rsidRPr="0018144C">
        <w:rPr>
          <w:rFonts w:cs="Courier New"/>
          <w:i/>
          <w:iCs/>
          <w:sz w:val="20"/>
          <w:szCs w:val="20"/>
        </w:rPr>
        <w:t>p</w:t>
      </w:r>
      <w:r w:rsidR="007D435A" w:rsidRPr="0018144C">
        <w:rPr>
          <w:rFonts w:cs="Courier New"/>
          <w:sz w:val="20"/>
          <w:szCs w:val="20"/>
        </w:rPr>
        <w:t xml:space="preserve">&lt;0.001 level (one-tailed test). Median years in ranks for females and males are four and three, respectively. </w:t>
      </w:r>
      <w:r w:rsidR="00075E17">
        <w:rPr>
          <w:rFonts w:cs="Courier New"/>
          <w:sz w:val="20"/>
          <w:szCs w:val="20"/>
        </w:rPr>
        <w:br w:type="page"/>
      </w:r>
    </w:p>
    <w:p w:rsidR="00C9799C" w:rsidRDefault="000A4B82" w:rsidP="00075E17">
      <w:pPr>
        <w:pStyle w:val="Heading2"/>
      </w:pPr>
      <w:r w:rsidRPr="008036F8">
        <w:lastRenderedPageBreak/>
        <w:t>Appendix E</w:t>
      </w:r>
      <w:r w:rsidR="00C9799C" w:rsidRPr="008036F8">
        <w:t xml:space="preserve">. </w:t>
      </w:r>
      <w:r w:rsidR="00075E17" w:rsidRPr="008036F8">
        <w:t>District Level Analysis</w:t>
      </w:r>
      <w:r w:rsidR="00075E17">
        <w:t xml:space="preserve"> </w:t>
      </w:r>
    </w:p>
    <w:p w:rsidR="0021369F" w:rsidRDefault="00A2706A" w:rsidP="008036F8">
      <w:pPr>
        <w:spacing w:after="0" w:line="240" w:lineRule="auto"/>
        <w:rPr>
          <w:rFonts w:cstheme="majorBidi"/>
          <w:color w:val="000000" w:themeColor="text1"/>
          <w:sz w:val="24"/>
          <w:szCs w:val="24"/>
        </w:rPr>
      </w:pPr>
      <w:r>
        <w:rPr>
          <w:rFonts w:cstheme="majorBidi"/>
          <w:color w:val="000000" w:themeColor="text1"/>
          <w:sz w:val="24"/>
          <w:szCs w:val="24"/>
        </w:rPr>
        <w:t>This se</w:t>
      </w:r>
      <w:r w:rsidR="00126D03">
        <w:rPr>
          <w:rFonts w:cstheme="majorBidi"/>
          <w:color w:val="000000" w:themeColor="text1"/>
          <w:sz w:val="24"/>
          <w:szCs w:val="24"/>
        </w:rPr>
        <w:t xml:space="preserve">ction offers an investigation of the effect on gender inequality on insurgent recruitment at the aggregate level. </w:t>
      </w:r>
      <w:proofErr w:type="gramStart"/>
      <w:r w:rsidR="0021369F" w:rsidRPr="00F446A1">
        <w:rPr>
          <w:rFonts w:cstheme="majorBidi"/>
          <w:color w:val="000000" w:themeColor="text1"/>
          <w:sz w:val="24"/>
          <w:szCs w:val="24"/>
        </w:rPr>
        <w:t xml:space="preserve">The unit of analysis is the Kurdish populated districts of Turkey (n=189) observed at </w:t>
      </w:r>
      <w:r w:rsidR="0021369F">
        <w:rPr>
          <w:rFonts w:cstheme="majorBidi"/>
          <w:color w:val="000000" w:themeColor="text1"/>
          <w:sz w:val="24"/>
          <w:szCs w:val="24"/>
        </w:rPr>
        <w:t>six</w:t>
      </w:r>
      <w:r w:rsidR="0021369F" w:rsidRPr="00F446A1">
        <w:rPr>
          <w:rFonts w:cstheme="majorBidi"/>
          <w:color w:val="000000" w:themeColor="text1"/>
          <w:sz w:val="24"/>
          <w:szCs w:val="24"/>
        </w:rPr>
        <w:t xml:space="preserve"> different periods: </w:t>
      </w:r>
      <w:r w:rsidR="0021369F" w:rsidRPr="00F446A1">
        <w:rPr>
          <w:bCs/>
          <w:sz w:val="24"/>
          <w:szCs w:val="24"/>
        </w:rPr>
        <w:t>1) 1984-1989, the emergence of the insurgency, 2) 1990-1994, the peak years of the insurgency, 3) 1995-1999, the decline of the insurgency resulting in the capture of its leader, 4) 2000-2004, the ceasefire period with occasional clashes, 5) 2005-2012, the rekindling of the armed conflict</w:t>
      </w:r>
      <w:r w:rsidR="0021369F">
        <w:rPr>
          <w:bCs/>
          <w:sz w:val="24"/>
          <w:szCs w:val="24"/>
        </w:rPr>
        <w:t>, and 6) 2013-2016, the ceasefire period followed by the intensification of clashes by the summer of 2015</w:t>
      </w:r>
      <w:r w:rsidR="0021369F" w:rsidRPr="00F446A1">
        <w:rPr>
          <w:bCs/>
          <w:sz w:val="24"/>
          <w:szCs w:val="24"/>
        </w:rPr>
        <w:t>.</w:t>
      </w:r>
      <w:r w:rsidR="0021369F" w:rsidRPr="00F446A1">
        <w:rPr>
          <w:rStyle w:val="FootnoteReference"/>
          <w:rFonts w:cstheme="majorBidi"/>
          <w:color w:val="000000" w:themeColor="text1"/>
          <w:sz w:val="24"/>
          <w:szCs w:val="24"/>
        </w:rPr>
        <w:footnoteReference w:id="1"/>
      </w:r>
      <w:proofErr w:type="gramEnd"/>
      <w:r w:rsidR="0021369F" w:rsidRPr="00F446A1">
        <w:rPr>
          <w:rFonts w:cstheme="majorBidi"/>
          <w:color w:val="000000" w:themeColor="text1"/>
          <w:sz w:val="24"/>
          <w:szCs w:val="24"/>
        </w:rPr>
        <w:t xml:space="preserve"> Table </w:t>
      </w:r>
      <w:r w:rsidR="008036F8">
        <w:rPr>
          <w:rFonts w:cstheme="majorBidi"/>
          <w:color w:val="000000" w:themeColor="text1"/>
          <w:sz w:val="24"/>
          <w:szCs w:val="24"/>
        </w:rPr>
        <w:t>E</w:t>
      </w:r>
      <w:r w:rsidR="00126D03">
        <w:rPr>
          <w:rFonts w:cstheme="majorBidi"/>
          <w:color w:val="000000" w:themeColor="text1"/>
          <w:sz w:val="24"/>
          <w:szCs w:val="24"/>
        </w:rPr>
        <w:t>.</w:t>
      </w:r>
      <w:r w:rsidR="0021369F">
        <w:rPr>
          <w:rFonts w:cstheme="majorBidi"/>
          <w:color w:val="000000" w:themeColor="text1"/>
          <w:sz w:val="24"/>
          <w:szCs w:val="24"/>
        </w:rPr>
        <w:t>1</w:t>
      </w:r>
      <w:r w:rsidR="0021369F" w:rsidRPr="00F446A1">
        <w:rPr>
          <w:rFonts w:cstheme="majorBidi"/>
          <w:color w:val="000000" w:themeColor="text1"/>
          <w:sz w:val="24"/>
          <w:szCs w:val="24"/>
        </w:rPr>
        <w:t xml:space="preserve"> provides summary statistics</w:t>
      </w:r>
      <w:r w:rsidR="00126D03">
        <w:rPr>
          <w:rFonts w:cstheme="majorBidi"/>
          <w:color w:val="000000" w:themeColor="text1"/>
          <w:sz w:val="24"/>
          <w:szCs w:val="24"/>
        </w:rPr>
        <w:t xml:space="preserve"> of the variables</w:t>
      </w:r>
      <w:r w:rsidR="0021369F" w:rsidRPr="00F446A1">
        <w:rPr>
          <w:rFonts w:cstheme="majorBidi"/>
          <w:color w:val="000000" w:themeColor="text1"/>
          <w:sz w:val="24"/>
          <w:szCs w:val="24"/>
        </w:rPr>
        <w:t>.</w:t>
      </w:r>
      <w:r w:rsidR="0021369F">
        <w:rPr>
          <w:rFonts w:cstheme="majorBidi"/>
          <w:color w:val="000000" w:themeColor="text1"/>
          <w:sz w:val="24"/>
          <w:szCs w:val="24"/>
        </w:rPr>
        <w:t xml:space="preserve"> </w:t>
      </w:r>
      <w:r w:rsidR="0021369F" w:rsidRPr="00F446A1">
        <w:rPr>
          <w:rFonts w:cstheme="majorBidi"/>
          <w:color w:val="000000" w:themeColor="text1"/>
          <w:sz w:val="24"/>
          <w:szCs w:val="24"/>
        </w:rPr>
        <w:t xml:space="preserve">The dependent variable, </w:t>
      </w:r>
      <w:r w:rsidR="0021369F" w:rsidRPr="00F446A1">
        <w:rPr>
          <w:rFonts w:cstheme="majorBidi"/>
          <w:i/>
          <w:color w:val="000000" w:themeColor="text1"/>
          <w:sz w:val="24"/>
          <w:szCs w:val="24"/>
        </w:rPr>
        <w:t xml:space="preserve">Female </w:t>
      </w:r>
      <w:r w:rsidR="0021369F" w:rsidRPr="00F446A1">
        <w:rPr>
          <w:rFonts w:cstheme="majorBidi"/>
          <w:i/>
          <w:iCs/>
          <w:color w:val="000000" w:themeColor="text1"/>
          <w:sz w:val="24"/>
          <w:szCs w:val="24"/>
        </w:rPr>
        <w:t>Recruits</w:t>
      </w:r>
      <w:r w:rsidR="0021369F" w:rsidRPr="00F446A1">
        <w:rPr>
          <w:rFonts w:cstheme="majorBidi"/>
          <w:color w:val="000000" w:themeColor="text1"/>
          <w:sz w:val="24"/>
          <w:szCs w:val="24"/>
        </w:rPr>
        <w:t>, is the number of female PKK militants born in a district in a period.</w:t>
      </w:r>
      <w:r w:rsidR="00126D03">
        <w:rPr>
          <w:rStyle w:val="FootnoteReference"/>
          <w:rFonts w:cstheme="majorBidi"/>
          <w:color w:val="000000" w:themeColor="text1"/>
          <w:sz w:val="24"/>
          <w:szCs w:val="24"/>
        </w:rPr>
        <w:footnoteReference w:id="2"/>
      </w:r>
      <w:r w:rsidR="0021369F" w:rsidRPr="00F446A1">
        <w:rPr>
          <w:rStyle w:val="FootnoteReference"/>
          <w:rFonts w:cstheme="majorBidi"/>
          <w:color w:val="000000" w:themeColor="text1"/>
          <w:sz w:val="24"/>
          <w:szCs w:val="24"/>
        </w:rPr>
        <w:t xml:space="preserve"> </w:t>
      </w:r>
    </w:p>
    <w:p w:rsidR="0021369F" w:rsidRDefault="0021369F" w:rsidP="008036F8">
      <w:pPr>
        <w:spacing w:after="0" w:line="240" w:lineRule="auto"/>
        <w:jc w:val="center"/>
        <w:rPr>
          <w:rFonts w:cstheme="majorBidi"/>
          <w:color w:val="000000" w:themeColor="text1"/>
          <w:sz w:val="24"/>
          <w:szCs w:val="24"/>
        </w:rPr>
      </w:pPr>
      <w:r>
        <w:rPr>
          <w:rFonts w:cstheme="majorBidi"/>
          <w:color w:val="000000" w:themeColor="text1"/>
          <w:sz w:val="24"/>
          <w:szCs w:val="24"/>
        </w:rPr>
        <w:t xml:space="preserve">[Table </w:t>
      </w:r>
      <w:r w:rsidR="008036F8">
        <w:rPr>
          <w:rFonts w:cstheme="majorBidi"/>
          <w:color w:val="000000" w:themeColor="text1"/>
          <w:sz w:val="24"/>
          <w:szCs w:val="24"/>
        </w:rPr>
        <w:t>E</w:t>
      </w:r>
      <w:r w:rsidR="007A1904">
        <w:rPr>
          <w:rFonts w:cstheme="majorBidi"/>
          <w:color w:val="000000" w:themeColor="text1"/>
          <w:sz w:val="24"/>
          <w:szCs w:val="24"/>
        </w:rPr>
        <w:t>.</w:t>
      </w:r>
      <w:r>
        <w:rPr>
          <w:rFonts w:cstheme="majorBidi"/>
          <w:color w:val="000000" w:themeColor="text1"/>
          <w:sz w:val="24"/>
          <w:szCs w:val="24"/>
        </w:rPr>
        <w:t>1 about here]</w:t>
      </w:r>
    </w:p>
    <w:p w:rsidR="000A1F76" w:rsidRDefault="000A1F76" w:rsidP="000A1F76">
      <w:pPr>
        <w:spacing w:after="0" w:line="240" w:lineRule="auto"/>
        <w:jc w:val="center"/>
        <w:rPr>
          <w:rFonts w:cstheme="majorBidi"/>
          <w:color w:val="000000" w:themeColor="text1"/>
          <w:sz w:val="24"/>
          <w:szCs w:val="24"/>
        </w:rPr>
      </w:pPr>
    </w:p>
    <w:p w:rsidR="0021369F" w:rsidRDefault="0021369F" w:rsidP="000A1F76">
      <w:pPr>
        <w:spacing w:after="0" w:line="240" w:lineRule="auto"/>
        <w:ind w:firstLine="720"/>
        <w:rPr>
          <w:bCs/>
          <w:sz w:val="24"/>
          <w:szCs w:val="24"/>
        </w:rPr>
      </w:pPr>
      <w:r>
        <w:rPr>
          <w:bCs/>
          <w:iCs/>
          <w:sz w:val="24"/>
          <w:szCs w:val="24"/>
        </w:rPr>
        <w:t xml:space="preserve">Measuring multiple dimensions of gender inequality including health, education, and political participation </w:t>
      </w:r>
      <w:proofErr w:type="gramStart"/>
      <w:r>
        <w:rPr>
          <w:bCs/>
          <w:iCs/>
          <w:sz w:val="24"/>
          <w:szCs w:val="24"/>
        </w:rPr>
        <w:t>presents</w:t>
      </w:r>
      <w:proofErr w:type="gramEnd"/>
      <w:r>
        <w:rPr>
          <w:bCs/>
          <w:iCs/>
          <w:sz w:val="24"/>
          <w:szCs w:val="24"/>
        </w:rPr>
        <w:t xml:space="preserve"> unique difficulties given data limitations. Two variables measure gender inequality</w:t>
      </w:r>
      <w:r w:rsidRPr="00D53A95">
        <w:rPr>
          <w:bCs/>
          <w:iCs/>
          <w:sz w:val="24"/>
          <w:szCs w:val="24"/>
        </w:rPr>
        <w:t xml:space="preserve">. </w:t>
      </w:r>
      <w:r>
        <w:rPr>
          <w:bCs/>
          <w:i/>
          <w:sz w:val="24"/>
          <w:szCs w:val="24"/>
        </w:rPr>
        <w:t xml:space="preserve">Female </w:t>
      </w:r>
      <w:r w:rsidRPr="00D53A95">
        <w:rPr>
          <w:bCs/>
          <w:i/>
          <w:sz w:val="24"/>
          <w:szCs w:val="24"/>
        </w:rPr>
        <w:t>Literacy Ratio</w:t>
      </w:r>
      <w:r w:rsidRPr="00D53A95">
        <w:rPr>
          <w:bCs/>
          <w:sz w:val="24"/>
          <w:szCs w:val="24"/>
        </w:rPr>
        <w:t>, the ratio of female to total literacy in a district in a given period, measures educatio</w:t>
      </w:r>
      <w:r w:rsidRPr="00185D77">
        <w:rPr>
          <w:bCs/>
          <w:sz w:val="24"/>
          <w:szCs w:val="24"/>
        </w:rPr>
        <w:t>na</w:t>
      </w:r>
      <w:r>
        <w:rPr>
          <w:bCs/>
          <w:sz w:val="24"/>
          <w:szCs w:val="24"/>
        </w:rPr>
        <w:t>l aspects of gender inequality.</w:t>
      </w:r>
      <w:r>
        <w:rPr>
          <w:sz w:val="24"/>
          <w:szCs w:val="24"/>
        </w:rPr>
        <w:t xml:space="preserve"> </w:t>
      </w:r>
      <w:r>
        <w:rPr>
          <w:bCs/>
          <w:i/>
          <w:iCs/>
          <w:sz w:val="24"/>
          <w:szCs w:val="24"/>
        </w:rPr>
        <w:t>Fertility</w:t>
      </w:r>
      <w:r>
        <w:rPr>
          <w:bCs/>
          <w:sz w:val="24"/>
          <w:szCs w:val="24"/>
        </w:rPr>
        <w:t xml:space="preserve"> measures the dimension of gender inequality associated with classical patriarchy.</w:t>
      </w:r>
      <w:r>
        <w:rPr>
          <w:rStyle w:val="FootnoteReference"/>
          <w:bCs/>
          <w:sz w:val="24"/>
          <w:szCs w:val="24"/>
        </w:rPr>
        <w:footnoteReference w:id="3"/>
      </w:r>
      <w:r w:rsidR="00DF469F">
        <w:rPr>
          <w:bCs/>
          <w:sz w:val="24"/>
          <w:szCs w:val="24"/>
        </w:rPr>
        <w:t xml:space="preserve"> T</w:t>
      </w:r>
      <w:r>
        <w:rPr>
          <w:bCs/>
          <w:sz w:val="24"/>
          <w:szCs w:val="24"/>
        </w:rPr>
        <w:t xml:space="preserve">hese </w:t>
      </w:r>
      <w:r w:rsidR="003A669A">
        <w:rPr>
          <w:bCs/>
          <w:sz w:val="24"/>
          <w:szCs w:val="24"/>
        </w:rPr>
        <w:t>variables</w:t>
      </w:r>
      <w:r>
        <w:rPr>
          <w:bCs/>
          <w:sz w:val="24"/>
          <w:szCs w:val="24"/>
        </w:rPr>
        <w:t xml:space="preserve"> are related to each other (c= -0.37)</w:t>
      </w:r>
      <w:r w:rsidR="00DF469F">
        <w:rPr>
          <w:bCs/>
          <w:sz w:val="24"/>
          <w:szCs w:val="24"/>
        </w:rPr>
        <w:t>, but</w:t>
      </w:r>
      <w:r>
        <w:rPr>
          <w:bCs/>
          <w:sz w:val="24"/>
          <w:szCs w:val="24"/>
        </w:rPr>
        <w:t xml:space="preserve"> represent two distinct dimensions of gender inequality. </w:t>
      </w:r>
    </w:p>
    <w:p w:rsidR="000A1F76" w:rsidRDefault="000A1F76" w:rsidP="000A1F76">
      <w:pPr>
        <w:spacing w:after="0" w:line="240" w:lineRule="auto"/>
        <w:ind w:firstLine="720"/>
        <w:rPr>
          <w:bCs/>
          <w:sz w:val="24"/>
          <w:szCs w:val="24"/>
        </w:rPr>
      </w:pPr>
    </w:p>
    <w:p w:rsidR="0021369F" w:rsidRDefault="0021369F" w:rsidP="000A1F76">
      <w:pPr>
        <w:spacing w:after="0" w:line="240" w:lineRule="auto"/>
        <w:ind w:firstLine="720"/>
        <w:rPr>
          <w:bCs/>
          <w:sz w:val="24"/>
          <w:szCs w:val="24"/>
        </w:rPr>
      </w:pPr>
      <w:r w:rsidRPr="00F446A1">
        <w:rPr>
          <w:bCs/>
          <w:sz w:val="24"/>
          <w:szCs w:val="24"/>
        </w:rPr>
        <w:t xml:space="preserve">A series of independent variables </w:t>
      </w:r>
      <w:r>
        <w:rPr>
          <w:bCs/>
          <w:sz w:val="24"/>
          <w:szCs w:val="24"/>
        </w:rPr>
        <w:t xml:space="preserve">measuring political, socioeconomic, and historical factors </w:t>
      </w:r>
      <w:r w:rsidRPr="00F446A1">
        <w:rPr>
          <w:bCs/>
          <w:sz w:val="24"/>
          <w:szCs w:val="24"/>
        </w:rPr>
        <w:t>are included in models to account for non-gendered dynamics of recruitment</w:t>
      </w:r>
      <w:r w:rsidR="003A669A">
        <w:rPr>
          <w:bCs/>
          <w:sz w:val="24"/>
          <w:szCs w:val="24"/>
        </w:rPr>
        <w:t>.</w:t>
      </w:r>
      <w:r>
        <w:rPr>
          <w:bCs/>
          <w:sz w:val="24"/>
          <w:szCs w:val="24"/>
        </w:rPr>
        <w:t xml:space="preserve"> </w:t>
      </w:r>
      <w:r w:rsidR="003A669A">
        <w:rPr>
          <w:bCs/>
          <w:i/>
          <w:sz w:val="24"/>
          <w:szCs w:val="24"/>
        </w:rPr>
        <w:t xml:space="preserve">Kurdish Vote </w:t>
      </w:r>
      <w:r w:rsidR="003A669A">
        <w:rPr>
          <w:bCs/>
          <w:iCs/>
          <w:sz w:val="24"/>
          <w:szCs w:val="24"/>
        </w:rPr>
        <w:t>measures</w:t>
      </w:r>
      <w:r w:rsidRPr="00F446A1">
        <w:rPr>
          <w:bCs/>
          <w:i/>
          <w:sz w:val="24"/>
          <w:szCs w:val="24"/>
        </w:rPr>
        <w:t xml:space="preserve"> </w:t>
      </w:r>
      <w:r w:rsidRPr="00F446A1">
        <w:rPr>
          <w:bCs/>
          <w:sz w:val="24"/>
          <w:szCs w:val="24"/>
        </w:rPr>
        <w:t>the percentage of votes received by the Kurdish nationalists in the parliamentary elec</w:t>
      </w:r>
      <w:r w:rsidR="003A669A">
        <w:rPr>
          <w:bCs/>
          <w:sz w:val="24"/>
          <w:szCs w:val="24"/>
        </w:rPr>
        <w:t>tions in a district in a period</w:t>
      </w:r>
      <w:r w:rsidRPr="00F446A1">
        <w:rPr>
          <w:bCs/>
          <w:sz w:val="24"/>
          <w:szCs w:val="24"/>
        </w:rPr>
        <w:t>.</w:t>
      </w:r>
      <w:r w:rsidRPr="00F446A1">
        <w:rPr>
          <w:rStyle w:val="FootnoteReference"/>
          <w:bCs/>
          <w:sz w:val="24"/>
          <w:szCs w:val="24"/>
        </w:rPr>
        <w:footnoteReference w:id="4"/>
      </w:r>
      <w:r w:rsidR="00793F71">
        <w:rPr>
          <w:bCs/>
          <w:sz w:val="24"/>
          <w:szCs w:val="24"/>
        </w:rPr>
        <w:t xml:space="preserve"> </w:t>
      </w:r>
      <w:r w:rsidRPr="00F446A1">
        <w:rPr>
          <w:bCs/>
          <w:i/>
          <w:iCs/>
          <w:sz w:val="24"/>
          <w:szCs w:val="24"/>
        </w:rPr>
        <w:t>Clashes</w:t>
      </w:r>
      <w:r w:rsidRPr="00F446A1">
        <w:rPr>
          <w:bCs/>
          <w:sz w:val="24"/>
          <w:szCs w:val="24"/>
        </w:rPr>
        <w:t>, the number of killed insurgents, measures the intensity of armed conflict.</w:t>
      </w:r>
      <w:r>
        <w:rPr>
          <w:bCs/>
          <w:sz w:val="24"/>
          <w:szCs w:val="24"/>
        </w:rPr>
        <w:t xml:space="preserve"> </w:t>
      </w:r>
      <w:r>
        <w:rPr>
          <w:bCs/>
          <w:i/>
          <w:iCs/>
          <w:sz w:val="24"/>
          <w:szCs w:val="24"/>
        </w:rPr>
        <w:t>Rural</w:t>
      </w:r>
      <w:r w:rsidRPr="00F446A1">
        <w:rPr>
          <w:bCs/>
          <w:i/>
          <w:iCs/>
          <w:sz w:val="24"/>
          <w:szCs w:val="24"/>
        </w:rPr>
        <w:t xml:space="preserve"> Change</w:t>
      </w:r>
      <w:r w:rsidRPr="00F446A1">
        <w:rPr>
          <w:bCs/>
          <w:sz w:val="24"/>
          <w:szCs w:val="24"/>
        </w:rPr>
        <w:t xml:space="preserve"> </w:t>
      </w:r>
      <w:r>
        <w:rPr>
          <w:bCs/>
          <w:sz w:val="24"/>
          <w:szCs w:val="24"/>
        </w:rPr>
        <w:t>measures changes in the ratio of rural population across periods</w:t>
      </w:r>
      <w:r w:rsidRPr="00F446A1">
        <w:rPr>
          <w:bCs/>
          <w:sz w:val="24"/>
          <w:szCs w:val="24"/>
        </w:rPr>
        <w:t xml:space="preserve">, as the state forces evacuated </w:t>
      </w:r>
      <w:r>
        <w:rPr>
          <w:bCs/>
          <w:sz w:val="24"/>
          <w:szCs w:val="24"/>
        </w:rPr>
        <w:t xml:space="preserve">thousands of </w:t>
      </w:r>
      <w:r w:rsidRPr="00F446A1">
        <w:rPr>
          <w:bCs/>
          <w:sz w:val="24"/>
          <w:szCs w:val="24"/>
        </w:rPr>
        <w:t xml:space="preserve">villages as a counterinsurgency strategy. </w:t>
      </w:r>
      <w:r w:rsidR="00F0790B">
        <w:rPr>
          <w:bCs/>
          <w:i/>
          <w:iCs/>
          <w:sz w:val="24"/>
          <w:szCs w:val="24"/>
        </w:rPr>
        <w:t xml:space="preserve">Previous Recruits </w:t>
      </w:r>
      <w:r w:rsidR="00F0790B">
        <w:rPr>
          <w:bCs/>
          <w:sz w:val="24"/>
          <w:szCs w:val="24"/>
        </w:rPr>
        <w:t>is the number of militants, both female and male, born in the district in the previous period.</w:t>
      </w:r>
      <w:r w:rsidRPr="00F446A1">
        <w:rPr>
          <w:bCs/>
          <w:sz w:val="24"/>
          <w:szCs w:val="24"/>
        </w:rPr>
        <w:t xml:space="preserve"> </w:t>
      </w:r>
      <w:r w:rsidRPr="00F446A1">
        <w:rPr>
          <w:bCs/>
          <w:i/>
          <w:iCs/>
          <w:sz w:val="24"/>
          <w:szCs w:val="24"/>
        </w:rPr>
        <w:t xml:space="preserve">Kurdish Population, </w:t>
      </w:r>
      <w:r w:rsidRPr="00F446A1">
        <w:rPr>
          <w:bCs/>
          <w:sz w:val="24"/>
          <w:szCs w:val="24"/>
        </w:rPr>
        <w:t>a time invariant variable,</w:t>
      </w:r>
      <w:r w:rsidRPr="00F446A1">
        <w:rPr>
          <w:bCs/>
          <w:i/>
          <w:iCs/>
          <w:sz w:val="24"/>
          <w:szCs w:val="24"/>
        </w:rPr>
        <w:t xml:space="preserve"> </w:t>
      </w:r>
      <w:r w:rsidRPr="00F446A1">
        <w:rPr>
          <w:bCs/>
          <w:sz w:val="24"/>
          <w:szCs w:val="24"/>
        </w:rPr>
        <w:t>measures the ratio of Kurdish-speaking population to the general population in a district. Assimilation policies pursued by the Turkish state have been less successful in districts with a concentration of ethnic Kurds. The distinction between Kurdish Population and Kurdish Vote</w:t>
      </w:r>
      <w:r>
        <w:rPr>
          <w:bCs/>
          <w:sz w:val="24"/>
          <w:szCs w:val="24"/>
        </w:rPr>
        <w:t>, another variable used to measure support for Kurdish nationalism,</w:t>
      </w:r>
      <w:r w:rsidRPr="00F446A1">
        <w:rPr>
          <w:bCs/>
          <w:sz w:val="24"/>
          <w:szCs w:val="24"/>
        </w:rPr>
        <w:t xml:space="preserve"> builds on the distinction between</w:t>
      </w:r>
      <w:r>
        <w:rPr>
          <w:bCs/>
          <w:sz w:val="24"/>
          <w:szCs w:val="24"/>
        </w:rPr>
        <w:t xml:space="preserve"> ethnic structure and practice</w:t>
      </w:r>
      <w:r w:rsidRPr="00F446A1">
        <w:rPr>
          <w:bCs/>
          <w:sz w:val="24"/>
          <w:szCs w:val="24"/>
        </w:rPr>
        <w:t>.</w:t>
      </w:r>
      <w:r>
        <w:rPr>
          <w:rStyle w:val="FootnoteReference"/>
          <w:bCs/>
          <w:sz w:val="24"/>
          <w:szCs w:val="24"/>
        </w:rPr>
        <w:footnoteReference w:id="5"/>
      </w:r>
      <w:r w:rsidRPr="00F446A1">
        <w:rPr>
          <w:bCs/>
          <w:sz w:val="24"/>
          <w:szCs w:val="24"/>
        </w:rPr>
        <w:t xml:space="preserve"> </w:t>
      </w:r>
      <w:r w:rsidRPr="00F446A1">
        <w:rPr>
          <w:bCs/>
          <w:i/>
          <w:iCs/>
          <w:sz w:val="24"/>
          <w:szCs w:val="24"/>
        </w:rPr>
        <w:t>Rebellion</w:t>
      </w:r>
      <w:r>
        <w:rPr>
          <w:bCs/>
          <w:sz w:val="24"/>
          <w:szCs w:val="24"/>
        </w:rPr>
        <w:t xml:space="preserve"> is</w:t>
      </w:r>
      <w:r w:rsidRPr="00F446A1">
        <w:rPr>
          <w:bCs/>
          <w:sz w:val="24"/>
          <w:szCs w:val="24"/>
        </w:rPr>
        <w:t xml:space="preserve"> a dummy variable </w:t>
      </w:r>
      <w:r>
        <w:rPr>
          <w:bCs/>
          <w:sz w:val="24"/>
          <w:szCs w:val="24"/>
        </w:rPr>
        <w:t xml:space="preserve">that </w:t>
      </w:r>
      <w:r w:rsidRPr="00F446A1">
        <w:rPr>
          <w:bCs/>
          <w:sz w:val="24"/>
          <w:szCs w:val="24"/>
        </w:rPr>
        <w:t xml:space="preserve">indicates whether </w:t>
      </w:r>
      <w:r w:rsidRPr="00F446A1">
        <w:rPr>
          <w:bCs/>
          <w:sz w:val="24"/>
          <w:szCs w:val="24"/>
        </w:rPr>
        <w:lastRenderedPageBreak/>
        <w:t>the district had a repressed r</w:t>
      </w:r>
      <w:r w:rsidR="0094770F">
        <w:rPr>
          <w:bCs/>
          <w:sz w:val="24"/>
          <w:szCs w:val="24"/>
        </w:rPr>
        <w:t>ebellion in the 1920s and 1930s</w:t>
      </w:r>
      <w:r w:rsidRPr="00F446A1">
        <w:rPr>
          <w:bCs/>
          <w:sz w:val="24"/>
          <w:szCs w:val="24"/>
        </w:rPr>
        <w:t>.</w:t>
      </w:r>
      <w:r>
        <w:rPr>
          <w:rStyle w:val="FootnoteReference"/>
          <w:bCs/>
          <w:sz w:val="24"/>
          <w:szCs w:val="24"/>
        </w:rPr>
        <w:footnoteReference w:id="6"/>
      </w:r>
      <w:r>
        <w:rPr>
          <w:bCs/>
          <w:sz w:val="24"/>
          <w:szCs w:val="24"/>
        </w:rPr>
        <w:t xml:space="preserve"> </w:t>
      </w:r>
      <w:r>
        <w:rPr>
          <w:bCs/>
          <w:i/>
          <w:iCs/>
          <w:sz w:val="24"/>
          <w:szCs w:val="24"/>
        </w:rPr>
        <w:t xml:space="preserve">Rural Population </w:t>
      </w:r>
      <w:r>
        <w:rPr>
          <w:bCs/>
          <w:sz w:val="24"/>
          <w:szCs w:val="24"/>
        </w:rPr>
        <w:t>measures the level of development in a district in a given period due to the unavailability of more precise measurements of socioeconomic development.</w:t>
      </w:r>
      <w:r>
        <w:rPr>
          <w:rStyle w:val="FootnoteReference"/>
          <w:bCs/>
          <w:sz w:val="24"/>
          <w:szCs w:val="24"/>
        </w:rPr>
        <w:footnoteReference w:id="7"/>
      </w:r>
      <w:r>
        <w:rPr>
          <w:bCs/>
          <w:sz w:val="24"/>
          <w:szCs w:val="24"/>
        </w:rPr>
        <w:t xml:space="preserve"> Individuals from poorer districts would have lower opportunity costs to join the insurgency. In fact, joining the insurgency can be a vehicle of social mobility for these individuals. Finally, </w:t>
      </w:r>
      <w:r>
        <w:rPr>
          <w:bCs/>
          <w:i/>
          <w:iCs/>
          <w:sz w:val="24"/>
          <w:szCs w:val="24"/>
        </w:rPr>
        <w:t>Population</w:t>
      </w:r>
      <w:r>
        <w:rPr>
          <w:bCs/>
          <w:sz w:val="24"/>
          <w:szCs w:val="24"/>
        </w:rPr>
        <w:t xml:space="preserve"> measures the log population of a district in a given period.</w:t>
      </w:r>
      <w:r>
        <w:rPr>
          <w:rStyle w:val="FootnoteReference"/>
          <w:bCs/>
          <w:sz w:val="24"/>
          <w:szCs w:val="24"/>
        </w:rPr>
        <w:footnoteReference w:id="8"/>
      </w:r>
    </w:p>
    <w:p w:rsidR="000A1F76" w:rsidRPr="00A55076" w:rsidRDefault="000A1F76" w:rsidP="000A1F76">
      <w:pPr>
        <w:spacing w:after="0" w:line="240" w:lineRule="auto"/>
        <w:ind w:firstLine="720"/>
        <w:rPr>
          <w:bCs/>
          <w:sz w:val="24"/>
          <w:szCs w:val="24"/>
        </w:rPr>
      </w:pPr>
    </w:p>
    <w:p w:rsidR="0021369F" w:rsidRDefault="0021369F" w:rsidP="008036F8">
      <w:pPr>
        <w:autoSpaceDE w:val="0"/>
        <w:autoSpaceDN w:val="0"/>
        <w:adjustRightInd w:val="0"/>
        <w:spacing w:after="0" w:line="240" w:lineRule="auto"/>
        <w:ind w:firstLine="720"/>
        <w:rPr>
          <w:rFonts w:cs="AdvTTedcf1c79"/>
          <w:sz w:val="24"/>
          <w:szCs w:val="24"/>
        </w:rPr>
      </w:pPr>
      <w:r w:rsidRPr="008C1EEA">
        <w:rPr>
          <w:rFonts w:cs="AdvTTedcf1c79"/>
          <w:sz w:val="24"/>
          <w:szCs w:val="24"/>
        </w:rPr>
        <w:t>Female Recruits take</w:t>
      </w:r>
      <w:r>
        <w:rPr>
          <w:rFonts w:cs="AdvTTedcf1c79"/>
          <w:sz w:val="24"/>
          <w:szCs w:val="24"/>
        </w:rPr>
        <w:t>s</w:t>
      </w:r>
      <w:r w:rsidRPr="008C1EEA">
        <w:rPr>
          <w:rFonts w:cs="AdvTTedcf1c79"/>
          <w:sz w:val="24"/>
          <w:szCs w:val="24"/>
        </w:rPr>
        <w:t xml:space="preserve"> values that range from </w:t>
      </w:r>
      <w:proofErr w:type="gramStart"/>
      <w:r w:rsidRPr="008C1EEA">
        <w:rPr>
          <w:rFonts w:cs="AdvTTedcf1c79"/>
          <w:sz w:val="24"/>
          <w:szCs w:val="24"/>
        </w:rPr>
        <w:t>0</w:t>
      </w:r>
      <w:proofErr w:type="gramEnd"/>
      <w:r w:rsidRPr="008C1EEA">
        <w:rPr>
          <w:rFonts w:cs="AdvTTedcf1c79"/>
          <w:sz w:val="24"/>
          <w:szCs w:val="24"/>
        </w:rPr>
        <w:t xml:space="preserve"> to 37. The variable has 8</w:t>
      </w:r>
      <w:r>
        <w:rPr>
          <w:rFonts w:cs="AdvTTedcf1c79"/>
          <w:sz w:val="24"/>
          <w:szCs w:val="24"/>
        </w:rPr>
        <w:t>71 zero (no recruits)</w:t>
      </w:r>
      <w:r w:rsidRPr="008C1EEA">
        <w:rPr>
          <w:rFonts w:cs="AdvTTedcf1c79"/>
          <w:sz w:val="24"/>
          <w:szCs w:val="24"/>
        </w:rPr>
        <w:t xml:space="preserve"> out of </w:t>
      </w:r>
      <w:r w:rsidR="00F16CB9" w:rsidRPr="008C1EEA">
        <w:rPr>
          <w:rFonts w:cs="AdvTTedcf1c79"/>
          <w:sz w:val="24"/>
          <w:szCs w:val="24"/>
        </w:rPr>
        <w:t>1,134</w:t>
      </w:r>
      <w:r w:rsidRPr="008C1EEA">
        <w:rPr>
          <w:rFonts w:cs="AdvTTedcf1c79"/>
          <w:sz w:val="24"/>
          <w:szCs w:val="24"/>
        </w:rPr>
        <w:t xml:space="preserve"> </w:t>
      </w:r>
      <w:r>
        <w:rPr>
          <w:rFonts w:cs="AdvTTedcf1c79"/>
          <w:sz w:val="24"/>
          <w:szCs w:val="24"/>
        </w:rPr>
        <w:t xml:space="preserve">observations </w:t>
      </w:r>
      <w:r w:rsidRPr="008C1EEA">
        <w:rPr>
          <w:rFonts w:cs="AdvTTedcf1c79"/>
          <w:sz w:val="24"/>
          <w:szCs w:val="24"/>
        </w:rPr>
        <w:t>(</w:t>
      </w:r>
      <w:r w:rsidR="006C0B26">
        <w:rPr>
          <w:rFonts w:cs="AdvTTedcf1c79"/>
          <w:sz w:val="24"/>
          <w:szCs w:val="24"/>
        </w:rPr>
        <w:t>F</w:t>
      </w:r>
      <w:r>
        <w:rPr>
          <w:rFonts w:cs="AdvTTedcf1c79"/>
          <w:sz w:val="24"/>
          <w:szCs w:val="24"/>
        </w:rPr>
        <w:t xml:space="preserve">igure </w:t>
      </w:r>
      <w:r w:rsidR="008036F8">
        <w:rPr>
          <w:rFonts w:cs="AdvTTedcf1c79"/>
          <w:sz w:val="24"/>
          <w:szCs w:val="24"/>
        </w:rPr>
        <w:t>E</w:t>
      </w:r>
      <w:r w:rsidR="00F82AB9">
        <w:rPr>
          <w:rFonts w:cs="AdvTTedcf1c79"/>
          <w:sz w:val="24"/>
          <w:szCs w:val="24"/>
        </w:rPr>
        <w:t>.1</w:t>
      </w:r>
      <w:r>
        <w:rPr>
          <w:rFonts w:cs="AdvTTedcf1c79"/>
          <w:sz w:val="24"/>
          <w:szCs w:val="24"/>
        </w:rPr>
        <w:t>)</w:t>
      </w:r>
      <w:r w:rsidRPr="008C1EEA">
        <w:rPr>
          <w:rFonts w:cs="AdvTTedcf1c79"/>
          <w:sz w:val="24"/>
          <w:szCs w:val="24"/>
        </w:rPr>
        <w:t xml:space="preserve">. </w:t>
      </w:r>
      <w:r w:rsidR="00761751">
        <w:rPr>
          <w:rFonts w:cs="AdvTTedcf1c79"/>
          <w:sz w:val="24"/>
          <w:szCs w:val="24"/>
        </w:rPr>
        <w:t>I</w:t>
      </w:r>
      <w:r>
        <w:rPr>
          <w:rFonts w:cs="AdvTTedcf1c79"/>
          <w:sz w:val="24"/>
          <w:szCs w:val="24"/>
        </w:rPr>
        <w:t xml:space="preserve">t </w:t>
      </w:r>
      <w:r w:rsidR="00761751">
        <w:rPr>
          <w:rFonts w:cs="AdvTTedcf1c79"/>
          <w:sz w:val="24"/>
          <w:szCs w:val="24"/>
        </w:rPr>
        <w:t xml:space="preserve">also </w:t>
      </w:r>
      <w:r>
        <w:rPr>
          <w:rFonts w:cs="AdvTTedcf1c79"/>
          <w:sz w:val="24"/>
          <w:szCs w:val="24"/>
        </w:rPr>
        <w:t>exhibits over-dispersion, with its variance more tha</w:t>
      </w:r>
      <w:r w:rsidR="00F82AB9">
        <w:rPr>
          <w:rFonts w:cs="AdvTTedcf1c79"/>
          <w:sz w:val="24"/>
          <w:szCs w:val="24"/>
        </w:rPr>
        <w:t>n 3 times the mean</w:t>
      </w:r>
      <w:r>
        <w:rPr>
          <w:rFonts w:cs="AdvTTedcf1c79"/>
          <w:sz w:val="24"/>
          <w:szCs w:val="24"/>
        </w:rPr>
        <w:t xml:space="preserve">. These patterns suggest that excess zeros have a separate generation process that could be modeled by </w:t>
      </w:r>
      <w:r w:rsidRPr="008C1EEA">
        <w:rPr>
          <w:rFonts w:cs="AdvTTedcf1c79"/>
          <w:sz w:val="24"/>
          <w:szCs w:val="24"/>
        </w:rPr>
        <w:t>a zero-in</w:t>
      </w:r>
      <w:r w:rsidRPr="008C1EEA">
        <w:rPr>
          <w:rFonts w:cs="AdvTTedcf1c79+fb"/>
          <w:sz w:val="24"/>
          <w:szCs w:val="24"/>
        </w:rPr>
        <w:t>fl</w:t>
      </w:r>
      <w:r w:rsidRPr="008C1EEA">
        <w:rPr>
          <w:rFonts w:cs="AdvTTedcf1c79"/>
          <w:sz w:val="24"/>
          <w:szCs w:val="24"/>
        </w:rPr>
        <w:t xml:space="preserve">ated negative binomial (ZINB) </w:t>
      </w:r>
      <w:r>
        <w:rPr>
          <w:rFonts w:cs="AdvTTedcf1c79"/>
          <w:sz w:val="24"/>
          <w:szCs w:val="24"/>
        </w:rPr>
        <w:t>regression.</w:t>
      </w:r>
      <w:r>
        <w:rPr>
          <w:rStyle w:val="FootnoteReference"/>
          <w:rFonts w:cs="AdvTTedcf1c79"/>
          <w:sz w:val="24"/>
          <w:szCs w:val="24"/>
        </w:rPr>
        <w:footnoteReference w:id="9"/>
      </w:r>
      <w:r>
        <w:rPr>
          <w:rFonts w:cs="AdvTTedcf1c79"/>
          <w:sz w:val="24"/>
          <w:szCs w:val="24"/>
        </w:rPr>
        <w:t xml:space="preserve"> There are two types of units of analyses (district-time) with zero observations. Some of these units are likely to have no female recruits at all (structural zeros), while others have zero observations due to sampling issues. It can be plausibly argued that the former units would be the ones that are outside the conflict zone, have no history of militant recruitment, and lack significant levels of Kurdish electoral mobilization. Accordingly, these are the independent variables included in the logit equation (inflate) of a ZINB model. </w:t>
      </w:r>
    </w:p>
    <w:p w:rsidR="000A1F76" w:rsidRDefault="000A1F76" w:rsidP="000A1F76">
      <w:pPr>
        <w:autoSpaceDE w:val="0"/>
        <w:autoSpaceDN w:val="0"/>
        <w:adjustRightInd w:val="0"/>
        <w:spacing w:after="0" w:line="240" w:lineRule="auto"/>
        <w:ind w:firstLine="720"/>
        <w:rPr>
          <w:rFonts w:cs="AdvTTedcf1c79"/>
          <w:sz w:val="24"/>
          <w:szCs w:val="24"/>
        </w:rPr>
      </w:pPr>
    </w:p>
    <w:p w:rsidR="0021369F" w:rsidRDefault="0021369F" w:rsidP="008036F8">
      <w:pPr>
        <w:autoSpaceDE w:val="0"/>
        <w:autoSpaceDN w:val="0"/>
        <w:adjustRightInd w:val="0"/>
        <w:spacing w:after="0" w:line="240" w:lineRule="auto"/>
        <w:jc w:val="center"/>
        <w:rPr>
          <w:rFonts w:cs="AdvTTedcf1c79"/>
          <w:sz w:val="24"/>
          <w:szCs w:val="24"/>
        </w:rPr>
      </w:pPr>
      <w:r>
        <w:rPr>
          <w:rFonts w:cs="AdvTTedcf1c79"/>
          <w:sz w:val="24"/>
          <w:szCs w:val="24"/>
        </w:rPr>
        <w:t xml:space="preserve">[Table </w:t>
      </w:r>
      <w:r w:rsidR="008036F8">
        <w:rPr>
          <w:rFonts w:cs="AdvTTedcf1c79"/>
          <w:sz w:val="24"/>
          <w:szCs w:val="24"/>
        </w:rPr>
        <w:t>E</w:t>
      </w:r>
      <w:r w:rsidR="00464A88">
        <w:rPr>
          <w:rFonts w:cs="AdvTTedcf1c79"/>
          <w:sz w:val="24"/>
          <w:szCs w:val="24"/>
        </w:rPr>
        <w:t>.</w:t>
      </w:r>
      <w:r>
        <w:rPr>
          <w:rFonts w:cs="AdvTTedcf1c79"/>
          <w:sz w:val="24"/>
          <w:szCs w:val="24"/>
        </w:rPr>
        <w:t>2 about here]</w:t>
      </w:r>
    </w:p>
    <w:p w:rsidR="000A1F76" w:rsidRDefault="000A1F76" w:rsidP="000A1F76">
      <w:pPr>
        <w:autoSpaceDE w:val="0"/>
        <w:autoSpaceDN w:val="0"/>
        <w:adjustRightInd w:val="0"/>
        <w:spacing w:after="0" w:line="240" w:lineRule="auto"/>
        <w:jc w:val="center"/>
        <w:rPr>
          <w:rFonts w:cs="AdvTTedcf1c79"/>
          <w:sz w:val="24"/>
          <w:szCs w:val="24"/>
        </w:rPr>
      </w:pPr>
    </w:p>
    <w:p w:rsidR="000A1F76" w:rsidRDefault="0021369F" w:rsidP="008036F8">
      <w:pPr>
        <w:autoSpaceDE w:val="0"/>
        <w:autoSpaceDN w:val="0"/>
        <w:adjustRightInd w:val="0"/>
        <w:spacing w:after="0" w:line="240" w:lineRule="auto"/>
        <w:ind w:firstLine="720"/>
        <w:rPr>
          <w:bCs/>
          <w:sz w:val="24"/>
          <w:szCs w:val="24"/>
        </w:rPr>
      </w:pPr>
      <w:r>
        <w:rPr>
          <w:rFonts w:cs="AdvTTedcf1c79"/>
          <w:sz w:val="24"/>
          <w:szCs w:val="24"/>
        </w:rPr>
        <w:t xml:space="preserve">Table </w:t>
      </w:r>
      <w:r w:rsidR="008036F8">
        <w:rPr>
          <w:rFonts w:cs="AdvTTedcf1c79"/>
          <w:sz w:val="24"/>
          <w:szCs w:val="24"/>
        </w:rPr>
        <w:t>E</w:t>
      </w:r>
      <w:r w:rsidR="00B172DB">
        <w:rPr>
          <w:rFonts w:cs="AdvTTedcf1c79"/>
          <w:sz w:val="24"/>
          <w:szCs w:val="24"/>
        </w:rPr>
        <w:t>.</w:t>
      </w:r>
      <w:r>
        <w:rPr>
          <w:rFonts w:cs="AdvTTedcf1c79"/>
          <w:sz w:val="24"/>
          <w:szCs w:val="24"/>
        </w:rPr>
        <w:t>2 presents</w:t>
      </w:r>
      <w:r w:rsidRPr="008C1EEA">
        <w:rPr>
          <w:rFonts w:cs="AdvTTedcf1c79"/>
          <w:sz w:val="24"/>
          <w:szCs w:val="24"/>
        </w:rPr>
        <w:t xml:space="preserve"> results from both ZINB</w:t>
      </w:r>
      <w:r>
        <w:rPr>
          <w:rFonts w:cs="AdvTTedcf1c79"/>
          <w:sz w:val="24"/>
          <w:szCs w:val="24"/>
        </w:rPr>
        <w:t xml:space="preserve"> r</w:t>
      </w:r>
      <w:r w:rsidRPr="003544DD">
        <w:rPr>
          <w:rFonts w:cs="AdvTTedcf1c79"/>
          <w:sz w:val="24"/>
          <w:szCs w:val="24"/>
        </w:rPr>
        <w:t xml:space="preserve">egression (models </w:t>
      </w:r>
      <w:proofErr w:type="gramStart"/>
      <w:r w:rsidRPr="003544DD">
        <w:rPr>
          <w:rFonts w:cs="AdvTTedcf1c79"/>
          <w:sz w:val="24"/>
          <w:szCs w:val="24"/>
        </w:rPr>
        <w:t>I and II</w:t>
      </w:r>
      <w:proofErr w:type="gramEnd"/>
      <w:r w:rsidRPr="003544DD">
        <w:rPr>
          <w:rFonts w:cs="AdvTTedcf1c79"/>
          <w:sz w:val="24"/>
          <w:szCs w:val="24"/>
        </w:rPr>
        <w:t>) and negative binomial regression (model III) for robustness purposes.</w:t>
      </w:r>
      <w:r>
        <w:rPr>
          <w:bCs/>
          <w:sz w:val="24"/>
          <w:szCs w:val="24"/>
        </w:rPr>
        <w:t xml:space="preserve"> Model I </w:t>
      </w:r>
      <w:r w:rsidRPr="003544DD">
        <w:rPr>
          <w:bCs/>
          <w:sz w:val="24"/>
          <w:szCs w:val="24"/>
        </w:rPr>
        <w:t>shows that increases in Female Literacy Rat</w:t>
      </w:r>
      <w:r>
        <w:rPr>
          <w:bCs/>
          <w:sz w:val="24"/>
          <w:szCs w:val="24"/>
        </w:rPr>
        <w:t>io lead</w:t>
      </w:r>
      <w:r w:rsidRPr="003544DD">
        <w:rPr>
          <w:bCs/>
          <w:sz w:val="24"/>
          <w:szCs w:val="24"/>
        </w:rPr>
        <w:t xml:space="preserve"> to </w:t>
      </w:r>
      <w:r>
        <w:rPr>
          <w:bCs/>
          <w:sz w:val="24"/>
          <w:szCs w:val="24"/>
        </w:rPr>
        <w:t xml:space="preserve">a </w:t>
      </w:r>
      <w:r w:rsidRPr="003544DD">
        <w:rPr>
          <w:bCs/>
          <w:sz w:val="24"/>
          <w:szCs w:val="24"/>
        </w:rPr>
        <w:t>lower number</w:t>
      </w:r>
      <w:r>
        <w:rPr>
          <w:bCs/>
          <w:sz w:val="24"/>
          <w:szCs w:val="24"/>
        </w:rPr>
        <w:t xml:space="preserve"> of</w:t>
      </w:r>
      <w:r w:rsidRPr="003544DD">
        <w:rPr>
          <w:bCs/>
          <w:sz w:val="24"/>
          <w:szCs w:val="24"/>
        </w:rPr>
        <w:t xml:space="preserve"> Female Recruits. </w:t>
      </w:r>
      <w:r>
        <w:rPr>
          <w:bCs/>
          <w:sz w:val="24"/>
          <w:szCs w:val="24"/>
        </w:rPr>
        <w:t>W</w:t>
      </w:r>
      <w:r w:rsidRPr="003544DD">
        <w:rPr>
          <w:bCs/>
          <w:sz w:val="24"/>
          <w:szCs w:val="24"/>
        </w:rPr>
        <w:t>hen women gain greater educational opportunities, they become less likely to join the insurgenc</w:t>
      </w:r>
      <w:r w:rsidRPr="00E02DF8">
        <w:rPr>
          <w:bCs/>
          <w:sz w:val="24"/>
          <w:szCs w:val="24"/>
        </w:rPr>
        <w:t>y. At</w:t>
      </w:r>
      <w:r w:rsidRPr="006B258E">
        <w:rPr>
          <w:bCs/>
          <w:sz w:val="24"/>
          <w:szCs w:val="24"/>
        </w:rPr>
        <w:t xml:space="preserve"> the same time, the coefficient of Fertility remains insignificant.</w:t>
      </w:r>
      <w:r w:rsidRPr="005C1616">
        <w:rPr>
          <w:sz w:val="24"/>
          <w:szCs w:val="24"/>
        </w:rPr>
        <w:t xml:space="preserve"> </w:t>
      </w:r>
      <w:r w:rsidR="00E42DF0" w:rsidRPr="00F33EA8">
        <w:rPr>
          <w:bCs/>
          <w:sz w:val="24"/>
          <w:szCs w:val="24"/>
        </w:rPr>
        <w:t>Model II extends the ZINB</w:t>
      </w:r>
      <w:r w:rsidR="00E42DF0">
        <w:rPr>
          <w:bCs/>
          <w:sz w:val="24"/>
          <w:szCs w:val="24"/>
        </w:rPr>
        <w:t xml:space="preserve"> regression to all six periods.</w:t>
      </w:r>
      <w:r w:rsidR="00E42DF0" w:rsidRPr="00F33EA8">
        <w:rPr>
          <w:bCs/>
          <w:sz w:val="24"/>
          <w:szCs w:val="24"/>
        </w:rPr>
        <w:t xml:space="preserve"> Fertility and Rural Change are </w:t>
      </w:r>
      <w:r w:rsidR="00E42DF0">
        <w:rPr>
          <w:bCs/>
          <w:sz w:val="24"/>
          <w:szCs w:val="24"/>
        </w:rPr>
        <w:t>omitted since they lack observations</w:t>
      </w:r>
      <w:r w:rsidR="00E42DF0" w:rsidRPr="00F33EA8">
        <w:rPr>
          <w:bCs/>
          <w:sz w:val="24"/>
          <w:szCs w:val="24"/>
        </w:rPr>
        <w:t xml:space="preserve"> in period </w:t>
      </w:r>
      <w:proofErr w:type="gramStart"/>
      <w:r w:rsidR="00E42DF0" w:rsidRPr="00F33EA8">
        <w:rPr>
          <w:bCs/>
          <w:sz w:val="24"/>
          <w:szCs w:val="24"/>
        </w:rPr>
        <w:t>6</w:t>
      </w:r>
      <w:proofErr w:type="gramEnd"/>
      <w:r w:rsidR="00E42DF0" w:rsidRPr="00F33EA8">
        <w:rPr>
          <w:bCs/>
          <w:sz w:val="24"/>
          <w:szCs w:val="24"/>
        </w:rPr>
        <w:t xml:space="preserve"> (2013-6).</w:t>
      </w:r>
      <w:r w:rsidR="00E42DF0">
        <w:rPr>
          <w:bCs/>
          <w:sz w:val="24"/>
          <w:szCs w:val="24"/>
        </w:rPr>
        <w:t xml:space="preserve"> </w:t>
      </w:r>
      <w:r w:rsidR="00E42DF0" w:rsidRPr="00F33EA8">
        <w:rPr>
          <w:bCs/>
          <w:sz w:val="24"/>
          <w:szCs w:val="24"/>
        </w:rPr>
        <w:t>Results of Model II are very similar to Model III. The main variable</w:t>
      </w:r>
      <w:r w:rsidR="00E42DF0">
        <w:rPr>
          <w:bCs/>
          <w:sz w:val="24"/>
          <w:szCs w:val="24"/>
        </w:rPr>
        <w:t xml:space="preserve"> measuring gender inequality</w:t>
      </w:r>
      <w:r w:rsidR="00E42DF0" w:rsidRPr="00F33EA8">
        <w:rPr>
          <w:bCs/>
          <w:sz w:val="24"/>
          <w:szCs w:val="24"/>
        </w:rPr>
        <w:t>, Female Lite</w:t>
      </w:r>
      <w:r w:rsidR="00E42DF0" w:rsidRPr="00F12009">
        <w:rPr>
          <w:bCs/>
          <w:sz w:val="24"/>
          <w:szCs w:val="24"/>
        </w:rPr>
        <w:t>racy Ratio</w:t>
      </w:r>
      <w:r w:rsidR="00E42DF0">
        <w:rPr>
          <w:bCs/>
          <w:sz w:val="24"/>
          <w:szCs w:val="24"/>
        </w:rPr>
        <w:t>,</w:t>
      </w:r>
      <w:r w:rsidR="00E42DF0" w:rsidRPr="00F12009">
        <w:rPr>
          <w:bCs/>
          <w:sz w:val="24"/>
          <w:szCs w:val="24"/>
        </w:rPr>
        <w:t xml:space="preserve"> is significant and negative. </w:t>
      </w:r>
    </w:p>
    <w:p w:rsidR="0021369F" w:rsidRDefault="00E42DF0" w:rsidP="000A1F76">
      <w:pPr>
        <w:autoSpaceDE w:val="0"/>
        <w:autoSpaceDN w:val="0"/>
        <w:adjustRightInd w:val="0"/>
        <w:spacing w:after="0" w:line="240" w:lineRule="auto"/>
        <w:ind w:firstLine="720"/>
        <w:rPr>
          <w:sz w:val="24"/>
          <w:szCs w:val="24"/>
        </w:rPr>
      </w:pPr>
      <w:r w:rsidRPr="00F12009">
        <w:rPr>
          <w:bCs/>
          <w:sz w:val="24"/>
          <w:szCs w:val="24"/>
        </w:rPr>
        <w:t xml:space="preserve"> </w:t>
      </w:r>
    </w:p>
    <w:p w:rsidR="00C36C0E" w:rsidRDefault="00F173E4" w:rsidP="008036F8">
      <w:pPr>
        <w:autoSpaceDE w:val="0"/>
        <w:autoSpaceDN w:val="0"/>
        <w:adjustRightInd w:val="0"/>
        <w:spacing w:after="0" w:line="240" w:lineRule="auto"/>
        <w:ind w:firstLine="720"/>
        <w:jc w:val="center"/>
        <w:rPr>
          <w:bCs/>
          <w:sz w:val="24"/>
          <w:szCs w:val="24"/>
        </w:rPr>
      </w:pPr>
      <w:r>
        <w:rPr>
          <w:bCs/>
          <w:sz w:val="24"/>
          <w:szCs w:val="24"/>
        </w:rPr>
        <w:t xml:space="preserve">[Figure </w:t>
      </w:r>
      <w:r w:rsidR="008036F8">
        <w:rPr>
          <w:bCs/>
          <w:sz w:val="24"/>
          <w:szCs w:val="24"/>
        </w:rPr>
        <w:t>E</w:t>
      </w:r>
      <w:r>
        <w:rPr>
          <w:bCs/>
          <w:sz w:val="24"/>
          <w:szCs w:val="24"/>
        </w:rPr>
        <w:t>.2</w:t>
      </w:r>
      <w:r w:rsidR="00C36C0E">
        <w:rPr>
          <w:bCs/>
          <w:sz w:val="24"/>
          <w:szCs w:val="24"/>
        </w:rPr>
        <w:t xml:space="preserve"> about here]</w:t>
      </w:r>
    </w:p>
    <w:p w:rsidR="000A1F76" w:rsidRDefault="000A1F76" w:rsidP="000A1F76">
      <w:pPr>
        <w:autoSpaceDE w:val="0"/>
        <w:autoSpaceDN w:val="0"/>
        <w:adjustRightInd w:val="0"/>
        <w:spacing w:after="0" w:line="240" w:lineRule="auto"/>
        <w:ind w:firstLine="720"/>
        <w:jc w:val="center"/>
        <w:rPr>
          <w:sz w:val="24"/>
          <w:szCs w:val="24"/>
        </w:rPr>
      </w:pPr>
    </w:p>
    <w:p w:rsidR="00381F98" w:rsidRPr="000A1F76" w:rsidRDefault="005939E2" w:rsidP="008036F8">
      <w:pPr>
        <w:autoSpaceDE w:val="0"/>
        <w:autoSpaceDN w:val="0"/>
        <w:adjustRightInd w:val="0"/>
        <w:spacing w:after="0" w:line="240" w:lineRule="auto"/>
        <w:ind w:firstLine="720"/>
        <w:rPr>
          <w:sz w:val="24"/>
          <w:szCs w:val="24"/>
        </w:rPr>
      </w:pPr>
      <w:r w:rsidRPr="00F12009">
        <w:rPr>
          <w:bCs/>
          <w:sz w:val="24"/>
          <w:szCs w:val="24"/>
        </w:rPr>
        <w:t>A similar result emerges from NB regression (Model III).</w:t>
      </w:r>
      <w:r>
        <w:rPr>
          <w:sz w:val="24"/>
          <w:szCs w:val="24"/>
        </w:rPr>
        <w:t xml:space="preserve"> </w:t>
      </w:r>
      <w:r w:rsidR="0021369F" w:rsidRPr="00F12009">
        <w:rPr>
          <w:bCs/>
          <w:sz w:val="24"/>
          <w:szCs w:val="24"/>
        </w:rPr>
        <w:t xml:space="preserve">As visualized in Figure </w:t>
      </w:r>
      <w:r w:rsidR="008036F8">
        <w:rPr>
          <w:bCs/>
          <w:sz w:val="24"/>
          <w:szCs w:val="24"/>
        </w:rPr>
        <w:t>E</w:t>
      </w:r>
      <w:r w:rsidR="00134442">
        <w:rPr>
          <w:bCs/>
          <w:sz w:val="24"/>
          <w:szCs w:val="24"/>
        </w:rPr>
        <w:t>.2 based on this model (for a figure based on Model I</w:t>
      </w:r>
      <w:r w:rsidR="00F173E4">
        <w:rPr>
          <w:bCs/>
          <w:sz w:val="24"/>
          <w:szCs w:val="24"/>
        </w:rPr>
        <w:t xml:space="preserve">, see Figure </w:t>
      </w:r>
      <w:r w:rsidR="008036F8">
        <w:rPr>
          <w:bCs/>
          <w:sz w:val="24"/>
          <w:szCs w:val="24"/>
        </w:rPr>
        <w:t>E</w:t>
      </w:r>
      <w:r w:rsidR="00F173E4">
        <w:rPr>
          <w:bCs/>
          <w:sz w:val="24"/>
          <w:szCs w:val="24"/>
        </w:rPr>
        <w:t>.3</w:t>
      </w:r>
      <w:r w:rsidR="00134442">
        <w:rPr>
          <w:bCs/>
          <w:sz w:val="24"/>
          <w:szCs w:val="24"/>
        </w:rPr>
        <w:t>)</w:t>
      </w:r>
      <w:r w:rsidR="0021369F" w:rsidRPr="00F12009">
        <w:rPr>
          <w:bCs/>
          <w:sz w:val="24"/>
          <w:szCs w:val="24"/>
        </w:rPr>
        <w:t xml:space="preserve">, a unit of analysis (district-period) </w:t>
      </w:r>
      <w:r w:rsidR="0021369F">
        <w:rPr>
          <w:bCs/>
          <w:sz w:val="24"/>
          <w:szCs w:val="24"/>
        </w:rPr>
        <w:t xml:space="preserve">with </w:t>
      </w:r>
      <w:r w:rsidR="0021369F" w:rsidRPr="00F12009">
        <w:rPr>
          <w:bCs/>
          <w:sz w:val="24"/>
          <w:szCs w:val="24"/>
        </w:rPr>
        <w:t>a Female Literacy Ratio in the 10</w:t>
      </w:r>
      <w:r w:rsidR="0021369F" w:rsidRPr="00F12009">
        <w:rPr>
          <w:bCs/>
          <w:sz w:val="24"/>
          <w:szCs w:val="24"/>
          <w:vertAlign w:val="superscript"/>
        </w:rPr>
        <w:t>th</w:t>
      </w:r>
      <w:r w:rsidR="0021369F" w:rsidRPr="00F12009">
        <w:rPr>
          <w:bCs/>
          <w:sz w:val="24"/>
          <w:szCs w:val="24"/>
        </w:rPr>
        <w:t xml:space="preserve"> percentile (62 percent)</w:t>
      </w:r>
      <w:r w:rsidR="0021369F">
        <w:rPr>
          <w:bCs/>
          <w:sz w:val="24"/>
          <w:szCs w:val="24"/>
        </w:rPr>
        <w:t xml:space="preserve"> has a </w:t>
      </w:r>
      <w:r w:rsidR="0021369F" w:rsidRPr="00F12009">
        <w:rPr>
          <w:bCs/>
          <w:sz w:val="24"/>
          <w:szCs w:val="24"/>
        </w:rPr>
        <w:t>predicted Female Recruits</w:t>
      </w:r>
      <w:r w:rsidR="0021369F">
        <w:rPr>
          <w:bCs/>
          <w:sz w:val="24"/>
          <w:szCs w:val="24"/>
        </w:rPr>
        <w:t xml:space="preserve"> of 0.85. In contrast,</w:t>
      </w:r>
      <w:r w:rsidR="0021369F" w:rsidRPr="00F12009">
        <w:rPr>
          <w:bCs/>
          <w:sz w:val="24"/>
          <w:szCs w:val="24"/>
        </w:rPr>
        <w:t xml:space="preserve"> a unit with a very high Female Literacy Ratio (93.5 percent) has predicted Female Recruits</w:t>
      </w:r>
      <w:r w:rsidR="0021369F">
        <w:rPr>
          <w:bCs/>
          <w:sz w:val="24"/>
          <w:szCs w:val="24"/>
        </w:rPr>
        <w:t xml:space="preserve"> of only 0.31</w:t>
      </w:r>
      <w:r w:rsidR="0021369F" w:rsidRPr="00F12009">
        <w:rPr>
          <w:bCs/>
          <w:sz w:val="24"/>
          <w:szCs w:val="24"/>
        </w:rPr>
        <w:t>, a difference of 2.7 times.</w:t>
      </w:r>
      <w:r w:rsidR="00A2536D">
        <w:rPr>
          <w:bCs/>
          <w:sz w:val="24"/>
          <w:szCs w:val="24"/>
        </w:rPr>
        <w:t xml:space="preserve"> These</w:t>
      </w:r>
      <w:r w:rsidR="0021369F" w:rsidRPr="006B258E">
        <w:rPr>
          <w:bCs/>
          <w:sz w:val="24"/>
          <w:szCs w:val="24"/>
        </w:rPr>
        <w:t xml:space="preserve"> result</w:t>
      </w:r>
      <w:r w:rsidR="00A2536D">
        <w:rPr>
          <w:bCs/>
          <w:sz w:val="24"/>
          <w:szCs w:val="24"/>
        </w:rPr>
        <w:t xml:space="preserve">s suggest that female fighter recruitment is shaped by the dynamics of gender inequality also at the aggregate level. </w:t>
      </w:r>
      <w:r w:rsidR="00381F98">
        <w:rPr>
          <w:bCs/>
          <w:sz w:val="24"/>
          <w:szCs w:val="24"/>
        </w:rPr>
        <w:br w:type="page"/>
      </w:r>
    </w:p>
    <w:p w:rsidR="0021369F" w:rsidRPr="00902D61" w:rsidRDefault="0021369F" w:rsidP="008036F8">
      <w:pPr>
        <w:spacing w:after="0" w:line="240" w:lineRule="auto"/>
        <w:rPr>
          <w:sz w:val="24"/>
          <w:szCs w:val="24"/>
        </w:rPr>
      </w:pPr>
      <w:r w:rsidRPr="00902D61">
        <w:rPr>
          <w:sz w:val="24"/>
          <w:szCs w:val="24"/>
        </w:rPr>
        <w:lastRenderedPageBreak/>
        <w:t xml:space="preserve">Table </w:t>
      </w:r>
      <w:r w:rsidR="008036F8">
        <w:rPr>
          <w:sz w:val="24"/>
          <w:szCs w:val="24"/>
        </w:rPr>
        <w:t>E</w:t>
      </w:r>
      <w:r w:rsidR="00464A88">
        <w:rPr>
          <w:sz w:val="24"/>
          <w:szCs w:val="24"/>
        </w:rPr>
        <w:t xml:space="preserve">. </w:t>
      </w:r>
      <w:r>
        <w:rPr>
          <w:sz w:val="24"/>
          <w:szCs w:val="24"/>
        </w:rPr>
        <w:t>1</w:t>
      </w:r>
      <w:r w:rsidRPr="00902D61">
        <w:rPr>
          <w:sz w:val="24"/>
          <w:szCs w:val="24"/>
        </w:rPr>
        <w:t xml:space="preserve">. Summary Statistics </w:t>
      </w:r>
      <w:r>
        <w:rPr>
          <w:sz w:val="24"/>
          <w:szCs w:val="24"/>
        </w:rPr>
        <w:t xml:space="preserve">of Variables </w:t>
      </w:r>
    </w:p>
    <w:p w:rsidR="0021369F" w:rsidRDefault="0021369F" w:rsidP="0021369F">
      <w:pPr>
        <w:spacing w:after="0" w:line="240" w:lineRule="auto"/>
        <w:rPr>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268"/>
        <w:gridCol w:w="810"/>
        <w:gridCol w:w="810"/>
        <w:gridCol w:w="720"/>
        <w:gridCol w:w="810"/>
        <w:gridCol w:w="810"/>
        <w:gridCol w:w="1512"/>
      </w:tblGrid>
      <w:tr w:rsidR="0021369F" w:rsidRPr="008F185F" w:rsidTr="0053590D">
        <w:tc>
          <w:tcPr>
            <w:tcW w:w="1890" w:type="dxa"/>
            <w:tcBorders>
              <w:top w:val="single" w:sz="12" w:space="0" w:color="auto"/>
              <w:bottom w:val="single" w:sz="12" w:space="0" w:color="auto"/>
            </w:tcBorders>
          </w:tcPr>
          <w:p w:rsidR="0021369F" w:rsidRPr="008F185F" w:rsidRDefault="0021369F" w:rsidP="0053590D">
            <w:pPr>
              <w:rPr>
                <w:sz w:val="24"/>
                <w:szCs w:val="24"/>
              </w:rPr>
            </w:pPr>
            <w:r w:rsidRPr="008F185F">
              <w:rPr>
                <w:sz w:val="24"/>
                <w:szCs w:val="24"/>
              </w:rPr>
              <w:t>Variable</w:t>
            </w:r>
          </w:p>
        </w:tc>
        <w:tc>
          <w:tcPr>
            <w:tcW w:w="2268" w:type="dxa"/>
            <w:tcBorders>
              <w:top w:val="single" w:sz="12" w:space="0" w:color="auto"/>
              <w:bottom w:val="single" w:sz="12" w:space="0" w:color="auto"/>
            </w:tcBorders>
          </w:tcPr>
          <w:p w:rsidR="0021369F" w:rsidRPr="008F185F" w:rsidRDefault="0021369F" w:rsidP="0053590D">
            <w:pPr>
              <w:jc w:val="center"/>
              <w:rPr>
                <w:sz w:val="24"/>
                <w:szCs w:val="24"/>
              </w:rPr>
            </w:pPr>
            <w:r w:rsidRPr="008F185F">
              <w:rPr>
                <w:sz w:val="24"/>
                <w:szCs w:val="24"/>
              </w:rPr>
              <w:t>Description</w:t>
            </w:r>
          </w:p>
        </w:tc>
        <w:tc>
          <w:tcPr>
            <w:tcW w:w="810" w:type="dxa"/>
            <w:tcBorders>
              <w:top w:val="single" w:sz="12" w:space="0" w:color="auto"/>
              <w:bottom w:val="single" w:sz="12" w:space="0" w:color="auto"/>
            </w:tcBorders>
          </w:tcPr>
          <w:p w:rsidR="0021369F" w:rsidRPr="008F185F" w:rsidRDefault="0021369F" w:rsidP="0053590D">
            <w:pPr>
              <w:jc w:val="center"/>
              <w:rPr>
                <w:sz w:val="24"/>
                <w:szCs w:val="24"/>
              </w:rPr>
            </w:pPr>
            <w:r>
              <w:rPr>
                <w:sz w:val="24"/>
                <w:szCs w:val="24"/>
              </w:rPr>
              <w:t>N</w:t>
            </w:r>
          </w:p>
        </w:tc>
        <w:tc>
          <w:tcPr>
            <w:tcW w:w="810" w:type="dxa"/>
            <w:tcBorders>
              <w:top w:val="single" w:sz="12" w:space="0" w:color="auto"/>
              <w:bottom w:val="single" w:sz="12" w:space="0" w:color="auto"/>
            </w:tcBorders>
          </w:tcPr>
          <w:p w:rsidR="0021369F" w:rsidRPr="008F185F" w:rsidRDefault="0021369F" w:rsidP="0053590D">
            <w:pPr>
              <w:rPr>
                <w:sz w:val="24"/>
                <w:szCs w:val="24"/>
              </w:rPr>
            </w:pPr>
            <w:r w:rsidRPr="008F185F">
              <w:rPr>
                <w:sz w:val="24"/>
                <w:szCs w:val="24"/>
              </w:rPr>
              <w:t>Mean</w:t>
            </w:r>
          </w:p>
        </w:tc>
        <w:tc>
          <w:tcPr>
            <w:tcW w:w="720" w:type="dxa"/>
            <w:tcBorders>
              <w:top w:val="single" w:sz="12" w:space="0" w:color="auto"/>
              <w:bottom w:val="single" w:sz="12" w:space="0" w:color="auto"/>
            </w:tcBorders>
          </w:tcPr>
          <w:p w:rsidR="0021369F" w:rsidRPr="008F185F" w:rsidRDefault="0021369F" w:rsidP="0053590D">
            <w:pPr>
              <w:jc w:val="center"/>
              <w:rPr>
                <w:sz w:val="24"/>
                <w:szCs w:val="24"/>
              </w:rPr>
            </w:pPr>
            <w:r w:rsidRPr="008F185F">
              <w:rPr>
                <w:sz w:val="24"/>
                <w:szCs w:val="24"/>
              </w:rPr>
              <w:t>SD</w:t>
            </w:r>
          </w:p>
        </w:tc>
        <w:tc>
          <w:tcPr>
            <w:tcW w:w="810" w:type="dxa"/>
            <w:tcBorders>
              <w:top w:val="single" w:sz="12" w:space="0" w:color="auto"/>
              <w:bottom w:val="single" w:sz="12" w:space="0" w:color="auto"/>
            </w:tcBorders>
          </w:tcPr>
          <w:p w:rsidR="0021369F" w:rsidRPr="008F185F" w:rsidRDefault="0021369F" w:rsidP="0053590D">
            <w:pPr>
              <w:jc w:val="center"/>
              <w:rPr>
                <w:sz w:val="24"/>
                <w:szCs w:val="24"/>
              </w:rPr>
            </w:pPr>
            <w:r w:rsidRPr="008F185F">
              <w:rPr>
                <w:sz w:val="24"/>
                <w:szCs w:val="24"/>
              </w:rPr>
              <w:t>Min</w:t>
            </w:r>
          </w:p>
        </w:tc>
        <w:tc>
          <w:tcPr>
            <w:tcW w:w="810" w:type="dxa"/>
            <w:tcBorders>
              <w:top w:val="single" w:sz="12" w:space="0" w:color="auto"/>
              <w:bottom w:val="single" w:sz="12" w:space="0" w:color="auto"/>
            </w:tcBorders>
          </w:tcPr>
          <w:p w:rsidR="0021369F" w:rsidRPr="008F185F" w:rsidRDefault="0021369F" w:rsidP="0053590D">
            <w:pPr>
              <w:jc w:val="center"/>
              <w:rPr>
                <w:sz w:val="24"/>
                <w:szCs w:val="24"/>
              </w:rPr>
            </w:pPr>
            <w:r w:rsidRPr="008F185F">
              <w:rPr>
                <w:sz w:val="24"/>
                <w:szCs w:val="24"/>
              </w:rPr>
              <w:t>Max</w:t>
            </w:r>
          </w:p>
        </w:tc>
        <w:tc>
          <w:tcPr>
            <w:tcW w:w="1512" w:type="dxa"/>
            <w:tcBorders>
              <w:top w:val="single" w:sz="12" w:space="0" w:color="auto"/>
              <w:bottom w:val="single" w:sz="12" w:space="0" w:color="auto"/>
            </w:tcBorders>
          </w:tcPr>
          <w:p w:rsidR="0021369F" w:rsidRPr="008F185F" w:rsidRDefault="0021369F" w:rsidP="0053590D">
            <w:pPr>
              <w:rPr>
                <w:sz w:val="24"/>
                <w:szCs w:val="24"/>
              </w:rPr>
            </w:pPr>
            <w:r w:rsidRPr="008F185F">
              <w:rPr>
                <w:sz w:val="24"/>
                <w:szCs w:val="24"/>
              </w:rPr>
              <w:t>Sources</w:t>
            </w:r>
          </w:p>
        </w:tc>
      </w:tr>
      <w:tr w:rsidR="0021369F" w:rsidRPr="008F185F" w:rsidTr="0053590D">
        <w:tc>
          <w:tcPr>
            <w:tcW w:w="1890" w:type="dxa"/>
            <w:tcBorders>
              <w:top w:val="single" w:sz="12" w:space="0" w:color="auto"/>
            </w:tcBorders>
          </w:tcPr>
          <w:p w:rsidR="0021369F" w:rsidRPr="00190316" w:rsidRDefault="0021369F" w:rsidP="0053590D">
            <w:pPr>
              <w:rPr>
                <w:sz w:val="24"/>
                <w:szCs w:val="24"/>
              </w:rPr>
            </w:pPr>
            <w:r w:rsidRPr="00190316">
              <w:rPr>
                <w:sz w:val="24"/>
                <w:szCs w:val="24"/>
              </w:rPr>
              <w:t>Female Recruits</w:t>
            </w:r>
          </w:p>
        </w:tc>
        <w:tc>
          <w:tcPr>
            <w:tcW w:w="2268" w:type="dxa"/>
            <w:tcBorders>
              <w:top w:val="single" w:sz="12" w:space="0" w:color="auto"/>
            </w:tcBorders>
          </w:tcPr>
          <w:p w:rsidR="0021369F" w:rsidRPr="00190316" w:rsidRDefault="0021369F" w:rsidP="0053590D">
            <w:pPr>
              <w:rPr>
                <w:sz w:val="24"/>
                <w:szCs w:val="24"/>
              </w:rPr>
            </w:pPr>
            <w:r w:rsidRPr="00190316">
              <w:rPr>
                <w:sz w:val="24"/>
                <w:szCs w:val="24"/>
              </w:rPr>
              <w:t xml:space="preserve">Number of female militants </w:t>
            </w:r>
          </w:p>
        </w:tc>
        <w:tc>
          <w:tcPr>
            <w:tcW w:w="810" w:type="dxa"/>
            <w:tcBorders>
              <w:top w:val="single" w:sz="12" w:space="0" w:color="auto"/>
            </w:tcBorders>
          </w:tcPr>
          <w:p w:rsidR="0021369F" w:rsidRPr="00190316" w:rsidRDefault="0021369F" w:rsidP="0053590D">
            <w:pPr>
              <w:jc w:val="center"/>
              <w:rPr>
                <w:sz w:val="24"/>
                <w:szCs w:val="24"/>
              </w:rPr>
            </w:pPr>
            <w:r w:rsidRPr="00190316">
              <w:rPr>
                <w:sz w:val="24"/>
                <w:szCs w:val="24"/>
              </w:rPr>
              <w:t>1</w:t>
            </w:r>
            <w:r>
              <w:rPr>
                <w:sz w:val="24"/>
                <w:szCs w:val="24"/>
              </w:rPr>
              <w:t>,323</w:t>
            </w:r>
          </w:p>
        </w:tc>
        <w:tc>
          <w:tcPr>
            <w:tcW w:w="810" w:type="dxa"/>
            <w:tcBorders>
              <w:top w:val="single" w:sz="12" w:space="0" w:color="auto"/>
            </w:tcBorders>
          </w:tcPr>
          <w:p w:rsidR="0021369F" w:rsidRPr="00190316" w:rsidRDefault="0021369F" w:rsidP="0053590D">
            <w:pPr>
              <w:jc w:val="center"/>
              <w:rPr>
                <w:sz w:val="24"/>
                <w:szCs w:val="24"/>
              </w:rPr>
            </w:pPr>
            <w:r>
              <w:rPr>
                <w:sz w:val="24"/>
                <w:szCs w:val="24"/>
              </w:rPr>
              <w:t>0.53</w:t>
            </w:r>
          </w:p>
        </w:tc>
        <w:tc>
          <w:tcPr>
            <w:tcW w:w="720" w:type="dxa"/>
            <w:tcBorders>
              <w:top w:val="single" w:sz="12" w:space="0" w:color="auto"/>
            </w:tcBorders>
          </w:tcPr>
          <w:p w:rsidR="0021369F" w:rsidRPr="00190316" w:rsidRDefault="0021369F" w:rsidP="0053590D">
            <w:pPr>
              <w:jc w:val="center"/>
              <w:rPr>
                <w:sz w:val="24"/>
                <w:szCs w:val="24"/>
              </w:rPr>
            </w:pPr>
            <w:r>
              <w:rPr>
                <w:sz w:val="24"/>
                <w:szCs w:val="24"/>
              </w:rPr>
              <w:t>1.81</w:t>
            </w:r>
          </w:p>
        </w:tc>
        <w:tc>
          <w:tcPr>
            <w:tcW w:w="810" w:type="dxa"/>
            <w:tcBorders>
              <w:top w:val="single" w:sz="12" w:space="0" w:color="auto"/>
            </w:tcBorders>
          </w:tcPr>
          <w:p w:rsidR="0021369F" w:rsidRPr="00190316" w:rsidRDefault="0021369F" w:rsidP="0053590D">
            <w:pPr>
              <w:jc w:val="center"/>
              <w:rPr>
                <w:sz w:val="24"/>
                <w:szCs w:val="24"/>
              </w:rPr>
            </w:pPr>
            <w:r w:rsidRPr="00190316">
              <w:rPr>
                <w:sz w:val="24"/>
                <w:szCs w:val="24"/>
              </w:rPr>
              <w:t>0</w:t>
            </w:r>
          </w:p>
        </w:tc>
        <w:tc>
          <w:tcPr>
            <w:tcW w:w="810" w:type="dxa"/>
            <w:tcBorders>
              <w:top w:val="single" w:sz="12" w:space="0" w:color="auto"/>
            </w:tcBorders>
          </w:tcPr>
          <w:p w:rsidR="0021369F" w:rsidRPr="00190316" w:rsidRDefault="0021369F" w:rsidP="0053590D">
            <w:pPr>
              <w:jc w:val="center"/>
              <w:rPr>
                <w:sz w:val="24"/>
                <w:szCs w:val="24"/>
              </w:rPr>
            </w:pPr>
            <w:r>
              <w:rPr>
                <w:sz w:val="24"/>
                <w:szCs w:val="24"/>
              </w:rPr>
              <w:t>30</w:t>
            </w:r>
          </w:p>
        </w:tc>
        <w:tc>
          <w:tcPr>
            <w:tcW w:w="1512" w:type="dxa"/>
            <w:tcBorders>
              <w:top w:val="single" w:sz="12" w:space="0" w:color="auto"/>
            </w:tcBorders>
          </w:tcPr>
          <w:p w:rsidR="0021369F" w:rsidRPr="00190316" w:rsidRDefault="0021369F" w:rsidP="0053590D">
            <w:pPr>
              <w:rPr>
                <w:sz w:val="24"/>
                <w:szCs w:val="24"/>
              </w:rPr>
            </w:pPr>
            <w:r w:rsidRPr="00190316">
              <w:rPr>
                <w:sz w:val="24"/>
                <w:szCs w:val="24"/>
              </w:rPr>
              <w:t xml:space="preserve">KIM dataset </w:t>
            </w:r>
          </w:p>
        </w:tc>
      </w:tr>
      <w:tr w:rsidR="0021369F" w:rsidRPr="008F185F" w:rsidTr="0053590D">
        <w:tc>
          <w:tcPr>
            <w:tcW w:w="1890" w:type="dxa"/>
          </w:tcPr>
          <w:p w:rsidR="0021369F" w:rsidRPr="008F185F" w:rsidRDefault="0021369F" w:rsidP="0053590D">
            <w:pPr>
              <w:rPr>
                <w:sz w:val="24"/>
                <w:szCs w:val="24"/>
              </w:rPr>
            </w:pPr>
            <w:r w:rsidRPr="008F185F">
              <w:rPr>
                <w:sz w:val="24"/>
                <w:szCs w:val="24"/>
              </w:rPr>
              <w:t>Recruits</w:t>
            </w:r>
          </w:p>
        </w:tc>
        <w:tc>
          <w:tcPr>
            <w:tcW w:w="2268" w:type="dxa"/>
          </w:tcPr>
          <w:p w:rsidR="0021369F" w:rsidRPr="008F185F" w:rsidRDefault="0021369F" w:rsidP="0053590D">
            <w:pPr>
              <w:rPr>
                <w:sz w:val="24"/>
                <w:szCs w:val="24"/>
              </w:rPr>
            </w:pPr>
            <w:r w:rsidRPr="008F185F">
              <w:rPr>
                <w:sz w:val="24"/>
                <w:szCs w:val="24"/>
              </w:rPr>
              <w:t xml:space="preserve">Number of </w:t>
            </w:r>
            <w:r>
              <w:rPr>
                <w:sz w:val="24"/>
                <w:szCs w:val="24"/>
              </w:rPr>
              <w:t>militants</w:t>
            </w:r>
          </w:p>
        </w:tc>
        <w:tc>
          <w:tcPr>
            <w:tcW w:w="810" w:type="dxa"/>
          </w:tcPr>
          <w:p w:rsidR="0021369F" w:rsidRPr="008F185F" w:rsidRDefault="0021369F" w:rsidP="0053590D">
            <w:pPr>
              <w:jc w:val="center"/>
              <w:rPr>
                <w:sz w:val="24"/>
                <w:szCs w:val="24"/>
              </w:rPr>
            </w:pPr>
            <w:r>
              <w:rPr>
                <w:sz w:val="24"/>
                <w:szCs w:val="24"/>
              </w:rPr>
              <w:t>1,323</w:t>
            </w:r>
          </w:p>
        </w:tc>
        <w:tc>
          <w:tcPr>
            <w:tcW w:w="810" w:type="dxa"/>
          </w:tcPr>
          <w:p w:rsidR="0021369F" w:rsidRPr="008F185F" w:rsidRDefault="0021369F" w:rsidP="0053590D">
            <w:pPr>
              <w:jc w:val="center"/>
              <w:rPr>
                <w:sz w:val="24"/>
                <w:szCs w:val="24"/>
              </w:rPr>
            </w:pPr>
            <w:r>
              <w:rPr>
                <w:sz w:val="24"/>
                <w:szCs w:val="24"/>
              </w:rPr>
              <w:t>3.7</w:t>
            </w:r>
          </w:p>
        </w:tc>
        <w:tc>
          <w:tcPr>
            <w:tcW w:w="720" w:type="dxa"/>
          </w:tcPr>
          <w:p w:rsidR="0021369F" w:rsidRPr="008F185F" w:rsidRDefault="0021369F" w:rsidP="0053590D">
            <w:pPr>
              <w:jc w:val="center"/>
              <w:rPr>
                <w:sz w:val="24"/>
                <w:szCs w:val="24"/>
              </w:rPr>
            </w:pPr>
            <w:r>
              <w:rPr>
                <w:sz w:val="24"/>
                <w:szCs w:val="24"/>
              </w:rPr>
              <w:t>9.9</w:t>
            </w:r>
          </w:p>
        </w:tc>
        <w:tc>
          <w:tcPr>
            <w:tcW w:w="810" w:type="dxa"/>
          </w:tcPr>
          <w:p w:rsidR="0021369F" w:rsidRPr="008F185F" w:rsidRDefault="0021369F" w:rsidP="0053590D">
            <w:pPr>
              <w:jc w:val="center"/>
              <w:rPr>
                <w:sz w:val="24"/>
                <w:szCs w:val="24"/>
              </w:rPr>
            </w:pPr>
            <w:r w:rsidRPr="008F185F">
              <w:rPr>
                <w:sz w:val="24"/>
                <w:szCs w:val="24"/>
              </w:rPr>
              <w:t>0</w:t>
            </w:r>
          </w:p>
        </w:tc>
        <w:tc>
          <w:tcPr>
            <w:tcW w:w="810" w:type="dxa"/>
          </w:tcPr>
          <w:p w:rsidR="0021369F" w:rsidRPr="008F185F" w:rsidRDefault="0021369F" w:rsidP="0053590D">
            <w:pPr>
              <w:jc w:val="center"/>
              <w:rPr>
                <w:sz w:val="24"/>
                <w:szCs w:val="24"/>
              </w:rPr>
            </w:pPr>
            <w:r>
              <w:rPr>
                <w:sz w:val="24"/>
                <w:szCs w:val="24"/>
              </w:rPr>
              <w:t>129</w:t>
            </w:r>
          </w:p>
        </w:tc>
        <w:tc>
          <w:tcPr>
            <w:tcW w:w="1512" w:type="dxa"/>
          </w:tcPr>
          <w:p w:rsidR="0021369F" w:rsidRPr="008F185F" w:rsidRDefault="0021369F" w:rsidP="0053590D">
            <w:pPr>
              <w:rPr>
                <w:sz w:val="24"/>
                <w:szCs w:val="24"/>
              </w:rPr>
            </w:pPr>
            <w:r w:rsidRPr="008F185F">
              <w:rPr>
                <w:sz w:val="24"/>
                <w:szCs w:val="24"/>
              </w:rPr>
              <w:t>KIM dataset</w:t>
            </w:r>
          </w:p>
        </w:tc>
      </w:tr>
      <w:tr w:rsidR="0021369F" w:rsidRPr="008F185F" w:rsidTr="0053590D">
        <w:tc>
          <w:tcPr>
            <w:tcW w:w="1890" w:type="dxa"/>
          </w:tcPr>
          <w:p w:rsidR="0021369F" w:rsidRPr="00190316" w:rsidRDefault="0021369F" w:rsidP="0053590D">
            <w:pPr>
              <w:rPr>
                <w:sz w:val="24"/>
                <w:szCs w:val="24"/>
              </w:rPr>
            </w:pPr>
          </w:p>
        </w:tc>
        <w:tc>
          <w:tcPr>
            <w:tcW w:w="2268" w:type="dxa"/>
          </w:tcPr>
          <w:p w:rsidR="0021369F" w:rsidRPr="00190316" w:rsidRDefault="0021369F" w:rsidP="0053590D">
            <w:pPr>
              <w:rPr>
                <w:sz w:val="24"/>
                <w:szCs w:val="24"/>
              </w:rPr>
            </w:pPr>
          </w:p>
        </w:tc>
        <w:tc>
          <w:tcPr>
            <w:tcW w:w="810" w:type="dxa"/>
          </w:tcPr>
          <w:p w:rsidR="0021369F" w:rsidRPr="00190316" w:rsidRDefault="0021369F" w:rsidP="0053590D">
            <w:pPr>
              <w:jc w:val="center"/>
              <w:rPr>
                <w:sz w:val="24"/>
                <w:szCs w:val="24"/>
              </w:rPr>
            </w:pPr>
          </w:p>
        </w:tc>
        <w:tc>
          <w:tcPr>
            <w:tcW w:w="810" w:type="dxa"/>
          </w:tcPr>
          <w:p w:rsidR="0021369F" w:rsidRPr="00190316" w:rsidRDefault="0021369F" w:rsidP="0053590D">
            <w:pPr>
              <w:jc w:val="center"/>
              <w:rPr>
                <w:sz w:val="24"/>
                <w:szCs w:val="24"/>
              </w:rPr>
            </w:pPr>
          </w:p>
        </w:tc>
        <w:tc>
          <w:tcPr>
            <w:tcW w:w="720" w:type="dxa"/>
          </w:tcPr>
          <w:p w:rsidR="0021369F" w:rsidRPr="00190316" w:rsidRDefault="0021369F" w:rsidP="0053590D">
            <w:pPr>
              <w:jc w:val="center"/>
              <w:rPr>
                <w:sz w:val="24"/>
                <w:szCs w:val="24"/>
              </w:rPr>
            </w:pPr>
          </w:p>
        </w:tc>
        <w:tc>
          <w:tcPr>
            <w:tcW w:w="810" w:type="dxa"/>
          </w:tcPr>
          <w:p w:rsidR="0021369F" w:rsidRPr="00190316" w:rsidRDefault="0021369F" w:rsidP="0053590D">
            <w:pPr>
              <w:jc w:val="center"/>
              <w:rPr>
                <w:sz w:val="24"/>
                <w:szCs w:val="24"/>
              </w:rPr>
            </w:pPr>
          </w:p>
        </w:tc>
        <w:tc>
          <w:tcPr>
            <w:tcW w:w="810" w:type="dxa"/>
          </w:tcPr>
          <w:p w:rsidR="0021369F" w:rsidRPr="00190316" w:rsidRDefault="0021369F" w:rsidP="0053590D">
            <w:pPr>
              <w:jc w:val="center"/>
              <w:rPr>
                <w:sz w:val="24"/>
                <w:szCs w:val="24"/>
              </w:rPr>
            </w:pPr>
          </w:p>
        </w:tc>
        <w:tc>
          <w:tcPr>
            <w:tcW w:w="1512" w:type="dxa"/>
          </w:tcPr>
          <w:p w:rsidR="0021369F" w:rsidRPr="00190316" w:rsidRDefault="0021369F" w:rsidP="0053590D">
            <w:pPr>
              <w:rPr>
                <w:sz w:val="24"/>
                <w:szCs w:val="24"/>
              </w:rPr>
            </w:pPr>
          </w:p>
        </w:tc>
      </w:tr>
      <w:tr w:rsidR="0021369F" w:rsidRPr="008F185F" w:rsidTr="0053590D">
        <w:tc>
          <w:tcPr>
            <w:tcW w:w="1890" w:type="dxa"/>
          </w:tcPr>
          <w:p w:rsidR="0021369F" w:rsidRPr="00935B3D" w:rsidRDefault="0021369F" w:rsidP="0053590D">
            <w:pPr>
              <w:rPr>
                <w:sz w:val="24"/>
                <w:szCs w:val="24"/>
              </w:rPr>
            </w:pPr>
            <w:r>
              <w:rPr>
                <w:sz w:val="24"/>
                <w:szCs w:val="24"/>
              </w:rPr>
              <w:t xml:space="preserve">Female </w:t>
            </w:r>
            <w:r w:rsidRPr="00935B3D">
              <w:rPr>
                <w:sz w:val="24"/>
                <w:szCs w:val="24"/>
              </w:rPr>
              <w:t>Literacy</w:t>
            </w:r>
            <w:r>
              <w:rPr>
                <w:sz w:val="24"/>
                <w:szCs w:val="24"/>
              </w:rPr>
              <w:t xml:space="preserve"> Ratio</w:t>
            </w:r>
          </w:p>
        </w:tc>
        <w:tc>
          <w:tcPr>
            <w:tcW w:w="2268" w:type="dxa"/>
          </w:tcPr>
          <w:p w:rsidR="0021369F" w:rsidRPr="00935B3D" w:rsidRDefault="0021369F" w:rsidP="0053590D">
            <w:pPr>
              <w:rPr>
                <w:sz w:val="24"/>
                <w:szCs w:val="24"/>
              </w:rPr>
            </w:pPr>
            <w:r>
              <w:rPr>
                <w:sz w:val="24"/>
                <w:szCs w:val="24"/>
              </w:rPr>
              <w:t>Ratio</w:t>
            </w:r>
            <w:r w:rsidRPr="00935B3D">
              <w:rPr>
                <w:sz w:val="24"/>
                <w:szCs w:val="24"/>
              </w:rPr>
              <w:t xml:space="preserve"> of </w:t>
            </w:r>
            <w:r>
              <w:rPr>
                <w:sz w:val="24"/>
                <w:szCs w:val="24"/>
              </w:rPr>
              <w:t xml:space="preserve">female to male </w:t>
            </w:r>
            <w:r w:rsidRPr="00935B3D">
              <w:rPr>
                <w:sz w:val="24"/>
                <w:szCs w:val="24"/>
              </w:rPr>
              <w:t xml:space="preserve"> </w:t>
            </w:r>
            <w:r>
              <w:rPr>
                <w:sz w:val="24"/>
                <w:szCs w:val="24"/>
              </w:rPr>
              <w:t>literacy</w:t>
            </w:r>
          </w:p>
        </w:tc>
        <w:tc>
          <w:tcPr>
            <w:tcW w:w="810" w:type="dxa"/>
          </w:tcPr>
          <w:p w:rsidR="0021369F" w:rsidRPr="00935B3D" w:rsidRDefault="0021369F" w:rsidP="0053590D">
            <w:pPr>
              <w:jc w:val="center"/>
              <w:rPr>
                <w:sz w:val="24"/>
                <w:szCs w:val="24"/>
              </w:rPr>
            </w:pPr>
            <w:r>
              <w:rPr>
                <w:sz w:val="24"/>
                <w:szCs w:val="24"/>
              </w:rPr>
              <w:t>1,134</w:t>
            </w:r>
          </w:p>
        </w:tc>
        <w:tc>
          <w:tcPr>
            <w:tcW w:w="810" w:type="dxa"/>
          </w:tcPr>
          <w:p w:rsidR="0021369F" w:rsidRPr="00935B3D" w:rsidRDefault="0021369F" w:rsidP="0053590D">
            <w:pPr>
              <w:rPr>
                <w:sz w:val="24"/>
                <w:szCs w:val="24"/>
              </w:rPr>
            </w:pPr>
            <w:r>
              <w:rPr>
                <w:sz w:val="24"/>
                <w:szCs w:val="24"/>
              </w:rPr>
              <w:t xml:space="preserve">   60</w:t>
            </w:r>
          </w:p>
        </w:tc>
        <w:tc>
          <w:tcPr>
            <w:tcW w:w="720" w:type="dxa"/>
          </w:tcPr>
          <w:p w:rsidR="0021369F" w:rsidRPr="00935B3D" w:rsidRDefault="0021369F" w:rsidP="0053590D">
            <w:pPr>
              <w:jc w:val="center"/>
              <w:rPr>
                <w:sz w:val="24"/>
                <w:szCs w:val="24"/>
              </w:rPr>
            </w:pPr>
            <w:r>
              <w:rPr>
                <w:sz w:val="24"/>
                <w:szCs w:val="24"/>
              </w:rPr>
              <w:t>19.4</w:t>
            </w:r>
          </w:p>
        </w:tc>
        <w:tc>
          <w:tcPr>
            <w:tcW w:w="810" w:type="dxa"/>
          </w:tcPr>
          <w:p w:rsidR="0021369F" w:rsidRPr="00935B3D" w:rsidRDefault="0021369F" w:rsidP="0053590D">
            <w:pPr>
              <w:jc w:val="center"/>
              <w:rPr>
                <w:sz w:val="24"/>
                <w:szCs w:val="24"/>
              </w:rPr>
            </w:pPr>
            <w:r w:rsidRPr="00935B3D">
              <w:rPr>
                <w:sz w:val="24"/>
                <w:szCs w:val="24"/>
              </w:rPr>
              <w:t>5.1</w:t>
            </w:r>
          </w:p>
        </w:tc>
        <w:tc>
          <w:tcPr>
            <w:tcW w:w="810" w:type="dxa"/>
          </w:tcPr>
          <w:p w:rsidR="0021369F" w:rsidRPr="00935B3D" w:rsidRDefault="0021369F" w:rsidP="0053590D">
            <w:pPr>
              <w:jc w:val="center"/>
              <w:rPr>
                <w:sz w:val="24"/>
                <w:szCs w:val="24"/>
              </w:rPr>
            </w:pPr>
            <w:r>
              <w:rPr>
                <w:sz w:val="24"/>
                <w:szCs w:val="24"/>
              </w:rPr>
              <w:t>93.5</w:t>
            </w:r>
          </w:p>
        </w:tc>
        <w:tc>
          <w:tcPr>
            <w:tcW w:w="1512" w:type="dxa"/>
          </w:tcPr>
          <w:p w:rsidR="0021369F" w:rsidRPr="00935B3D" w:rsidRDefault="0021369F" w:rsidP="0053590D">
            <w:pPr>
              <w:rPr>
                <w:sz w:val="24"/>
                <w:szCs w:val="24"/>
              </w:rPr>
            </w:pPr>
            <w:r w:rsidRPr="00935B3D">
              <w:rPr>
                <w:sz w:val="24"/>
                <w:szCs w:val="24"/>
              </w:rPr>
              <w:t>TUIK</w:t>
            </w:r>
          </w:p>
        </w:tc>
      </w:tr>
      <w:tr w:rsidR="0021369F" w:rsidRPr="008F185F" w:rsidTr="0053590D">
        <w:tc>
          <w:tcPr>
            <w:tcW w:w="1890" w:type="dxa"/>
          </w:tcPr>
          <w:p w:rsidR="0021369F" w:rsidRPr="008F185F" w:rsidRDefault="0021369F" w:rsidP="0053590D">
            <w:pPr>
              <w:rPr>
                <w:sz w:val="24"/>
                <w:szCs w:val="24"/>
              </w:rPr>
            </w:pPr>
            <w:r>
              <w:rPr>
                <w:sz w:val="24"/>
                <w:szCs w:val="24"/>
              </w:rPr>
              <w:t>Fertility</w:t>
            </w:r>
          </w:p>
        </w:tc>
        <w:tc>
          <w:tcPr>
            <w:tcW w:w="2268" w:type="dxa"/>
          </w:tcPr>
          <w:p w:rsidR="0021369F" w:rsidRPr="008F185F" w:rsidRDefault="0021369F" w:rsidP="0053590D">
            <w:pPr>
              <w:rPr>
                <w:sz w:val="24"/>
                <w:szCs w:val="24"/>
              </w:rPr>
            </w:pPr>
            <w:r>
              <w:rPr>
                <w:sz w:val="24"/>
                <w:szCs w:val="24"/>
              </w:rPr>
              <w:t>Average number of children per married women who are 12 years and older</w:t>
            </w:r>
          </w:p>
        </w:tc>
        <w:tc>
          <w:tcPr>
            <w:tcW w:w="810" w:type="dxa"/>
          </w:tcPr>
          <w:p w:rsidR="0021369F" w:rsidRDefault="0021369F" w:rsidP="0053590D">
            <w:pPr>
              <w:jc w:val="center"/>
              <w:rPr>
                <w:sz w:val="24"/>
                <w:szCs w:val="24"/>
              </w:rPr>
            </w:pPr>
            <w:r>
              <w:rPr>
                <w:sz w:val="24"/>
                <w:szCs w:val="24"/>
              </w:rPr>
              <w:t>945</w:t>
            </w:r>
          </w:p>
        </w:tc>
        <w:tc>
          <w:tcPr>
            <w:tcW w:w="810" w:type="dxa"/>
          </w:tcPr>
          <w:p w:rsidR="0021369F" w:rsidRPr="008F185F" w:rsidRDefault="0021369F" w:rsidP="0053590D">
            <w:pPr>
              <w:jc w:val="center"/>
              <w:rPr>
                <w:sz w:val="24"/>
                <w:szCs w:val="24"/>
              </w:rPr>
            </w:pPr>
            <w:r>
              <w:rPr>
                <w:sz w:val="24"/>
                <w:szCs w:val="24"/>
              </w:rPr>
              <w:t>4.8</w:t>
            </w:r>
          </w:p>
        </w:tc>
        <w:tc>
          <w:tcPr>
            <w:tcW w:w="720" w:type="dxa"/>
          </w:tcPr>
          <w:p w:rsidR="0021369F" w:rsidRPr="008F185F" w:rsidRDefault="0021369F" w:rsidP="0053590D">
            <w:pPr>
              <w:jc w:val="center"/>
              <w:rPr>
                <w:sz w:val="24"/>
                <w:szCs w:val="24"/>
              </w:rPr>
            </w:pPr>
            <w:r>
              <w:rPr>
                <w:sz w:val="24"/>
                <w:szCs w:val="24"/>
              </w:rPr>
              <w:t>0.5</w:t>
            </w:r>
          </w:p>
        </w:tc>
        <w:tc>
          <w:tcPr>
            <w:tcW w:w="810" w:type="dxa"/>
          </w:tcPr>
          <w:p w:rsidR="0021369F" w:rsidRPr="008F185F" w:rsidRDefault="0021369F" w:rsidP="0053590D">
            <w:pPr>
              <w:jc w:val="center"/>
              <w:rPr>
                <w:sz w:val="24"/>
                <w:szCs w:val="24"/>
              </w:rPr>
            </w:pPr>
            <w:r>
              <w:rPr>
                <w:sz w:val="24"/>
                <w:szCs w:val="24"/>
              </w:rPr>
              <w:t>2.9</w:t>
            </w:r>
          </w:p>
        </w:tc>
        <w:tc>
          <w:tcPr>
            <w:tcW w:w="810" w:type="dxa"/>
          </w:tcPr>
          <w:p w:rsidR="0021369F" w:rsidRPr="008F185F" w:rsidRDefault="0021369F" w:rsidP="0053590D">
            <w:pPr>
              <w:jc w:val="center"/>
              <w:rPr>
                <w:sz w:val="24"/>
                <w:szCs w:val="24"/>
              </w:rPr>
            </w:pPr>
            <w:r>
              <w:rPr>
                <w:sz w:val="24"/>
                <w:szCs w:val="24"/>
              </w:rPr>
              <w:t>6</w:t>
            </w:r>
          </w:p>
        </w:tc>
        <w:tc>
          <w:tcPr>
            <w:tcW w:w="1512" w:type="dxa"/>
          </w:tcPr>
          <w:p w:rsidR="0021369F" w:rsidRPr="008F185F" w:rsidRDefault="0021369F" w:rsidP="0053590D">
            <w:pPr>
              <w:rPr>
                <w:rFonts w:cs="Arial"/>
                <w:sz w:val="24"/>
                <w:szCs w:val="24"/>
                <w:shd w:val="clear" w:color="auto" w:fill="FFFFFF"/>
              </w:rPr>
            </w:pPr>
            <w:r>
              <w:rPr>
                <w:rFonts w:cs="Arial"/>
                <w:sz w:val="24"/>
                <w:szCs w:val="24"/>
                <w:shd w:val="clear" w:color="auto" w:fill="FFFFFF"/>
              </w:rPr>
              <w:t>TUIK</w:t>
            </w:r>
          </w:p>
        </w:tc>
      </w:tr>
      <w:tr w:rsidR="0021369F" w:rsidRPr="008F185F" w:rsidTr="0053590D">
        <w:tc>
          <w:tcPr>
            <w:tcW w:w="1890" w:type="dxa"/>
          </w:tcPr>
          <w:p w:rsidR="0021369F" w:rsidRPr="008F185F" w:rsidRDefault="0021369F" w:rsidP="0053590D">
            <w:pPr>
              <w:rPr>
                <w:sz w:val="24"/>
                <w:szCs w:val="24"/>
              </w:rPr>
            </w:pPr>
            <w:r w:rsidRPr="008F185F">
              <w:rPr>
                <w:sz w:val="24"/>
                <w:szCs w:val="24"/>
              </w:rPr>
              <w:t>Clashes</w:t>
            </w:r>
          </w:p>
        </w:tc>
        <w:tc>
          <w:tcPr>
            <w:tcW w:w="2268" w:type="dxa"/>
          </w:tcPr>
          <w:p w:rsidR="0021369F" w:rsidRPr="008F185F" w:rsidRDefault="0021369F" w:rsidP="0053590D">
            <w:pPr>
              <w:rPr>
                <w:sz w:val="24"/>
                <w:szCs w:val="24"/>
              </w:rPr>
            </w:pPr>
            <w:r w:rsidRPr="008F185F">
              <w:rPr>
                <w:sz w:val="24"/>
                <w:szCs w:val="24"/>
              </w:rPr>
              <w:t xml:space="preserve">Number of insurgents killed </w:t>
            </w:r>
          </w:p>
        </w:tc>
        <w:tc>
          <w:tcPr>
            <w:tcW w:w="810" w:type="dxa"/>
          </w:tcPr>
          <w:p w:rsidR="0021369F" w:rsidRPr="008F185F" w:rsidRDefault="0021369F" w:rsidP="0053590D">
            <w:pPr>
              <w:jc w:val="center"/>
              <w:rPr>
                <w:sz w:val="24"/>
                <w:szCs w:val="24"/>
              </w:rPr>
            </w:pPr>
            <w:r>
              <w:rPr>
                <w:sz w:val="24"/>
                <w:szCs w:val="24"/>
              </w:rPr>
              <w:t>1,323</w:t>
            </w:r>
          </w:p>
        </w:tc>
        <w:tc>
          <w:tcPr>
            <w:tcW w:w="810" w:type="dxa"/>
          </w:tcPr>
          <w:p w:rsidR="0021369F" w:rsidRPr="008F185F" w:rsidRDefault="0021369F" w:rsidP="0053590D">
            <w:pPr>
              <w:jc w:val="center"/>
              <w:rPr>
                <w:sz w:val="24"/>
                <w:szCs w:val="24"/>
              </w:rPr>
            </w:pPr>
            <w:r w:rsidRPr="008F185F">
              <w:rPr>
                <w:sz w:val="24"/>
                <w:szCs w:val="24"/>
              </w:rPr>
              <w:t>4.6</w:t>
            </w:r>
          </w:p>
        </w:tc>
        <w:tc>
          <w:tcPr>
            <w:tcW w:w="720" w:type="dxa"/>
          </w:tcPr>
          <w:p w:rsidR="0021369F" w:rsidRPr="008F185F" w:rsidRDefault="0021369F" w:rsidP="0053590D">
            <w:pPr>
              <w:jc w:val="center"/>
              <w:rPr>
                <w:sz w:val="24"/>
                <w:szCs w:val="24"/>
              </w:rPr>
            </w:pPr>
            <w:r>
              <w:rPr>
                <w:sz w:val="24"/>
                <w:szCs w:val="24"/>
              </w:rPr>
              <w:t>14.5</w:t>
            </w:r>
          </w:p>
        </w:tc>
        <w:tc>
          <w:tcPr>
            <w:tcW w:w="810" w:type="dxa"/>
          </w:tcPr>
          <w:p w:rsidR="0021369F" w:rsidRPr="008F185F" w:rsidRDefault="0021369F" w:rsidP="0053590D">
            <w:pPr>
              <w:jc w:val="center"/>
              <w:rPr>
                <w:sz w:val="24"/>
                <w:szCs w:val="24"/>
              </w:rPr>
            </w:pPr>
            <w:r w:rsidRPr="008F185F">
              <w:rPr>
                <w:sz w:val="24"/>
                <w:szCs w:val="24"/>
              </w:rPr>
              <w:t>0</w:t>
            </w:r>
          </w:p>
        </w:tc>
        <w:tc>
          <w:tcPr>
            <w:tcW w:w="810" w:type="dxa"/>
          </w:tcPr>
          <w:p w:rsidR="0021369F" w:rsidRPr="008F185F" w:rsidRDefault="0021369F" w:rsidP="0053590D">
            <w:pPr>
              <w:jc w:val="center"/>
              <w:rPr>
                <w:sz w:val="24"/>
                <w:szCs w:val="24"/>
              </w:rPr>
            </w:pPr>
            <w:r w:rsidRPr="008F185F">
              <w:rPr>
                <w:sz w:val="24"/>
                <w:szCs w:val="24"/>
              </w:rPr>
              <w:t>23</w:t>
            </w:r>
            <w:r>
              <w:rPr>
                <w:sz w:val="24"/>
                <w:szCs w:val="24"/>
              </w:rPr>
              <w:t>6</w:t>
            </w:r>
          </w:p>
        </w:tc>
        <w:tc>
          <w:tcPr>
            <w:tcW w:w="1512" w:type="dxa"/>
          </w:tcPr>
          <w:p w:rsidR="0021369F" w:rsidRPr="008F185F" w:rsidRDefault="0021369F" w:rsidP="0053590D">
            <w:pPr>
              <w:rPr>
                <w:sz w:val="24"/>
                <w:szCs w:val="24"/>
              </w:rPr>
            </w:pPr>
            <w:r w:rsidRPr="008F185F">
              <w:rPr>
                <w:sz w:val="24"/>
                <w:szCs w:val="24"/>
              </w:rPr>
              <w:t>KIM dataset</w:t>
            </w:r>
          </w:p>
        </w:tc>
      </w:tr>
      <w:tr w:rsidR="0021369F" w:rsidRPr="008F185F" w:rsidTr="0053590D">
        <w:tc>
          <w:tcPr>
            <w:tcW w:w="1890" w:type="dxa"/>
          </w:tcPr>
          <w:p w:rsidR="0021369F" w:rsidRPr="008F185F" w:rsidRDefault="0021369F" w:rsidP="0053590D">
            <w:pPr>
              <w:rPr>
                <w:sz w:val="24"/>
                <w:szCs w:val="24"/>
              </w:rPr>
            </w:pPr>
            <w:r w:rsidRPr="008F185F">
              <w:rPr>
                <w:sz w:val="24"/>
                <w:szCs w:val="24"/>
              </w:rPr>
              <w:t>Kurdish Vote</w:t>
            </w:r>
          </w:p>
        </w:tc>
        <w:tc>
          <w:tcPr>
            <w:tcW w:w="2268" w:type="dxa"/>
          </w:tcPr>
          <w:p w:rsidR="0021369F" w:rsidRPr="008F185F" w:rsidRDefault="0021369F" w:rsidP="0053590D">
            <w:pPr>
              <w:rPr>
                <w:sz w:val="24"/>
                <w:szCs w:val="24"/>
              </w:rPr>
            </w:pPr>
            <w:r w:rsidRPr="008F185F">
              <w:rPr>
                <w:sz w:val="24"/>
                <w:szCs w:val="24"/>
              </w:rPr>
              <w:t>% of valid votes received by pro-Kurdish parties and candidates</w:t>
            </w:r>
          </w:p>
        </w:tc>
        <w:tc>
          <w:tcPr>
            <w:tcW w:w="810" w:type="dxa"/>
          </w:tcPr>
          <w:p w:rsidR="0021369F" w:rsidRPr="008F185F" w:rsidRDefault="0021369F" w:rsidP="0053590D">
            <w:pPr>
              <w:jc w:val="center"/>
              <w:rPr>
                <w:sz w:val="24"/>
                <w:szCs w:val="24"/>
              </w:rPr>
            </w:pPr>
            <w:r>
              <w:rPr>
                <w:sz w:val="24"/>
                <w:szCs w:val="24"/>
              </w:rPr>
              <w:t>1,323</w:t>
            </w:r>
          </w:p>
        </w:tc>
        <w:tc>
          <w:tcPr>
            <w:tcW w:w="810" w:type="dxa"/>
          </w:tcPr>
          <w:p w:rsidR="0021369F" w:rsidRPr="008F185F" w:rsidRDefault="0021369F" w:rsidP="0053590D">
            <w:pPr>
              <w:jc w:val="center"/>
              <w:rPr>
                <w:sz w:val="24"/>
                <w:szCs w:val="24"/>
              </w:rPr>
            </w:pPr>
            <w:r>
              <w:rPr>
                <w:sz w:val="24"/>
                <w:szCs w:val="24"/>
              </w:rPr>
              <w:t xml:space="preserve"> 23</w:t>
            </w:r>
          </w:p>
        </w:tc>
        <w:tc>
          <w:tcPr>
            <w:tcW w:w="720" w:type="dxa"/>
          </w:tcPr>
          <w:p w:rsidR="0021369F" w:rsidRPr="008F185F" w:rsidRDefault="0021369F" w:rsidP="0053590D">
            <w:pPr>
              <w:jc w:val="center"/>
              <w:rPr>
                <w:sz w:val="24"/>
                <w:szCs w:val="24"/>
              </w:rPr>
            </w:pPr>
            <w:r>
              <w:rPr>
                <w:sz w:val="24"/>
                <w:szCs w:val="24"/>
              </w:rPr>
              <w:t>23.4</w:t>
            </w:r>
          </w:p>
        </w:tc>
        <w:tc>
          <w:tcPr>
            <w:tcW w:w="810" w:type="dxa"/>
          </w:tcPr>
          <w:p w:rsidR="0021369F" w:rsidRPr="008F185F" w:rsidRDefault="0021369F" w:rsidP="0053590D">
            <w:pPr>
              <w:jc w:val="center"/>
              <w:rPr>
                <w:sz w:val="24"/>
                <w:szCs w:val="24"/>
              </w:rPr>
            </w:pPr>
            <w:r w:rsidRPr="008F185F">
              <w:rPr>
                <w:sz w:val="24"/>
                <w:szCs w:val="24"/>
              </w:rPr>
              <w:t>0</w:t>
            </w:r>
          </w:p>
        </w:tc>
        <w:tc>
          <w:tcPr>
            <w:tcW w:w="810" w:type="dxa"/>
          </w:tcPr>
          <w:p w:rsidR="0021369F" w:rsidRPr="008F185F" w:rsidRDefault="0021369F" w:rsidP="0053590D">
            <w:pPr>
              <w:jc w:val="center"/>
              <w:rPr>
                <w:sz w:val="24"/>
                <w:szCs w:val="24"/>
              </w:rPr>
            </w:pPr>
            <w:r>
              <w:rPr>
                <w:sz w:val="24"/>
                <w:szCs w:val="24"/>
              </w:rPr>
              <w:t>97</w:t>
            </w:r>
          </w:p>
        </w:tc>
        <w:tc>
          <w:tcPr>
            <w:tcW w:w="1512" w:type="dxa"/>
          </w:tcPr>
          <w:p w:rsidR="0021369F" w:rsidRPr="008F185F" w:rsidRDefault="0021369F" w:rsidP="0053590D">
            <w:pPr>
              <w:rPr>
                <w:sz w:val="24"/>
                <w:szCs w:val="24"/>
              </w:rPr>
            </w:pPr>
            <w:r w:rsidRPr="008F185F">
              <w:rPr>
                <w:sz w:val="24"/>
                <w:szCs w:val="24"/>
              </w:rPr>
              <w:t>TUIK</w:t>
            </w:r>
          </w:p>
        </w:tc>
      </w:tr>
      <w:tr w:rsidR="0021369F" w:rsidRPr="008F185F" w:rsidTr="0053590D">
        <w:tc>
          <w:tcPr>
            <w:tcW w:w="1890" w:type="dxa"/>
          </w:tcPr>
          <w:p w:rsidR="0021369F" w:rsidRPr="008F185F" w:rsidRDefault="0021369F" w:rsidP="0053590D">
            <w:pPr>
              <w:rPr>
                <w:sz w:val="24"/>
                <w:szCs w:val="24"/>
              </w:rPr>
            </w:pPr>
            <w:r>
              <w:rPr>
                <w:sz w:val="24"/>
                <w:szCs w:val="24"/>
              </w:rPr>
              <w:t xml:space="preserve">Rural </w:t>
            </w:r>
            <w:r w:rsidRPr="008F185F">
              <w:rPr>
                <w:sz w:val="24"/>
                <w:szCs w:val="24"/>
              </w:rPr>
              <w:t>Change</w:t>
            </w:r>
          </w:p>
        </w:tc>
        <w:tc>
          <w:tcPr>
            <w:tcW w:w="2268" w:type="dxa"/>
          </w:tcPr>
          <w:p w:rsidR="0021369F" w:rsidRPr="008F185F" w:rsidRDefault="0021369F" w:rsidP="0053590D">
            <w:pPr>
              <w:rPr>
                <w:sz w:val="24"/>
                <w:szCs w:val="24"/>
              </w:rPr>
            </w:pPr>
            <w:r w:rsidRPr="008F185F">
              <w:rPr>
                <w:sz w:val="24"/>
                <w:szCs w:val="24"/>
              </w:rPr>
              <w:t>Ratio of</w:t>
            </w:r>
            <w:r>
              <w:rPr>
                <w:sz w:val="24"/>
                <w:szCs w:val="24"/>
              </w:rPr>
              <w:t xml:space="preserve"> rural</w:t>
            </w:r>
            <w:r w:rsidRPr="008F185F">
              <w:rPr>
                <w:sz w:val="24"/>
                <w:szCs w:val="24"/>
              </w:rPr>
              <w:t xml:space="preserve"> population change </w:t>
            </w:r>
            <w:r>
              <w:rPr>
                <w:sz w:val="24"/>
                <w:szCs w:val="24"/>
              </w:rPr>
              <w:t>since the previous period</w:t>
            </w:r>
          </w:p>
        </w:tc>
        <w:tc>
          <w:tcPr>
            <w:tcW w:w="810" w:type="dxa"/>
          </w:tcPr>
          <w:p w:rsidR="0021369F" w:rsidRPr="008F185F" w:rsidRDefault="0021369F" w:rsidP="0053590D">
            <w:pPr>
              <w:jc w:val="center"/>
              <w:rPr>
                <w:sz w:val="24"/>
                <w:szCs w:val="24"/>
              </w:rPr>
            </w:pPr>
            <w:r>
              <w:rPr>
                <w:sz w:val="24"/>
                <w:szCs w:val="24"/>
              </w:rPr>
              <w:t>945</w:t>
            </w:r>
          </w:p>
        </w:tc>
        <w:tc>
          <w:tcPr>
            <w:tcW w:w="810" w:type="dxa"/>
          </w:tcPr>
          <w:p w:rsidR="0021369F" w:rsidRPr="008F185F" w:rsidRDefault="0021369F" w:rsidP="0053590D">
            <w:pPr>
              <w:jc w:val="center"/>
              <w:rPr>
                <w:sz w:val="24"/>
                <w:szCs w:val="24"/>
              </w:rPr>
            </w:pPr>
            <w:r>
              <w:rPr>
                <w:sz w:val="24"/>
                <w:szCs w:val="24"/>
              </w:rPr>
              <w:t>-3.84</w:t>
            </w:r>
          </w:p>
        </w:tc>
        <w:tc>
          <w:tcPr>
            <w:tcW w:w="720" w:type="dxa"/>
          </w:tcPr>
          <w:p w:rsidR="0021369F" w:rsidRPr="008F185F" w:rsidRDefault="0021369F" w:rsidP="0053590D">
            <w:pPr>
              <w:jc w:val="center"/>
              <w:rPr>
                <w:sz w:val="24"/>
                <w:szCs w:val="24"/>
              </w:rPr>
            </w:pPr>
            <w:r>
              <w:rPr>
                <w:sz w:val="24"/>
                <w:szCs w:val="24"/>
              </w:rPr>
              <w:t>8.4</w:t>
            </w:r>
          </w:p>
        </w:tc>
        <w:tc>
          <w:tcPr>
            <w:tcW w:w="810" w:type="dxa"/>
          </w:tcPr>
          <w:p w:rsidR="0021369F" w:rsidRPr="008F185F" w:rsidRDefault="0021369F" w:rsidP="0053590D">
            <w:pPr>
              <w:jc w:val="center"/>
              <w:rPr>
                <w:sz w:val="24"/>
                <w:szCs w:val="24"/>
              </w:rPr>
            </w:pPr>
            <w:r>
              <w:rPr>
                <w:sz w:val="24"/>
                <w:szCs w:val="24"/>
              </w:rPr>
              <w:t>-50.2</w:t>
            </w:r>
          </w:p>
        </w:tc>
        <w:tc>
          <w:tcPr>
            <w:tcW w:w="810" w:type="dxa"/>
          </w:tcPr>
          <w:p w:rsidR="0021369F" w:rsidRPr="008F185F" w:rsidRDefault="0021369F" w:rsidP="0053590D">
            <w:pPr>
              <w:jc w:val="center"/>
              <w:rPr>
                <w:sz w:val="24"/>
                <w:szCs w:val="24"/>
              </w:rPr>
            </w:pPr>
            <w:r>
              <w:rPr>
                <w:sz w:val="24"/>
                <w:szCs w:val="24"/>
              </w:rPr>
              <w:t>55</w:t>
            </w:r>
            <w:r w:rsidRPr="008F185F">
              <w:rPr>
                <w:sz w:val="24"/>
                <w:szCs w:val="24"/>
              </w:rPr>
              <w:t>.2</w:t>
            </w:r>
          </w:p>
        </w:tc>
        <w:tc>
          <w:tcPr>
            <w:tcW w:w="1512" w:type="dxa"/>
          </w:tcPr>
          <w:p w:rsidR="0021369F" w:rsidRPr="008F185F" w:rsidRDefault="0021369F" w:rsidP="0053590D">
            <w:pPr>
              <w:rPr>
                <w:sz w:val="24"/>
                <w:szCs w:val="24"/>
              </w:rPr>
            </w:pPr>
            <w:r w:rsidRPr="008F185F">
              <w:rPr>
                <w:sz w:val="24"/>
                <w:szCs w:val="24"/>
              </w:rPr>
              <w:t>TUIK</w:t>
            </w:r>
          </w:p>
        </w:tc>
      </w:tr>
      <w:tr w:rsidR="0021369F" w:rsidRPr="008F185F" w:rsidTr="0053590D">
        <w:tc>
          <w:tcPr>
            <w:tcW w:w="1890" w:type="dxa"/>
          </w:tcPr>
          <w:p w:rsidR="0021369F" w:rsidRDefault="0021369F" w:rsidP="0053590D">
            <w:pPr>
              <w:rPr>
                <w:sz w:val="24"/>
                <w:szCs w:val="24"/>
              </w:rPr>
            </w:pPr>
            <w:r>
              <w:rPr>
                <w:sz w:val="24"/>
                <w:szCs w:val="24"/>
              </w:rPr>
              <w:t>Rural Population</w:t>
            </w:r>
          </w:p>
        </w:tc>
        <w:tc>
          <w:tcPr>
            <w:tcW w:w="2268" w:type="dxa"/>
          </w:tcPr>
          <w:p w:rsidR="0021369F" w:rsidRPr="008F185F" w:rsidRDefault="0021369F" w:rsidP="0053590D">
            <w:pPr>
              <w:rPr>
                <w:sz w:val="24"/>
                <w:szCs w:val="24"/>
              </w:rPr>
            </w:pPr>
            <w:r>
              <w:rPr>
                <w:sz w:val="24"/>
                <w:szCs w:val="24"/>
              </w:rPr>
              <w:t>Ratio of rural population</w:t>
            </w:r>
          </w:p>
        </w:tc>
        <w:tc>
          <w:tcPr>
            <w:tcW w:w="810" w:type="dxa"/>
          </w:tcPr>
          <w:p w:rsidR="0021369F" w:rsidRDefault="0021369F" w:rsidP="0053590D">
            <w:pPr>
              <w:jc w:val="center"/>
              <w:rPr>
                <w:sz w:val="24"/>
                <w:szCs w:val="24"/>
              </w:rPr>
            </w:pPr>
            <w:r>
              <w:rPr>
                <w:sz w:val="24"/>
                <w:szCs w:val="24"/>
              </w:rPr>
              <w:t>1,134</w:t>
            </w:r>
          </w:p>
        </w:tc>
        <w:tc>
          <w:tcPr>
            <w:tcW w:w="810" w:type="dxa"/>
          </w:tcPr>
          <w:p w:rsidR="0021369F" w:rsidRDefault="0021369F" w:rsidP="0053590D">
            <w:pPr>
              <w:jc w:val="center"/>
              <w:rPr>
                <w:sz w:val="24"/>
                <w:szCs w:val="24"/>
              </w:rPr>
            </w:pPr>
            <w:r>
              <w:rPr>
                <w:sz w:val="24"/>
                <w:szCs w:val="24"/>
              </w:rPr>
              <w:t>61.4</w:t>
            </w:r>
          </w:p>
        </w:tc>
        <w:tc>
          <w:tcPr>
            <w:tcW w:w="720" w:type="dxa"/>
          </w:tcPr>
          <w:p w:rsidR="0021369F" w:rsidRDefault="0021369F" w:rsidP="0053590D">
            <w:pPr>
              <w:jc w:val="center"/>
              <w:rPr>
                <w:sz w:val="24"/>
                <w:szCs w:val="24"/>
              </w:rPr>
            </w:pPr>
            <w:r>
              <w:rPr>
                <w:sz w:val="24"/>
                <w:szCs w:val="24"/>
              </w:rPr>
              <w:t>19.6</w:t>
            </w:r>
          </w:p>
        </w:tc>
        <w:tc>
          <w:tcPr>
            <w:tcW w:w="810" w:type="dxa"/>
          </w:tcPr>
          <w:p w:rsidR="0021369F" w:rsidRDefault="0021369F" w:rsidP="0053590D">
            <w:pPr>
              <w:jc w:val="center"/>
              <w:rPr>
                <w:sz w:val="24"/>
                <w:szCs w:val="24"/>
              </w:rPr>
            </w:pPr>
            <w:r>
              <w:rPr>
                <w:sz w:val="24"/>
                <w:szCs w:val="24"/>
              </w:rPr>
              <w:t>2.9</w:t>
            </w:r>
          </w:p>
        </w:tc>
        <w:tc>
          <w:tcPr>
            <w:tcW w:w="810" w:type="dxa"/>
          </w:tcPr>
          <w:p w:rsidR="0021369F" w:rsidRDefault="0021369F" w:rsidP="0053590D">
            <w:pPr>
              <w:jc w:val="center"/>
              <w:rPr>
                <w:sz w:val="24"/>
                <w:szCs w:val="24"/>
              </w:rPr>
            </w:pPr>
            <w:r>
              <w:rPr>
                <w:sz w:val="24"/>
                <w:szCs w:val="24"/>
              </w:rPr>
              <w:t>94</w:t>
            </w:r>
          </w:p>
        </w:tc>
        <w:tc>
          <w:tcPr>
            <w:tcW w:w="1512" w:type="dxa"/>
          </w:tcPr>
          <w:p w:rsidR="0021369F" w:rsidRPr="008F185F" w:rsidRDefault="0021369F" w:rsidP="0053590D">
            <w:pPr>
              <w:rPr>
                <w:sz w:val="24"/>
                <w:szCs w:val="24"/>
              </w:rPr>
            </w:pPr>
            <w:r>
              <w:rPr>
                <w:sz w:val="24"/>
                <w:szCs w:val="24"/>
              </w:rPr>
              <w:t>TUIK</w:t>
            </w:r>
          </w:p>
        </w:tc>
      </w:tr>
      <w:tr w:rsidR="0021369F" w:rsidRPr="008F185F" w:rsidTr="0053590D">
        <w:tc>
          <w:tcPr>
            <w:tcW w:w="1890" w:type="dxa"/>
          </w:tcPr>
          <w:p w:rsidR="0021369F" w:rsidRDefault="0021369F" w:rsidP="0053590D">
            <w:pPr>
              <w:rPr>
                <w:sz w:val="24"/>
                <w:szCs w:val="24"/>
              </w:rPr>
            </w:pPr>
            <w:r w:rsidRPr="008F185F">
              <w:rPr>
                <w:sz w:val="24"/>
                <w:szCs w:val="24"/>
              </w:rPr>
              <w:t>Rebellion</w:t>
            </w:r>
          </w:p>
          <w:p w:rsidR="0021369F" w:rsidRPr="008F185F" w:rsidRDefault="0021369F" w:rsidP="0053590D">
            <w:pPr>
              <w:rPr>
                <w:sz w:val="24"/>
                <w:szCs w:val="24"/>
              </w:rPr>
            </w:pPr>
          </w:p>
        </w:tc>
        <w:tc>
          <w:tcPr>
            <w:tcW w:w="2268" w:type="dxa"/>
          </w:tcPr>
          <w:p w:rsidR="0021369F" w:rsidRPr="008F185F" w:rsidRDefault="0021369F" w:rsidP="0053590D">
            <w:pPr>
              <w:rPr>
                <w:sz w:val="24"/>
                <w:szCs w:val="24"/>
              </w:rPr>
            </w:pPr>
            <w:r w:rsidRPr="008F185F">
              <w:rPr>
                <w:sz w:val="24"/>
                <w:szCs w:val="24"/>
              </w:rPr>
              <w:t xml:space="preserve">Dummy variable, 1 if the district </w:t>
            </w:r>
            <w:r>
              <w:rPr>
                <w:sz w:val="24"/>
                <w:szCs w:val="24"/>
              </w:rPr>
              <w:t>had</w:t>
            </w:r>
            <w:r w:rsidRPr="008F185F">
              <w:rPr>
                <w:sz w:val="24"/>
                <w:szCs w:val="24"/>
              </w:rPr>
              <w:t xml:space="preserve"> rebellio</w:t>
            </w:r>
            <w:r>
              <w:rPr>
                <w:sz w:val="24"/>
                <w:szCs w:val="24"/>
              </w:rPr>
              <w:t>n</w:t>
            </w:r>
            <w:r w:rsidRPr="008F185F">
              <w:rPr>
                <w:sz w:val="24"/>
                <w:szCs w:val="24"/>
              </w:rPr>
              <w:t xml:space="preserve"> in the 1920s and 1930s</w:t>
            </w:r>
          </w:p>
        </w:tc>
        <w:tc>
          <w:tcPr>
            <w:tcW w:w="810" w:type="dxa"/>
          </w:tcPr>
          <w:p w:rsidR="0021369F" w:rsidRPr="008F185F" w:rsidRDefault="0021369F" w:rsidP="0053590D">
            <w:pPr>
              <w:jc w:val="center"/>
              <w:rPr>
                <w:sz w:val="24"/>
                <w:szCs w:val="24"/>
              </w:rPr>
            </w:pPr>
            <w:r>
              <w:rPr>
                <w:sz w:val="24"/>
                <w:szCs w:val="24"/>
              </w:rPr>
              <w:t>189</w:t>
            </w:r>
          </w:p>
        </w:tc>
        <w:tc>
          <w:tcPr>
            <w:tcW w:w="810" w:type="dxa"/>
          </w:tcPr>
          <w:p w:rsidR="0021369F" w:rsidRPr="008F185F" w:rsidRDefault="0021369F" w:rsidP="0053590D">
            <w:pPr>
              <w:jc w:val="center"/>
              <w:rPr>
                <w:sz w:val="24"/>
                <w:szCs w:val="24"/>
              </w:rPr>
            </w:pPr>
            <w:r w:rsidRPr="008F185F">
              <w:rPr>
                <w:sz w:val="24"/>
                <w:szCs w:val="24"/>
              </w:rPr>
              <w:t>0.55</w:t>
            </w:r>
          </w:p>
        </w:tc>
        <w:tc>
          <w:tcPr>
            <w:tcW w:w="720" w:type="dxa"/>
          </w:tcPr>
          <w:p w:rsidR="0021369F" w:rsidRPr="008F185F" w:rsidRDefault="0021369F" w:rsidP="0053590D">
            <w:pPr>
              <w:jc w:val="center"/>
              <w:rPr>
                <w:sz w:val="24"/>
                <w:szCs w:val="24"/>
              </w:rPr>
            </w:pPr>
            <w:r w:rsidRPr="008F185F">
              <w:rPr>
                <w:sz w:val="24"/>
                <w:szCs w:val="24"/>
              </w:rPr>
              <w:t>0.50</w:t>
            </w:r>
          </w:p>
        </w:tc>
        <w:tc>
          <w:tcPr>
            <w:tcW w:w="810" w:type="dxa"/>
          </w:tcPr>
          <w:p w:rsidR="0021369F" w:rsidRPr="008F185F" w:rsidRDefault="0021369F" w:rsidP="0053590D">
            <w:pPr>
              <w:jc w:val="center"/>
              <w:rPr>
                <w:sz w:val="24"/>
                <w:szCs w:val="24"/>
              </w:rPr>
            </w:pPr>
            <w:r w:rsidRPr="008F185F">
              <w:rPr>
                <w:sz w:val="24"/>
                <w:szCs w:val="24"/>
              </w:rPr>
              <w:t>0</w:t>
            </w:r>
          </w:p>
        </w:tc>
        <w:tc>
          <w:tcPr>
            <w:tcW w:w="810" w:type="dxa"/>
          </w:tcPr>
          <w:p w:rsidR="0021369F" w:rsidRPr="008F185F" w:rsidRDefault="0021369F" w:rsidP="0053590D">
            <w:pPr>
              <w:jc w:val="center"/>
              <w:rPr>
                <w:sz w:val="24"/>
                <w:szCs w:val="24"/>
              </w:rPr>
            </w:pPr>
            <w:r w:rsidRPr="008F185F">
              <w:rPr>
                <w:sz w:val="24"/>
                <w:szCs w:val="24"/>
              </w:rPr>
              <w:t>1</w:t>
            </w:r>
          </w:p>
        </w:tc>
        <w:tc>
          <w:tcPr>
            <w:tcW w:w="1512" w:type="dxa"/>
          </w:tcPr>
          <w:p w:rsidR="0021369F" w:rsidRPr="008F185F" w:rsidRDefault="0021369F" w:rsidP="0053590D">
            <w:pPr>
              <w:rPr>
                <w:sz w:val="24"/>
                <w:szCs w:val="24"/>
                <w:lang w:val="tr-TR"/>
              </w:rPr>
            </w:pPr>
            <w:r w:rsidRPr="008F185F">
              <w:rPr>
                <w:rFonts w:cs="Arial"/>
                <w:sz w:val="24"/>
                <w:szCs w:val="24"/>
                <w:shd w:val="clear" w:color="auto" w:fill="FFFFFF"/>
              </w:rPr>
              <w:t xml:space="preserve">Harp </w:t>
            </w:r>
            <w:proofErr w:type="spellStart"/>
            <w:r w:rsidRPr="008F185F">
              <w:rPr>
                <w:rFonts w:cs="Arial"/>
                <w:sz w:val="24"/>
                <w:szCs w:val="24"/>
                <w:shd w:val="clear" w:color="auto" w:fill="FFFFFF"/>
              </w:rPr>
              <w:t>Tarihi</w:t>
            </w:r>
            <w:proofErr w:type="spellEnd"/>
            <w:r w:rsidRPr="008F185F">
              <w:rPr>
                <w:rFonts w:cs="Arial"/>
                <w:sz w:val="24"/>
                <w:szCs w:val="24"/>
                <w:shd w:val="clear" w:color="auto" w:fill="FFFFFF"/>
              </w:rPr>
              <w:t xml:space="preserve"> </w:t>
            </w:r>
            <w:proofErr w:type="spellStart"/>
            <w:r w:rsidRPr="008F185F">
              <w:rPr>
                <w:rFonts w:cs="Arial"/>
                <w:sz w:val="24"/>
                <w:szCs w:val="24"/>
                <w:shd w:val="clear" w:color="auto" w:fill="FFFFFF"/>
              </w:rPr>
              <w:t>Başkanlığı</w:t>
            </w:r>
            <w:proofErr w:type="spellEnd"/>
            <w:r w:rsidRPr="008F185F">
              <w:rPr>
                <w:rFonts w:cs="Arial"/>
                <w:sz w:val="24"/>
                <w:szCs w:val="24"/>
                <w:shd w:val="clear" w:color="auto" w:fill="FFFFFF"/>
              </w:rPr>
              <w:t xml:space="preserve"> </w:t>
            </w:r>
            <w:r w:rsidRPr="008F185F">
              <w:rPr>
                <w:sz w:val="24"/>
                <w:szCs w:val="24"/>
                <w:lang w:val="tr-TR"/>
              </w:rPr>
              <w:t>(1992)</w:t>
            </w:r>
          </w:p>
        </w:tc>
      </w:tr>
      <w:tr w:rsidR="0021369F" w:rsidRPr="008F185F" w:rsidTr="0053590D">
        <w:tc>
          <w:tcPr>
            <w:tcW w:w="1890" w:type="dxa"/>
          </w:tcPr>
          <w:p w:rsidR="0021369F" w:rsidRPr="008F185F" w:rsidRDefault="0021369F" w:rsidP="0053590D">
            <w:pPr>
              <w:rPr>
                <w:sz w:val="24"/>
                <w:szCs w:val="24"/>
              </w:rPr>
            </w:pPr>
            <w:r w:rsidRPr="008F185F">
              <w:rPr>
                <w:sz w:val="24"/>
                <w:szCs w:val="24"/>
              </w:rPr>
              <w:t>Kurdish Population</w:t>
            </w:r>
          </w:p>
        </w:tc>
        <w:tc>
          <w:tcPr>
            <w:tcW w:w="2268" w:type="dxa"/>
          </w:tcPr>
          <w:p w:rsidR="0021369F" w:rsidRPr="008F185F" w:rsidRDefault="0021369F" w:rsidP="0053590D">
            <w:pPr>
              <w:rPr>
                <w:sz w:val="24"/>
                <w:szCs w:val="24"/>
              </w:rPr>
            </w:pPr>
            <w:r w:rsidRPr="008F185F">
              <w:rPr>
                <w:sz w:val="24"/>
                <w:szCs w:val="24"/>
              </w:rPr>
              <w:t>% of residents whose native language is Kurdish</w:t>
            </w:r>
          </w:p>
        </w:tc>
        <w:tc>
          <w:tcPr>
            <w:tcW w:w="810" w:type="dxa"/>
          </w:tcPr>
          <w:p w:rsidR="0021369F" w:rsidRPr="008F185F" w:rsidRDefault="0021369F" w:rsidP="0053590D">
            <w:pPr>
              <w:jc w:val="center"/>
              <w:rPr>
                <w:sz w:val="24"/>
                <w:szCs w:val="24"/>
              </w:rPr>
            </w:pPr>
            <w:r>
              <w:rPr>
                <w:sz w:val="24"/>
                <w:szCs w:val="24"/>
              </w:rPr>
              <w:t>189</w:t>
            </w:r>
          </w:p>
        </w:tc>
        <w:tc>
          <w:tcPr>
            <w:tcW w:w="810" w:type="dxa"/>
          </w:tcPr>
          <w:p w:rsidR="0021369F" w:rsidRPr="008F185F" w:rsidRDefault="0021369F" w:rsidP="0053590D">
            <w:pPr>
              <w:jc w:val="center"/>
              <w:rPr>
                <w:sz w:val="24"/>
                <w:szCs w:val="24"/>
              </w:rPr>
            </w:pPr>
            <w:r w:rsidRPr="008F185F">
              <w:rPr>
                <w:sz w:val="24"/>
                <w:szCs w:val="24"/>
              </w:rPr>
              <w:t>47.7</w:t>
            </w:r>
          </w:p>
        </w:tc>
        <w:tc>
          <w:tcPr>
            <w:tcW w:w="720" w:type="dxa"/>
          </w:tcPr>
          <w:p w:rsidR="0021369F" w:rsidRPr="008F185F" w:rsidRDefault="0021369F" w:rsidP="0053590D">
            <w:pPr>
              <w:jc w:val="center"/>
              <w:rPr>
                <w:sz w:val="24"/>
                <w:szCs w:val="24"/>
              </w:rPr>
            </w:pPr>
            <w:r>
              <w:rPr>
                <w:sz w:val="24"/>
                <w:szCs w:val="24"/>
              </w:rPr>
              <w:t>22.8</w:t>
            </w:r>
          </w:p>
        </w:tc>
        <w:tc>
          <w:tcPr>
            <w:tcW w:w="810" w:type="dxa"/>
          </w:tcPr>
          <w:p w:rsidR="0021369F" w:rsidRPr="008F185F" w:rsidRDefault="0021369F" w:rsidP="0053590D">
            <w:pPr>
              <w:jc w:val="center"/>
              <w:rPr>
                <w:sz w:val="24"/>
                <w:szCs w:val="24"/>
              </w:rPr>
            </w:pPr>
            <w:r w:rsidRPr="008F185F">
              <w:rPr>
                <w:sz w:val="24"/>
                <w:szCs w:val="24"/>
              </w:rPr>
              <w:t>11.7</w:t>
            </w:r>
          </w:p>
        </w:tc>
        <w:tc>
          <w:tcPr>
            <w:tcW w:w="810" w:type="dxa"/>
          </w:tcPr>
          <w:p w:rsidR="0021369F" w:rsidRPr="008F185F" w:rsidRDefault="0021369F" w:rsidP="0053590D">
            <w:pPr>
              <w:jc w:val="center"/>
              <w:rPr>
                <w:sz w:val="24"/>
                <w:szCs w:val="24"/>
              </w:rPr>
            </w:pPr>
            <w:r w:rsidRPr="008F185F">
              <w:rPr>
                <w:sz w:val="24"/>
                <w:szCs w:val="24"/>
              </w:rPr>
              <w:t>81.9</w:t>
            </w:r>
          </w:p>
        </w:tc>
        <w:tc>
          <w:tcPr>
            <w:tcW w:w="1512" w:type="dxa"/>
          </w:tcPr>
          <w:p w:rsidR="0021369F" w:rsidRPr="008F185F" w:rsidRDefault="0021369F" w:rsidP="0053590D">
            <w:pPr>
              <w:rPr>
                <w:sz w:val="24"/>
                <w:szCs w:val="24"/>
              </w:rPr>
            </w:pPr>
            <w:proofErr w:type="spellStart"/>
            <w:r>
              <w:rPr>
                <w:sz w:val="24"/>
                <w:szCs w:val="24"/>
              </w:rPr>
              <w:t>Mutlu</w:t>
            </w:r>
            <w:proofErr w:type="spellEnd"/>
            <w:r>
              <w:rPr>
                <w:sz w:val="24"/>
                <w:szCs w:val="24"/>
              </w:rPr>
              <w:t xml:space="preserve"> (1996); </w:t>
            </w:r>
            <w:proofErr w:type="spellStart"/>
            <w:r>
              <w:rPr>
                <w:sz w:val="24"/>
                <w:szCs w:val="24"/>
              </w:rPr>
              <w:t>Kibris</w:t>
            </w:r>
            <w:proofErr w:type="spellEnd"/>
            <w:r>
              <w:rPr>
                <w:sz w:val="24"/>
                <w:szCs w:val="24"/>
              </w:rPr>
              <w:t xml:space="preserve"> (2015</w:t>
            </w:r>
            <w:r w:rsidRPr="008F185F">
              <w:rPr>
                <w:sz w:val="24"/>
                <w:szCs w:val="24"/>
              </w:rPr>
              <w:t>)</w:t>
            </w:r>
          </w:p>
        </w:tc>
      </w:tr>
      <w:tr w:rsidR="0021369F" w:rsidRPr="008F185F" w:rsidTr="0053590D">
        <w:tc>
          <w:tcPr>
            <w:tcW w:w="1890" w:type="dxa"/>
            <w:tcBorders>
              <w:bottom w:val="single" w:sz="12" w:space="0" w:color="auto"/>
            </w:tcBorders>
          </w:tcPr>
          <w:p w:rsidR="0021369F" w:rsidRPr="008F185F" w:rsidRDefault="0021369F" w:rsidP="0053590D">
            <w:pPr>
              <w:rPr>
                <w:sz w:val="24"/>
                <w:szCs w:val="24"/>
              </w:rPr>
            </w:pPr>
          </w:p>
        </w:tc>
        <w:tc>
          <w:tcPr>
            <w:tcW w:w="2268" w:type="dxa"/>
            <w:tcBorders>
              <w:bottom w:val="single" w:sz="12" w:space="0" w:color="auto"/>
            </w:tcBorders>
          </w:tcPr>
          <w:p w:rsidR="0021369F" w:rsidRPr="008F185F" w:rsidRDefault="0021369F" w:rsidP="0053590D">
            <w:pPr>
              <w:rPr>
                <w:sz w:val="24"/>
                <w:szCs w:val="24"/>
              </w:rPr>
            </w:pPr>
          </w:p>
        </w:tc>
        <w:tc>
          <w:tcPr>
            <w:tcW w:w="810" w:type="dxa"/>
            <w:tcBorders>
              <w:bottom w:val="single" w:sz="12" w:space="0" w:color="auto"/>
            </w:tcBorders>
          </w:tcPr>
          <w:p w:rsidR="0021369F" w:rsidRPr="008F185F" w:rsidRDefault="0021369F" w:rsidP="0053590D">
            <w:pPr>
              <w:jc w:val="center"/>
              <w:rPr>
                <w:sz w:val="24"/>
                <w:szCs w:val="24"/>
              </w:rPr>
            </w:pPr>
          </w:p>
        </w:tc>
        <w:tc>
          <w:tcPr>
            <w:tcW w:w="810" w:type="dxa"/>
            <w:tcBorders>
              <w:bottom w:val="single" w:sz="12" w:space="0" w:color="auto"/>
            </w:tcBorders>
          </w:tcPr>
          <w:p w:rsidR="0021369F" w:rsidRPr="008F185F" w:rsidRDefault="0021369F" w:rsidP="0053590D">
            <w:pPr>
              <w:jc w:val="center"/>
              <w:rPr>
                <w:sz w:val="24"/>
                <w:szCs w:val="24"/>
              </w:rPr>
            </w:pPr>
          </w:p>
        </w:tc>
        <w:tc>
          <w:tcPr>
            <w:tcW w:w="720" w:type="dxa"/>
            <w:tcBorders>
              <w:bottom w:val="single" w:sz="12" w:space="0" w:color="auto"/>
            </w:tcBorders>
          </w:tcPr>
          <w:p w:rsidR="0021369F" w:rsidRPr="008F185F" w:rsidRDefault="0021369F" w:rsidP="0053590D">
            <w:pPr>
              <w:jc w:val="center"/>
              <w:rPr>
                <w:sz w:val="24"/>
                <w:szCs w:val="24"/>
              </w:rPr>
            </w:pPr>
          </w:p>
        </w:tc>
        <w:tc>
          <w:tcPr>
            <w:tcW w:w="810" w:type="dxa"/>
            <w:tcBorders>
              <w:bottom w:val="single" w:sz="12" w:space="0" w:color="auto"/>
            </w:tcBorders>
          </w:tcPr>
          <w:p w:rsidR="0021369F" w:rsidRPr="008F185F" w:rsidRDefault="0021369F" w:rsidP="0053590D">
            <w:pPr>
              <w:jc w:val="center"/>
              <w:rPr>
                <w:sz w:val="24"/>
                <w:szCs w:val="24"/>
              </w:rPr>
            </w:pPr>
          </w:p>
        </w:tc>
        <w:tc>
          <w:tcPr>
            <w:tcW w:w="810" w:type="dxa"/>
            <w:tcBorders>
              <w:bottom w:val="single" w:sz="12" w:space="0" w:color="auto"/>
            </w:tcBorders>
          </w:tcPr>
          <w:p w:rsidR="0021369F" w:rsidRPr="008F185F" w:rsidRDefault="0021369F" w:rsidP="0053590D">
            <w:pPr>
              <w:jc w:val="center"/>
              <w:rPr>
                <w:sz w:val="24"/>
                <w:szCs w:val="24"/>
              </w:rPr>
            </w:pPr>
          </w:p>
        </w:tc>
        <w:tc>
          <w:tcPr>
            <w:tcW w:w="1512" w:type="dxa"/>
            <w:tcBorders>
              <w:bottom w:val="single" w:sz="12" w:space="0" w:color="auto"/>
            </w:tcBorders>
          </w:tcPr>
          <w:p w:rsidR="0021369F" w:rsidRPr="008F185F" w:rsidRDefault="0021369F" w:rsidP="0053590D">
            <w:pPr>
              <w:rPr>
                <w:sz w:val="24"/>
                <w:szCs w:val="24"/>
              </w:rPr>
            </w:pPr>
          </w:p>
        </w:tc>
      </w:tr>
    </w:tbl>
    <w:p w:rsidR="0021369F" w:rsidRDefault="0021369F" w:rsidP="0021369F">
      <w:pPr>
        <w:spacing w:after="0" w:line="240" w:lineRule="auto"/>
        <w:rPr>
          <w:sz w:val="20"/>
          <w:szCs w:val="20"/>
        </w:rPr>
      </w:pPr>
      <w:r w:rsidRPr="000C38DA">
        <w:rPr>
          <w:sz w:val="20"/>
          <w:szCs w:val="20"/>
        </w:rPr>
        <w:t xml:space="preserve">Note: Not all variables have values for all 6 periods. Variables from the KIM dataset and Kurdish vote have values also for the pre-insurgency period of 1980-4. </w:t>
      </w:r>
      <w:r>
        <w:rPr>
          <w:sz w:val="20"/>
          <w:szCs w:val="20"/>
        </w:rPr>
        <w:t>TUIK is the Turkish Statistical Institute (</w:t>
      </w:r>
      <w:hyperlink r:id="rId13" w:history="1">
        <w:r w:rsidRPr="000F0D49">
          <w:rPr>
            <w:rStyle w:val="Hyperlink"/>
            <w:sz w:val="20"/>
            <w:szCs w:val="20"/>
          </w:rPr>
          <w:t>www.tuik.gov.tr</w:t>
        </w:r>
      </w:hyperlink>
      <w:r>
        <w:rPr>
          <w:sz w:val="20"/>
          <w:szCs w:val="20"/>
        </w:rPr>
        <w:t xml:space="preserve">). </w:t>
      </w:r>
    </w:p>
    <w:p w:rsidR="0021369F" w:rsidRDefault="0021369F" w:rsidP="0021369F">
      <w:pPr>
        <w:spacing w:after="240" w:line="240" w:lineRule="auto"/>
        <w:rPr>
          <w:sz w:val="20"/>
          <w:szCs w:val="20"/>
        </w:rPr>
      </w:pPr>
    </w:p>
    <w:p w:rsidR="0021369F" w:rsidRDefault="0021369F" w:rsidP="0021369F">
      <w:pPr>
        <w:spacing w:after="0" w:line="480" w:lineRule="auto"/>
        <w:rPr>
          <w:sz w:val="24"/>
          <w:szCs w:val="24"/>
        </w:rPr>
      </w:pPr>
    </w:p>
    <w:p w:rsidR="006204AA" w:rsidRDefault="006204AA" w:rsidP="0021369F">
      <w:pPr>
        <w:spacing w:after="0" w:line="480" w:lineRule="auto"/>
        <w:rPr>
          <w:sz w:val="24"/>
          <w:szCs w:val="24"/>
        </w:rPr>
      </w:pPr>
    </w:p>
    <w:p w:rsidR="006204AA" w:rsidRDefault="006204AA" w:rsidP="0021369F">
      <w:pPr>
        <w:spacing w:after="0" w:line="480" w:lineRule="auto"/>
        <w:rPr>
          <w:sz w:val="24"/>
          <w:szCs w:val="24"/>
        </w:rPr>
      </w:pPr>
    </w:p>
    <w:p w:rsidR="006204AA" w:rsidRDefault="006204AA">
      <w:pPr>
        <w:rPr>
          <w:sz w:val="24"/>
          <w:szCs w:val="24"/>
        </w:rPr>
      </w:pPr>
      <w:r>
        <w:rPr>
          <w:sz w:val="24"/>
          <w:szCs w:val="24"/>
        </w:rPr>
        <w:br w:type="page"/>
      </w:r>
    </w:p>
    <w:p w:rsidR="006204AA" w:rsidRPr="00975E23" w:rsidRDefault="006204AA" w:rsidP="008036F8">
      <w:pPr>
        <w:rPr>
          <w:sz w:val="24"/>
          <w:szCs w:val="24"/>
        </w:rPr>
      </w:pPr>
      <w:r w:rsidRPr="00975E23">
        <w:rPr>
          <w:sz w:val="24"/>
          <w:szCs w:val="24"/>
        </w:rPr>
        <w:lastRenderedPageBreak/>
        <w:t xml:space="preserve">Figure </w:t>
      </w:r>
      <w:r w:rsidR="008036F8">
        <w:rPr>
          <w:sz w:val="24"/>
          <w:szCs w:val="24"/>
        </w:rPr>
        <w:t>E</w:t>
      </w:r>
      <w:r w:rsidRPr="00975E23">
        <w:rPr>
          <w:sz w:val="24"/>
          <w:szCs w:val="24"/>
        </w:rPr>
        <w:t xml:space="preserve">.1. Histogram of the Dependent Variable </w:t>
      </w:r>
    </w:p>
    <w:p w:rsidR="006204AA" w:rsidRDefault="006204AA" w:rsidP="006204AA">
      <w:r w:rsidRPr="00906F7C">
        <w:rPr>
          <w:noProof/>
        </w:rPr>
        <w:drawing>
          <wp:inline distT="0" distB="0" distL="0" distR="0" wp14:anchorId="6FF0E009" wp14:editId="06CF9F7A">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204AA" w:rsidRPr="00C36C0E" w:rsidRDefault="00C36C0E" w:rsidP="006204AA">
      <w:pPr>
        <w:rPr>
          <w:sz w:val="20"/>
          <w:szCs w:val="20"/>
        </w:rPr>
      </w:pPr>
      <w:r w:rsidRPr="00C36C0E">
        <w:rPr>
          <w:sz w:val="20"/>
          <w:szCs w:val="20"/>
        </w:rPr>
        <w:t xml:space="preserve">Note: </w:t>
      </w:r>
      <w:r w:rsidR="006C0B26" w:rsidRPr="00C36C0E">
        <w:rPr>
          <w:sz w:val="20"/>
          <w:szCs w:val="20"/>
        </w:rPr>
        <w:t xml:space="preserve">Seventy-seven percent of observations have a value of </w:t>
      </w:r>
      <w:proofErr w:type="gramStart"/>
      <w:r w:rsidR="006C0B26" w:rsidRPr="00C36C0E">
        <w:rPr>
          <w:sz w:val="20"/>
          <w:szCs w:val="20"/>
        </w:rPr>
        <w:t>0</w:t>
      </w:r>
      <w:proofErr w:type="gramEnd"/>
      <w:r w:rsidR="006C0B26" w:rsidRPr="00C36C0E">
        <w:rPr>
          <w:sz w:val="20"/>
          <w:szCs w:val="20"/>
        </w:rPr>
        <w:t xml:space="preserve">. </w:t>
      </w:r>
    </w:p>
    <w:p w:rsidR="006204AA" w:rsidRDefault="006204AA" w:rsidP="0021369F">
      <w:pPr>
        <w:spacing w:after="0" w:line="480" w:lineRule="auto"/>
        <w:rPr>
          <w:sz w:val="24"/>
          <w:szCs w:val="24"/>
        </w:rPr>
      </w:pPr>
    </w:p>
    <w:p w:rsidR="0021369F" w:rsidRDefault="0021369F" w:rsidP="0021369F">
      <w:pPr>
        <w:spacing w:after="0" w:line="480" w:lineRule="auto"/>
        <w:rPr>
          <w:sz w:val="24"/>
          <w:szCs w:val="24"/>
        </w:rPr>
      </w:pPr>
    </w:p>
    <w:p w:rsidR="0021369F" w:rsidRDefault="0021369F" w:rsidP="0021369F">
      <w:pPr>
        <w:spacing w:after="0" w:line="480" w:lineRule="auto"/>
        <w:rPr>
          <w:sz w:val="24"/>
          <w:szCs w:val="24"/>
        </w:rPr>
      </w:pPr>
    </w:p>
    <w:p w:rsidR="00082678" w:rsidRDefault="00082678" w:rsidP="0021369F">
      <w:pPr>
        <w:spacing w:after="0" w:line="480" w:lineRule="auto"/>
        <w:rPr>
          <w:sz w:val="24"/>
          <w:szCs w:val="24"/>
        </w:rPr>
      </w:pPr>
    </w:p>
    <w:p w:rsidR="00082678" w:rsidRDefault="00082678" w:rsidP="0021369F">
      <w:pPr>
        <w:spacing w:after="0" w:line="480" w:lineRule="auto"/>
        <w:rPr>
          <w:sz w:val="24"/>
          <w:szCs w:val="24"/>
        </w:rPr>
      </w:pPr>
    </w:p>
    <w:p w:rsidR="00082678" w:rsidRDefault="00082678" w:rsidP="0021369F">
      <w:pPr>
        <w:spacing w:after="0" w:line="480" w:lineRule="auto"/>
        <w:rPr>
          <w:sz w:val="24"/>
          <w:szCs w:val="24"/>
        </w:rPr>
      </w:pPr>
    </w:p>
    <w:p w:rsidR="00082678" w:rsidRDefault="00082678" w:rsidP="0021369F">
      <w:pPr>
        <w:spacing w:after="0" w:line="480" w:lineRule="auto"/>
        <w:rPr>
          <w:sz w:val="24"/>
          <w:szCs w:val="24"/>
        </w:rPr>
      </w:pPr>
    </w:p>
    <w:p w:rsidR="00082678" w:rsidRDefault="00082678" w:rsidP="0021369F">
      <w:pPr>
        <w:spacing w:after="0" w:line="480" w:lineRule="auto"/>
        <w:rPr>
          <w:sz w:val="24"/>
          <w:szCs w:val="24"/>
        </w:rPr>
      </w:pPr>
    </w:p>
    <w:p w:rsidR="00082678" w:rsidRDefault="00082678" w:rsidP="0021369F">
      <w:pPr>
        <w:spacing w:after="0" w:line="480" w:lineRule="auto"/>
        <w:rPr>
          <w:sz w:val="24"/>
          <w:szCs w:val="24"/>
        </w:rPr>
      </w:pPr>
    </w:p>
    <w:p w:rsidR="0021369F" w:rsidRDefault="0021369F" w:rsidP="0021369F">
      <w:pPr>
        <w:spacing w:after="0" w:line="480" w:lineRule="auto"/>
        <w:rPr>
          <w:sz w:val="24"/>
          <w:szCs w:val="24"/>
        </w:rPr>
      </w:pPr>
    </w:p>
    <w:p w:rsidR="0021369F" w:rsidRPr="00D532E4" w:rsidRDefault="0021369F" w:rsidP="008036F8">
      <w:pPr>
        <w:spacing w:after="0" w:line="240" w:lineRule="auto"/>
        <w:rPr>
          <w:sz w:val="24"/>
          <w:szCs w:val="24"/>
        </w:rPr>
      </w:pPr>
      <w:r>
        <w:rPr>
          <w:sz w:val="24"/>
          <w:szCs w:val="24"/>
        </w:rPr>
        <w:lastRenderedPageBreak/>
        <w:t xml:space="preserve">Table </w:t>
      </w:r>
      <w:r w:rsidR="008036F8">
        <w:rPr>
          <w:sz w:val="24"/>
          <w:szCs w:val="24"/>
        </w:rPr>
        <w:t>E</w:t>
      </w:r>
      <w:r w:rsidR="006204AA">
        <w:rPr>
          <w:sz w:val="24"/>
          <w:szCs w:val="24"/>
        </w:rPr>
        <w:t>.2</w:t>
      </w:r>
      <w:r>
        <w:rPr>
          <w:sz w:val="24"/>
          <w:szCs w:val="24"/>
        </w:rPr>
        <w:t xml:space="preserve"> </w:t>
      </w:r>
      <w:r w:rsidR="008B7B00">
        <w:rPr>
          <w:sz w:val="24"/>
          <w:szCs w:val="24"/>
        </w:rPr>
        <w:t xml:space="preserve">Estimating Female Recruitment </w:t>
      </w:r>
      <w:r>
        <w:rPr>
          <w:sz w:val="24"/>
          <w:szCs w:val="24"/>
        </w:rPr>
        <w:t>(1984-2012)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800"/>
        <w:gridCol w:w="1890"/>
        <w:gridCol w:w="1890"/>
      </w:tblGrid>
      <w:tr w:rsidR="0021369F" w:rsidRPr="00DD47FC" w:rsidTr="0053590D">
        <w:tc>
          <w:tcPr>
            <w:tcW w:w="2340" w:type="dxa"/>
            <w:tcBorders>
              <w:top w:val="single" w:sz="4" w:space="0" w:color="auto"/>
              <w:bottom w:val="single" w:sz="4" w:space="0" w:color="auto"/>
            </w:tcBorders>
          </w:tcPr>
          <w:p w:rsidR="0021369F" w:rsidRPr="00DD47FC" w:rsidRDefault="0021369F" w:rsidP="0053590D">
            <w:pPr>
              <w:rPr>
                <w:sz w:val="24"/>
                <w:szCs w:val="24"/>
              </w:rPr>
            </w:pPr>
          </w:p>
        </w:tc>
        <w:tc>
          <w:tcPr>
            <w:tcW w:w="1800" w:type="dxa"/>
            <w:tcBorders>
              <w:top w:val="single" w:sz="4" w:space="0" w:color="auto"/>
              <w:bottom w:val="single" w:sz="4" w:space="0" w:color="auto"/>
            </w:tcBorders>
          </w:tcPr>
          <w:p w:rsidR="0021369F" w:rsidRPr="00DD47FC" w:rsidRDefault="00082678" w:rsidP="0053590D">
            <w:pPr>
              <w:jc w:val="center"/>
              <w:rPr>
                <w:sz w:val="24"/>
                <w:szCs w:val="24"/>
              </w:rPr>
            </w:pPr>
            <w:r>
              <w:rPr>
                <w:sz w:val="24"/>
                <w:szCs w:val="24"/>
              </w:rPr>
              <w:t xml:space="preserve"> Model I - ZINB</w:t>
            </w:r>
            <w:r w:rsidR="0021369F" w:rsidRPr="00DD47FC">
              <w:rPr>
                <w:sz w:val="24"/>
                <w:szCs w:val="24"/>
              </w:rPr>
              <w:t xml:space="preserve"> </w:t>
            </w:r>
          </w:p>
        </w:tc>
        <w:tc>
          <w:tcPr>
            <w:tcW w:w="1890" w:type="dxa"/>
            <w:tcBorders>
              <w:top w:val="single" w:sz="4" w:space="0" w:color="auto"/>
              <w:bottom w:val="single" w:sz="4" w:space="0" w:color="auto"/>
            </w:tcBorders>
          </w:tcPr>
          <w:p w:rsidR="0021369F" w:rsidRPr="00DD47FC" w:rsidRDefault="00082678" w:rsidP="0053590D">
            <w:pPr>
              <w:jc w:val="center"/>
              <w:rPr>
                <w:sz w:val="24"/>
                <w:szCs w:val="24"/>
              </w:rPr>
            </w:pPr>
            <w:r>
              <w:rPr>
                <w:sz w:val="24"/>
                <w:szCs w:val="24"/>
              </w:rPr>
              <w:t>Model II - ZINB</w:t>
            </w:r>
          </w:p>
        </w:tc>
        <w:tc>
          <w:tcPr>
            <w:tcW w:w="1890" w:type="dxa"/>
            <w:tcBorders>
              <w:top w:val="single" w:sz="4" w:space="0" w:color="auto"/>
              <w:bottom w:val="single" w:sz="4" w:space="0" w:color="auto"/>
            </w:tcBorders>
          </w:tcPr>
          <w:p w:rsidR="0021369F" w:rsidRPr="00DD47FC" w:rsidRDefault="00082678" w:rsidP="0053590D">
            <w:pPr>
              <w:jc w:val="center"/>
              <w:rPr>
                <w:sz w:val="24"/>
                <w:szCs w:val="24"/>
              </w:rPr>
            </w:pPr>
            <w:r>
              <w:rPr>
                <w:sz w:val="24"/>
                <w:szCs w:val="24"/>
              </w:rPr>
              <w:t>Model III - NB</w:t>
            </w:r>
          </w:p>
        </w:tc>
      </w:tr>
      <w:tr w:rsidR="0021369F" w:rsidRPr="00DD47FC" w:rsidTr="0053590D">
        <w:tc>
          <w:tcPr>
            <w:tcW w:w="2340" w:type="dxa"/>
            <w:tcBorders>
              <w:top w:val="single" w:sz="4" w:space="0" w:color="auto"/>
            </w:tcBorders>
          </w:tcPr>
          <w:p w:rsidR="0021369F" w:rsidRPr="00DD47FC" w:rsidRDefault="0021369F" w:rsidP="0053590D">
            <w:pPr>
              <w:rPr>
                <w:sz w:val="24"/>
                <w:szCs w:val="24"/>
              </w:rPr>
            </w:pPr>
            <w:r w:rsidRPr="00DD47FC">
              <w:rPr>
                <w:sz w:val="24"/>
                <w:szCs w:val="24"/>
              </w:rPr>
              <w:t>Previous Recruits</w:t>
            </w:r>
          </w:p>
        </w:tc>
        <w:tc>
          <w:tcPr>
            <w:tcW w:w="1800" w:type="dxa"/>
            <w:tcBorders>
              <w:top w:val="single" w:sz="4" w:space="0" w:color="auto"/>
            </w:tcBorders>
          </w:tcPr>
          <w:p w:rsidR="0021369F" w:rsidRPr="00DD47FC" w:rsidRDefault="0021369F" w:rsidP="0053590D">
            <w:pPr>
              <w:rPr>
                <w:sz w:val="24"/>
                <w:szCs w:val="24"/>
              </w:rPr>
            </w:pPr>
            <w:r w:rsidRPr="00DD47FC">
              <w:rPr>
                <w:sz w:val="24"/>
                <w:szCs w:val="24"/>
              </w:rPr>
              <w:t>0.0</w:t>
            </w:r>
            <w:r>
              <w:rPr>
                <w:sz w:val="24"/>
                <w:szCs w:val="24"/>
              </w:rPr>
              <w:t>2</w:t>
            </w:r>
            <w:r w:rsidRPr="00DD47FC">
              <w:rPr>
                <w:sz w:val="24"/>
                <w:szCs w:val="24"/>
              </w:rPr>
              <w:t>** (0.00)</w:t>
            </w:r>
          </w:p>
        </w:tc>
        <w:tc>
          <w:tcPr>
            <w:tcW w:w="1890" w:type="dxa"/>
            <w:tcBorders>
              <w:top w:val="single" w:sz="4" w:space="0" w:color="auto"/>
            </w:tcBorders>
          </w:tcPr>
          <w:p w:rsidR="0021369F" w:rsidRPr="00DD47FC" w:rsidRDefault="0021369F" w:rsidP="0053590D">
            <w:pPr>
              <w:rPr>
                <w:sz w:val="24"/>
                <w:szCs w:val="24"/>
              </w:rPr>
            </w:pPr>
            <w:r w:rsidRPr="00DD47FC">
              <w:rPr>
                <w:sz w:val="24"/>
                <w:szCs w:val="24"/>
              </w:rPr>
              <w:t>0</w:t>
            </w:r>
            <w:r>
              <w:rPr>
                <w:sz w:val="24"/>
                <w:szCs w:val="24"/>
              </w:rPr>
              <w:t>.02</w:t>
            </w:r>
            <w:r w:rsidRPr="00DD47FC">
              <w:rPr>
                <w:sz w:val="24"/>
                <w:szCs w:val="24"/>
              </w:rPr>
              <w:t>*** (0.00)</w:t>
            </w:r>
          </w:p>
        </w:tc>
        <w:tc>
          <w:tcPr>
            <w:tcW w:w="1890" w:type="dxa"/>
            <w:tcBorders>
              <w:top w:val="single" w:sz="4" w:space="0" w:color="auto"/>
            </w:tcBorders>
          </w:tcPr>
          <w:p w:rsidR="0021369F" w:rsidRPr="00DD47FC" w:rsidRDefault="0021369F" w:rsidP="0053590D">
            <w:pPr>
              <w:rPr>
                <w:sz w:val="24"/>
                <w:szCs w:val="24"/>
              </w:rPr>
            </w:pPr>
            <w:r>
              <w:rPr>
                <w:sz w:val="24"/>
                <w:szCs w:val="24"/>
              </w:rPr>
              <w:t>0.03</w:t>
            </w:r>
            <w:r w:rsidRPr="00DD47FC">
              <w:rPr>
                <w:sz w:val="24"/>
                <w:szCs w:val="24"/>
              </w:rPr>
              <w:t>*** (0.00)</w:t>
            </w:r>
          </w:p>
        </w:tc>
      </w:tr>
      <w:tr w:rsidR="0021369F" w:rsidRPr="00DD47FC" w:rsidTr="0053590D">
        <w:tc>
          <w:tcPr>
            <w:tcW w:w="2340" w:type="dxa"/>
          </w:tcPr>
          <w:p w:rsidR="0021369F" w:rsidRPr="00DD47FC" w:rsidRDefault="0021369F" w:rsidP="0053590D">
            <w:pPr>
              <w:rPr>
                <w:sz w:val="24"/>
                <w:szCs w:val="24"/>
              </w:rPr>
            </w:pPr>
            <w:r w:rsidRPr="00DD47FC">
              <w:rPr>
                <w:sz w:val="24"/>
                <w:szCs w:val="24"/>
              </w:rPr>
              <w:t>Clashes</w:t>
            </w:r>
          </w:p>
        </w:tc>
        <w:tc>
          <w:tcPr>
            <w:tcW w:w="1800" w:type="dxa"/>
          </w:tcPr>
          <w:p w:rsidR="0021369F" w:rsidRPr="00DD47FC" w:rsidRDefault="0021369F" w:rsidP="0053590D">
            <w:pPr>
              <w:rPr>
                <w:sz w:val="24"/>
                <w:szCs w:val="24"/>
              </w:rPr>
            </w:pPr>
            <w:r>
              <w:rPr>
                <w:sz w:val="24"/>
                <w:szCs w:val="24"/>
              </w:rPr>
              <w:t>0.01 (0.01</w:t>
            </w:r>
            <w:r w:rsidRPr="00DD47FC">
              <w:rPr>
                <w:sz w:val="24"/>
                <w:szCs w:val="24"/>
              </w:rPr>
              <w:t>)</w:t>
            </w:r>
          </w:p>
        </w:tc>
        <w:tc>
          <w:tcPr>
            <w:tcW w:w="1890" w:type="dxa"/>
          </w:tcPr>
          <w:p w:rsidR="0021369F" w:rsidRPr="00DD47FC" w:rsidRDefault="0021369F" w:rsidP="0053590D">
            <w:pPr>
              <w:rPr>
                <w:sz w:val="24"/>
                <w:szCs w:val="24"/>
              </w:rPr>
            </w:pPr>
            <w:r>
              <w:rPr>
                <w:sz w:val="24"/>
                <w:szCs w:val="24"/>
              </w:rPr>
              <w:t>0.01* (0.00</w:t>
            </w:r>
            <w:r w:rsidRPr="00DD47FC">
              <w:rPr>
                <w:sz w:val="24"/>
                <w:szCs w:val="24"/>
              </w:rPr>
              <w:t>)</w:t>
            </w:r>
          </w:p>
        </w:tc>
        <w:tc>
          <w:tcPr>
            <w:tcW w:w="1890" w:type="dxa"/>
          </w:tcPr>
          <w:p w:rsidR="0021369F" w:rsidRPr="00DD47FC" w:rsidRDefault="0021369F" w:rsidP="0053590D">
            <w:pPr>
              <w:rPr>
                <w:sz w:val="24"/>
                <w:szCs w:val="24"/>
              </w:rPr>
            </w:pPr>
            <w:r>
              <w:rPr>
                <w:sz w:val="24"/>
                <w:szCs w:val="24"/>
              </w:rPr>
              <w:t>0.02* (0.01</w:t>
            </w:r>
            <w:r w:rsidRPr="00DD47FC">
              <w:rPr>
                <w:sz w:val="24"/>
                <w:szCs w:val="24"/>
              </w:rPr>
              <w:t>)</w:t>
            </w:r>
          </w:p>
        </w:tc>
      </w:tr>
      <w:tr w:rsidR="0021369F" w:rsidRPr="00DD47FC" w:rsidTr="0053590D">
        <w:tc>
          <w:tcPr>
            <w:tcW w:w="2340" w:type="dxa"/>
          </w:tcPr>
          <w:p w:rsidR="0021369F" w:rsidRPr="00DD47FC" w:rsidRDefault="0021369F" w:rsidP="0053590D">
            <w:pPr>
              <w:rPr>
                <w:sz w:val="24"/>
                <w:szCs w:val="24"/>
              </w:rPr>
            </w:pPr>
            <w:r>
              <w:rPr>
                <w:sz w:val="24"/>
                <w:szCs w:val="24"/>
              </w:rPr>
              <w:t>Female Literacy Ratio</w:t>
            </w:r>
          </w:p>
        </w:tc>
        <w:tc>
          <w:tcPr>
            <w:tcW w:w="1800" w:type="dxa"/>
          </w:tcPr>
          <w:p w:rsidR="0021369F" w:rsidRPr="00DD47FC" w:rsidRDefault="0021369F" w:rsidP="0053590D">
            <w:pPr>
              <w:rPr>
                <w:sz w:val="24"/>
                <w:szCs w:val="24"/>
              </w:rPr>
            </w:pPr>
            <w:r>
              <w:rPr>
                <w:sz w:val="24"/>
                <w:szCs w:val="24"/>
              </w:rPr>
              <w:t>-0.01*</w:t>
            </w:r>
            <w:r w:rsidRPr="00DD47FC">
              <w:rPr>
                <w:sz w:val="24"/>
                <w:szCs w:val="24"/>
              </w:rPr>
              <w:t xml:space="preserve"> (0.01)</w:t>
            </w:r>
          </w:p>
        </w:tc>
        <w:tc>
          <w:tcPr>
            <w:tcW w:w="1890" w:type="dxa"/>
          </w:tcPr>
          <w:p w:rsidR="0021369F" w:rsidRPr="00DD47FC" w:rsidRDefault="0021369F" w:rsidP="0053590D">
            <w:pPr>
              <w:rPr>
                <w:sz w:val="24"/>
                <w:szCs w:val="24"/>
              </w:rPr>
            </w:pPr>
            <w:r>
              <w:rPr>
                <w:sz w:val="24"/>
                <w:szCs w:val="24"/>
              </w:rPr>
              <w:t>-0.03**</w:t>
            </w:r>
            <w:r w:rsidRPr="00DD47FC">
              <w:rPr>
                <w:sz w:val="24"/>
                <w:szCs w:val="24"/>
              </w:rPr>
              <w:t>* (0.0</w:t>
            </w:r>
            <w:r>
              <w:rPr>
                <w:sz w:val="24"/>
                <w:szCs w:val="24"/>
              </w:rPr>
              <w:t>0</w:t>
            </w:r>
            <w:r w:rsidRPr="00DD47FC">
              <w:rPr>
                <w:sz w:val="24"/>
                <w:szCs w:val="24"/>
              </w:rPr>
              <w:t>)</w:t>
            </w:r>
          </w:p>
        </w:tc>
        <w:tc>
          <w:tcPr>
            <w:tcW w:w="1890" w:type="dxa"/>
          </w:tcPr>
          <w:p w:rsidR="0021369F" w:rsidRPr="00DD47FC" w:rsidRDefault="0021369F" w:rsidP="0053590D">
            <w:pPr>
              <w:rPr>
                <w:sz w:val="24"/>
                <w:szCs w:val="24"/>
              </w:rPr>
            </w:pPr>
            <w:r>
              <w:rPr>
                <w:sz w:val="24"/>
                <w:szCs w:val="24"/>
              </w:rPr>
              <w:t>-0.03</w:t>
            </w:r>
            <w:r w:rsidRPr="00DD47FC">
              <w:rPr>
                <w:sz w:val="24"/>
                <w:szCs w:val="24"/>
              </w:rPr>
              <w:t>*</w:t>
            </w:r>
            <w:r>
              <w:rPr>
                <w:sz w:val="24"/>
                <w:szCs w:val="24"/>
              </w:rPr>
              <w:t>**</w:t>
            </w:r>
            <w:r w:rsidRPr="00DD47FC">
              <w:rPr>
                <w:sz w:val="24"/>
                <w:szCs w:val="24"/>
              </w:rPr>
              <w:t xml:space="preserve"> (0.0</w:t>
            </w:r>
            <w:r>
              <w:rPr>
                <w:sz w:val="24"/>
                <w:szCs w:val="24"/>
              </w:rPr>
              <w:t>0</w:t>
            </w:r>
            <w:r w:rsidRPr="00DD47FC">
              <w:rPr>
                <w:sz w:val="24"/>
                <w:szCs w:val="24"/>
              </w:rPr>
              <w:t>)</w:t>
            </w:r>
          </w:p>
        </w:tc>
      </w:tr>
      <w:tr w:rsidR="0021369F" w:rsidRPr="00DD47FC" w:rsidTr="0053590D">
        <w:tc>
          <w:tcPr>
            <w:tcW w:w="2340" w:type="dxa"/>
          </w:tcPr>
          <w:p w:rsidR="0021369F" w:rsidRPr="00DD47FC" w:rsidRDefault="0021369F" w:rsidP="0053590D">
            <w:pPr>
              <w:rPr>
                <w:sz w:val="24"/>
                <w:szCs w:val="24"/>
              </w:rPr>
            </w:pPr>
            <w:r w:rsidRPr="00DD47FC">
              <w:rPr>
                <w:sz w:val="24"/>
                <w:szCs w:val="24"/>
              </w:rPr>
              <w:t>Fertility</w:t>
            </w:r>
          </w:p>
        </w:tc>
        <w:tc>
          <w:tcPr>
            <w:tcW w:w="1800" w:type="dxa"/>
          </w:tcPr>
          <w:p w:rsidR="0021369F" w:rsidRPr="00DD47FC" w:rsidRDefault="0021369F" w:rsidP="0053590D">
            <w:pPr>
              <w:rPr>
                <w:sz w:val="24"/>
                <w:szCs w:val="24"/>
              </w:rPr>
            </w:pPr>
            <w:r>
              <w:rPr>
                <w:sz w:val="24"/>
                <w:szCs w:val="24"/>
              </w:rPr>
              <w:t>0.21 (0.20</w:t>
            </w:r>
            <w:r w:rsidRPr="00DD47FC">
              <w:rPr>
                <w:sz w:val="24"/>
                <w:szCs w:val="24"/>
              </w:rPr>
              <w:t>)</w:t>
            </w:r>
          </w:p>
        </w:tc>
        <w:tc>
          <w:tcPr>
            <w:tcW w:w="1890" w:type="dxa"/>
          </w:tcPr>
          <w:p w:rsidR="0021369F" w:rsidRPr="00DD47FC" w:rsidRDefault="0021369F" w:rsidP="0053590D">
            <w:pPr>
              <w:rPr>
                <w:sz w:val="24"/>
                <w:szCs w:val="24"/>
              </w:rPr>
            </w:pPr>
          </w:p>
        </w:tc>
        <w:tc>
          <w:tcPr>
            <w:tcW w:w="1890" w:type="dxa"/>
          </w:tcPr>
          <w:p w:rsidR="0021369F" w:rsidRPr="00DD47FC" w:rsidRDefault="0021369F" w:rsidP="0053590D">
            <w:pPr>
              <w:rPr>
                <w:sz w:val="24"/>
                <w:szCs w:val="24"/>
              </w:rPr>
            </w:pPr>
          </w:p>
        </w:tc>
      </w:tr>
      <w:tr w:rsidR="0021369F" w:rsidRPr="00DD47FC" w:rsidTr="0053590D">
        <w:tc>
          <w:tcPr>
            <w:tcW w:w="2340" w:type="dxa"/>
          </w:tcPr>
          <w:p w:rsidR="0021369F" w:rsidRPr="00DD47FC" w:rsidRDefault="0021369F" w:rsidP="0053590D">
            <w:pPr>
              <w:rPr>
                <w:sz w:val="24"/>
                <w:szCs w:val="24"/>
              </w:rPr>
            </w:pPr>
            <w:r w:rsidRPr="00DD47FC">
              <w:rPr>
                <w:sz w:val="24"/>
                <w:szCs w:val="24"/>
              </w:rPr>
              <w:t>Population (log)</w:t>
            </w:r>
          </w:p>
        </w:tc>
        <w:tc>
          <w:tcPr>
            <w:tcW w:w="1800" w:type="dxa"/>
          </w:tcPr>
          <w:p w:rsidR="0021369F" w:rsidRPr="00DD47FC" w:rsidRDefault="0021369F" w:rsidP="0053590D">
            <w:pPr>
              <w:rPr>
                <w:sz w:val="24"/>
                <w:szCs w:val="24"/>
              </w:rPr>
            </w:pPr>
            <w:r>
              <w:rPr>
                <w:sz w:val="24"/>
                <w:szCs w:val="24"/>
              </w:rPr>
              <w:t>0.42*** (0.10</w:t>
            </w:r>
            <w:r w:rsidRPr="00DD47FC">
              <w:rPr>
                <w:sz w:val="24"/>
                <w:szCs w:val="24"/>
              </w:rPr>
              <w:t>)</w:t>
            </w:r>
          </w:p>
        </w:tc>
        <w:tc>
          <w:tcPr>
            <w:tcW w:w="1890" w:type="dxa"/>
          </w:tcPr>
          <w:p w:rsidR="0021369F" w:rsidRPr="00DD47FC" w:rsidRDefault="0021369F" w:rsidP="0053590D">
            <w:pPr>
              <w:rPr>
                <w:sz w:val="24"/>
                <w:szCs w:val="24"/>
              </w:rPr>
            </w:pPr>
            <w:r>
              <w:rPr>
                <w:sz w:val="24"/>
                <w:szCs w:val="24"/>
              </w:rPr>
              <w:t>0.37*** (0.01</w:t>
            </w:r>
            <w:r w:rsidRPr="00DD47FC">
              <w:rPr>
                <w:sz w:val="24"/>
                <w:szCs w:val="24"/>
              </w:rPr>
              <w:t>)</w:t>
            </w:r>
          </w:p>
        </w:tc>
        <w:tc>
          <w:tcPr>
            <w:tcW w:w="1890" w:type="dxa"/>
          </w:tcPr>
          <w:p w:rsidR="0021369F" w:rsidRPr="00DD47FC" w:rsidRDefault="0021369F" w:rsidP="0053590D">
            <w:pPr>
              <w:rPr>
                <w:sz w:val="24"/>
                <w:szCs w:val="24"/>
              </w:rPr>
            </w:pPr>
            <w:r>
              <w:rPr>
                <w:sz w:val="24"/>
                <w:szCs w:val="24"/>
              </w:rPr>
              <w:t>0.44*** (0.09</w:t>
            </w:r>
            <w:r w:rsidRPr="00DD47FC">
              <w:rPr>
                <w:sz w:val="24"/>
                <w:szCs w:val="24"/>
              </w:rPr>
              <w:t>)</w:t>
            </w:r>
          </w:p>
        </w:tc>
      </w:tr>
      <w:tr w:rsidR="0021369F" w:rsidRPr="00DD47FC" w:rsidTr="0053590D">
        <w:tc>
          <w:tcPr>
            <w:tcW w:w="2340" w:type="dxa"/>
          </w:tcPr>
          <w:p w:rsidR="0021369F" w:rsidRPr="00DD47FC" w:rsidRDefault="0021369F" w:rsidP="0053590D">
            <w:pPr>
              <w:rPr>
                <w:sz w:val="24"/>
                <w:szCs w:val="24"/>
              </w:rPr>
            </w:pPr>
            <w:r>
              <w:rPr>
                <w:sz w:val="24"/>
                <w:szCs w:val="24"/>
              </w:rPr>
              <w:t>Rural Population</w:t>
            </w:r>
          </w:p>
        </w:tc>
        <w:tc>
          <w:tcPr>
            <w:tcW w:w="1800" w:type="dxa"/>
          </w:tcPr>
          <w:p w:rsidR="0021369F" w:rsidRPr="00DD47FC" w:rsidRDefault="0021369F" w:rsidP="0053590D">
            <w:pPr>
              <w:rPr>
                <w:sz w:val="24"/>
                <w:szCs w:val="24"/>
              </w:rPr>
            </w:pPr>
            <w:r>
              <w:rPr>
                <w:sz w:val="24"/>
                <w:szCs w:val="24"/>
              </w:rPr>
              <w:t>0.00 (0.00)</w:t>
            </w:r>
          </w:p>
        </w:tc>
        <w:tc>
          <w:tcPr>
            <w:tcW w:w="1890" w:type="dxa"/>
          </w:tcPr>
          <w:p w:rsidR="0021369F" w:rsidRPr="00DD47FC" w:rsidRDefault="0021369F" w:rsidP="0053590D">
            <w:pPr>
              <w:rPr>
                <w:sz w:val="24"/>
                <w:szCs w:val="24"/>
              </w:rPr>
            </w:pPr>
            <w:r>
              <w:rPr>
                <w:sz w:val="24"/>
                <w:szCs w:val="24"/>
              </w:rPr>
              <w:t>0.00 (0.00)</w:t>
            </w:r>
          </w:p>
        </w:tc>
        <w:tc>
          <w:tcPr>
            <w:tcW w:w="1890" w:type="dxa"/>
          </w:tcPr>
          <w:p w:rsidR="0021369F" w:rsidRPr="00DD47FC" w:rsidRDefault="0021369F" w:rsidP="0053590D">
            <w:pPr>
              <w:rPr>
                <w:sz w:val="24"/>
                <w:szCs w:val="24"/>
              </w:rPr>
            </w:pPr>
            <w:r>
              <w:rPr>
                <w:sz w:val="24"/>
                <w:szCs w:val="24"/>
              </w:rPr>
              <w:t>-0.00 (0.00)</w:t>
            </w:r>
          </w:p>
        </w:tc>
      </w:tr>
      <w:tr w:rsidR="0021369F" w:rsidRPr="00DD47FC" w:rsidTr="0053590D">
        <w:tc>
          <w:tcPr>
            <w:tcW w:w="2340" w:type="dxa"/>
          </w:tcPr>
          <w:p w:rsidR="0021369F" w:rsidRPr="00DD47FC" w:rsidRDefault="0021369F" w:rsidP="0053590D">
            <w:pPr>
              <w:rPr>
                <w:sz w:val="24"/>
                <w:szCs w:val="24"/>
              </w:rPr>
            </w:pPr>
            <w:r w:rsidRPr="00DD47FC">
              <w:rPr>
                <w:sz w:val="24"/>
                <w:szCs w:val="24"/>
              </w:rPr>
              <w:t>Rural Change</w:t>
            </w:r>
          </w:p>
        </w:tc>
        <w:tc>
          <w:tcPr>
            <w:tcW w:w="1800" w:type="dxa"/>
          </w:tcPr>
          <w:p w:rsidR="0021369F" w:rsidRPr="00DD47FC" w:rsidRDefault="0021369F" w:rsidP="0053590D">
            <w:pPr>
              <w:rPr>
                <w:sz w:val="24"/>
                <w:szCs w:val="24"/>
              </w:rPr>
            </w:pPr>
            <w:r w:rsidRPr="00DD47FC">
              <w:rPr>
                <w:sz w:val="24"/>
                <w:szCs w:val="24"/>
              </w:rPr>
              <w:t>-0.03** (0.01)</w:t>
            </w:r>
          </w:p>
        </w:tc>
        <w:tc>
          <w:tcPr>
            <w:tcW w:w="1890" w:type="dxa"/>
          </w:tcPr>
          <w:p w:rsidR="0021369F" w:rsidRPr="00DD47FC" w:rsidRDefault="0021369F" w:rsidP="0053590D">
            <w:pPr>
              <w:rPr>
                <w:sz w:val="24"/>
                <w:szCs w:val="24"/>
              </w:rPr>
            </w:pPr>
          </w:p>
        </w:tc>
        <w:tc>
          <w:tcPr>
            <w:tcW w:w="1890" w:type="dxa"/>
          </w:tcPr>
          <w:p w:rsidR="0021369F" w:rsidRPr="00DD47FC" w:rsidRDefault="0021369F" w:rsidP="0053590D">
            <w:pPr>
              <w:rPr>
                <w:sz w:val="24"/>
                <w:szCs w:val="24"/>
              </w:rPr>
            </w:pPr>
          </w:p>
        </w:tc>
      </w:tr>
      <w:tr w:rsidR="0021369F" w:rsidRPr="00DD47FC" w:rsidTr="0053590D">
        <w:tc>
          <w:tcPr>
            <w:tcW w:w="2340" w:type="dxa"/>
          </w:tcPr>
          <w:p w:rsidR="0021369F" w:rsidRPr="00DD47FC" w:rsidRDefault="0021369F" w:rsidP="0053590D">
            <w:pPr>
              <w:rPr>
                <w:sz w:val="24"/>
                <w:szCs w:val="24"/>
              </w:rPr>
            </w:pPr>
            <w:r w:rsidRPr="00DD47FC">
              <w:rPr>
                <w:sz w:val="24"/>
                <w:szCs w:val="24"/>
              </w:rPr>
              <w:t>Kurdish Vote</w:t>
            </w:r>
          </w:p>
        </w:tc>
        <w:tc>
          <w:tcPr>
            <w:tcW w:w="1800" w:type="dxa"/>
          </w:tcPr>
          <w:p w:rsidR="0021369F" w:rsidRPr="00DD47FC" w:rsidRDefault="0021369F" w:rsidP="0053590D">
            <w:pPr>
              <w:rPr>
                <w:sz w:val="24"/>
                <w:szCs w:val="24"/>
              </w:rPr>
            </w:pPr>
            <w:r>
              <w:rPr>
                <w:sz w:val="24"/>
                <w:szCs w:val="24"/>
              </w:rPr>
              <w:t>0.03</w:t>
            </w:r>
            <w:r w:rsidRPr="00DD47FC">
              <w:rPr>
                <w:sz w:val="24"/>
                <w:szCs w:val="24"/>
              </w:rPr>
              <w:t>*** (0.00)</w:t>
            </w:r>
          </w:p>
        </w:tc>
        <w:tc>
          <w:tcPr>
            <w:tcW w:w="1890" w:type="dxa"/>
          </w:tcPr>
          <w:p w:rsidR="0021369F" w:rsidRPr="00DD47FC" w:rsidRDefault="0021369F" w:rsidP="0053590D">
            <w:pPr>
              <w:rPr>
                <w:sz w:val="24"/>
                <w:szCs w:val="24"/>
              </w:rPr>
            </w:pPr>
            <w:r>
              <w:rPr>
                <w:sz w:val="24"/>
                <w:szCs w:val="24"/>
              </w:rPr>
              <w:t>0.02</w:t>
            </w:r>
            <w:r w:rsidRPr="00DD47FC">
              <w:rPr>
                <w:sz w:val="24"/>
                <w:szCs w:val="24"/>
              </w:rPr>
              <w:t>*** (0.00)</w:t>
            </w:r>
          </w:p>
        </w:tc>
        <w:tc>
          <w:tcPr>
            <w:tcW w:w="1890" w:type="dxa"/>
          </w:tcPr>
          <w:p w:rsidR="0021369F" w:rsidRPr="00DD47FC" w:rsidRDefault="0021369F" w:rsidP="0053590D">
            <w:pPr>
              <w:rPr>
                <w:sz w:val="24"/>
                <w:szCs w:val="24"/>
              </w:rPr>
            </w:pPr>
            <w:r>
              <w:rPr>
                <w:sz w:val="24"/>
                <w:szCs w:val="24"/>
              </w:rPr>
              <w:t>0.03</w:t>
            </w:r>
            <w:r w:rsidRPr="00DD47FC">
              <w:rPr>
                <w:sz w:val="24"/>
                <w:szCs w:val="24"/>
              </w:rPr>
              <w:t>*** (0.00)</w:t>
            </w:r>
          </w:p>
        </w:tc>
      </w:tr>
      <w:tr w:rsidR="0021369F" w:rsidRPr="00DD47FC" w:rsidTr="0053590D">
        <w:tc>
          <w:tcPr>
            <w:tcW w:w="2340" w:type="dxa"/>
          </w:tcPr>
          <w:p w:rsidR="0021369F" w:rsidRPr="00DD47FC" w:rsidRDefault="0021369F" w:rsidP="0053590D">
            <w:pPr>
              <w:rPr>
                <w:sz w:val="24"/>
                <w:szCs w:val="24"/>
              </w:rPr>
            </w:pPr>
            <w:r w:rsidRPr="00DD47FC">
              <w:rPr>
                <w:sz w:val="24"/>
                <w:szCs w:val="24"/>
              </w:rPr>
              <w:t>Kurdish Population</w:t>
            </w:r>
          </w:p>
        </w:tc>
        <w:tc>
          <w:tcPr>
            <w:tcW w:w="1800" w:type="dxa"/>
          </w:tcPr>
          <w:p w:rsidR="0021369F" w:rsidRPr="00DD47FC" w:rsidRDefault="0021369F" w:rsidP="0053590D">
            <w:pPr>
              <w:rPr>
                <w:sz w:val="24"/>
                <w:szCs w:val="24"/>
              </w:rPr>
            </w:pPr>
            <w:r>
              <w:rPr>
                <w:sz w:val="24"/>
                <w:szCs w:val="24"/>
              </w:rPr>
              <w:t>0.01 (0.00</w:t>
            </w:r>
            <w:r w:rsidRPr="00DD47FC">
              <w:rPr>
                <w:sz w:val="24"/>
                <w:szCs w:val="24"/>
              </w:rPr>
              <w:t>)</w:t>
            </w:r>
          </w:p>
        </w:tc>
        <w:tc>
          <w:tcPr>
            <w:tcW w:w="1890" w:type="dxa"/>
          </w:tcPr>
          <w:p w:rsidR="0021369F" w:rsidRPr="00DD47FC" w:rsidRDefault="0021369F" w:rsidP="0053590D">
            <w:pPr>
              <w:rPr>
                <w:sz w:val="24"/>
                <w:szCs w:val="24"/>
              </w:rPr>
            </w:pPr>
            <w:r>
              <w:rPr>
                <w:sz w:val="24"/>
                <w:szCs w:val="24"/>
              </w:rPr>
              <w:t>0.00</w:t>
            </w:r>
            <w:r w:rsidRPr="00DD47FC">
              <w:rPr>
                <w:sz w:val="24"/>
                <w:szCs w:val="24"/>
              </w:rPr>
              <w:t xml:space="preserve"> (0.00)</w:t>
            </w:r>
          </w:p>
        </w:tc>
        <w:tc>
          <w:tcPr>
            <w:tcW w:w="1890" w:type="dxa"/>
          </w:tcPr>
          <w:p w:rsidR="0021369F" w:rsidRPr="00DD47FC" w:rsidRDefault="0021369F" w:rsidP="0053590D">
            <w:pPr>
              <w:rPr>
                <w:sz w:val="24"/>
                <w:szCs w:val="24"/>
              </w:rPr>
            </w:pPr>
            <w:r w:rsidRPr="00DD47FC">
              <w:rPr>
                <w:sz w:val="24"/>
                <w:szCs w:val="24"/>
              </w:rPr>
              <w:t>0.01 (0.00)</w:t>
            </w:r>
          </w:p>
        </w:tc>
      </w:tr>
      <w:tr w:rsidR="0021369F" w:rsidRPr="00DD47FC" w:rsidTr="0053590D">
        <w:tc>
          <w:tcPr>
            <w:tcW w:w="2340" w:type="dxa"/>
            <w:tcBorders>
              <w:bottom w:val="single" w:sz="4" w:space="0" w:color="auto"/>
            </w:tcBorders>
          </w:tcPr>
          <w:p w:rsidR="0021369F" w:rsidRPr="00DD47FC" w:rsidRDefault="0021369F" w:rsidP="0053590D">
            <w:pPr>
              <w:rPr>
                <w:sz w:val="24"/>
                <w:szCs w:val="24"/>
              </w:rPr>
            </w:pPr>
            <w:r w:rsidRPr="00DD47FC">
              <w:rPr>
                <w:sz w:val="24"/>
                <w:szCs w:val="24"/>
              </w:rPr>
              <w:t>Rebellion</w:t>
            </w:r>
          </w:p>
        </w:tc>
        <w:tc>
          <w:tcPr>
            <w:tcW w:w="1800" w:type="dxa"/>
            <w:tcBorders>
              <w:bottom w:val="single" w:sz="4" w:space="0" w:color="auto"/>
            </w:tcBorders>
          </w:tcPr>
          <w:p w:rsidR="0021369F" w:rsidRPr="00DD47FC" w:rsidRDefault="0021369F" w:rsidP="0053590D">
            <w:pPr>
              <w:rPr>
                <w:sz w:val="24"/>
                <w:szCs w:val="24"/>
              </w:rPr>
            </w:pPr>
            <w:r>
              <w:rPr>
                <w:sz w:val="24"/>
                <w:szCs w:val="24"/>
              </w:rPr>
              <w:t>-0.19 (0.19</w:t>
            </w:r>
            <w:r w:rsidRPr="00DD47FC">
              <w:rPr>
                <w:sz w:val="24"/>
                <w:szCs w:val="24"/>
              </w:rPr>
              <w:t>)</w:t>
            </w:r>
          </w:p>
        </w:tc>
        <w:tc>
          <w:tcPr>
            <w:tcW w:w="1890" w:type="dxa"/>
            <w:tcBorders>
              <w:bottom w:val="single" w:sz="4" w:space="0" w:color="auto"/>
            </w:tcBorders>
          </w:tcPr>
          <w:p w:rsidR="0021369F" w:rsidRPr="00DD47FC" w:rsidRDefault="0021369F" w:rsidP="0053590D">
            <w:pPr>
              <w:rPr>
                <w:sz w:val="24"/>
                <w:szCs w:val="24"/>
              </w:rPr>
            </w:pPr>
            <w:r>
              <w:rPr>
                <w:sz w:val="24"/>
                <w:szCs w:val="24"/>
              </w:rPr>
              <w:t>-0.14 (0.19</w:t>
            </w:r>
            <w:r w:rsidRPr="00DD47FC">
              <w:rPr>
                <w:sz w:val="24"/>
                <w:szCs w:val="24"/>
              </w:rPr>
              <w:t>)</w:t>
            </w:r>
          </w:p>
        </w:tc>
        <w:tc>
          <w:tcPr>
            <w:tcW w:w="1890" w:type="dxa"/>
            <w:tcBorders>
              <w:bottom w:val="single" w:sz="4" w:space="0" w:color="auto"/>
            </w:tcBorders>
          </w:tcPr>
          <w:p w:rsidR="0021369F" w:rsidRPr="00DD47FC" w:rsidRDefault="0021369F" w:rsidP="0053590D">
            <w:pPr>
              <w:rPr>
                <w:sz w:val="24"/>
                <w:szCs w:val="24"/>
              </w:rPr>
            </w:pPr>
            <w:r>
              <w:rPr>
                <w:sz w:val="24"/>
                <w:szCs w:val="24"/>
              </w:rPr>
              <w:t>-0.04 (0.19</w:t>
            </w:r>
            <w:r w:rsidRPr="00DD47FC">
              <w:rPr>
                <w:sz w:val="24"/>
                <w:szCs w:val="24"/>
              </w:rPr>
              <w:t>)</w:t>
            </w:r>
          </w:p>
        </w:tc>
      </w:tr>
      <w:tr w:rsidR="0021369F" w:rsidRPr="00DD47FC" w:rsidTr="0053590D">
        <w:tc>
          <w:tcPr>
            <w:tcW w:w="2340" w:type="dxa"/>
            <w:tcBorders>
              <w:top w:val="single" w:sz="4" w:space="0" w:color="auto"/>
              <w:bottom w:val="single" w:sz="4" w:space="0" w:color="auto"/>
            </w:tcBorders>
          </w:tcPr>
          <w:p w:rsidR="0021369F" w:rsidRPr="00DD47FC" w:rsidRDefault="0021369F" w:rsidP="0053590D">
            <w:pPr>
              <w:rPr>
                <w:i/>
                <w:iCs/>
                <w:sz w:val="24"/>
                <w:szCs w:val="24"/>
              </w:rPr>
            </w:pPr>
            <w:r w:rsidRPr="00DD47FC">
              <w:rPr>
                <w:i/>
                <w:iCs/>
                <w:sz w:val="24"/>
                <w:szCs w:val="24"/>
              </w:rPr>
              <w:t xml:space="preserve">Inflate </w:t>
            </w:r>
          </w:p>
        </w:tc>
        <w:tc>
          <w:tcPr>
            <w:tcW w:w="1800" w:type="dxa"/>
            <w:tcBorders>
              <w:top w:val="single" w:sz="4" w:space="0" w:color="auto"/>
              <w:bottom w:val="single" w:sz="4" w:space="0" w:color="auto"/>
            </w:tcBorders>
          </w:tcPr>
          <w:p w:rsidR="0021369F" w:rsidRPr="00DD47FC" w:rsidRDefault="0021369F" w:rsidP="0053590D">
            <w:pPr>
              <w:rPr>
                <w:sz w:val="24"/>
                <w:szCs w:val="24"/>
              </w:rPr>
            </w:pPr>
          </w:p>
        </w:tc>
        <w:tc>
          <w:tcPr>
            <w:tcW w:w="1890" w:type="dxa"/>
            <w:tcBorders>
              <w:top w:val="single" w:sz="4" w:space="0" w:color="auto"/>
              <w:bottom w:val="single" w:sz="4" w:space="0" w:color="auto"/>
            </w:tcBorders>
          </w:tcPr>
          <w:p w:rsidR="0021369F" w:rsidRPr="00DD47FC" w:rsidRDefault="0021369F" w:rsidP="0053590D">
            <w:pPr>
              <w:rPr>
                <w:sz w:val="24"/>
                <w:szCs w:val="24"/>
              </w:rPr>
            </w:pPr>
          </w:p>
        </w:tc>
        <w:tc>
          <w:tcPr>
            <w:tcW w:w="1890" w:type="dxa"/>
            <w:tcBorders>
              <w:top w:val="single" w:sz="4" w:space="0" w:color="auto"/>
              <w:bottom w:val="single" w:sz="4" w:space="0" w:color="auto"/>
            </w:tcBorders>
          </w:tcPr>
          <w:p w:rsidR="0021369F" w:rsidRPr="00DD47FC" w:rsidRDefault="0021369F" w:rsidP="0053590D">
            <w:pPr>
              <w:jc w:val="center"/>
              <w:rPr>
                <w:sz w:val="24"/>
                <w:szCs w:val="24"/>
              </w:rPr>
            </w:pPr>
          </w:p>
        </w:tc>
      </w:tr>
      <w:tr w:rsidR="0021369F" w:rsidRPr="00DD47FC" w:rsidTr="0053590D">
        <w:tc>
          <w:tcPr>
            <w:tcW w:w="2340" w:type="dxa"/>
            <w:tcBorders>
              <w:top w:val="single" w:sz="4" w:space="0" w:color="auto"/>
            </w:tcBorders>
          </w:tcPr>
          <w:p w:rsidR="0021369F" w:rsidRPr="00DD47FC" w:rsidRDefault="0021369F" w:rsidP="0053590D">
            <w:pPr>
              <w:rPr>
                <w:sz w:val="24"/>
                <w:szCs w:val="24"/>
              </w:rPr>
            </w:pPr>
            <w:r w:rsidRPr="00DD47FC">
              <w:rPr>
                <w:sz w:val="24"/>
                <w:szCs w:val="24"/>
              </w:rPr>
              <w:t>Previous Recruits</w:t>
            </w:r>
          </w:p>
        </w:tc>
        <w:tc>
          <w:tcPr>
            <w:tcW w:w="1800" w:type="dxa"/>
            <w:tcBorders>
              <w:top w:val="single" w:sz="4" w:space="0" w:color="auto"/>
            </w:tcBorders>
          </w:tcPr>
          <w:p w:rsidR="0021369F" w:rsidRPr="00DD47FC" w:rsidRDefault="0021369F" w:rsidP="0053590D">
            <w:pPr>
              <w:rPr>
                <w:sz w:val="24"/>
                <w:szCs w:val="24"/>
              </w:rPr>
            </w:pPr>
            <w:r>
              <w:rPr>
                <w:sz w:val="24"/>
                <w:szCs w:val="24"/>
              </w:rPr>
              <w:t>-0.05</w:t>
            </w:r>
            <w:r w:rsidRPr="00DD47FC">
              <w:rPr>
                <w:sz w:val="24"/>
                <w:szCs w:val="24"/>
              </w:rPr>
              <w:t xml:space="preserve"> (0.</w:t>
            </w:r>
            <w:r>
              <w:rPr>
                <w:sz w:val="24"/>
                <w:szCs w:val="24"/>
              </w:rPr>
              <w:t>07</w:t>
            </w:r>
            <w:r w:rsidRPr="00DD47FC">
              <w:rPr>
                <w:sz w:val="24"/>
                <w:szCs w:val="24"/>
              </w:rPr>
              <w:t>)</w:t>
            </w:r>
          </w:p>
        </w:tc>
        <w:tc>
          <w:tcPr>
            <w:tcW w:w="1890" w:type="dxa"/>
            <w:tcBorders>
              <w:top w:val="single" w:sz="4" w:space="0" w:color="auto"/>
            </w:tcBorders>
          </w:tcPr>
          <w:p w:rsidR="0021369F" w:rsidRPr="00DD47FC" w:rsidRDefault="0021369F" w:rsidP="0053590D">
            <w:pPr>
              <w:rPr>
                <w:sz w:val="24"/>
                <w:szCs w:val="24"/>
              </w:rPr>
            </w:pPr>
            <w:r>
              <w:rPr>
                <w:sz w:val="24"/>
                <w:szCs w:val="24"/>
              </w:rPr>
              <w:t>-0.11 (0.10)</w:t>
            </w:r>
          </w:p>
        </w:tc>
        <w:tc>
          <w:tcPr>
            <w:tcW w:w="1890" w:type="dxa"/>
            <w:tcBorders>
              <w:top w:val="single" w:sz="4" w:space="0" w:color="auto"/>
            </w:tcBorders>
          </w:tcPr>
          <w:p w:rsidR="0021369F" w:rsidRPr="00DD47FC" w:rsidRDefault="0021369F" w:rsidP="0053590D">
            <w:pPr>
              <w:jc w:val="center"/>
              <w:rPr>
                <w:sz w:val="24"/>
                <w:szCs w:val="24"/>
              </w:rPr>
            </w:pPr>
          </w:p>
        </w:tc>
      </w:tr>
      <w:tr w:rsidR="0021369F" w:rsidRPr="00DD47FC" w:rsidTr="0053590D">
        <w:tc>
          <w:tcPr>
            <w:tcW w:w="2340" w:type="dxa"/>
          </w:tcPr>
          <w:p w:rsidR="0021369F" w:rsidRPr="00DD47FC" w:rsidRDefault="0021369F" w:rsidP="0053590D">
            <w:pPr>
              <w:rPr>
                <w:sz w:val="24"/>
                <w:szCs w:val="24"/>
              </w:rPr>
            </w:pPr>
            <w:r w:rsidRPr="00DD47FC">
              <w:rPr>
                <w:sz w:val="24"/>
                <w:szCs w:val="24"/>
              </w:rPr>
              <w:t>Militant Deaths</w:t>
            </w:r>
          </w:p>
        </w:tc>
        <w:tc>
          <w:tcPr>
            <w:tcW w:w="1800" w:type="dxa"/>
          </w:tcPr>
          <w:p w:rsidR="0021369F" w:rsidRPr="00DD47FC" w:rsidRDefault="0021369F" w:rsidP="0053590D">
            <w:pPr>
              <w:rPr>
                <w:sz w:val="24"/>
                <w:szCs w:val="24"/>
              </w:rPr>
            </w:pPr>
            <w:r w:rsidRPr="00DD47FC">
              <w:rPr>
                <w:sz w:val="24"/>
                <w:szCs w:val="24"/>
              </w:rPr>
              <w:t>-</w:t>
            </w:r>
            <w:r>
              <w:rPr>
                <w:sz w:val="24"/>
                <w:szCs w:val="24"/>
              </w:rPr>
              <w:t>1.92 (2.63</w:t>
            </w:r>
            <w:r w:rsidRPr="00DD47FC">
              <w:rPr>
                <w:sz w:val="24"/>
                <w:szCs w:val="24"/>
              </w:rPr>
              <w:t>)</w:t>
            </w:r>
          </w:p>
        </w:tc>
        <w:tc>
          <w:tcPr>
            <w:tcW w:w="1890" w:type="dxa"/>
          </w:tcPr>
          <w:p w:rsidR="0021369F" w:rsidRPr="00DD47FC" w:rsidRDefault="0021369F" w:rsidP="0053590D">
            <w:pPr>
              <w:rPr>
                <w:sz w:val="24"/>
                <w:szCs w:val="24"/>
              </w:rPr>
            </w:pPr>
            <w:r>
              <w:rPr>
                <w:sz w:val="24"/>
                <w:szCs w:val="24"/>
              </w:rPr>
              <w:t>-1.98 (1.35)</w:t>
            </w:r>
          </w:p>
        </w:tc>
        <w:tc>
          <w:tcPr>
            <w:tcW w:w="1890" w:type="dxa"/>
          </w:tcPr>
          <w:p w:rsidR="0021369F" w:rsidRPr="00DD47FC" w:rsidRDefault="0021369F" w:rsidP="0053590D">
            <w:pPr>
              <w:jc w:val="center"/>
              <w:rPr>
                <w:sz w:val="24"/>
                <w:szCs w:val="24"/>
              </w:rPr>
            </w:pPr>
          </w:p>
        </w:tc>
      </w:tr>
      <w:tr w:rsidR="0021369F" w:rsidRPr="00DD47FC" w:rsidTr="0053590D">
        <w:tc>
          <w:tcPr>
            <w:tcW w:w="2340" w:type="dxa"/>
          </w:tcPr>
          <w:p w:rsidR="0021369F" w:rsidRPr="00DD47FC" w:rsidRDefault="0021369F" w:rsidP="0053590D">
            <w:pPr>
              <w:rPr>
                <w:sz w:val="24"/>
                <w:szCs w:val="24"/>
              </w:rPr>
            </w:pPr>
            <w:r w:rsidRPr="00DD47FC">
              <w:rPr>
                <w:sz w:val="24"/>
                <w:szCs w:val="24"/>
              </w:rPr>
              <w:t xml:space="preserve">Rural Change </w:t>
            </w:r>
          </w:p>
        </w:tc>
        <w:tc>
          <w:tcPr>
            <w:tcW w:w="1800" w:type="dxa"/>
          </w:tcPr>
          <w:p w:rsidR="0021369F" w:rsidRPr="00DD47FC" w:rsidRDefault="0021369F" w:rsidP="0053590D">
            <w:pPr>
              <w:rPr>
                <w:sz w:val="24"/>
                <w:szCs w:val="24"/>
              </w:rPr>
            </w:pPr>
            <w:r>
              <w:rPr>
                <w:sz w:val="24"/>
                <w:szCs w:val="24"/>
              </w:rPr>
              <w:t>-0.06 (0.04</w:t>
            </w:r>
            <w:r w:rsidRPr="00DD47FC">
              <w:rPr>
                <w:sz w:val="24"/>
                <w:szCs w:val="24"/>
              </w:rPr>
              <w:t>)</w:t>
            </w:r>
          </w:p>
        </w:tc>
        <w:tc>
          <w:tcPr>
            <w:tcW w:w="1890" w:type="dxa"/>
          </w:tcPr>
          <w:p w:rsidR="0021369F" w:rsidRPr="00DD47FC" w:rsidRDefault="0021369F" w:rsidP="0053590D">
            <w:pPr>
              <w:rPr>
                <w:sz w:val="24"/>
                <w:szCs w:val="24"/>
              </w:rPr>
            </w:pPr>
          </w:p>
        </w:tc>
        <w:tc>
          <w:tcPr>
            <w:tcW w:w="1890" w:type="dxa"/>
          </w:tcPr>
          <w:p w:rsidR="0021369F" w:rsidRPr="00DD47FC" w:rsidRDefault="0021369F" w:rsidP="0053590D">
            <w:pPr>
              <w:jc w:val="center"/>
              <w:rPr>
                <w:sz w:val="24"/>
                <w:szCs w:val="24"/>
              </w:rPr>
            </w:pPr>
          </w:p>
        </w:tc>
      </w:tr>
      <w:tr w:rsidR="0021369F" w:rsidRPr="00DD47FC" w:rsidTr="0053590D">
        <w:tc>
          <w:tcPr>
            <w:tcW w:w="2340" w:type="dxa"/>
          </w:tcPr>
          <w:p w:rsidR="0021369F" w:rsidRPr="00DD47FC" w:rsidRDefault="0021369F" w:rsidP="0053590D">
            <w:pPr>
              <w:rPr>
                <w:sz w:val="24"/>
                <w:szCs w:val="24"/>
              </w:rPr>
            </w:pPr>
            <w:r w:rsidRPr="00DD47FC">
              <w:rPr>
                <w:sz w:val="24"/>
                <w:szCs w:val="24"/>
              </w:rPr>
              <w:t>Kurdish Vote</w:t>
            </w:r>
          </w:p>
        </w:tc>
        <w:tc>
          <w:tcPr>
            <w:tcW w:w="1800" w:type="dxa"/>
          </w:tcPr>
          <w:p w:rsidR="0021369F" w:rsidRPr="00DD47FC" w:rsidRDefault="0021369F" w:rsidP="0053590D">
            <w:pPr>
              <w:rPr>
                <w:sz w:val="24"/>
                <w:szCs w:val="24"/>
              </w:rPr>
            </w:pPr>
            <w:r>
              <w:rPr>
                <w:sz w:val="24"/>
                <w:szCs w:val="24"/>
              </w:rPr>
              <w:t>0.01 (0.02</w:t>
            </w:r>
            <w:r w:rsidRPr="00DD47FC">
              <w:rPr>
                <w:sz w:val="24"/>
                <w:szCs w:val="24"/>
              </w:rPr>
              <w:t>)</w:t>
            </w:r>
          </w:p>
        </w:tc>
        <w:tc>
          <w:tcPr>
            <w:tcW w:w="1890" w:type="dxa"/>
          </w:tcPr>
          <w:p w:rsidR="0021369F" w:rsidRPr="00DD47FC" w:rsidRDefault="0021369F" w:rsidP="0053590D">
            <w:pPr>
              <w:rPr>
                <w:sz w:val="24"/>
                <w:szCs w:val="24"/>
              </w:rPr>
            </w:pPr>
            <w:r>
              <w:rPr>
                <w:sz w:val="24"/>
                <w:szCs w:val="24"/>
              </w:rPr>
              <w:t>0.91 (0.43)</w:t>
            </w:r>
          </w:p>
        </w:tc>
        <w:tc>
          <w:tcPr>
            <w:tcW w:w="1890" w:type="dxa"/>
          </w:tcPr>
          <w:p w:rsidR="0021369F" w:rsidRPr="00DD47FC" w:rsidRDefault="0021369F" w:rsidP="0053590D">
            <w:pPr>
              <w:jc w:val="center"/>
              <w:rPr>
                <w:sz w:val="24"/>
                <w:szCs w:val="24"/>
              </w:rPr>
            </w:pPr>
          </w:p>
        </w:tc>
      </w:tr>
      <w:tr w:rsidR="0021369F" w:rsidRPr="00DD47FC" w:rsidTr="0053590D">
        <w:tc>
          <w:tcPr>
            <w:tcW w:w="2340" w:type="dxa"/>
            <w:tcBorders>
              <w:top w:val="single" w:sz="4" w:space="0" w:color="auto"/>
            </w:tcBorders>
          </w:tcPr>
          <w:p w:rsidR="0021369F" w:rsidRPr="00DD47FC" w:rsidRDefault="0021369F" w:rsidP="0053590D">
            <w:pPr>
              <w:rPr>
                <w:sz w:val="24"/>
                <w:szCs w:val="24"/>
              </w:rPr>
            </w:pPr>
            <w:proofErr w:type="spellStart"/>
            <w:r w:rsidRPr="00DD47FC">
              <w:rPr>
                <w:sz w:val="24"/>
                <w:szCs w:val="24"/>
              </w:rPr>
              <w:t>Lnalpha</w:t>
            </w:r>
            <w:proofErr w:type="spellEnd"/>
          </w:p>
        </w:tc>
        <w:tc>
          <w:tcPr>
            <w:tcW w:w="1800" w:type="dxa"/>
            <w:tcBorders>
              <w:top w:val="single" w:sz="4" w:space="0" w:color="auto"/>
            </w:tcBorders>
          </w:tcPr>
          <w:p w:rsidR="0021369F" w:rsidRPr="00DD47FC" w:rsidRDefault="0021369F" w:rsidP="0053590D">
            <w:pPr>
              <w:rPr>
                <w:sz w:val="24"/>
                <w:szCs w:val="24"/>
              </w:rPr>
            </w:pPr>
            <w:r w:rsidRPr="00DD47FC">
              <w:rPr>
                <w:sz w:val="24"/>
                <w:szCs w:val="24"/>
              </w:rPr>
              <w:t>-0.</w:t>
            </w:r>
            <w:r>
              <w:rPr>
                <w:sz w:val="24"/>
                <w:szCs w:val="24"/>
              </w:rPr>
              <w:t>13 (0.23</w:t>
            </w:r>
            <w:r w:rsidRPr="00DD47FC">
              <w:rPr>
                <w:sz w:val="24"/>
                <w:szCs w:val="24"/>
              </w:rPr>
              <w:t>)</w:t>
            </w:r>
          </w:p>
        </w:tc>
        <w:tc>
          <w:tcPr>
            <w:tcW w:w="1890" w:type="dxa"/>
            <w:tcBorders>
              <w:top w:val="single" w:sz="4" w:space="0" w:color="auto"/>
            </w:tcBorders>
          </w:tcPr>
          <w:p w:rsidR="0021369F" w:rsidRPr="00DD47FC" w:rsidRDefault="0021369F" w:rsidP="0053590D">
            <w:pPr>
              <w:rPr>
                <w:sz w:val="24"/>
                <w:szCs w:val="24"/>
              </w:rPr>
            </w:pPr>
            <w:r>
              <w:rPr>
                <w:sz w:val="24"/>
                <w:szCs w:val="24"/>
              </w:rPr>
              <w:t>0.35 (0.18</w:t>
            </w:r>
            <w:r w:rsidRPr="00DD47FC">
              <w:rPr>
                <w:sz w:val="24"/>
                <w:szCs w:val="24"/>
              </w:rPr>
              <w:t>)</w:t>
            </w:r>
          </w:p>
        </w:tc>
        <w:tc>
          <w:tcPr>
            <w:tcW w:w="1890" w:type="dxa"/>
            <w:tcBorders>
              <w:top w:val="single" w:sz="4" w:space="0" w:color="auto"/>
            </w:tcBorders>
          </w:tcPr>
          <w:p w:rsidR="0021369F" w:rsidRPr="00DD47FC" w:rsidRDefault="0021369F" w:rsidP="0053590D">
            <w:pPr>
              <w:rPr>
                <w:sz w:val="24"/>
                <w:szCs w:val="24"/>
              </w:rPr>
            </w:pPr>
            <w:r>
              <w:rPr>
                <w:sz w:val="24"/>
                <w:szCs w:val="24"/>
              </w:rPr>
              <w:t>0.55 (0.15)</w:t>
            </w:r>
          </w:p>
        </w:tc>
      </w:tr>
      <w:tr w:rsidR="0021369F" w:rsidRPr="00DD47FC" w:rsidTr="0053590D">
        <w:tc>
          <w:tcPr>
            <w:tcW w:w="2340" w:type="dxa"/>
          </w:tcPr>
          <w:p w:rsidR="0021369F" w:rsidRPr="00DD47FC" w:rsidRDefault="0021369F" w:rsidP="0053590D">
            <w:pPr>
              <w:rPr>
                <w:sz w:val="24"/>
                <w:szCs w:val="24"/>
              </w:rPr>
            </w:pPr>
            <w:r w:rsidRPr="00DD47FC">
              <w:rPr>
                <w:sz w:val="24"/>
                <w:szCs w:val="24"/>
              </w:rPr>
              <w:t>Wald chi-square</w:t>
            </w:r>
          </w:p>
        </w:tc>
        <w:tc>
          <w:tcPr>
            <w:tcW w:w="1800" w:type="dxa"/>
          </w:tcPr>
          <w:p w:rsidR="0021369F" w:rsidRPr="00DD47FC" w:rsidRDefault="0021369F" w:rsidP="0053590D">
            <w:pPr>
              <w:rPr>
                <w:sz w:val="24"/>
                <w:szCs w:val="24"/>
              </w:rPr>
            </w:pPr>
            <w:r>
              <w:rPr>
                <w:sz w:val="24"/>
                <w:szCs w:val="24"/>
              </w:rPr>
              <w:t>234.6</w:t>
            </w:r>
          </w:p>
        </w:tc>
        <w:tc>
          <w:tcPr>
            <w:tcW w:w="1890" w:type="dxa"/>
          </w:tcPr>
          <w:p w:rsidR="0021369F" w:rsidRPr="00DD47FC" w:rsidRDefault="0021369F" w:rsidP="0053590D">
            <w:pPr>
              <w:rPr>
                <w:sz w:val="24"/>
                <w:szCs w:val="24"/>
              </w:rPr>
            </w:pPr>
            <w:r>
              <w:rPr>
                <w:sz w:val="24"/>
                <w:szCs w:val="24"/>
              </w:rPr>
              <w:t>224.7</w:t>
            </w:r>
          </w:p>
        </w:tc>
        <w:tc>
          <w:tcPr>
            <w:tcW w:w="1890" w:type="dxa"/>
          </w:tcPr>
          <w:p w:rsidR="0021369F" w:rsidRPr="00DD47FC" w:rsidRDefault="0021369F" w:rsidP="0053590D">
            <w:pPr>
              <w:rPr>
                <w:sz w:val="24"/>
                <w:szCs w:val="24"/>
              </w:rPr>
            </w:pPr>
            <w:r>
              <w:rPr>
                <w:sz w:val="24"/>
                <w:szCs w:val="24"/>
              </w:rPr>
              <w:t>386.3</w:t>
            </w:r>
          </w:p>
        </w:tc>
      </w:tr>
      <w:tr w:rsidR="0021369F" w:rsidRPr="00DD47FC" w:rsidTr="0053590D">
        <w:tc>
          <w:tcPr>
            <w:tcW w:w="2340" w:type="dxa"/>
          </w:tcPr>
          <w:p w:rsidR="0021369F" w:rsidRPr="00DD47FC" w:rsidRDefault="0021369F" w:rsidP="0053590D">
            <w:pPr>
              <w:rPr>
                <w:sz w:val="24"/>
                <w:szCs w:val="24"/>
              </w:rPr>
            </w:pPr>
            <w:r>
              <w:rPr>
                <w:sz w:val="24"/>
                <w:szCs w:val="24"/>
              </w:rPr>
              <w:t>AIC</w:t>
            </w:r>
          </w:p>
        </w:tc>
        <w:tc>
          <w:tcPr>
            <w:tcW w:w="1800" w:type="dxa"/>
          </w:tcPr>
          <w:p w:rsidR="0021369F" w:rsidRDefault="0021369F" w:rsidP="0053590D">
            <w:pPr>
              <w:rPr>
                <w:sz w:val="24"/>
                <w:szCs w:val="24"/>
              </w:rPr>
            </w:pPr>
            <w:r>
              <w:rPr>
                <w:sz w:val="24"/>
                <w:szCs w:val="24"/>
              </w:rPr>
              <w:t>1515.8</w:t>
            </w:r>
          </w:p>
        </w:tc>
        <w:tc>
          <w:tcPr>
            <w:tcW w:w="1890" w:type="dxa"/>
          </w:tcPr>
          <w:p w:rsidR="0021369F" w:rsidRDefault="0021369F" w:rsidP="0053590D">
            <w:pPr>
              <w:rPr>
                <w:sz w:val="24"/>
                <w:szCs w:val="24"/>
              </w:rPr>
            </w:pPr>
            <w:r>
              <w:rPr>
                <w:sz w:val="24"/>
                <w:szCs w:val="24"/>
              </w:rPr>
              <w:t>1716.7</w:t>
            </w:r>
          </w:p>
        </w:tc>
        <w:tc>
          <w:tcPr>
            <w:tcW w:w="1890" w:type="dxa"/>
          </w:tcPr>
          <w:p w:rsidR="0021369F" w:rsidRDefault="0021369F" w:rsidP="0053590D">
            <w:pPr>
              <w:rPr>
                <w:sz w:val="24"/>
                <w:szCs w:val="24"/>
              </w:rPr>
            </w:pPr>
            <w:r>
              <w:rPr>
                <w:sz w:val="24"/>
                <w:szCs w:val="24"/>
              </w:rPr>
              <w:t>1784.3</w:t>
            </w:r>
          </w:p>
        </w:tc>
      </w:tr>
      <w:tr w:rsidR="0021369F" w:rsidRPr="00DD47FC" w:rsidTr="0053590D">
        <w:tc>
          <w:tcPr>
            <w:tcW w:w="2340" w:type="dxa"/>
            <w:tcBorders>
              <w:bottom w:val="single" w:sz="4" w:space="0" w:color="auto"/>
            </w:tcBorders>
          </w:tcPr>
          <w:p w:rsidR="0021369F" w:rsidRPr="00DD47FC" w:rsidRDefault="0021369F" w:rsidP="0053590D">
            <w:pPr>
              <w:rPr>
                <w:sz w:val="24"/>
                <w:szCs w:val="24"/>
              </w:rPr>
            </w:pPr>
            <w:r w:rsidRPr="00DD47FC">
              <w:rPr>
                <w:sz w:val="24"/>
                <w:szCs w:val="24"/>
              </w:rPr>
              <w:t>N</w:t>
            </w:r>
          </w:p>
        </w:tc>
        <w:tc>
          <w:tcPr>
            <w:tcW w:w="1800" w:type="dxa"/>
            <w:tcBorders>
              <w:bottom w:val="single" w:sz="4" w:space="0" w:color="auto"/>
            </w:tcBorders>
          </w:tcPr>
          <w:p w:rsidR="0021369F" w:rsidRPr="00DD47FC" w:rsidRDefault="0021369F" w:rsidP="0053590D">
            <w:pPr>
              <w:rPr>
                <w:sz w:val="24"/>
                <w:szCs w:val="24"/>
              </w:rPr>
            </w:pPr>
            <w:r w:rsidRPr="00DD47FC">
              <w:rPr>
                <w:sz w:val="24"/>
                <w:szCs w:val="24"/>
              </w:rPr>
              <w:t>945</w:t>
            </w:r>
          </w:p>
        </w:tc>
        <w:tc>
          <w:tcPr>
            <w:tcW w:w="1890" w:type="dxa"/>
            <w:tcBorders>
              <w:bottom w:val="single" w:sz="4" w:space="0" w:color="auto"/>
            </w:tcBorders>
          </w:tcPr>
          <w:p w:rsidR="0021369F" w:rsidRPr="00DD47FC" w:rsidRDefault="0021369F" w:rsidP="0053590D">
            <w:pPr>
              <w:rPr>
                <w:sz w:val="24"/>
                <w:szCs w:val="24"/>
              </w:rPr>
            </w:pPr>
            <w:r>
              <w:rPr>
                <w:sz w:val="24"/>
                <w:szCs w:val="24"/>
              </w:rPr>
              <w:t>1,134</w:t>
            </w:r>
          </w:p>
        </w:tc>
        <w:tc>
          <w:tcPr>
            <w:tcW w:w="1890" w:type="dxa"/>
            <w:tcBorders>
              <w:bottom w:val="single" w:sz="4" w:space="0" w:color="auto"/>
            </w:tcBorders>
          </w:tcPr>
          <w:p w:rsidR="0021369F" w:rsidRPr="00DD47FC" w:rsidRDefault="0021369F" w:rsidP="0053590D">
            <w:pPr>
              <w:rPr>
                <w:sz w:val="24"/>
                <w:szCs w:val="24"/>
              </w:rPr>
            </w:pPr>
            <w:r>
              <w:rPr>
                <w:sz w:val="24"/>
                <w:szCs w:val="24"/>
              </w:rPr>
              <w:t>1,134</w:t>
            </w:r>
          </w:p>
        </w:tc>
      </w:tr>
    </w:tbl>
    <w:p w:rsidR="0021369F" w:rsidRPr="00DD47FC" w:rsidRDefault="0021369F" w:rsidP="0021369F">
      <w:pPr>
        <w:spacing w:after="0" w:line="240" w:lineRule="auto"/>
        <w:rPr>
          <w:sz w:val="20"/>
          <w:szCs w:val="20"/>
        </w:rPr>
      </w:pPr>
      <w:r w:rsidRPr="00DD47FC">
        <w:rPr>
          <w:sz w:val="20"/>
          <w:szCs w:val="20"/>
        </w:rPr>
        <w:t>Robust standard errors</w:t>
      </w:r>
      <w:r>
        <w:rPr>
          <w:sz w:val="20"/>
          <w:szCs w:val="20"/>
        </w:rPr>
        <w:t xml:space="preserve"> clustered around districts</w:t>
      </w:r>
      <w:r w:rsidRPr="00DD47FC">
        <w:rPr>
          <w:sz w:val="20"/>
          <w:szCs w:val="20"/>
        </w:rPr>
        <w:t xml:space="preserve"> in parentheses. Sig</w:t>
      </w:r>
      <w:r>
        <w:rPr>
          <w:sz w:val="20"/>
          <w:szCs w:val="20"/>
        </w:rPr>
        <w:t xml:space="preserve">nificance level: *0.05; **0.01; </w:t>
      </w:r>
      <w:r w:rsidRPr="00DD47FC">
        <w:rPr>
          <w:sz w:val="20"/>
          <w:szCs w:val="20"/>
        </w:rPr>
        <w:t>***0.001</w:t>
      </w:r>
      <w:r>
        <w:rPr>
          <w:sz w:val="20"/>
          <w:szCs w:val="20"/>
        </w:rPr>
        <w:t>.</w:t>
      </w:r>
    </w:p>
    <w:p w:rsidR="0021369F" w:rsidRDefault="0021369F" w:rsidP="0021369F">
      <w:pPr>
        <w:spacing w:after="0" w:line="240" w:lineRule="auto"/>
        <w:contextualSpacing/>
        <w:rPr>
          <w:noProof/>
          <w:sz w:val="24"/>
          <w:szCs w:val="24"/>
        </w:rPr>
      </w:pPr>
    </w:p>
    <w:p w:rsidR="0021369F" w:rsidRDefault="0021369F" w:rsidP="0021369F">
      <w:pPr>
        <w:spacing w:after="240" w:line="240" w:lineRule="auto"/>
        <w:rPr>
          <w:sz w:val="20"/>
          <w:szCs w:val="20"/>
        </w:rPr>
      </w:pPr>
    </w:p>
    <w:p w:rsidR="0021369F" w:rsidRDefault="0021369F" w:rsidP="0021369F"/>
    <w:p w:rsidR="0021369F" w:rsidRDefault="0021369F" w:rsidP="0021369F"/>
    <w:p w:rsidR="0021369F" w:rsidRDefault="0021369F" w:rsidP="0021369F"/>
    <w:p w:rsidR="0021369F" w:rsidRDefault="0021369F" w:rsidP="0021369F"/>
    <w:p w:rsidR="0021369F" w:rsidRDefault="0021369F" w:rsidP="0021369F"/>
    <w:p w:rsidR="0021369F" w:rsidRDefault="0021369F" w:rsidP="0021369F"/>
    <w:p w:rsidR="0021369F" w:rsidRDefault="0021369F" w:rsidP="0021369F"/>
    <w:p w:rsidR="0021369F" w:rsidRDefault="0021369F" w:rsidP="0021369F"/>
    <w:p w:rsidR="0021369F" w:rsidRDefault="0021369F" w:rsidP="0021369F"/>
    <w:p w:rsidR="0021369F" w:rsidRDefault="0021369F" w:rsidP="0021369F"/>
    <w:p w:rsidR="004D57AC" w:rsidRDefault="004D57AC" w:rsidP="0021369F"/>
    <w:p w:rsidR="004D57AC" w:rsidRDefault="004D57AC" w:rsidP="0021369F"/>
    <w:p w:rsidR="004D57AC" w:rsidRDefault="004D57AC">
      <w:r>
        <w:br w:type="page"/>
      </w:r>
    </w:p>
    <w:p w:rsidR="0021369F" w:rsidRDefault="0021369F" w:rsidP="008036F8">
      <w:pPr>
        <w:autoSpaceDE w:val="0"/>
        <w:autoSpaceDN w:val="0"/>
        <w:adjustRightInd w:val="0"/>
        <w:spacing w:after="0" w:line="480" w:lineRule="auto"/>
        <w:rPr>
          <w:bCs/>
          <w:sz w:val="24"/>
          <w:szCs w:val="24"/>
        </w:rPr>
      </w:pPr>
      <w:r>
        <w:rPr>
          <w:bCs/>
          <w:sz w:val="24"/>
          <w:szCs w:val="24"/>
        </w:rPr>
        <w:lastRenderedPageBreak/>
        <w:t xml:space="preserve">Figure </w:t>
      </w:r>
      <w:r w:rsidR="008036F8">
        <w:rPr>
          <w:bCs/>
          <w:sz w:val="24"/>
          <w:szCs w:val="24"/>
        </w:rPr>
        <w:t>E</w:t>
      </w:r>
      <w:r w:rsidR="00134442">
        <w:rPr>
          <w:bCs/>
          <w:sz w:val="24"/>
          <w:szCs w:val="24"/>
        </w:rPr>
        <w:t>.2</w:t>
      </w:r>
      <w:r>
        <w:rPr>
          <w:bCs/>
          <w:sz w:val="24"/>
          <w:szCs w:val="24"/>
        </w:rPr>
        <w:t xml:space="preserve"> </w:t>
      </w:r>
      <w:proofErr w:type="gramStart"/>
      <w:r>
        <w:rPr>
          <w:bCs/>
          <w:sz w:val="24"/>
          <w:szCs w:val="24"/>
        </w:rPr>
        <w:t>The</w:t>
      </w:r>
      <w:proofErr w:type="gramEnd"/>
      <w:r>
        <w:rPr>
          <w:bCs/>
          <w:sz w:val="24"/>
          <w:szCs w:val="24"/>
        </w:rPr>
        <w:t xml:space="preserve"> Effect of Female Literacy Ratio on Female Insurgent Recruitment </w:t>
      </w:r>
      <w:r w:rsidR="00EE4DA8">
        <w:rPr>
          <w:bCs/>
          <w:sz w:val="24"/>
          <w:szCs w:val="24"/>
        </w:rPr>
        <w:t>(Model II)</w:t>
      </w:r>
    </w:p>
    <w:p w:rsidR="0021369F" w:rsidRDefault="0021369F" w:rsidP="0021369F">
      <w:pPr>
        <w:autoSpaceDE w:val="0"/>
        <w:autoSpaceDN w:val="0"/>
        <w:adjustRightInd w:val="0"/>
        <w:spacing w:after="0" w:line="480" w:lineRule="auto"/>
        <w:rPr>
          <w:bCs/>
          <w:sz w:val="24"/>
          <w:szCs w:val="24"/>
        </w:rPr>
      </w:pPr>
      <w:r w:rsidRPr="00B741C0">
        <w:rPr>
          <w:bCs/>
          <w:noProof/>
          <w:sz w:val="24"/>
          <w:szCs w:val="24"/>
        </w:rPr>
        <w:drawing>
          <wp:inline distT="0" distB="0" distL="0" distR="0" wp14:anchorId="26ED3C59" wp14:editId="7630F3C7">
            <wp:extent cx="5829300"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9300" cy="3743325"/>
                    </a:xfrm>
                    <a:prstGeom prst="rect">
                      <a:avLst/>
                    </a:prstGeom>
                    <a:noFill/>
                    <a:ln>
                      <a:noFill/>
                    </a:ln>
                  </pic:spPr>
                </pic:pic>
              </a:graphicData>
            </a:graphic>
          </wp:inline>
        </w:drawing>
      </w:r>
    </w:p>
    <w:p w:rsidR="0021369F" w:rsidRPr="00846E31" w:rsidRDefault="0021369F" w:rsidP="00134442">
      <w:pPr>
        <w:autoSpaceDE w:val="0"/>
        <w:autoSpaceDN w:val="0"/>
        <w:adjustRightInd w:val="0"/>
        <w:spacing w:after="240" w:line="240" w:lineRule="auto"/>
        <w:rPr>
          <w:bCs/>
          <w:sz w:val="20"/>
          <w:szCs w:val="20"/>
        </w:rPr>
      </w:pPr>
      <w:r w:rsidRPr="00846E31">
        <w:rPr>
          <w:bCs/>
          <w:sz w:val="20"/>
          <w:szCs w:val="20"/>
        </w:rPr>
        <w:t>Other variables held at mean values. Predictions based on Model II</w:t>
      </w:r>
      <w:r>
        <w:rPr>
          <w:bCs/>
          <w:sz w:val="20"/>
          <w:szCs w:val="20"/>
        </w:rPr>
        <w:t xml:space="preserve"> of Table </w:t>
      </w:r>
      <w:r w:rsidR="000B4511">
        <w:rPr>
          <w:bCs/>
          <w:sz w:val="20"/>
          <w:szCs w:val="20"/>
        </w:rPr>
        <w:t>D.</w:t>
      </w:r>
      <w:r>
        <w:rPr>
          <w:bCs/>
          <w:sz w:val="20"/>
          <w:szCs w:val="20"/>
        </w:rPr>
        <w:t>2</w:t>
      </w:r>
      <w:r w:rsidRPr="00846E31">
        <w:rPr>
          <w:bCs/>
          <w:sz w:val="20"/>
          <w:szCs w:val="20"/>
        </w:rPr>
        <w:t xml:space="preserve">. </w:t>
      </w:r>
      <w:r>
        <w:rPr>
          <w:bCs/>
          <w:sz w:val="20"/>
          <w:szCs w:val="20"/>
        </w:rPr>
        <w:t xml:space="preserve"> </w:t>
      </w:r>
    </w:p>
    <w:p w:rsidR="0021369F" w:rsidRDefault="0021369F" w:rsidP="0021369F">
      <w:pPr>
        <w:spacing w:after="0" w:line="480" w:lineRule="auto"/>
        <w:contextualSpacing/>
        <w:rPr>
          <w:noProof/>
          <w:sz w:val="24"/>
          <w:szCs w:val="24"/>
        </w:rPr>
      </w:pPr>
    </w:p>
    <w:p w:rsidR="0021369F" w:rsidRDefault="0021369F" w:rsidP="0021369F">
      <w:pPr>
        <w:spacing w:after="0" w:line="480" w:lineRule="auto"/>
        <w:contextualSpacing/>
        <w:rPr>
          <w:noProof/>
          <w:sz w:val="24"/>
          <w:szCs w:val="24"/>
        </w:rPr>
      </w:pPr>
    </w:p>
    <w:p w:rsidR="0021369F" w:rsidRDefault="0021369F" w:rsidP="0021369F">
      <w:pPr>
        <w:spacing w:after="0" w:line="480" w:lineRule="auto"/>
        <w:contextualSpacing/>
        <w:rPr>
          <w:noProof/>
          <w:sz w:val="24"/>
          <w:szCs w:val="24"/>
        </w:rPr>
      </w:pPr>
    </w:p>
    <w:p w:rsidR="0021369F" w:rsidRDefault="0021369F" w:rsidP="0021369F">
      <w:pPr>
        <w:spacing w:after="0" w:line="480" w:lineRule="auto"/>
        <w:contextualSpacing/>
        <w:rPr>
          <w:noProof/>
          <w:sz w:val="24"/>
          <w:szCs w:val="24"/>
        </w:rPr>
      </w:pPr>
    </w:p>
    <w:p w:rsidR="0021369F" w:rsidRDefault="0021369F" w:rsidP="0021369F"/>
    <w:p w:rsidR="0021369F" w:rsidRDefault="0021369F" w:rsidP="0021369F"/>
    <w:p w:rsidR="00E001E0" w:rsidRDefault="00E001E0" w:rsidP="00E001E0"/>
    <w:p w:rsidR="00E001E0" w:rsidRDefault="00E001E0" w:rsidP="00E001E0"/>
    <w:p w:rsidR="0061598C" w:rsidRDefault="0061598C" w:rsidP="00E001E0"/>
    <w:p w:rsidR="0061598C" w:rsidRDefault="0061598C" w:rsidP="00E001E0"/>
    <w:p w:rsidR="0061598C" w:rsidRDefault="0061598C" w:rsidP="00E001E0"/>
    <w:p w:rsidR="0061598C" w:rsidRPr="00975E23" w:rsidRDefault="0061598C" w:rsidP="008036F8">
      <w:pPr>
        <w:rPr>
          <w:sz w:val="24"/>
          <w:szCs w:val="24"/>
        </w:rPr>
      </w:pPr>
      <w:r w:rsidRPr="00975E23">
        <w:rPr>
          <w:sz w:val="24"/>
          <w:szCs w:val="24"/>
        </w:rPr>
        <w:lastRenderedPageBreak/>
        <w:t>F</w:t>
      </w:r>
      <w:r w:rsidR="00134442" w:rsidRPr="00975E23">
        <w:rPr>
          <w:sz w:val="24"/>
          <w:szCs w:val="24"/>
        </w:rPr>
        <w:t xml:space="preserve">igure </w:t>
      </w:r>
      <w:r w:rsidR="008036F8">
        <w:rPr>
          <w:sz w:val="24"/>
          <w:szCs w:val="24"/>
        </w:rPr>
        <w:t>E</w:t>
      </w:r>
      <w:r w:rsidR="00134442" w:rsidRPr="00975E23">
        <w:rPr>
          <w:sz w:val="24"/>
          <w:szCs w:val="24"/>
        </w:rPr>
        <w:t>.3</w:t>
      </w:r>
      <w:r w:rsidRPr="00975E23">
        <w:rPr>
          <w:sz w:val="24"/>
          <w:szCs w:val="24"/>
        </w:rPr>
        <w:t xml:space="preserve"> </w:t>
      </w:r>
      <w:proofErr w:type="gramStart"/>
      <w:r w:rsidRPr="00975E23">
        <w:rPr>
          <w:sz w:val="24"/>
          <w:szCs w:val="24"/>
        </w:rPr>
        <w:t>The</w:t>
      </w:r>
      <w:proofErr w:type="gramEnd"/>
      <w:r w:rsidRPr="00975E23">
        <w:rPr>
          <w:sz w:val="24"/>
          <w:szCs w:val="24"/>
        </w:rPr>
        <w:t xml:space="preserve"> Effect of Female Literacy Ratio on Female </w:t>
      </w:r>
      <w:r w:rsidR="00350DF7">
        <w:rPr>
          <w:sz w:val="24"/>
          <w:szCs w:val="24"/>
        </w:rPr>
        <w:t>Insurgent Recruitment</w:t>
      </w:r>
      <w:r w:rsidR="000B4511">
        <w:rPr>
          <w:sz w:val="24"/>
          <w:szCs w:val="24"/>
        </w:rPr>
        <w:t xml:space="preserve"> (Model I)</w:t>
      </w:r>
    </w:p>
    <w:p w:rsidR="0061598C" w:rsidRDefault="0061598C" w:rsidP="0061598C">
      <w:r w:rsidRPr="00E34EE8">
        <w:rPr>
          <w:noProof/>
        </w:rPr>
        <w:drawing>
          <wp:inline distT="0" distB="0" distL="0" distR="0" wp14:anchorId="25B4081B" wp14:editId="06A7BE24">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1598C" w:rsidRPr="00846E31" w:rsidRDefault="0061598C" w:rsidP="00DA3634">
      <w:pPr>
        <w:autoSpaceDE w:val="0"/>
        <w:autoSpaceDN w:val="0"/>
        <w:adjustRightInd w:val="0"/>
        <w:spacing w:after="0" w:line="480" w:lineRule="auto"/>
        <w:rPr>
          <w:bCs/>
          <w:sz w:val="20"/>
          <w:szCs w:val="20"/>
        </w:rPr>
      </w:pPr>
      <w:r w:rsidRPr="00846E31">
        <w:rPr>
          <w:bCs/>
          <w:sz w:val="20"/>
          <w:szCs w:val="20"/>
        </w:rPr>
        <w:t>Other variables held at mean value</w:t>
      </w:r>
      <w:r>
        <w:rPr>
          <w:bCs/>
          <w:sz w:val="20"/>
          <w:szCs w:val="20"/>
        </w:rPr>
        <w:t xml:space="preserve">s. Predictions based on Model I of Table </w:t>
      </w:r>
      <w:r w:rsidR="00DA3634">
        <w:rPr>
          <w:bCs/>
          <w:sz w:val="20"/>
          <w:szCs w:val="20"/>
        </w:rPr>
        <w:t>E</w:t>
      </w:r>
      <w:r w:rsidR="000B4511">
        <w:rPr>
          <w:bCs/>
          <w:sz w:val="20"/>
          <w:szCs w:val="20"/>
        </w:rPr>
        <w:t>.</w:t>
      </w:r>
      <w:r>
        <w:rPr>
          <w:bCs/>
          <w:sz w:val="20"/>
          <w:szCs w:val="20"/>
        </w:rPr>
        <w:t>2</w:t>
      </w:r>
      <w:r w:rsidRPr="00846E31">
        <w:rPr>
          <w:bCs/>
          <w:sz w:val="20"/>
          <w:szCs w:val="20"/>
        </w:rPr>
        <w:t xml:space="preserve">. </w:t>
      </w:r>
    </w:p>
    <w:p w:rsidR="0061598C" w:rsidRDefault="0061598C" w:rsidP="00E001E0"/>
    <w:p w:rsidR="000F0F55" w:rsidRDefault="000F0F55" w:rsidP="000F0F55"/>
    <w:p w:rsidR="000F0F55" w:rsidRDefault="000F0F55" w:rsidP="000F0F55"/>
    <w:p w:rsidR="000F0F55" w:rsidRDefault="000F0F55" w:rsidP="000F0F55"/>
    <w:p w:rsidR="000F0F55" w:rsidRDefault="000F0F55" w:rsidP="000F0F55"/>
    <w:p w:rsidR="000F0F55" w:rsidRDefault="000F0F55" w:rsidP="000F0F55"/>
    <w:p w:rsidR="000F0F55" w:rsidRDefault="000F0F55" w:rsidP="000F0F55"/>
    <w:p w:rsidR="000F0F55" w:rsidRDefault="000F0F55">
      <w:r>
        <w:br w:type="page"/>
      </w:r>
    </w:p>
    <w:p w:rsidR="00126D03" w:rsidRDefault="00126D03" w:rsidP="00E82B1C">
      <w:pPr>
        <w:pStyle w:val="Heading2"/>
        <w:spacing w:before="0" w:after="0"/>
        <w:contextualSpacing/>
        <w:rPr>
          <w:szCs w:val="24"/>
        </w:rPr>
      </w:pPr>
      <w:r w:rsidRPr="00C0299A">
        <w:rPr>
          <w:szCs w:val="24"/>
        </w:rPr>
        <w:lastRenderedPageBreak/>
        <w:t>Bibliography</w:t>
      </w:r>
    </w:p>
    <w:p w:rsidR="00E82B1C" w:rsidRPr="00E82B1C" w:rsidRDefault="00E82B1C" w:rsidP="00E82B1C"/>
    <w:p w:rsidR="00E3086C" w:rsidRPr="00E3086C" w:rsidRDefault="00E3086C" w:rsidP="00E82B1C">
      <w:pPr>
        <w:spacing w:after="0" w:line="240" w:lineRule="auto"/>
        <w:ind w:left="360" w:hanging="360"/>
        <w:contextualSpacing/>
        <w:rPr>
          <w:rStyle w:val="apple-style-span"/>
          <w:sz w:val="24"/>
          <w:szCs w:val="24"/>
        </w:rPr>
      </w:pPr>
      <w:r w:rsidRPr="00810806">
        <w:rPr>
          <w:sz w:val="24"/>
          <w:szCs w:val="24"/>
        </w:rPr>
        <w:t xml:space="preserve">Caldwell, John C. 1978. “A Theory of Fertility: From </w:t>
      </w:r>
      <w:r>
        <w:rPr>
          <w:sz w:val="24"/>
          <w:szCs w:val="24"/>
        </w:rPr>
        <w:t>High Plateau to Destabilization.</w:t>
      </w:r>
      <w:r w:rsidRPr="00810806">
        <w:rPr>
          <w:sz w:val="24"/>
          <w:szCs w:val="24"/>
        </w:rPr>
        <w:t xml:space="preserve">” </w:t>
      </w:r>
      <w:r w:rsidRPr="00810806">
        <w:rPr>
          <w:i/>
          <w:iCs/>
          <w:sz w:val="24"/>
          <w:szCs w:val="24"/>
        </w:rPr>
        <w:t xml:space="preserve">Population </w:t>
      </w:r>
      <w:r w:rsidRPr="00A703E5">
        <w:rPr>
          <w:i/>
          <w:iCs/>
          <w:sz w:val="24"/>
          <w:szCs w:val="24"/>
        </w:rPr>
        <w:t>and Development Review</w:t>
      </w:r>
      <w:r w:rsidRPr="00A703E5">
        <w:rPr>
          <w:sz w:val="24"/>
          <w:szCs w:val="24"/>
        </w:rPr>
        <w:t xml:space="preserve"> 4: 553-77.</w:t>
      </w:r>
    </w:p>
    <w:p w:rsidR="008B3293" w:rsidRDefault="008B3293" w:rsidP="00E82B1C">
      <w:pPr>
        <w:spacing w:after="0" w:line="240" w:lineRule="auto"/>
        <w:ind w:left="360" w:hanging="360"/>
        <w:contextualSpacing/>
        <w:rPr>
          <w:rStyle w:val="apple-style-span"/>
          <w:rFonts w:cstheme="majorBidi"/>
          <w:color w:val="000000"/>
          <w:sz w:val="24"/>
          <w:szCs w:val="24"/>
        </w:rPr>
      </w:pPr>
      <w:r w:rsidRPr="00583602">
        <w:rPr>
          <w:rStyle w:val="apple-style-span"/>
          <w:rFonts w:cstheme="majorBidi"/>
          <w:color w:val="000000"/>
          <w:sz w:val="24"/>
          <w:szCs w:val="24"/>
        </w:rPr>
        <w:t xml:space="preserve">Chandra, Kanchan, and Steven Wilkinson. 2008. “Measuring the Effect of “Ethnicity.” </w:t>
      </w:r>
      <w:r w:rsidRPr="00583602">
        <w:rPr>
          <w:rStyle w:val="apple-style-span"/>
          <w:rFonts w:cstheme="majorBidi"/>
          <w:i/>
          <w:iCs/>
          <w:color w:val="000000"/>
          <w:sz w:val="24"/>
          <w:szCs w:val="24"/>
        </w:rPr>
        <w:t xml:space="preserve">Comparative Political Studies </w:t>
      </w:r>
      <w:r w:rsidR="002065F1">
        <w:rPr>
          <w:rStyle w:val="apple-style-span"/>
          <w:rFonts w:cstheme="majorBidi"/>
          <w:color w:val="000000"/>
          <w:sz w:val="24"/>
          <w:szCs w:val="24"/>
        </w:rPr>
        <w:t>41(</w:t>
      </w:r>
      <w:r>
        <w:rPr>
          <w:rStyle w:val="apple-style-span"/>
          <w:rFonts w:cstheme="majorBidi"/>
          <w:color w:val="000000"/>
          <w:sz w:val="24"/>
          <w:szCs w:val="24"/>
        </w:rPr>
        <w:t>4-5</w:t>
      </w:r>
      <w:r w:rsidR="002065F1">
        <w:rPr>
          <w:rStyle w:val="apple-style-span"/>
          <w:rFonts w:cstheme="majorBidi"/>
          <w:color w:val="000000"/>
          <w:sz w:val="24"/>
          <w:szCs w:val="24"/>
        </w:rPr>
        <w:t>)</w:t>
      </w:r>
      <w:r w:rsidRPr="00583602">
        <w:rPr>
          <w:rStyle w:val="apple-style-span"/>
          <w:rFonts w:cstheme="majorBidi"/>
          <w:color w:val="000000"/>
          <w:sz w:val="24"/>
          <w:szCs w:val="24"/>
        </w:rPr>
        <w:t>: 515-63.</w:t>
      </w:r>
    </w:p>
    <w:p w:rsidR="00B81C0B" w:rsidRPr="00B81C0B" w:rsidRDefault="00B81C0B" w:rsidP="00E82B1C">
      <w:pPr>
        <w:spacing w:after="0" w:line="240" w:lineRule="auto"/>
        <w:ind w:left="360" w:hanging="360"/>
        <w:contextualSpacing/>
        <w:rPr>
          <w:rStyle w:val="apple-style-span"/>
          <w:sz w:val="24"/>
          <w:szCs w:val="24"/>
        </w:rPr>
      </w:pPr>
      <w:r w:rsidRPr="00F36436">
        <w:rPr>
          <w:rFonts w:cs="Arial"/>
          <w:sz w:val="24"/>
          <w:szCs w:val="24"/>
          <w:shd w:val="clear" w:color="auto" w:fill="FFFFFF"/>
        </w:rPr>
        <w:t xml:space="preserve">Harp </w:t>
      </w:r>
      <w:proofErr w:type="spellStart"/>
      <w:r w:rsidRPr="00F36436">
        <w:rPr>
          <w:rFonts w:cs="Arial"/>
          <w:sz w:val="24"/>
          <w:szCs w:val="24"/>
          <w:shd w:val="clear" w:color="auto" w:fill="FFFFFF"/>
        </w:rPr>
        <w:t>Tarihi</w:t>
      </w:r>
      <w:proofErr w:type="spellEnd"/>
      <w:r w:rsidRPr="00F36436">
        <w:rPr>
          <w:rFonts w:cs="Arial"/>
          <w:sz w:val="24"/>
          <w:szCs w:val="24"/>
          <w:shd w:val="clear" w:color="auto" w:fill="FFFFFF"/>
        </w:rPr>
        <w:t xml:space="preserve"> </w:t>
      </w:r>
      <w:proofErr w:type="spellStart"/>
      <w:r w:rsidRPr="00F36436">
        <w:rPr>
          <w:rFonts w:cs="Arial"/>
          <w:sz w:val="24"/>
          <w:szCs w:val="24"/>
          <w:shd w:val="clear" w:color="auto" w:fill="FFFFFF"/>
        </w:rPr>
        <w:t>Başkanlığı</w:t>
      </w:r>
      <w:proofErr w:type="spellEnd"/>
      <w:r w:rsidRPr="00F36436">
        <w:rPr>
          <w:rFonts w:cs="Arial"/>
          <w:sz w:val="24"/>
          <w:szCs w:val="24"/>
          <w:shd w:val="clear" w:color="auto" w:fill="FFFFFF"/>
        </w:rPr>
        <w:t>. 1992.</w:t>
      </w:r>
      <w:r w:rsidRPr="00F36436">
        <w:rPr>
          <w:rStyle w:val="apple-converted-space"/>
          <w:rFonts w:cs="Arial"/>
          <w:sz w:val="24"/>
          <w:szCs w:val="24"/>
          <w:shd w:val="clear" w:color="auto" w:fill="FFFFFF"/>
        </w:rPr>
        <w:t xml:space="preserve"> </w:t>
      </w:r>
      <w:proofErr w:type="spellStart"/>
      <w:r w:rsidRPr="00F36436">
        <w:rPr>
          <w:rFonts w:cs="Arial"/>
          <w:i/>
          <w:iCs/>
          <w:sz w:val="24"/>
          <w:szCs w:val="24"/>
          <w:shd w:val="clear" w:color="auto" w:fill="FFFFFF"/>
        </w:rPr>
        <w:t>Genelkurmay</w:t>
      </w:r>
      <w:proofErr w:type="spellEnd"/>
      <w:r w:rsidRPr="00F36436">
        <w:rPr>
          <w:rFonts w:cs="Arial"/>
          <w:i/>
          <w:iCs/>
          <w:sz w:val="24"/>
          <w:szCs w:val="24"/>
          <w:shd w:val="clear" w:color="auto" w:fill="FFFFFF"/>
        </w:rPr>
        <w:t xml:space="preserve"> </w:t>
      </w:r>
      <w:proofErr w:type="spellStart"/>
      <w:r w:rsidRPr="00F36436">
        <w:rPr>
          <w:rFonts w:cs="Arial"/>
          <w:i/>
          <w:iCs/>
          <w:sz w:val="24"/>
          <w:szCs w:val="24"/>
          <w:shd w:val="clear" w:color="auto" w:fill="FFFFFF"/>
        </w:rPr>
        <w:t>Belgelerinde</w:t>
      </w:r>
      <w:proofErr w:type="spellEnd"/>
      <w:r w:rsidRPr="00F36436">
        <w:rPr>
          <w:rFonts w:cs="Arial"/>
          <w:i/>
          <w:iCs/>
          <w:sz w:val="24"/>
          <w:szCs w:val="24"/>
          <w:shd w:val="clear" w:color="auto" w:fill="FFFFFF"/>
        </w:rPr>
        <w:t xml:space="preserve"> </w:t>
      </w:r>
      <w:proofErr w:type="spellStart"/>
      <w:r w:rsidRPr="00F36436">
        <w:rPr>
          <w:rFonts w:cs="Arial"/>
          <w:i/>
          <w:iCs/>
          <w:sz w:val="24"/>
          <w:szCs w:val="24"/>
          <w:shd w:val="clear" w:color="auto" w:fill="FFFFFF"/>
        </w:rPr>
        <w:t>Kürt</w:t>
      </w:r>
      <w:proofErr w:type="spellEnd"/>
      <w:r w:rsidRPr="00F36436">
        <w:rPr>
          <w:rFonts w:cs="Arial"/>
          <w:i/>
          <w:iCs/>
          <w:sz w:val="24"/>
          <w:szCs w:val="24"/>
          <w:shd w:val="clear" w:color="auto" w:fill="FFFFFF"/>
        </w:rPr>
        <w:t xml:space="preserve"> </w:t>
      </w:r>
      <w:proofErr w:type="spellStart"/>
      <w:r w:rsidRPr="00F36436">
        <w:rPr>
          <w:rFonts w:cs="Arial"/>
          <w:i/>
          <w:iCs/>
          <w:sz w:val="24"/>
          <w:szCs w:val="24"/>
          <w:shd w:val="clear" w:color="auto" w:fill="FFFFFF"/>
        </w:rPr>
        <w:t>İsyanları</w:t>
      </w:r>
      <w:proofErr w:type="spellEnd"/>
      <w:r w:rsidRPr="00F36436">
        <w:rPr>
          <w:rFonts w:cs="Arial"/>
          <w:sz w:val="24"/>
          <w:szCs w:val="24"/>
          <w:shd w:val="clear" w:color="auto" w:fill="FFFFFF"/>
        </w:rPr>
        <w:t xml:space="preserve">. </w:t>
      </w:r>
      <w:proofErr w:type="gramStart"/>
      <w:r w:rsidRPr="00F36436">
        <w:rPr>
          <w:rFonts w:cs="Arial"/>
          <w:sz w:val="24"/>
          <w:szCs w:val="24"/>
          <w:shd w:val="clear" w:color="auto" w:fill="FFFFFF"/>
        </w:rPr>
        <w:t>3</w:t>
      </w:r>
      <w:proofErr w:type="gramEnd"/>
      <w:r w:rsidRPr="00F36436">
        <w:rPr>
          <w:rFonts w:cs="Arial"/>
          <w:sz w:val="24"/>
          <w:szCs w:val="24"/>
          <w:shd w:val="clear" w:color="auto" w:fill="FFFFFF"/>
        </w:rPr>
        <w:t xml:space="preserve"> Volumes. İstanbul: </w:t>
      </w:r>
      <w:proofErr w:type="spellStart"/>
      <w:r w:rsidRPr="00F36436">
        <w:rPr>
          <w:rFonts w:cs="Arial"/>
          <w:sz w:val="24"/>
          <w:szCs w:val="24"/>
          <w:shd w:val="clear" w:color="auto" w:fill="FFFFFF"/>
        </w:rPr>
        <w:t>Kaynak</w:t>
      </w:r>
      <w:proofErr w:type="spellEnd"/>
      <w:r w:rsidRPr="00F36436">
        <w:rPr>
          <w:rFonts w:cs="Arial"/>
          <w:sz w:val="24"/>
          <w:szCs w:val="24"/>
          <w:shd w:val="clear" w:color="auto" w:fill="FFFFFF"/>
        </w:rPr>
        <w:t>.</w:t>
      </w:r>
    </w:p>
    <w:p w:rsidR="006707A2" w:rsidRPr="006707A2" w:rsidRDefault="006707A2" w:rsidP="00E82B1C">
      <w:pPr>
        <w:spacing w:after="0" w:line="240" w:lineRule="auto"/>
        <w:ind w:left="360" w:hanging="360"/>
        <w:contextualSpacing/>
        <w:rPr>
          <w:rStyle w:val="apple-style-span"/>
          <w:rFonts w:cs="Times New Roman"/>
          <w:bCs/>
          <w:iCs/>
          <w:sz w:val="24"/>
          <w:szCs w:val="24"/>
        </w:rPr>
      </w:pPr>
      <w:proofErr w:type="spellStart"/>
      <w:r w:rsidRPr="00F36436">
        <w:rPr>
          <w:rFonts w:cs="Times New Roman"/>
          <w:bCs/>
          <w:sz w:val="24"/>
          <w:szCs w:val="24"/>
        </w:rPr>
        <w:t>Kibris</w:t>
      </w:r>
      <w:proofErr w:type="spellEnd"/>
      <w:r w:rsidRPr="00F36436">
        <w:rPr>
          <w:rFonts w:cs="Times New Roman"/>
          <w:bCs/>
          <w:sz w:val="24"/>
          <w:szCs w:val="24"/>
        </w:rPr>
        <w:t xml:space="preserve">, </w:t>
      </w:r>
      <w:proofErr w:type="spellStart"/>
      <w:r w:rsidRPr="00F36436">
        <w:rPr>
          <w:rFonts w:cs="Times New Roman"/>
          <w:bCs/>
          <w:sz w:val="24"/>
          <w:szCs w:val="24"/>
        </w:rPr>
        <w:t>Arzu</w:t>
      </w:r>
      <w:proofErr w:type="spellEnd"/>
      <w:r w:rsidRPr="00F36436">
        <w:rPr>
          <w:rFonts w:cs="Times New Roman"/>
          <w:bCs/>
          <w:sz w:val="24"/>
          <w:szCs w:val="24"/>
        </w:rPr>
        <w:t xml:space="preserve">, 2015. “The Conflict Trap Revisited: Civil Conflict and Educational Achievement.” </w:t>
      </w:r>
      <w:r w:rsidRPr="00F36436">
        <w:rPr>
          <w:rFonts w:cs="Times New Roman"/>
          <w:bCs/>
          <w:i/>
          <w:iCs/>
          <w:sz w:val="24"/>
          <w:szCs w:val="24"/>
        </w:rPr>
        <w:t xml:space="preserve">Journal of Conflict Resolution </w:t>
      </w:r>
      <w:r>
        <w:rPr>
          <w:rFonts w:cs="Times New Roman"/>
          <w:bCs/>
          <w:iCs/>
          <w:sz w:val="24"/>
          <w:szCs w:val="24"/>
        </w:rPr>
        <w:t>5(4)</w:t>
      </w:r>
      <w:r w:rsidRPr="00F36436">
        <w:rPr>
          <w:rFonts w:cs="Times New Roman"/>
          <w:bCs/>
          <w:iCs/>
          <w:sz w:val="24"/>
          <w:szCs w:val="24"/>
        </w:rPr>
        <w:t xml:space="preserve">: 645-70. </w:t>
      </w:r>
    </w:p>
    <w:p w:rsidR="00761751" w:rsidRDefault="00761751" w:rsidP="00E82B1C">
      <w:pPr>
        <w:widowControl w:val="0"/>
        <w:overflowPunct w:val="0"/>
        <w:autoSpaceDE w:val="0"/>
        <w:autoSpaceDN w:val="0"/>
        <w:adjustRightInd w:val="0"/>
        <w:spacing w:after="0" w:line="240" w:lineRule="auto"/>
        <w:ind w:left="360" w:hanging="360"/>
        <w:contextualSpacing/>
        <w:rPr>
          <w:rFonts w:cs="Times New Roman"/>
          <w:bCs/>
          <w:sz w:val="24"/>
          <w:szCs w:val="24"/>
        </w:rPr>
      </w:pPr>
      <w:r>
        <w:rPr>
          <w:rFonts w:cs="Times New Roman"/>
          <w:bCs/>
          <w:sz w:val="24"/>
          <w:szCs w:val="24"/>
        </w:rPr>
        <w:t xml:space="preserve">Long, J. Scott and Jeremy </w:t>
      </w:r>
      <w:proofErr w:type="spellStart"/>
      <w:r>
        <w:rPr>
          <w:rFonts w:cs="Times New Roman"/>
          <w:bCs/>
          <w:sz w:val="24"/>
          <w:szCs w:val="24"/>
        </w:rPr>
        <w:t>Freese</w:t>
      </w:r>
      <w:proofErr w:type="spellEnd"/>
      <w:r>
        <w:rPr>
          <w:rFonts w:cs="Times New Roman"/>
          <w:bCs/>
          <w:sz w:val="24"/>
          <w:szCs w:val="24"/>
        </w:rPr>
        <w:t xml:space="preserve">. 2006. </w:t>
      </w:r>
      <w:r>
        <w:rPr>
          <w:rFonts w:cs="Times New Roman"/>
          <w:bCs/>
          <w:i/>
          <w:iCs/>
          <w:sz w:val="24"/>
          <w:szCs w:val="24"/>
        </w:rPr>
        <w:t>Regression Models for Categorical Dependent Variables Using Stata</w:t>
      </w:r>
      <w:r>
        <w:rPr>
          <w:rFonts w:cs="Times New Roman"/>
          <w:bCs/>
          <w:sz w:val="24"/>
          <w:szCs w:val="24"/>
        </w:rPr>
        <w:t xml:space="preserve">. </w:t>
      </w:r>
      <w:proofErr w:type="gramStart"/>
      <w:r>
        <w:rPr>
          <w:rFonts w:cs="Times New Roman"/>
          <w:bCs/>
          <w:sz w:val="24"/>
          <w:szCs w:val="24"/>
        </w:rPr>
        <w:t>2</w:t>
      </w:r>
      <w:r w:rsidRPr="0094321E">
        <w:rPr>
          <w:rFonts w:cs="Times New Roman"/>
          <w:bCs/>
          <w:sz w:val="24"/>
          <w:szCs w:val="24"/>
          <w:vertAlign w:val="superscript"/>
        </w:rPr>
        <w:t>nd</w:t>
      </w:r>
      <w:proofErr w:type="gramEnd"/>
      <w:r>
        <w:rPr>
          <w:rFonts w:cs="Times New Roman"/>
          <w:bCs/>
          <w:sz w:val="24"/>
          <w:szCs w:val="24"/>
        </w:rPr>
        <w:t xml:space="preserve"> ed. College Station, TX: Stata Press. </w:t>
      </w:r>
    </w:p>
    <w:p w:rsidR="002065F1" w:rsidRDefault="002065F1" w:rsidP="00E82B1C">
      <w:pPr>
        <w:spacing w:after="0" w:line="240" w:lineRule="auto"/>
        <w:ind w:left="360" w:hanging="360"/>
        <w:contextualSpacing/>
        <w:rPr>
          <w:sz w:val="24"/>
          <w:szCs w:val="24"/>
        </w:rPr>
      </w:pPr>
      <w:proofErr w:type="spellStart"/>
      <w:r w:rsidRPr="00F36436">
        <w:rPr>
          <w:sz w:val="24"/>
          <w:szCs w:val="24"/>
        </w:rPr>
        <w:t>Mutlu</w:t>
      </w:r>
      <w:proofErr w:type="spellEnd"/>
      <w:r w:rsidRPr="00F36436">
        <w:rPr>
          <w:sz w:val="24"/>
          <w:szCs w:val="24"/>
        </w:rPr>
        <w:t xml:space="preserve">, </w:t>
      </w:r>
      <w:proofErr w:type="spellStart"/>
      <w:r w:rsidRPr="00F36436">
        <w:rPr>
          <w:sz w:val="24"/>
          <w:szCs w:val="24"/>
        </w:rPr>
        <w:t>Servet</w:t>
      </w:r>
      <w:proofErr w:type="spellEnd"/>
      <w:r w:rsidRPr="00F36436">
        <w:rPr>
          <w:sz w:val="24"/>
          <w:szCs w:val="24"/>
        </w:rPr>
        <w:t xml:space="preserve">. 1996. “Ethnic Kurds in Turkey: A Demographic Study.” </w:t>
      </w:r>
      <w:r w:rsidRPr="00F36436">
        <w:rPr>
          <w:i/>
          <w:iCs/>
          <w:sz w:val="24"/>
          <w:szCs w:val="24"/>
        </w:rPr>
        <w:t>International Journal of Middle East Studies</w:t>
      </w:r>
      <w:r w:rsidRPr="00F36436">
        <w:rPr>
          <w:sz w:val="24"/>
          <w:szCs w:val="24"/>
        </w:rPr>
        <w:t xml:space="preserve"> 28</w:t>
      </w:r>
      <w:r>
        <w:rPr>
          <w:sz w:val="24"/>
          <w:szCs w:val="24"/>
        </w:rPr>
        <w:t>(</w:t>
      </w:r>
      <w:r w:rsidRPr="00F36436">
        <w:rPr>
          <w:sz w:val="24"/>
          <w:szCs w:val="24"/>
        </w:rPr>
        <w:t>4</w:t>
      </w:r>
      <w:r>
        <w:rPr>
          <w:sz w:val="24"/>
          <w:szCs w:val="24"/>
        </w:rPr>
        <w:t>)</w:t>
      </w:r>
      <w:r w:rsidRPr="00F36436">
        <w:rPr>
          <w:sz w:val="24"/>
          <w:szCs w:val="24"/>
        </w:rPr>
        <w:t xml:space="preserve">: 517-41. </w:t>
      </w:r>
    </w:p>
    <w:p w:rsidR="008B3293" w:rsidRPr="00583602" w:rsidRDefault="008B3293" w:rsidP="00E82B1C">
      <w:pPr>
        <w:widowControl w:val="0"/>
        <w:overflowPunct w:val="0"/>
        <w:autoSpaceDE w:val="0"/>
        <w:autoSpaceDN w:val="0"/>
        <w:adjustRightInd w:val="0"/>
        <w:spacing w:after="0" w:line="240" w:lineRule="auto"/>
        <w:ind w:left="360" w:hanging="360"/>
        <w:contextualSpacing/>
        <w:rPr>
          <w:rFonts w:cs="Times New Roman"/>
          <w:bCs/>
          <w:sz w:val="24"/>
          <w:szCs w:val="24"/>
        </w:rPr>
      </w:pPr>
      <w:proofErr w:type="spellStart"/>
      <w:r w:rsidRPr="00583602">
        <w:rPr>
          <w:rFonts w:cs="Times New Roman"/>
          <w:bCs/>
          <w:sz w:val="24"/>
          <w:szCs w:val="24"/>
        </w:rPr>
        <w:t>Pecency</w:t>
      </w:r>
      <w:proofErr w:type="spellEnd"/>
      <w:r w:rsidRPr="00583602">
        <w:rPr>
          <w:rFonts w:cs="Times New Roman"/>
          <w:bCs/>
          <w:sz w:val="24"/>
          <w:szCs w:val="24"/>
        </w:rPr>
        <w:t xml:space="preserve"> </w:t>
      </w:r>
      <w:proofErr w:type="gramStart"/>
      <w:r w:rsidRPr="00583602">
        <w:rPr>
          <w:rFonts w:cs="Times New Roman"/>
          <w:bCs/>
          <w:sz w:val="24"/>
          <w:szCs w:val="24"/>
        </w:rPr>
        <w:t>Mark,</w:t>
      </w:r>
      <w:proofErr w:type="gramEnd"/>
      <w:r w:rsidRPr="00583602">
        <w:rPr>
          <w:rFonts w:cs="Times New Roman"/>
          <w:bCs/>
          <w:sz w:val="24"/>
          <w:szCs w:val="24"/>
        </w:rPr>
        <w:t xml:space="preserve"> and William D. Stanley. 2010. “Counterinsurgency in El Salvador.” </w:t>
      </w:r>
      <w:r w:rsidRPr="00583602">
        <w:rPr>
          <w:rFonts w:cs="Times New Roman"/>
          <w:bCs/>
          <w:i/>
          <w:iCs/>
          <w:sz w:val="24"/>
          <w:szCs w:val="24"/>
        </w:rPr>
        <w:t>Politics &amp; Society</w:t>
      </w:r>
      <w:r w:rsidR="002065F1">
        <w:rPr>
          <w:rFonts w:cs="Times New Roman"/>
          <w:bCs/>
          <w:sz w:val="24"/>
          <w:szCs w:val="24"/>
        </w:rPr>
        <w:t xml:space="preserve"> 38(</w:t>
      </w:r>
      <w:r>
        <w:rPr>
          <w:rFonts w:cs="Times New Roman"/>
          <w:bCs/>
          <w:sz w:val="24"/>
          <w:szCs w:val="24"/>
        </w:rPr>
        <w:t>1</w:t>
      </w:r>
      <w:r w:rsidR="002065F1">
        <w:rPr>
          <w:rFonts w:cs="Times New Roman"/>
          <w:bCs/>
          <w:sz w:val="24"/>
          <w:szCs w:val="24"/>
        </w:rPr>
        <w:t>)</w:t>
      </w:r>
      <w:r w:rsidRPr="00583602">
        <w:rPr>
          <w:rFonts w:cs="Times New Roman"/>
          <w:bCs/>
          <w:sz w:val="24"/>
          <w:szCs w:val="24"/>
        </w:rPr>
        <w:t xml:space="preserve">: 67-94. </w:t>
      </w:r>
    </w:p>
    <w:p w:rsidR="00E001E0" w:rsidRDefault="00E001E0" w:rsidP="00E001E0"/>
    <w:p w:rsidR="00E001E0" w:rsidRDefault="00E001E0" w:rsidP="00E001E0"/>
    <w:p w:rsidR="00E001E0" w:rsidRPr="00E001E0" w:rsidRDefault="00E001E0" w:rsidP="00E001E0"/>
    <w:sectPr w:rsidR="00E001E0" w:rsidRPr="00E001E0" w:rsidSect="00320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54" w:rsidRDefault="00FD5254" w:rsidP="0061598C">
      <w:pPr>
        <w:spacing w:after="0" w:line="240" w:lineRule="auto"/>
      </w:pPr>
      <w:r>
        <w:separator/>
      </w:r>
    </w:p>
  </w:endnote>
  <w:endnote w:type="continuationSeparator" w:id="0">
    <w:p w:rsidR="00FD5254" w:rsidRDefault="00FD5254" w:rsidP="0061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vTTedcf1c79">
    <w:panose1 w:val="00000000000000000000"/>
    <w:charset w:val="00"/>
    <w:family w:val="roman"/>
    <w:notTrueType/>
    <w:pitch w:val="default"/>
    <w:sig w:usb0="00000003" w:usb1="00000000" w:usb2="00000000" w:usb3="00000000" w:csb0="00000001" w:csb1="00000000"/>
  </w:font>
  <w:font w:name="AdvTTedcf1c79+f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92632"/>
      <w:docPartObj>
        <w:docPartGallery w:val="Page Numbers (Bottom of Page)"/>
        <w:docPartUnique/>
      </w:docPartObj>
    </w:sdtPr>
    <w:sdtEndPr>
      <w:rPr>
        <w:noProof/>
      </w:rPr>
    </w:sdtEndPr>
    <w:sdtContent>
      <w:p w:rsidR="00B059BD" w:rsidRDefault="002D0A9B">
        <w:pPr>
          <w:pStyle w:val="Footer"/>
          <w:jc w:val="center"/>
        </w:pPr>
        <w:proofErr w:type="gramStart"/>
        <w:r>
          <w:t>A.</w:t>
        </w:r>
        <w:proofErr w:type="gramEnd"/>
        <w:r w:rsidR="00B059BD">
          <w:fldChar w:fldCharType="begin"/>
        </w:r>
        <w:r w:rsidR="00B059BD">
          <w:instrText xml:space="preserve"> PAGE   \* MERGEFORMAT </w:instrText>
        </w:r>
        <w:r w:rsidR="00B059BD">
          <w:fldChar w:fldCharType="separate"/>
        </w:r>
        <w:r w:rsidR="00ED2B3D">
          <w:rPr>
            <w:noProof/>
          </w:rPr>
          <w:t>1</w:t>
        </w:r>
        <w:r w:rsidR="00B059BD">
          <w:rPr>
            <w:noProof/>
          </w:rPr>
          <w:fldChar w:fldCharType="end"/>
        </w:r>
      </w:p>
    </w:sdtContent>
  </w:sdt>
  <w:p w:rsidR="00B059BD" w:rsidRDefault="00B0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54" w:rsidRDefault="00FD5254" w:rsidP="0061598C">
      <w:pPr>
        <w:spacing w:after="0" w:line="240" w:lineRule="auto"/>
      </w:pPr>
      <w:r>
        <w:separator/>
      </w:r>
    </w:p>
  </w:footnote>
  <w:footnote w:type="continuationSeparator" w:id="0">
    <w:p w:rsidR="00FD5254" w:rsidRDefault="00FD5254" w:rsidP="0061598C">
      <w:pPr>
        <w:spacing w:after="0" w:line="240" w:lineRule="auto"/>
      </w:pPr>
      <w:r>
        <w:continuationSeparator/>
      </w:r>
    </w:p>
  </w:footnote>
  <w:footnote w:id="1">
    <w:p w:rsidR="0021369F" w:rsidRPr="00875C88" w:rsidRDefault="0021369F" w:rsidP="00126D03">
      <w:pPr>
        <w:pStyle w:val="FootnoteText"/>
      </w:pPr>
      <w:r w:rsidRPr="00875C88">
        <w:rPr>
          <w:rStyle w:val="FootnoteReference"/>
        </w:rPr>
        <w:footnoteRef/>
      </w:r>
      <w:r w:rsidRPr="00875C88">
        <w:t xml:space="preserve"> Districts (n=9</w:t>
      </w:r>
      <w:r>
        <w:t>57</w:t>
      </w:r>
      <w:r w:rsidRPr="00875C88">
        <w:t>) are the smallest administrative units in Turkey. All districts having more than 10 percent Kurdish population are included in the analysis (covering</w:t>
      </w:r>
      <w:r>
        <w:t xml:space="preserve"> more than 92</w:t>
      </w:r>
      <w:r w:rsidRPr="00875C88">
        <w:t>% of all</w:t>
      </w:r>
      <w:r>
        <w:t xml:space="preserve"> female</w:t>
      </w:r>
      <w:r w:rsidRPr="00875C88">
        <w:t xml:space="preserve"> militants born</w:t>
      </w:r>
      <w:r w:rsidR="00126D03">
        <w:t xml:space="preserve"> in Turkey in the KIM dataset).</w:t>
      </w:r>
      <w:r>
        <w:t xml:space="preserve"> </w:t>
      </w:r>
    </w:p>
  </w:footnote>
  <w:footnote w:id="2">
    <w:p w:rsidR="00126D03" w:rsidRDefault="00126D03" w:rsidP="007911B2">
      <w:pPr>
        <w:pStyle w:val="FootnoteText"/>
      </w:pPr>
      <w:r>
        <w:rPr>
          <w:rStyle w:val="FootnoteReference"/>
        </w:rPr>
        <w:footnoteRef/>
      </w:r>
      <w:r>
        <w:t xml:space="preserve"> An alternate dependent variable could be the ratio of female to male militants in an observation. However, </w:t>
      </w:r>
      <w:r w:rsidR="00393B09">
        <w:t xml:space="preserve">this variable </w:t>
      </w:r>
      <w:r>
        <w:t>runs into a significant several problem</w:t>
      </w:r>
      <w:r w:rsidR="007911B2">
        <w:t>.</w:t>
      </w:r>
      <w:r>
        <w:t xml:space="preserve"> </w:t>
      </w:r>
      <w:r w:rsidR="007911B2">
        <w:t xml:space="preserve">It is not possible to calculate the ratio for many observations with no recorded militants.  </w:t>
      </w:r>
    </w:p>
  </w:footnote>
  <w:footnote w:id="3">
    <w:p w:rsidR="0021369F" w:rsidRDefault="0021369F" w:rsidP="005D13BD">
      <w:pPr>
        <w:pStyle w:val="FootnoteText"/>
      </w:pPr>
      <w:r>
        <w:rPr>
          <w:rStyle w:val="FootnoteReference"/>
        </w:rPr>
        <w:footnoteRef/>
      </w:r>
      <w:r w:rsidR="005D13BD">
        <w:t xml:space="preserve"> Caldwell 1978</w:t>
      </w:r>
      <w:r>
        <w:t>.</w:t>
      </w:r>
    </w:p>
  </w:footnote>
  <w:footnote w:id="4">
    <w:p w:rsidR="0021369F" w:rsidRPr="00D97897" w:rsidRDefault="0021369F" w:rsidP="0021369F">
      <w:pPr>
        <w:pStyle w:val="FootnoteText"/>
        <w:rPr>
          <w:sz w:val="24"/>
          <w:szCs w:val="24"/>
        </w:rPr>
      </w:pPr>
      <w:r w:rsidRPr="00875C88">
        <w:rPr>
          <w:rStyle w:val="FootnoteReference"/>
        </w:rPr>
        <w:footnoteRef/>
      </w:r>
      <w:r>
        <w:t xml:space="preserve"> For th</w:t>
      </w:r>
      <w:r w:rsidRPr="002255C3">
        <w:t xml:space="preserve">e period 6 (2005-12), the average of the vote received by the Kurdish candidates in the 2007 and 2011 elections is used. For the period 7 (2013-16), the average of the vote received by the HDP in the June and November 2015 elections is used. </w:t>
      </w:r>
    </w:p>
  </w:footnote>
  <w:footnote w:id="5">
    <w:p w:rsidR="0021369F" w:rsidRDefault="0021369F" w:rsidP="0021369F">
      <w:pPr>
        <w:pStyle w:val="FootnoteText"/>
      </w:pPr>
      <w:r>
        <w:rPr>
          <w:rStyle w:val="FootnoteReference"/>
        </w:rPr>
        <w:footnoteRef/>
      </w:r>
      <w:r>
        <w:t xml:space="preserve"> Chandra and Wilkinson 2008.</w:t>
      </w:r>
    </w:p>
  </w:footnote>
  <w:footnote w:id="6">
    <w:p w:rsidR="0021369F" w:rsidRDefault="0021369F" w:rsidP="0021369F">
      <w:pPr>
        <w:pStyle w:val="FootnoteText"/>
      </w:pPr>
      <w:r>
        <w:rPr>
          <w:rStyle w:val="FootnoteReference"/>
        </w:rPr>
        <w:footnoteRef/>
      </w:r>
      <w:r>
        <w:t xml:space="preserve"> </w:t>
      </w:r>
      <w:r w:rsidR="0094770F" w:rsidRPr="00F20C29">
        <w:rPr>
          <w:bCs/>
        </w:rPr>
        <w:t>Memories of past state violence orally transmitted across generations may contribute to contemporary violent mobilization</w:t>
      </w:r>
      <w:r w:rsidR="0094770F" w:rsidRPr="00F20C29">
        <w:t xml:space="preserve">. </w:t>
      </w:r>
      <w:proofErr w:type="spellStart"/>
      <w:r w:rsidRPr="00F20C29">
        <w:t>Pecency</w:t>
      </w:r>
      <w:proofErr w:type="spellEnd"/>
      <w:r w:rsidRPr="00F20C29">
        <w:t xml:space="preserve"> and Stanley 2010, 69.</w:t>
      </w:r>
    </w:p>
  </w:footnote>
  <w:footnote w:id="7">
    <w:p w:rsidR="0021369F" w:rsidRPr="00C30FB7" w:rsidRDefault="0021369F" w:rsidP="0021369F">
      <w:pPr>
        <w:spacing w:after="0" w:line="240" w:lineRule="auto"/>
        <w:rPr>
          <w:bCs/>
        </w:rPr>
      </w:pPr>
      <w:r w:rsidRPr="00C30FB7">
        <w:rPr>
          <w:rStyle w:val="FootnoteReference"/>
          <w:sz w:val="20"/>
          <w:szCs w:val="20"/>
        </w:rPr>
        <w:footnoteRef/>
      </w:r>
      <w:r w:rsidRPr="00C30FB7">
        <w:rPr>
          <w:sz w:val="20"/>
          <w:szCs w:val="20"/>
        </w:rPr>
        <w:t xml:space="preserve"> Literacy is an alternative measure but</w:t>
      </w:r>
      <w:r>
        <w:rPr>
          <w:sz w:val="20"/>
          <w:szCs w:val="20"/>
        </w:rPr>
        <w:t xml:space="preserve"> very</w:t>
      </w:r>
      <w:r w:rsidRPr="00C30FB7">
        <w:rPr>
          <w:sz w:val="20"/>
          <w:szCs w:val="20"/>
        </w:rPr>
        <w:t xml:space="preserve"> high</w:t>
      </w:r>
      <w:r>
        <w:rPr>
          <w:sz w:val="20"/>
          <w:szCs w:val="20"/>
        </w:rPr>
        <w:t>ly</w:t>
      </w:r>
      <w:r w:rsidRPr="00C30FB7">
        <w:rPr>
          <w:sz w:val="20"/>
          <w:szCs w:val="20"/>
        </w:rPr>
        <w:t xml:space="preserve"> correlated with Female Literacy Ratio (c</w:t>
      </w:r>
      <w:r w:rsidRPr="00C30FB7">
        <w:rPr>
          <w:i/>
          <w:iCs/>
          <w:sz w:val="20"/>
          <w:szCs w:val="20"/>
        </w:rPr>
        <w:t xml:space="preserve"> </w:t>
      </w:r>
      <w:r w:rsidRPr="00C30FB7">
        <w:rPr>
          <w:sz w:val="20"/>
          <w:szCs w:val="20"/>
        </w:rPr>
        <w:t xml:space="preserve">= 0.83). </w:t>
      </w:r>
    </w:p>
  </w:footnote>
  <w:footnote w:id="8">
    <w:p w:rsidR="0021369F" w:rsidRDefault="0021369F" w:rsidP="0021369F">
      <w:pPr>
        <w:pStyle w:val="FootnoteText"/>
      </w:pPr>
      <w:r>
        <w:rPr>
          <w:rStyle w:val="FootnoteReference"/>
        </w:rPr>
        <w:footnoteRef/>
      </w:r>
      <w:r>
        <w:t xml:space="preserve"> It is log transformed since it has a positively skewed distribution. </w:t>
      </w:r>
    </w:p>
  </w:footnote>
  <w:footnote w:id="9">
    <w:p w:rsidR="0021369F" w:rsidRDefault="0021369F" w:rsidP="0021369F">
      <w:pPr>
        <w:pStyle w:val="FootnoteText"/>
      </w:pPr>
      <w:r>
        <w:rPr>
          <w:rStyle w:val="FootnoteReference"/>
        </w:rPr>
        <w:footnoteRef/>
      </w:r>
      <w:r>
        <w:t xml:space="preserve"> Long and </w:t>
      </w:r>
      <w:proofErr w:type="spellStart"/>
      <w:r>
        <w:t>Freese</w:t>
      </w:r>
      <w:proofErr w:type="spellEnd"/>
      <w:r>
        <w:t xml:space="preserve"> 2006. A significant z-test (the </w:t>
      </w:r>
      <w:proofErr w:type="spellStart"/>
      <w:r>
        <w:t>Vuong</w:t>
      </w:r>
      <w:proofErr w:type="spellEnd"/>
      <w:r>
        <w:t xml:space="preserve"> test) suggests ZINB over the standard negative </w:t>
      </w:r>
      <w:proofErr w:type="spellStart"/>
      <w:proofErr w:type="gramStart"/>
      <w:r>
        <w:t>binomialmodel</w:t>
      </w:r>
      <w:proofErr w:type="spellEnd"/>
      <w:r>
        <w:t>,</w:t>
      </w:r>
      <w:proofErr w:type="gramEnd"/>
      <w:r>
        <w:t xml:space="preserve"> and a significant likelihood ratio test of alpha=0 suggests ZINB over zero-inflated Poisson regression.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B9"/>
    <w:rsid w:val="00002A1F"/>
    <w:rsid w:val="000646D6"/>
    <w:rsid w:val="000647D8"/>
    <w:rsid w:val="00072171"/>
    <w:rsid w:val="00075E17"/>
    <w:rsid w:val="0008029C"/>
    <w:rsid w:val="00082678"/>
    <w:rsid w:val="000A03B9"/>
    <w:rsid w:val="000A1F76"/>
    <w:rsid w:val="000A4B82"/>
    <w:rsid w:val="000B4511"/>
    <w:rsid w:val="000B4EB3"/>
    <w:rsid w:val="000D03ED"/>
    <w:rsid w:val="000D419B"/>
    <w:rsid w:val="000F0F55"/>
    <w:rsid w:val="00107ED4"/>
    <w:rsid w:val="001112F4"/>
    <w:rsid w:val="00125AEF"/>
    <w:rsid w:val="00126D03"/>
    <w:rsid w:val="00134442"/>
    <w:rsid w:val="00135393"/>
    <w:rsid w:val="00144BB5"/>
    <w:rsid w:val="0018144C"/>
    <w:rsid w:val="001C03A0"/>
    <w:rsid w:val="001C7F67"/>
    <w:rsid w:val="001D5F00"/>
    <w:rsid w:val="001E3ABB"/>
    <w:rsid w:val="00204A5F"/>
    <w:rsid w:val="002065F1"/>
    <w:rsid w:val="0021369F"/>
    <w:rsid w:val="0024155E"/>
    <w:rsid w:val="00256A03"/>
    <w:rsid w:val="002D0A9B"/>
    <w:rsid w:val="00320F29"/>
    <w:rsid w:val="0033657B"/>
    <w:rsid w:val="00350DF7"/>
    <w:rsid w:val="0037020A"/>
    <w:rsid w:val="003774AF"/>
    <w:rsid w:val="0038186A"/>
    <w:rsid w:val="00381F98"/>
    <w:rsid w:val="00393B09"/>
    <w:rsid w:val="003A32DA"/>
    <w:rsid w:val="003A669A"/>
    <w:rsid w:val="003A66B9"/>
    <w:rsid w:val="003C17B3"/>
    <w:rsid w:val="003C5852"/>
    <w:rsid w:val="003E4EC7"/>
    <w:rsid w:val="00403FCF"/>
    <w:rsid w:val="004251FD"/>
    <w:rsid w:val="00430D5F"/>
    <w:rsid w:val="00463301"/>
    <w:rsid w:val="00464A88"/>
    <w:rsid w:val="004720AD"/>
    <w:rsid w:val="004B3961"/>
    <w:rsid w:val="004D1CED"/>
    <w:rsid w:val="004D57AC"/>
    <w:rsid w:val="004F5113"/>
    <w:rsid w:val="005006F1"/>
    <w:rsid w:val="00505639"/>
    <w:rsid w:val="00566129"/>
    <w:rsid w:val="005939E2"/>
    <w:rsid w:val="005A3526"/>
    <w:rsid w:val="005D13BD"/>
    <w:rsid w:val="005E08E9"/>
    <w:rsid w:val="005E4CEA"/>
    <w:rsid w:val="005E7AD2"/>
    <w:rsid w:val="00600147"/>
    <w:rsid w:val="00600C09"/>
    <w:rsid w:val="00605591"/>
    <w:rsid w:val="0061598C"/>
    <w:rsid w:val="006204AA"/>
    <w:rsid w:val="00650620"/>
    <w:rsid w:val="006544B6"/>
    <w:rsid w:val="006707A2"/>
    <w:rsid w:val="006B5F32"/>
    <w:rsid w:val="006C0B26"/>
    <w:rsid w:val="006C4E30"/>
    <w:rsid w:val="006D72CC"/>
    <w:rsid w:val="006F3CB0"/>
    <w:rsid w:val="006F51DE"/>
    <w:rsid w:val="00704E4D"/>
    <w:rsid w:val="007160FB"/>
    <w:rsid w:val="007554CD"/>
    <w:rsid w:val="00761751"/>
    <w:rsid w:val="007911B2"/>
    <w:rsid w:val="00793F71"/>
    <w:rsid w:val="007A1904"/>
    <w:rsid w:val="007A29FF"/>
    <w:rsid w:val="007A7BB6"/>
    <w:rsid w:val="007B3273"/>
    <w:rsid w:val="007B7F89"/>
    <w:rsid w:val="007D435A"/>
    <w:rsid w:val="007E51EF"/>
    <w:rsid w:val="008036F8"/>
    <w:rsid w:val="008545FC"/>
    <w:rsid w:val="00866F4E"/>
    <w:rsid w:val="008914B6"/>
    <w:rsid w:val="008A36A2"/>
    <w:rsid w:val="008B3293"/>
    <w:rsid w:val="008B7B00"/>
    <w:rsid w:val="008D1BA1"/>
    <w:rsid w:val="00906F7C"/>
    <w:rsid w:val="009161C3"/>
    <w:rsid w:val="0093693C"/>
    <w:rsid w:val="0094371D"/>
    <w:rsid w:val="0094770F"/>
    <w:rsid w:val="00975E23"/>
    <w:rsid w:val="00997037"/>
    <w:rsid w:val="009B0690"/>
    <w:rsid w:val="009C4873"/>
    <w:rsid w:val="00A024BC"/>
    <w:rsid w:val="00A2536D"/>
    <w:rsid w:val="00A2706A"/>
    <w:rsid w:val="00A77FE8"/>
    <w:rsid w:val="00AA31F5"/>
    <w:rsid w:val="00AB256D"/>
    <w:rsid w:val="00AE18B9"/>
    <w:rsid w:val="00AE4396"/>
    <w:rsid w:val="00AF0E43"/>
    <w:rsid w:val="00AF2CBB"/>
    <w:rsid w:val="00B059BD"/>
    <w:rsid w:val="00B10C6A"/>
    <w:rsid w:val="00B172DB"/>
    <w:rsid w:val="00B44BEF"/>
    <w:rsid w:val="00B62D38"/>
    <w:rsid w:val="00B80382"/>
    <w:rsid w:val="00B81C0B"/>
    <w:rsid w:val="00B86136"/>
    <w:rsid w:val="00B91040"/>
    <w:rsid w:val="00BC1F4C"/>
    <w:rsid w:val="00C12DB2"/>
    <w:rsid w:val="00C15238"/>
    <w:rsid w:val="00C36C0E"/>
    <w:rsid w:val="00C71A49"/>
    <w:rsid w:val="00C80B77"/>
    <w:rsid w:val="00C91827"/>
    <w:rsid w:val="00C9799C"/>
    <w:rsid w:val="00CD62BD"/>
    <w:rsid w:val="00CE45B1"/>
    <w:rsid w:val="00CE5E67"/>
    <w:rsid w:val="00D216A2"/>
    <w:rsid w:val="00D24F91"/>
    <w:rsid w:val="00D2799C"/>
    <w:rsid w:val="00D451DC"/>
    <w:rsid w:val="00D55EBD"/>
    <w:rsid w:val="00D95D49"/>
    <w:rsid w:val="00DA3634"/>
    <w:rsid w:val="00DA48B7"/>
    <w:rsid w:val="00DA4A00"/>
    <w:rsid w:val="00DB51EB"/>
    <w:rsid w:val="00DE7BA7"/>
    <w:rsid w:val="00DF469F"/>
    <w:rsid w:val="00E001E0"/>
    <w:rsid w:val="00E02A7C"/>
    <w:rsid w:val="00E07752"/>
    <w:rsid w:val="00E11B15"/>
    <w:rsid w:val="00E30079"/>
    <w:rsid w:val="00E3086C"/>
    <w:rsid w:val="00E34EE8"/>
    <w:rsid w:val="00E42DF0"/>
    <w:rsid w:val="00E82B1C"/>
    <w:rsid w:val="00ED2B3D"/>
    <w:rsid w:val="00EE4DA8"/>
    <w:rsid w:val="00EF3325"/>
    <w:rsid w:val="00F02597"/>
    <w:rsid w:val="00F0790B"/>
    <w:rsid w:val="00F16CB9"/>
    <w:rsid w:val="00F173E4"/>
    <w:rsid w:val="00F20C29"/>
    <w:rsid w:val="00F76426"/>
    <w:rsid w:val="00F82AB9"/>
    <w:rsid w:val="00FD5254"/>
    <w:rsid w:val="00FF2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B77"/>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80B77"/>
    <w:pPr>
      <w:keepNext/>
      <w:keepLines/>
      <w:spacing w:before="120" w:after="120" w:line="240"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9437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80B77"/>
    <w:rPr>
      <w:rFonts w:eastAsiaTheme="majorEastAsia" w:cstheme="majorBidi"/>
      <w:b/>
      <w:sz w:val="24"/>
      <w:szCs w:val="26"/>
    </w:rPr>
  </w:style>
  <w:style w:type="paragraph" w:customStyle="1" w:styleId="Default">
    <w:name w:val="Default"/>
    <w:rsid w:val="00C979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8C"/>
  </w:style>
  <w:style w:type="paragraph" w:styleId="Footer">
    <w:name w:val="footer"/>
    <w:basedOn w:val="Normal"/>
    <w:link w:val="FooterChar"/>
    <w:uiPriority w:val="99"/>
    <w:unhideWhenUsed/>
    <w:rsid w:val="0061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8C"/>
  </w:style>
  <w:style w:type="paragraph" w:styleId="FootnoteText">
    <w:name w:val="footnote text"/>
    <w:basedOn w:val="Normal"/>
    <w:link w:val="FootnoteTextChar"/>
    <w:uiPriority w:val="99"/>
    <w:unhideWhenUsed/>
    <w:rsid w:val="0021369F"/>
    <w:pPr>
      <w:spacing w:after="0" w:line="240" w:lineRule="auto"/>
    </w:pPr>
    <w:rPr>
      <w:sz w:val="20"/>
      <w:szCs w:val="20"/>
    </w:rPr>
  </w:style>
  <w:style w:type="character" w:customStyle="1" w:styleId="FootnoteTextChar">
    <w:name w:val="Footnote Text Char"/>
    <w:basedOn w:val="DefaultParagraphFont"/>
    <w:link w:val="FootnoteText"/>
    <w:uiPriority w:val="99"/>
    <w:rsid w:val="0021369F"/>
    <w:rPr>
      <w:sz w:val="20"/>
      <w:szCs w:val="20"/>
    </w:rPr>
  </w:style>
  <w:style w:type="character" w:styleId="FootnoteReference">
    <w:name w:val="footnote reference"/>
    <w:basedOn w:val="DefaultParagraphFont"/>
    <w:uiPriority w:val="99"/>
    <w:semiHidden/>
    <w:unhideWhenUsed/>
    <w:rsid w:val="0021369F"/>
    <w:rPr>
      <w:vertAlign w:val="superscript"/>
    </w:rPr>
  </w:style>
  <w:style w:type="character" w:styleId="Hyperlink">
    <w:name w:val="Hyperlink"/>
    <w:basedOn w:val="DefaultParagraphFont"/>
    <w:uiPriority w:val="99"/>
    <w:unhideWhenUsed/>
    <w:rsid w:val="0021369F"/>
    <w:rPr>
      <w:color w:val="0563C1" w:themeColor="hyperlink"/>
      <w:u w:val="single"/>
    </w:rPr>
  </w:style>
  <w:style w:type="character" w:customStyle="1" w:styleId="apple-style-span">
    <w:name w:val="apple-style-span"/>
    <w:basedOn w:val="DefaultParagraphFont"/>
    <w:rsid w:val="008B3293"/>
  </w:style>
  <w:style w:type="character" w:customStyle="1" w:styleId="apple-converted-space">
    <w:name w:val="apple-converted-space"/>
    <w:basedOn w:val="DefaultParagraphFont"/>
    <w:rsid w:val="00B81C0B"/>
  </w:style>
  <w:style w:type="character" w:customStyle="1" w:styleId="Heading1Char">
    <w:name w:val="Heading 1 Char"/>
    <w:basedOn w:val="DefaultParagraphFont"/>
    <w:link w:val="Heading1"/>
    <w:uiPriority w:val="9"/>
    <w:rsid w:val="00C80B77"/>
    <w:rPr>
      <w:rFonts w:eastAsiaTheme="majorEastAsia" w:cstheme="majorBidi"/>
      <w:b/>
      <w:sz w:val="24"/>
      <w:szCs w:val="32"/>
    </w:rPr>
  </w:style>
  <w:style w:type="paragraph" w:styleId="BalloonText">
    <w:name w:val="Balloon Text"/>
    <w:basedOn w:val="Normal"/>
    <w:link w:val="BalloonTextChar"/>
    <w:uiPriority w:val="99"/>
    <w:semiHidden/>
    <w:unhideWhenUsed/>
    <w:rsid w:val="00E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B77"/>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80B77"/>
    <w:pPr>
      <w:keepNext/>
      <w:keepLines/>
      <w:spacing w:before="120" w:after="120" w:line="240"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
    <w:name w:val="Grid Table 2"/>
    <w:basedOn w:val="TableNormal"/>
    <w:uiPriority w:val="47"/>
    <w:rsid w:val="009437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80B77"/>
    <w:rPr>
      <w:rFonts w:eastAsiaTheme="majorEastAsia" w:cstheme="majorBidi"/>
      <w:b/>
      <w:sz w:val="24"/>
      <w:szCs w:val="26"/>
    </w:rPr>
  </w:style>
  <w:style w:type="paragraph" w:customStyle="1" w:styleId="Default">
    <w:name w:val="Default"/>
    <w:rsid w:val="00C979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15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8C"/>
  </w:style>
  <w:style w:type="paragraph" w:styleId="Footer">
    <w:name w:val="footer"/>
    <w:basedOn w:val="Normal"/>
    <w:link w:val="FooterChar"/>
    <w:uiPriority w:val="99"/>
    <w:unhideWhenUsed/>
    <w:rsid w:val="00615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8C"/>
  </w:style>
  <w:style w:type="paragraph" w:styleId="FootnoteText">
    <w:name w:val="footnote text"/>
    <w:basedOn w:val="Normal"/>
    <w:link w:val="FootnoteTextChar"/>
    <w:uiPriority w:val="99"/>
    <w:unhideWhenUsed/>
    <w:rsid w:val="0021369F"/>
    <w:pPr>
      <w:spacing w:after="0" w:line="240" w:lineRule="auto"/>
    </w:pPr>
    <w:rPr>
      <w:sz w:val="20"/>
      <w:szCs w:val="20"/>
    </w:rPr>
  </w:style>
  <w:style w:type="character" w:customStyle="1" w:styleId="FootnoteTextChar">
    <w:name w:val="Footnote Text Char"/>
    <w:basedOn w:val="DefaultParagraphFont"/>
    <w:link w:val="FootnoteText"/>
    <w:uiPriority w:val="99"/>
    <w:rsid w:val="0021369F"/>
    <w:rPr>
      <w:sz w:val="20"/>
      <w:szCs w:val="20"/>
    </w:rPr>
  </w:style>
  <w:style w:type="character" w:styleId="FootnoteReference">
    <w:name w:val="footnote reference"/>
    <w:basedOn w:val="DefaultParagraphFont"/>
    <w:uiPriority w:val="99"/>
    <w:semiHidden/>
    <w:unhideWhenUsed/>
    <w:rsid w:val="0021369F"/>
    <w:rPr>
      <w:vertAlign w:val="superscript"/>
    </w:rPr>
  </w:style>
  <w:style w:type="character" w:styleId="Hyperlink">
    <w:name w:val="Hyperlink"/>
    <w:basedOn w:val="DefaultParagraphFont"/>
    <w:uiPriority w:val="99"/>
    <w:unhideWhenUsed/>
    <w:rsid w:val="0021369F"/>
    <w:rPr>
      <w:color w:val="0563C1" w:themeColor="hyperlink"/>
      <w:u w:val="single"/>
    </w:rPr>
  </w:style>
  <w:style w:type="character" w:customStyle="1" w:styleId="apple-style-span">
    <w:name w:val="apple-style-span"/>
    <w:basedOn w:val="DefaultParagraphFont"/>
    <w:rsid w:val="008B3293"/>
  </w:style>
  <w:style w:type="character" w:customStyle="1" w:styleId="apple-converted-space">
    <w:name w:val="apple-converted-space"/>
    <w:basedOn w:val="DefaultParagraphFont"/>
    <w:rsid w:val="00B81C0B"/>
  </w:style>
  <w:style w:type="character" w:customStyle="1" w:styleId="Heading1Char">
    <w:name w:val="Heading 1 Char"/>
    <w:basedOn w:val="DefaultParagraphFont"/>
    <w:link w:val="Heading1"/>
    <w:uiPriority w:val="9"/>
    <w:rsid w:val="00C80B77"/>
    <w:rPr>
      <w:rFonts w:eastAsiaTheme="majorEastAsia" w:cstheme="majorBidi"/>
      <w:b/>
      <w:sz w:val="24"/>
      <w:szCs w:val="32"/>
    </w:rPr>
  </w:style>
  <w:style w:type="paragraph" w:styleId="BalloonText">
    <w:name w:val="Balloon Text"/>
    <w:basedOn w:val="Normal"/>
    <w:link w:val="BalloonTextChar"/>
    <w:uiPriority w:val="99"/>
    <w:semiHidden/>
    <w:unhideWhenUsed/>
    <w:rsid w:val="00E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uik.gov.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u829279\Dropbox\Tezcur\PROJECT\Womenfighters\Analysis\WomenFigh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620841180163214E-2"/>
          <c:y val="0.11938246483234538"/>
          <c:w val="0.94475831763967355"/>
          <c:h val="0.7937326373529151"/>
        </c:manualLayout>
      </c:layout>
      <c:barChart>
        <c:barDir val="col"/>
        <c:grouping val="stacked"/>
        <c:varyColors val="0"/>
        <c:ser>
          <c:idx val="0"/>
          <c:order val="0"/>
          <c:tx>
            <c:strRef>
              <c:f>EducationLOR!$B$19</c:f>
              <c:strCache>
                <c:ptCount val="1"/>
                <c:pt idx="0">
                  <c:v>None/Primary</c:v>
                </c:pt>
              </c:strCache>
            </c:strRef>
          </c:tx>
          <c:spPr>
            <a:solidFill>
              <a:schemeClr val="tx2">
                <a:lumMod val="40000"/>
                <a:lumOff val="60000"/>
              </a:schemeClr>
            </a:solidFill>
            <a:ln w="12700" cap="flat" cmpd="sng" algn="ctr">
              <a:solidFill>
                <a:schemeClr val="accent1"/>
              </a:solidFill>
              <a:prstDash val="solid"/>
              <a:miter lim="800000"/>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EducationLOR!$A$20:$A$23</c:f>
              <c:strCache>
                <c:ptCount val="4"/>
                <c:pt idx="0">
                  <c:v>Village</c:v>
                </c:pt>
                <c:pt idx="1">
                  <c:v>Kurdish city</c:v>
                </c:pt>
                <c:pt idx="2">
                  <c:v>Big city</c:v>
                </c:pt>
                <c:pt idx="3">
                  <c:v>Europe/Middle East</c:v>
                </c:pt>
              </c:strCache>
            </c:strRef>
          </c:cat>
          <c:val>
            <c:numRef>
              <c:f>EducationLOR!$B$20:$B$23</c:f>
              <c:numCache>
                <c:formatCode>General</c:formatCode>
                <c:ptCount val="4"/>
                <c:pt idx="0">
                  <c:v>82</c:v>
                </c:pt>
                <c:pt idx="1">
                  <c:v>12</c:v>
                </c:pt>
                <c:pt idx="2">
                  <c:v>21</c:v>
                </c:pt>
                <c:pt idx="3">
                  <c:v>41</c:v>
                </c:pt>
              </c:numCache>
            </c:numRef>
          </c:val>
          <c:extLst xmlns:c16r2="http://schemas.microsoft.com/office/drawing/2015/06/chart">
            <c:ext xmlns:c16="http://schemas.microsoft.com/office/drawing/2014/chart" uri="{C3380CC4-5D6E-409C-BE32-E72D297353CC}">
              <c16:uniqueId val="{00000000-4FB2-413B-B34A-6D6D4ACC0F66}"/>
            </c:ext>
          </c:extLst>
        </c:ser>
        <c:ser>
          <c:idx val="1"/>
          <c:order val="1"/>
          <c:tx>
            <c:strRef>
              <c:f>EducationLOR!$C$19</c:f>
              <c:strCache>
                <c:ptCount val="1"/>
                <c:pt idx="0">
                  <c:v>Middle/High</c:v>
                </c:pt>
              </c:strCache>
            </c:strRef>
          </c:tx>
          <c:spPr>
            <a:solidFill>
              <a:schemeClr val="accent2">
                <a:lumMod val="40000"/>
                <a:lumOff val="60000"/>
              </a:schemeClr>
            </a:solidFill>
            <a:ln w="12700" cap="flat" cmpd="sng" algn="ctr">
              <a:solidFill>
                <a:schemeClr val="accent2"/>
              </a:solidFill>
              <a:prstDash val="solid"/>
              <a:miter lim="800000"/>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EducationLOR!$A$20:$A$23</c:f>
              <c:strCache>
                <c:ptCount val="4"/>
                <c:pt idx="0">
                  <c:v>Village</c:v>
                </c:pt>
                <c:pt idx="1">
                  <c:v>Kurdish city</c:v>
                </c:pt>
                <c:pt idx="2">
                  <c:v>Big city</c:v>
                </c:pt>
                <c:pt idx="3">
                  <c:v>Europe/Middle East</c:v>
                </c:pt>
              </c:strCache>
            </c:strRef>
          </c:cat>
          <c:val>
            <c:numRef>
              <c:f>EducationLOR!$C$20:$C$23</c:f>
              <c:numCache>
                <c:formatCode>General</c:formatCode>
                <c:ptCount val="4"/>
                <c:pt idx="0">
                  <c:v>15</c:v>
                </c:pt>
                <c:pt idx="1">
                  <c:v>67</c:v>
                </c:pt>
                <c:pt idx="2">
                  <c:v>25</c:v>
                </c:pt>
                <c:pt idx="3">
                  <c:v>48</c:v>
                </c:pt>
              </c:numCache>
            </c:numRef>
          </c:val>
          <c:extLst xmlns:c16r2="http://schemas.microsoft.com/office/drawing/2015/06/chart">
            <c:ext xmlns:c16="http://schemas.microsoft.com/office/drawing/2014/chart" uri="{C3380CC4-5D6E-409C-BE32-E72D297353CC}">
              <c16:uniqueId val="{00000001-4FB2-413B-B34A-6D6D4ACC0F66}"/>
            </c:ext>
          </c:extLst>
        </c:ser>
        <c:ser>
          <c:idx val="2"/>
          <c:order val="2"/>
          <c:tx>
            <c:strRef>
              <c:f>EducationLOR!$D$19</c:f>
              <c:strCache>
                <c:ptCount val="1"/>
                <c:pt idx="0">
                  <c:v>University</c:v>
                </c:pt>
              </c:strCache>
            </c:strRef>
          </c:tx>
          <c:spPr>
            <a:solidFill>
              <a:schemeClr val="accent6">
                <a:lumMod val="40000"/>
                <a:lumOff val="60000"/>
              </a:schemeClr>
            </a:solidFill>
            <a:ln w="12700" cap="flat" cmpd="sng" algn="ctr">
              <a:solidFill>
                <a:schemeClr val="accent2"/>
              </a:solidFill>
              <a:prstDash val="solid"/>
              <a:miter lim="800000"/>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EducationLOR!$A$20:$A$23</c:f>
              <c:strCache>
                <c:ptCount val="4"/>
                <c:pt idx="0">
                  <c:v>Village</c:v>
                </c:pt>
                <c:pt idx="1">
                  <c:v>Kurdish city</c:v>
                </c:pt>
                <c:pt idx="2">
                  <c:v>Big city</c:v>
                </c:pt>
                <c:pt idx="3">
                  <c:v>Europe/Middle East</c:v>
                </c:pt>
              </c:strCache>
            </c:strRef>
          </c:cat>
          <c:val>
            <c:numRef>
              <c:f>EducationLOR!$D$20:$D$23</c:f>
              <c:numCache>
                <c:formatCode>General</c:formatCode>
                <c:ptCount val="4"/>
                <c:pt idx="0">
                  <c:v>3</c:v>
                </c:pt>
                <c:pt idx="1">
                  <c:v>21</c:v>
                </c:pt>
                <c:pt idx="2">
                  <c:v>54</c:v>
                </c:pt>
                <c:pt idx="3">
                  <c:v>11</c:v>
                </c:pt>
              </c:numCache>
            </c:numRef>
          </c:val>
          <c:extLst xmlns:c16r2="http://schemas.microsoft.com/office/drawing/2015/06/chart">
            <c:ext xmlns:c16="http://schemas.microsoft.com/office/drawing/2014/chart" uri="{C3380CC4-5D6E-409C-BE32-E72D297353CC}">
              <c16:uniqueId val="{00000002-4FB2-413B-B34A-6D6D4ACC0F66}"/>
            </c:ext>
          </c:extLst>
        </c:ser>
        <c:dLbls>
          <c:showLegendKey val="0"/>
          <c:showVal val="0"/>
          <c:showCatName val="0"/>
          <c:showSerName val="0"/>
          <c:showPercent val="0"/>
          <c:showBubbleSize val="0"/>
        </c:dLbls>
        <c:gapWidth val="75"/>
        <c:overlap val="100"/>
        <c:axId val="404326272"/>
        <c:axId val="404327808"/>
      </c:barChart>
      <c:catAx>
        <c:axId val="40432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27808"/>
        <c:crosses val="autoZero"/>
        <c:auto val="1"/>
        <c:lblAlgn val="ctr"/>
        <c:lblOffset val="100"/>
        <c:noMultiLvlLbl val="0"/>
      </c:catAx>
      <c:valAx>
        <c:axId val="404327808"/>
        <c:scaling>
          <c:orientation val="minMax"/>
        </c:scaling>
        <c:delete val="1"/>
        <c:axPos val="l"/>
        <c:numFmt formatCode="General" sourceLinked="1"/>
        <c:majorTickMark val="out"/>
        <c:minorTickMark val="none"/>
        <c:tickLblPos val="nextTo"/>
        <c:crossAx val="404326272"/>
        <c:crosses val="autoZero"/>
        <c:crossBetween val="between"/>
      </c:valAx>
      <c:spPr>
        <a:noFill/>
        <a:ln w="25400">
          <a:noFill/>
        </a:ln>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0.08708</cdr:x>
      <cdr:y>0.16461</cdr:y>
    </cdr:from>
    <cdr:to>
      <cdr:x>0.18689</cdr:x>
      <cdr:y>0.2612</cdr:y>
    </cdr:to>
    <cdr:sp macro="" textlink="">
      <cdr:nvSpPr>
        <cdr:cNvPr id="2" name="TextBox 1"/>
        <cdr:cNvSpPr txBox="1"/>
      </cdr:nvSpPr>
      <cdr:spPr>
        <a:xfrm xmlns:a="http://schemas.openxmlformats.org/drawingml/2006/main">
          <a:off x="379069" y="577008"/>
          <a:ext cx="434465" cy="3385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n=150</a:t>
          </a:r>
        </a:p>
      </cdr:txBody>
    </cdr:sp>
  </cdr:relSizeAnchor>
  <cdr:relSizeAnchor xmlns:cdr="http://schemas.openxmlformats.org/drawingml/2006/chartDrawing">
    <cdr:from>
      <cdr:x>0.79241</cdr:x>
      <cdr:y>0.15465</cdr:y>
    </cdr:from>
    <cdr:to>
      <cdr:x>0.89223</cdr:x>
      <cdr:y>0.25124</cdr:y>
    </cdr:to>
    <cdr:sp macro="" textlink="">
      <cdr:nvSpPr>
        <cdr:cNvPr id="3" name="TextBox 1"/>
        <cdr:cNvSpPr txBox="1"/>
      </cdr:nvSpPr>
      <cdr:spPr>
        <a:xfrm xmlns:a="http://schemas.openxmlformats.org/drawingml/2006/main">
          <a:off x="3924818" y="542064"/>
          <a:ext cx="494409" cy="338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n=126</a:t>
          </a:r>
        </a:p>
      </cdr:txBody>
    </cdr:sp>
  </cdr:relSizeAnchor>
  <cdr:relSizeAnchor xmlns:cdr="http://schemas.openxmlformats.org/drawingml/2006/chartDrawing">
    <cdr:from>
      <cdr:x>0.56435</cdr:x>
      <cdr:y>0.15767</cdr:y>
    </cdr:from>
    <cdr:to>
      <cdr:x>0.66416</cdr:x>
      <cdr:y>0.25426</cdr:y>
    </cdr:to>
    <cdr:sp macro="" textlink="">
      <cdr:nvSpPr>
        <cdr:cNvPr id="4" name="TextBox 1"/>
        <cdr:cNvSpPr txBox="1"/>
      </cdr:nvSpPr>
      <cdr:spPr>
        <a:xfrm xmlns:a="http://schemas.openxmlformats.org/drawingml/2006/main">
          <a:off x="2795248" y="552666"/>
          <a:ext cx="494359" cy="33856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n=440</a:t>
          </a:r>
        </a:p>
      </cdr:txBody>
    </cdr:sp>
  </cdr:relSizeAnchor>
  <cdr:relSizeAnchor xmlns:cdr="http://schemas.openxmlformats.org/drawingml/2006/chartDrawing">
    <cdr:from>
      <cdr:x>0.33393</cdr:x>
      <cdr:y>0.16174</cdr:y>
    </cdr:from>
    <cdr:to>
      <cdr:x>0.43374</cdr:x>
      <cdr:y>0.25833</cdr:y>
    </cdr:to>
    <cdr:sp macro="" textlink="">
      <cdr:nvSpPr>
        <cdr:cNvPr id="5" name="TextBox 1"/>
        <cdr:cNvSpPr txBox="1"/>
      </cdr:nvSpPr>
      <cdr:spPr>
        <a:xfrm xmlns:a="http://schemas.openxmlformats.org/drawingml/2006/main">
          <a:off x="1653940" y="566916"/>
          <a:ext cx="494359" cy="338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n=551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1960-6860-4200-8CD8-CC340D3E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Gunes Murat Tezcur</dc:creator>
  <cp:lastModifiedBy>llindenf</cp:lastModifiedBy>
  <cp:revision>2</cp:revision>
  <dcterms:created xsi:type="dcterms:W3CDTF">2019-05-06T18:50:00Z</dcterms:created>
  <dcterms:modified xsi:type="dcterms:W3CDTF">2019-05-06T18:50:00Z</dcterms:modified>
</cp:coreProperties>
</file>