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7D" w:rsidRDefault="00751E76" w:rsidP="001A437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Appendix</w:t>
      </w:r>
    </w:p>
    <w:p w:rsidR="00751E76" w:rsidRPr="00A34A95" w:rsidRDefault="00751E76" w:rsidP="001A437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A437D" w:rsidRPr="00A34A95" w:rsidRDefault="001A437D" w:rsidP="001A437D">
      <w:pPr>
        <w:rPr>
          <w:rFonts w:ascii="Times New Roman" w:hAnsi="Times New Roman" w:cs="Times New Roman"/>
          <w:b/>
          <w:sz w:val="28"/>
          <w:szCs w:val="28"/>
        </w:rPr>
      </w:pPr>
    </w:p>
    <w:p w:rsidR="001A437D" w:rsidRPr="00A34A95" w:rsidRDefault="001A437D" w:rsidP="001A437D">
      <w:pPr>
        <w:rPr>
          <w:rFonts w:ascii="Times New Roman" w:hAnsi="Times New Roman" w:cs="Times New Roman"/>
          <w:b/>
          <w:sz w:val="28"/>
          <w:szCs w:val="28"/>
        </w:rPr>
      </w:pPr>
      <w:r w:rsidRPr="00A34A9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D37F63A" wp14:editId="36EDBEBA">
            <wp:simplePos x="0" y="0"/>
            <wp:positionH relativeFrom="column">
              <wp:posOffset>99060</wp:posOffset>
            </wp:positionH>
            <wp:positionV relativeFrom="paragraph">
              <wp:posOffset>37465</wp:posOffset>
            </wp:positionV>
            <wp:extent cx="6339840" cy="3977640"/>
            <wp:effectExtent l="0" t="0" r="22860" b="22860"/>
            <wp:wrapSquare wrapText="bothSides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="003C7D3B">
        <w:rPr>
          <w:rFonts w:ascii="Times New Roman" w:hAnsi="Times New Roman" w:cs="Times New Roman"/>
          <w:b/>
          <w:sz w:val="28"/>
          <w:szCs w:val="28"/>
        </w:rPr>
        <w:t>Figure A</w:t>
      </w:r>
      <w:r w:rsidRPr="00A34A95">
        <w:rPr>
          <w:rFonts w:ascii="Times New Roman" w:hAnsi="Times New Roman" w:cs="Times New Roman"/>
          <w:b/>
          <w:sz w:val="28"/>
          <w:szCs w:val="28"/>
        </w:rPr>
        <w:t>-2.  Percentage of Total Employment in Information and Communication Technology Sector in Five Advanced Economies, 1995-2011</w:t>
      </w:r>
    </w:p>
    <w:p w:rsidR="001A437D" w:rsidRPr="00A34A95" w:rsidRDefault="001A437D" w:rsidP="001A437D">
      <w:pPr>
        <w:rPr>
          <w:rFonts w:ascii="Times New Roman" w:hAnsi="Times New Roman" w:cs="Times New Roman"/>
          <w:sz w:val="28"/>
          <w:szCs w:val="28"/>
        </w:rPr>
      </w:pPr>
      <w:r w:rsidRPr="00A34A95">
        <w:rPr>
          <w:rFonts w:ascii="Times New Roman" w:hAnsi="Times New Roman" w:cs="Times New Roman"/>
          <w:sz w:val="28"/>
          <w:szCs w:val="28"/>
        </w:rPr>
        <w:t xml:space="preserve">Source: OECD (2014).  </w:t>
      </w:r>
    </w:p>
    <w:p w:rsidR="001A437D" w:rsidRPr="00A34A95" w:rsidRDefault="001A437D" w:rsidP="001A437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437D" w:rsidRDefault="001A437D" w:rsidP="001A437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1E76" w:rsidRDefault="00751E76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751E76" w:rsidRDefault="00751E76" w:rsidP="001A437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1E76" w:rsidRDefault="00751E76" w:rsidP="00751E76">
      <w:pPr>
        <w:rPr>
          <w:b/>
          <w:sz w:val="24"/>
          <w:szCs w:val="24"/>
        </w:rPr>
      </w:pPr>
    </w:p>
    <w:p w:rsidR="00751E76" w:rsidRPr="00A97782" w:rsidRDefault="00751E76" w:rsidP="00751E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Table A-1.  </w:t>
      </w:r>
      <w:r w:rsidRPr="00A97782">
        <w:rPr>
          <w:b/>
          <w:sz w:val="24"/>
          <w:szCs w:val="24"/>
        </w:rPr>
        <w:t xml:space="preserve">How </w:t>
      </w:r>
      <w:proofErr w:type="spellStart"/>
      <w:r w:rsidRPr="00A97782">
        <w:rPr>
          <w:b/>
          <w:sz w:val="24"/>
          <w:szCs w:val="24"/>
        </w:rPr>
        <w:t>Zakharov</w:t>
      </w:r>
      <w:proofErr w:type="spellEnd"/>
      <w:r w:rsidRPr="00A97782">
        <w:rPr>
          <w:b/>
          <w:sz w:val="24"/>
          <w:szCs w:val="24"/>
        </w:rPr>
        <w:t xml:space="preserve"> (2013) coded given issues as Economic or non-Economic from the categories </w:t>
      </w:r>
      <w:proofErr w:type="gramStart"/>
      <w:r w:rsidRPr="00A97782">
        <w:rPr>
          <w:b/>
          <w:sz w:val="24"/>
          <w:szCs w:val="24"/>
        </w:rPr>
        <w:t>used  in</w:t>
      </w:r>
      <w:proofErr w:type="gramEnd"/>
      <w:r w:rsidRPr="00A97782">
        <w:rPr>
          <w:b/>
          <w:sz w:val="24"/>
          <w:szCs w:val="24"/>
        </w:rPr>
        <w:t xml:space="preserve"> the  Comparative Party Manifestos dataset </w:t>
      </w:r>
    </w:p>
    <w:p w:rsidR="00751E76" w:rsidRDefault="00751E76" w:rsidP="00751E76">
      <w:r w:rsidRPr="00B06175">
        <w:rPr>
          <w:b/>
        </w:rPr>
        <w:t>Economic right:</w:t>
      </w:r>
      <w:r>
        <w:t xml:space="preserve">  Free enterprise, incentives, economic orthodoxy, </w:t>
      </w:r>
      <w:proofErr w:type="gramStart"/>
      <w:r>
        <w:t>welfare</w:t>
      </w:r>
      <w:proofErr w:type="gramEnd"/>
      <w:r>
        <w:t xml:space="preserve"> state limitation, labor groups: negative</w:t>
      </w:r>
    </w:p>
    <w:p w:rsidR="00751E76" w:rsidRDefault="00751E76" w:rsidP="00751E76">
      <w:r w:rsidRPr="00B06175">
        <w:rPr>
          <w:b/>
        </w:rPr>
        <w:t>Economic left:</w:t>
      </w:r>
      <w:r>
        <w:t xml:space="preserve"> Market regulation, economic planning, Keynesian demand management, controlled economy, nationalization, Marxist analysis, welfare state expansion, social justice, labor groups (positive) </w:t>
      </w:r>
    </w:p>
    <w:p w:rsidR="00751E76" w:rsidRDefault="00751E76" w:rsidP="00751E76">
      <w:r w:rsidRPr="00B06175">
        <w:rPr>
          <w:b/>
        </w:rPr>
        <w:t>Non-economic right:</w:t>
      </w:r>
      <w:r>
        <w:t xml:space="preserve"> National way of life (positive), traditional morality (positive), law and order, multiculturalism (negative), political authority, military (positive), internationalism (negative) </w:t>
      </w:r>
    </w:p>
    <w:p w:rsidR="00751E76" w:rsidRDefault="00751E76" w:rsidP="00751E76">
      <w:r w:rsidRPr="00B06175">
        <w:rPr>
          <w:b/>
        </w:rPr>
        <w:t>Non-economic left:</w:t>
      </w:r>
      <w:r>
        <w:t xml:space="preserve"> National way of life (negative), traditional morality (negative), multiculturalism (positive), underprivileged minority groups, freedom and human rights, democracy, internationalism (positive), peace, anti-imperialism, military (negative), environmental protection.</w:t>
      </w:r>
    </w:p>
    <w:p w:rsidR="00751E76" w:rsidRDefault="00751E76" w:rsidP="00751E76"/>
    <w:p w:rsidR="00751E76" w:rsidRDefault="00751E76" w:rsidP="00751E76"/>
    <w:p w:rsidR="00751E76" w:rsidRDefault="00751E76" w:rsidP="00751E76">
      <w:r>
        <w:t>.</w:t>
      </w:r>
    </w:p>
    <w:p w:rsidR="00751E76" w:rsidRPr="00A34A95" w:rsidRDefault="00751E76" w:rsidP="001A437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437D" w:rsidRDefault="001A437D" w:rsidP="001A437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233" w:rsidRDefault="00505233"/>
    <w:sectPr w:rsidR="00505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7D"/>
    <w:rsid w:val="001A437D"/>
    <w:rsid w:val="003C7D3B"/>
    <w:rsid w:val="00457CA9"/>
    <w:rsid w:val="00505233"/>
    <w:rsid w:val="0075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37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37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1.xml"/><Relationship Id="rId2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1"/>
          <c:order val="0"/>
          <c:tx>
            <c:v>Germany</c:v>
          </c:tx>
          <c:spPr>
            <a:ln w="50800">
              <a:solidFill>
                <a:schemeClr val="bg1">
                  <a:lumMod val="50000"/>
                </a:schemeClr>
              </a:solidFill>
              <a:prstDash val="sysDash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0.0359329257520695"/>
                  <c:y val="0.00594548526261803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Germany</a:t>
                    </a:r>
                    <a:endParaRPr lang="en-US" sz="1600"/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3438-4C8F-B0ED-1D22AA338F3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Sheet1!$A$2:$A$8</c:f>
              <c:numCache>
                <c:formatCode>General</c:formatCode>
                <c:ptCount val="7"/>
                <c:pt idx="0">
                  <c:v>1995.0</c:v>
                </c:pt>
                <c:pt idx="1">
                  <c:v>1997.0</c:v>
                </c:pt>
                <c:pt idx="2">
                  <c:v>2000.0</c:v>
                </c:pt>
                <c:pt idx="3">
                  <c:v>2004.0</c:v>
                </c:pt>
                <c:pt idx="4">
                  <c:v>2007.0</c:v>
                </c:pt>
                <c:pt idx="5">
                  <c:v>2010.0</c:v>
                </c:pt>
                <c:pt idx="6">
                  <c:v>2011.0</c:v>
                </c:pt>
              </c:numCache>
            </c:numRef>
          </c:cat>
          <c:val>
            <c:numRef>
              <c:f>Sheet1!$C$2:$C$8</c:f>
              <c:numCache>
                <c:formatCode>0.00%</c:formatCode>
                <c:ptCount val="7"/>
                <c:pt idx="0">
                  <c:v>0.0222</c:v>
                </c:pt>
                <c:pt idx="1">
                  <c:v>0.031</c:v>
                </c:pt>
                <c:pt idx="2">
                  <c:v>0.0395</c:v>
                </c:pt>
                <c:pt idx="3">
                  <c:v>0.03</c:v>
                </c:pt>
                <c:pt idx="4">
                  <c:v>0.0314</c:v>
                </c:pt>
                <c:pt idx="5">
                  <c:v>0.0354</c:v>
                </c:pt>
                <c:pt idx="6">
                  <c:v>0.0394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438-4C8F-B0ED-1D22AA338F3B}"/>
            </c:ext>
          </c:extLst>
        </c:ser>
        <c:ser>
          <c:idx val="2"/>
          <c:order val="1"/>
          <c:tx>
            <c:v>United Kingdom</c:v>
          </c:tx>
          <c:spPr>
            <a:ln w="44450">
              <a:solidFill>
                <a:schemeClr val="tx1"/>
              </a:solidFill>
              <a:prstDash val="solid"/>
            </a:ln>
          </c:spPr>
          <c:marker>
            <c:symbol val="none"/>
          </c:marker>
          <c:dLbls>
            <c:dLbl>
              <c:idx val="1"/>
              <c:layout>
                <c:manualLayout>
                  <c:x val="-0.0399005164676996"/>
                  <c:y val="-0.0152343785974122"/>
                </c:manualLayout>
              </c:layout>
              <c:tx>
                <c:rich>
                  <a:bodyPr/>
                  <a:lstStyle/>
                  <a:p>
                    <a:pPr>
                      <a:lnSpc>
                        <a:spcPct val="100000"/>
                      </a:lnSpc>
                      <a:defRPr sz="1400" b="1"/>
                    </a:pPr>
                    <a:r>
                      <a:rPr lang="en-US" sz="1200" b="1"/>
                      <a:t>United Kingdom</a:t>
                    </a:r>
                    <a:endParaRPr lang="en-US" sz="1200"/>
                  </a:p>
                </c:rich>
              </c:tx>
              <c:spPr/>
              <c:showLegendKey val="0"/>
              <c:showVal val="0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3438-4C8F-B0ED-1D22AA338F3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Sheet1!$A$2:$A$8</c:f>
              <c:numCache>
                <c:formatCode>General</c:formatCode>
                <c:ptCount val="7"/>
                <c:pt idx="0">
                  <c:v>1995.0</c:v>
                </c:pt>
                <c:pt idx="1">
                  <c:v>1997.0</c:v>
                </c:pt>
                <c:pt idx="2">
                  <c:v>2000.0</c:v>
                </c:pt>
                <c:pt idx="3">
                  <c:v>2004.0</c:v>
                </c:pt>
                <c:pt idx="4">
                  <c:v>2007.0</c:v>
                </c:pt>
                <c:pt idx="5">
                  <c:v>2010.0</c:v>
                </c:pt>
                <c:pt idx="6">
                  <c:v>2011.0</c:v>
                </c:pt>
              </c:numCache>
            </c:numRef>
          </c:cat>
          <c:val>
            <c:numRef>
              <c:f>Sheet1!$D$2:$D$8</c:f>
              <c:numCache>
                <c:formatCode>0.00%</c:formatCode>
                <c:ptCount val="7"/>
                <c:pt idx="0">
                  <c:v>0.0292</c:v>
                </c:pt>
                <c:pt idx="1">
                  <c:v>0.048</c:v>
                </c:pt>
                <c:pt idx="2">
                  <c:v>0.0431</c:v>
                </c:pt>
                <c:pt idx="3">
                  <c:v>0.0309</c:v>
                </c:pt>
                <c:pt idx="4">
                  <c:v>0.0317</c:v>
                </c:pt>
                <c:pt idx="5">
                  <c:v>0.0333</c:v>
                </c:pt>
                <c:pt idx="6">
                  <c:v>0.0427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3438-4C8F-B0ED-1D22AA338F3B}"/>
            </c:ext>
          </c:extLst>
        </c:ser>
        <c:ser>
          <c:idx val="4"/>
          <c:order val="2"/>
          <c:tx>
            <c:v>Sweden</c:v>
          </c:tx>
          <c:spPr>
            <a:ln w="44450">
              <a:solidFill>
                <a:schemeClr val="bg1">
                  <a:lumMod val="65000"/>
                </a:schemeClr>
              </a:solidFill>
              <a:prstDash val="lgDashDot"/>
            </a:ln>
          </c:spPr>
          <c:marker>
            <c:symbol val="none"/>
          </c:marker>
          <c:dLbls>
            <c:dLbl>
              <c:idx val="1"/>
              <c:layout>
                <c:manualLayout>
                  <c:x val="0.00638722743791642"/>
                  <c:y val="-0.0208274253074687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Sweden</a:t>
                    </a:r>
                    <a:endParaRPr lang="en-US" sz="1400"/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3438-4C8F-B0ED-1D22AA338F3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Sheet1!$A$2:$A$8</c:f>
              <c:numCache>
                <c:formatCode>General</c:formatCode>
                <c:ptCount val="7"/>
                <c:pt idx="0">
                  <c:v>1995.0</c:v>
                </c:pt>
                <c:pt idx="1">
                  <c:v>1997.0</c:v>
                </c:pt>
                <c:pt idx="2">
                  <c:v>2000.0</c:v>
                </c:pt>
                <c:pt idx="3">
                  <c:v>2004.0</c:v>
                </c:pt>
                <c:pt idx="4">
                  <c:v>2007.0</c:v>
                </c:pt>
                <c:pt idx="5">
                  <c:v>2010.0</c:v>
                </c:pt>
                <c:pt idx="6">
                  <c:v>2011.0</c:v>
                </c:pt>
              </c:numCache>
            </c:numRef>
          </c:cat>
          <c:val>
            <c:numRef>
              <c:f>Sheet1!$F$2:$F$8</c:f>
              <c:numCache>
                <c:formatCode>0.00%</c:formatCode>
                <c:ptCount val="7"/>
                <c:pt idx="0">
                  <c:v>0.0387</c:v>
                </c:pt>
                <c:pt idx="1">
                  <c:v>0.063</c:v>
                </c:pt>
                <c:pt idx="2">
                  <c:v>0.0539</c:v>
                </c:pt>
                <c:pt idx="3">
                  <c:v>0.0444</c:v>
                </c:pt>
                <c:pt idx="4">
                  <c:v>0.0494</c:v>
                </c:pt>
                <c:pt idx="5">
                  <c:v>0.0543</c:v>
                </c:pt>
                <c:pt idx="6">
                  <c:v>0.0449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3438-4C8F-B0ED-1D22AA338F3B}"/>
            </c:ext>
          </c:extLst>
        </c:ser>
        <c:ser>
          <c:idx val="5"/>
          <c:order val="3"/>
          <c:tx>
            <c:v>Canada</c:v>
          </c:tx>
          <c:spPr>
            <a:ln w="44450" cmpd="sng"/>
          </c:spPr>
          <c:marker>
            <c:symbol val="none"/>
          </c:marker>
          <c:dLbls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1200" b="1"/>
                      <a:t>Canada</a:t>
                    </a:r>
                    <a:endParaRPr lang="en-US" sz="1400"/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3438-4C8F-B0ED-1D22AA338F3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Sheet1!$A$2:$A$8</c:f>
              <c:numCache>
                <c:formatCode>General</c:formatCode>
                <c:ptCount val="7"/>
                <c:pt idx="0">
                  <c:v>1995.0</c:v>
                </c:pt>
                <c:pt idx="1">
                  <c:v>1997.0</c:v>
                </c:pt>
                <c:pt idx="2">
                  <c:v>2000.0</c:v>
                </c:pt>
                <c:pt idx="3">
                  <c:v>2004.0</c:v>
                </c:pt>
                <c:pt idx="4">
                  <c:v>2007.0</c:v>
                </c:pt>
                <c:pt idx="5">
                  <c:v>2010.0</c:v>
                </c:pt>
                <c:pt idx="6">
                  <c:v>2011.0</c:v>
                </c:pt>
              </c:numCache>
            </c:numRef>
          </c:cat>
          <c:val>
            <c:numRef>
              <c:f>Sheet1!$G$2:$G$8</c:f>
              <c:numCache>
                <c:formatCode>0.00%</c:formatCode>
                <c:ptCount val="7"/>
                <c:pt idx="0">
                  <c:v>0.0303</c:v>
                </c:pt>
                <c:pt idx="1">
                  <c:v>0.04</c:v>
                </c:pt>
                <c:pt idx="2">
                  <c:v>0.0265</c:v>
                </c:pt>
                <c:pt idx="3">
                  <c:v>0.0403</c:v>
                </c:pt>
                <c:pt idx="4">
                  <c:v>0.0424</c:v>
                </c:pt>
                <c:pt idx="5">
                  <c:v>0.0439</c:v>
                </c:pt>
                <c:pt idx="6">
                  <c:v>0.0261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3438-4C8F-B0ED-1D22AA338F3B}"/>
            </c:ext>
          </c:extLst>
        </c:ser>
        <c:ser>
          <c:idx val="3"/>
          <c:order val="4"/>
          <c:tx>
            <c:v>France</c:v>
          </c:tx>
          <c:spPr>
            <a:ln w="50800">
              <a:prstDash val="sysDot"/>
            </a:ln>
          </c:spPr>
          <c:marker>
            <c:symbol val="none"/>
          </c:marker>
          <c:dLbls>
            <c:dLbl>
              <c:idx val="4"/>
              <c:layout>
                <c:manualLayout>
                  <c:x val="0.00126332439651623"/>
                  <c:y val="0.0159270108301309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France</a:t>
                    </a:r>
                    <a:endParaRPr lang="en-US" sz="1400"/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3438-4C8F-B0ED-1D22AA338F3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Sheet1!$A$2:$A$8</c:f>
              <c:numCache>
                <c:formatCode>General</c:formatCode>
                <c:ptCount val="7"/>
                <c:pt idx="0">
                  <c:v>1995.0</c:v>
                </c:pt>
                <c:pt idx="1">
                  <c:v>1997.0</c:v>
                </c:pt>
                <c:pt idx="2">
                  <c:v>2000.0</c:v>
                </c:pt>
                <c:pt idx="3">
                  <c:v>2004.0</c:v>
                </c:pt>
                <c:pt idx="4">
                  <c:v>2007.0</c:v>
                </c:pt>
                <c:pt idx="5">
                  <c:v>2010.0</c:v>
                </c:pt>
                <c:pt idx="6">
                  <c:v>2011.0</c:v>
                </c:pt>
              </c:numCache>
            </c:numRef>
          </c:cat>
          <c:val>
            <c:numRef>
              <c:f>Sheet1!$E$2:$E$8</c:f>
              <c:numCache>
                <c:formatCode>0.00%</c:formatCode>
                <c:ptCount val="7"/>
                <c:pt idx="0">
                  <c:v>0.029</c:v>
                </c:pt>
                <c:pt idx="1">
                  <c:v>0.04</c:v>
                </c:pt>
                <c:pt idx="2">
                  <c:v>0.0335</c:v>
                </c:pt>
                <c:pt idx="3">
                  <c:v>0.0311</c:v>
                </c:pt>
                <c:pt idx="4">
                  <c:v>0.0264</c:v>
                </c:pt>
                <c:pt idx="5">
                  <c:v>0.0313</c:v>
                </c:pt>
                <c:pt idx="6">
                  <c:v>0.0333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9-3438-4C8F-B0ED-1D22AA338F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32755544"/>
        <c:axId val="2132091400"/>
      </c:lineChart>
      <c:catAx>
        <c:axId val="2132755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en-US"/>
          </a:p>
        </c:txPr>
        <c:crossAx val="2132091400"/>
        <c:crosses val="autoZero"/>
        <c:auto val="1"/>
        <c:lblAlgn val="ctr"/>
        <c:lblOffset val="100"/>
        <c:noMultiLvlLbl val="0"/>
      </c:catAx>
      <c:valAx>
        <c:axId val="2132091400"/>
        <c:scaling>
          <c:orientation val="minMax"/>
          <c:max val="0.15"/>
          <c:min val="0.0"/>
        </c:scaling>
        <c:delete val="0"/>
        <c:axPos val="l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US" sz="1200"/>
                  <a:t>Percentage Employment in Information and Communication Technology Sector</a:t>
                </a:r>
              </a:p>
            </c:rich>
          </c:tx>
          <c:layout/>
          <c:overlay val="0"/>
        </c:title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en-US"/>
          </a:p>
        </c:txPr>
        <c:crossAx val="2132755544"/>
        <c:crosses val="autoZero"/>
        <c:crossBetween val="between"/>
        <c:majorUnit val="0.03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rfi</dc:creator>
  <cp:keywords/>
  <dc:description/>
  <cp:lastModifiedBy>James Moskowitz</cp:lastModifiedBy>
  <cp:revision>2</cp:revision>
  <dcterms:created xsi:type="dcterms:W3CDTF">2017-05-31T21:28:00Z</dcterms:created>
  <dcterms:modified xsi:type="dcterms:W3CDTF">2017-05-31T21:28:00Z</dcterms:modified>
</cp:coreProperties>
</file>