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AE34" w14:textId="77777777" w:rsidR="00E25F9C" w:rsidRDefault="00E25F9C" w:rsidP="007B7CD4">
      <w:pPr>
        <w:ind w:firstLine="0"/>
        <w:jc w:val="center"/>
        <w:rPr>
          <w:sz w:val="24"/>
          <w:szCs w:val="24"/>
        </w:rPr>
      </w:pPr>
    </w:p>
    <w:p w14:paraId="21DA47BE" w14:textId="77777777" w:rsidR="00E25F9C" w:rsidRDefault="00E25F9C" w:rsidP="007B7CD4">
      <w:pPr>
        <w:ind w:firstLine="0"/>
        <w:jc w:val="center"/>
        <w:rPr>
          <w:sz w:val="24"/>
          <w:szCs w:val="24"/>
        </w:rPr>
      </w:pPr>
    </w:p>
    <w:p w14:paraId="49839A02" w14:textId="77777777" w:rsidR="00E25F9C" w:rsidRDefault="00E25F9C" w:rsidP="007B7CD4">
      <w:pPr>
        <w:ind w:firstLine="0"/>
        <w:jc w:val="center"/>
        <w:rPr>
          <w:sz w:val="24"/>
          <w:szCs w:val="24"/>
        </w:rPr>
      </w:pPr>
    </w:p>
    <w:p w14:paraId="29B2E2ED" w14:textId="77777777" w:rsidR="00E25F9C" w:rsidRDefault="00E25F9C" w:rsidP="007B7CD4">
      <w:pPr>
        <w:ind w:firstLine="0"/>
        <w:jc w:val="center"/>
        <w:rPr>
          <w:sz w:val="24"/>
          <w:szCs w:val="24"/>
        </w:rPr>
      </w:pPr>
    </w:p>
    <w:p w14:paraId="14C170AA" w14:textId="77777777" w:rsidR="00E25F9C" w:rsidRDefault="00E25F9C" w:rsidP="007B7CD4">
      <w:pPr>
        <w:ind w:firstLine="0"/>
        <w:jc w:val="center"/>
        <w:rPr>
          <w:sz w:val="24"/>
          <w:szCs w:val="24"/>
        </w:rPr>
      </w:pPr>
    </w:p>
    <w:p w14:paraId="51C80F37" w14:textId="77777777" w:rsidR="00E25F9C" w:rsidRDefault="00E25F9C" w:rsidP="007B7CD4">
      <w:pPr>
        <w:ind w:firstLine="0"/>
        <w:jc w:val="center"/>
        <w:rPr>
          <w:sz w:val="24"/>
          <w:szCs w:val="24"/>
        </w:rPr>
      </w:pPr>
    </w:p>
    <w:p w14:paraId="3193D906" w14:textId="5C0BF522" w:rsidR="007B7CD4" w:rsidRDefault="007B7CD4" w:rsidP="007B7CD4">
      <w:pPr>
        <w:ind w:firstLine="0"/>
        <w:jc w:val="center"/>
        <w:rPr>
          <w:sz w:val="24"/>
          <w:szCs w:val="24"/>
        </w:rPr>
      </w:pPr>
      <w:r w:rsidRPr="007B7CD4">
        <w:rPr>
          <w:sz w:val="24"/>
          <w:szCs w:val="24"/>
        </w:rPr>
        <w:t>Supplementary</w:t>
      </w:r>
      <w:r>
        <w:rPr>
          <w:sz w:val="24"/>
          <w:szCs w:val="24"/>
        </w:rPr>
        <w:t xml:space="preserve"> Appendix for “Updating PAJID Scores for State Supreme Court </w:t>
      </w:r>
    </w:p>
    <w:p w14:paraId="0FF98D14" w14:textId="77777777" w:rsidR="007E2361" w:rsidRDefault="007B7CD4" w:rsidP="007B7CD4">
      <w:pPr>
        <w:ind w:firstLine="0"/>
        <w:jc w:val="center"/>
        <w:rPr>
          <w:sz w:val="24"/>
          <w:szCs w:val="24"/>
        </w:rPr>
      </w:pPr>
      <w:r>
        <w:rPr>
          <w:sz w:val="24"/>
          <w:szCs w:val="24"/>
        </w:rPr>
        <w:t>Justices (1970-2019).”</w:t>
      </w:r>
    </w:p>
    <w:p w14:paraId="6F364CAC" w14:textId="17A4CCA8" w:rsidR="00E25F9C" w:rsidRDefault="00E25F9C" w:rsidP="007B7CD4">
      <w:pPr>
        <w:spacing w:line="480" w:lineRule="auto"/>
        <w:ind w:firstLine="0"/>
        <w:rPr>
          <w:sz w:val="24"/>
          <w:szCs w:val="24"/>
        </w:rPr>
      </w:pPr>
    </w:p>
    <w:p w14:paraId="040CE73A" w14:textId="77777777" w:rsidR="00E25F9C" w:rsidRDefault="007B7CD4" w:rsidP="00E25F9C">
      <w:pPr>
        <w:spacing w:line="480" w:lineRule="auto"/>
        <w:rPr>
          <w:sz w:val="24"/>
          <w:szCs w:val="24"/>
        </w:rPr>
      </w:pPr>
      <w:r>
        <w:rPr>
          <w:sz w:val="24"/>
          <w:szCs w:val="24"/>
        </w:rPr>
        <w:t xml:space="preserve">This supplementary appendix contains full regression results for the models we presented in Table 2 of the main text of the paper. </w:t>
      </w:r>
      <w:r w:rsidR="003C71B3">
        <w:rPr>
          <w:sz w:val="24"/>
          <w:szCs w:val="24"/>
        </w:rPr>
        <w:t xml:space="preserve">These complete </w:t>
      </w:r>
      <w:r w:rsidR="00E25F9C">
        <w:rPr>
          <w:sz w:val="24"/>
          <w:szCs w:val="24"/>
        </w:rPr>
        <w:t>statistical</w:t>
      </w:r>
      <w:r w:rsidR="00D743BE">
        <w:rPr>
          <w:sz w:val="24"/>
          <w:szCs w:val="24"/>
        </w:rPr>
        <w:t xml:space="preserve"> results appear in Table A1. </w:t>
      </w:r>
      <w:r w:rsidR="00E25F9C">
        <w:rPr>
          <w:sz w:val="24"/>
          <w:szCs w:val="24"/>
        </w:rPr>
        <w:t xml:space="preserve">The table contains results from four logistic regression models. The dependent variable in each is the directionality of a state supreme court justice’s vote in death penalty and abortion cases, “1” if a liberal vote in support of abortion or opposition to capital punishment, “0” otherwise. Hence, a code of “1” is a liberal vote, and a code of “0” is a conservative vote. </w:t>
      </w:r>
    </w:p>
    <w:p w14:paraId="19B31ABF" w14:textId="7E84977E" w:rsidR="007B7CD4" w:rsidRDefault="00E25F9C" w:rsidP="007B7CD4">
      <w:pPr>
        <w:spacing w:line="480" w:lineRule="auto"/>
        <w:ind w:firstLine="0"/>
        <w:rPr>
          <w:sz w:val="24"/>
          <w:szCs w:val="24"/>
        </w:rPr>
      </w:pPr>
      <w:r>
        <w:rPr>
          <w:sz w:val="24"/>
          <w:szCs w:val="24"/>
        </w:rPr>
        <w:tab/>
        <w:t xml:space="preserve">Each column of results in Table A1 differs only with respect to the measure of a state supreme court justice’s ideological preferences. The first column contains results using updated PAJID scores as defined by Equations (1) through (3) in the main text of the paper (Brace, Langer, and Hall 2000). The second column of results simply uses a justice’s partisanship as a measure of their ideological preferences (“1” if Democrat, “0” otherwise). The third column of results uses ideological measures as estimated by Bonica and Woodruff (2015). And the fourth and final column of results uses Windett, Harden, and Hall’s (2015) dynamic measure of state supreme court justice ideology. </w:t>
      </w:r>
    </w:p>
    <w:p w14:paraId="17A1F3A7" w14:textId="77777777" w:rsidR="005F511B" w:rsidRDefault="00211093" w:rsidP="007B7CD4">
      <w:pPr>
        <w:spacing w:line="480" w:lineRule="auto"/>
        <w:ind w:firstLine="0"/>
        <w:rPr>
          <w:sz w:val="24"/>
          <w:szCs w:val="24"/>
        </w:rPr>
      </w:pPr>
      <w:r>
        <w:rPr>
          <w:sz w:val="24"/>
          <w:szCs w:val="24"/>
        </w:rPr>
        <w:tab/>
        <w:t xml:space="preserve">Across each of the four models in Table A1, we control for </w:t>
      </w:r>
      <w:proofErr w:type="gramStart"/>
      <w:r>
        <w:rPr>
          <w:sz w:val="24"/>
          <w:szCs w:val="24"/>
        </w:rPr>
        <w:t>a number of</w:t>
      </w:r>
      <w:proofErr w:type="gramEnd"/>
      <w:r>
        <w:rPr>
          <w:sz w:val="24"/>
          <w:szCs w:val="24"/>
        </w:rPr>
        <w:t xml:space="preserve"> relevant variables that might condition a justice’s vote in a given case. </w:t>
      </w:r>
      <w:r w:rsidR="00AC254E">
        <w:rPr>
          <w:sz w:val="24"/>
          <w:szCs w:val="24"/>
        </w:rPr>
        <w:t xml:space="preserve">First, we control for a justice’s electoral proximity, which we code as “1” if a justice is to stand for reelection within two years of a case </w:t>
      </w:r>
    </w:p>
    <w:p w14:paraId="01002F79" w14:textId="10B5559C" w:rsidR="005F511B" w:rsidRDefault="00AC254E" w:rsidP="007B7CD4">
      <w:pPr>
        <w:spacing w:line="480" w:lineRule="auto"/>
        <w:ind w:firstLine="0"/>
        <w:rPr>
          <w:sz w:val="24"/>
          <w:szCs w:val="24"/>
        </w:rPr>
      </w:pPr>
      <w:r>
        <w:rPr>
          <w:sz w:val="24"/>
          <w:szCs w:val="24"/>
        </w:rPr>
        <w:lastRenderedPageBreak/>
        <w:t xml:space="preserve">decision, “0” otherwise. Approximately 26.3 percent of all justices in our sample face the prospect of a partisan, nonpartisan, or retention election within two years of a case’s outcome. </w:t>
      </w:r>
      <w:r w:rsidR="005F511B">
        <w:rPr>
          <w:sz w:val="24"/>
          <w:szCs w:val="24"/>
        </w:rPr>
        <w:t xml:space="preserve">Nevertheless, </w:t>
      </w:r>
    </w:p>
    <w:p w14:paraId="640428BB" w14:textId="5058FD74" w:rsidR="007B7CD4" w:rsidRDefault="005F511B" w:rsidP="007B7CD4">
      <w:pPr>
        <w:spacing w:line="480" w:lineRule="auto"/>
        <w:ind w:firstLine="0"/>
        <w:rPr>
          <w:sz w:val="24"/>
          <w:szCs w:val="24"/>
        </w:rPr>
      </w:pPr>
      <w:r>
        <w:rPr>
          <w:sz w:val="24"/>
          <w:szCs w:val="24"/>
        </w:rPr>
        <w:t xml:space="preserve">because electoral pressures within each state might condition justices toward different voting behaviors, we also account for state citizens’ ideology at the time a decision is made, measured conservative-to-liberal (Berry et al. 2010). Finally, we include an interaction effect for electoral proximity and citizen ideology to capture the specific electoral pressures justices face during the two years leading up to a reelection effort. If these electoral pressures affect judicial behavior, we </w:t>
      </w:r>
      <w:proofErr w:type="gramStart"/>
      <w:r>
        <w:rPr>
          <w:sz w:val="24"/>
          <w:szCs w:val="24"/>
        </w:rPr>
        <w:t>would</w:t>
      </w:r>
      <w:proofErr w:type="gramEnd"/>
      <w:r>
        <w:rPr>
          <w:sz w:val="24"/>
          <w:szCs w:val="24"/>
        </w:rPr>
        <w:t xml:space="preserve"> anticipate that during the two years before an election, justices would be more likely to cast a liberal vote as their state’s citizens become more liberal. </w:t>
      </w:r>
    </w:p>
    <w:p w14:paraId="48B71505" w14:textId="05224EB3" w:rsidR="005F511B" w:rsidRDefault="005F511B" w:rsidP="007B7CD4">
      <w:pPr>
        <w:spacing w:line="480" w:lineRule="auto"/>
        <w:ind w:firstLine="0"/>
        <w:rPr>
          <w:sz w:val="24"/>
          <w:szCs w:val="24"/>
        </w:rPr>
      </w:pPr>
      <w:r>
        <w:rPr>
          <w:sz w:val="24"/>
          <w:szCs w:val="24"/>
        </w:rPr>
        <w:tab/>
        <w:t xml:space="preserve">Next, we control for justice demographics. Specifically, we include a dichotomous variable that measures whether a justice is white (“1” if yes, “0” otherwise) or male (“1” if yes, “0” otherwise). In our sample, 93.3 percent of justices are white, and 85.8 percent are male. Should these factors affect judicial decision-making, we anticipate that white jurists will be less likely to cast liberal votes compared to nonwhite justices, and male justices should be less likely to cast liberal votes compared to female justices. </w:t>
      </w:r>
    </w:p>
    <w:p w14:paraId="6651C2F0" w14:textId="77777777" w:rsidR="00B61989" w:rsidRDefault="005F511B" w:rsidP="007B7CD4">
      <w:pPr>
        <w:spacing w:line="480" w:lineRule="auto"/>
        <w:ind w:firstLine="0"/>
        <w:rPr>
          <w:sz w:val="24"/>
          <w:szCs w:val="24"/>
        </w:rPr>
      </w:pPr>
      <w:r>
        <w:rPr>
          <w:sz w:val="24"/>
          <w:szCs w:val="24"/>
        </w:rPr>
        <w:tab/>
      </w:r>
      <w:r w:rsidR="00573A7F">
        <w:rPr>
          <w:sz w:val="24"/>
          <w:szCs w:val="24"/>
        </w:rPr>
        <w:t xml:space="preserve">Next, we consider institutional effects on judicial behavior in death penalty and abortion cases. We include a dichotomous variable that takes the value of “1” if a justice was appointed to a state supreme court, “0” otherwise. Approximately 40.2 percent of justices in our sample of votes were appointed. We expect appointed justices who lack an electoral connection to exhibit greater independent and vote more liberally compared to elected ones. We also account for the length of a justice’s term in office. Justices with longer terms of office should also be less likely to tailor their decision-making to voter or elite preferences and, we expect, should also be more likely to cast liberal decisions. The shortest term in our sample is 6 years. Some states, however, afford </w:t>
      </w:r>
    </w:p>
    <w:tbl>
      <w:tblPr>
        <w:tblStyle w:val="TableGrid"/>
        <w:tblpPr w:leftFromText="187" w:rightFromText="187" w:bottomFromText="288" w:vertAnchor="page" w:horzAnchor="margin" w:tblpXSpec="center" w:tblpY="14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350"/>
        <w:gridCol w:w="1800"/>
        <w:gridCol w:w="1620"/>
        <w:gridCol w:w="1442"/>
      </w:tblGrid>
      <w:tr w:rsidR="00B61989" w:rsidRPr="00C052B9" w14:paraId="2DFE3D67" w14:textId="77777777" w:rsidTr="00185891">
        <w:trPr>
          <w:trHeight w:val="264"/>
        </w:trPr>
        <w:tc>
          <w:tcPr>
            <w:tcW w:w="8642" w:type="dxa"/>
            <w:gridSpan w:val="5"/>
            <w:tcBorders>
              <w:bottom w:val="single" w:sz="4" w:space="0" w:color="auto"/>
            </w:tcBorders>
          </w:tcPr>
          <w:p w14:paraId="69B05D75" w14:textId="77777777" w:rsidR="00B61989" w:rsidRPr="00C052B9" w:rsidRDefault="00B61989" w:rsidP="00185891">
            <w:pPr>
              <w:pStyle w:val="NoSpacing"/>
              <w:contextualSpacing/>
            </w:pPr>
            <w:r>
              <w:lastRenderedPageBreak/>
              <w:t>Table A1</w:t>
            </w:r>
            <w:r w:rsidRPr="00C052B9">
              <w:t>: Construct validity analysis of justice voting across four preference measures</w:t>
            </w:r>
          </w:p>
        </w:tc>
      </w:tr>
      <w:tr w:rsidR="00B61989" w:rsidRPr="00C052B9" w14:paraId="1E6412F5" w14:textId="77777777" w:rsidTr="00185891">
        <w:trPr>
          <w:trHeight w:val="366"/>
        </w:trPr>
        <w:tc>
          <w:tcPr>
            <w:tcW w:w="2430" w:type="dxa"/>
            <w:tcBorders>
              <w:top w:val="single" w:sz="4" w:space="0" w:color="auto"/>
              <w:bottom w:val="single" w:sz="4" w:space="0" w:color="auto"/>
            </w:tcBorders>
          </w:tcPr>
          <w:p w14:paraId="0D86617A" w14:textId="77777777" w:rsidR="00B61989" w:rsidRPr="00C052B9" w:rsidRDefault="00B61989" w:rsidP="00185891">
            <w:pPr>
              <w:pStyle w:val="NoSpacing"/>
              <w:contextualSpacing/>
              <w:jc w:val="both"/>
            </w:pPr>
          </w:p>
        </w:tc>
        <w:tc>
          <w:tcPr>
            <w:tcW w:w="1350" w:type="dxa"/>
            <w:tcBorders>
              <w:top w:val="single" w:sz="4" w:space="0" w:color="auto"/>
              <w:bottom w:val="single" w:sz="4" w:space="0" w:color="auto"/>
            </w:tcBorders>
          </w:tcPr>
          <w:p w14:paraId="77563C9D" w14:textId="77777777" w:rsidR="00B61989" w:rsidRPr="00C052B9" w:rsidRDefault="00B61989" w:rsidP="00185891">
            <w:pPr>
              <w:pStyle w:val="NoSpacing"/>
              <w:contextualSpacing/>
              <w:jc w:val="center"/>
            </w:pPr>
            <w:r w:rsidRPr="00C052B9">
              <w:t>PAJID</w:t>
            </w:r>
          </w:p>
        </w:tc>
        <w:tc>
          <w:tcPr>
            <w:tcW w:w="1800" w:type="dxa"/>
            <w:tcBorders>
              <w:top w:val="single" w:sz="4" w:space="0" w:color="auto"/>
              <w:bottom w:val="single" w:sz="4" w:space="0" w:color="auto"/>
            </w:tcBorders>
          </w:tcPr>
          <w:p w14:paraId="42605530" w14:textId="77777777" w:rsidR="00B61989" w:rsidRPr="00C052B9" w:rsidRDefault="00B61989" w:rsidP="00185891">
            <w:pPr>
              <w:pStyle w:val="NoSpacing"/>
              <w:contextualSpacing/>
              <w:jc w:val="center"/>
            </w:pPr>
            <w:r w:rsidRPr="00C052B9">
              <w:t>Democrat</w:t>
            </w:r>
          </w:p>
        </w:tc>
        <w:tc>
          <w:tcPr>
            <w:tcW w:w="1620" w:type="dxa"/>
            <w:tcBorders>
              <w:top w:val="single" w:sz="4" w:space="0" w:color="auto"/>
              <w:bottom w:val="single" w:sz="4" w:space="0" w:color="auto"/>
            </w:tcBorders>
          </w:tcPr>
          <w:p w14:paraId="04B0D98C" w14:textId="77777777" w:rsidR="00B61989" w:rsidRPr="00C052B9" w:rsidRDefault="00B61989" w:rsidP="00185891">
            <w:pPr>
              <w:pStyle w:val="NoSpacing"/>
              <w:contextualSpacing/>
              <w:jc w:val="center"/>
            </w:pPr>
            <w:r w:rsidRPr="00C052B9">
              <w:t>BW (’15)</w:t>
            </w:r>
          </w:p>
        </w:tc>
        <w:tc>
          <w:tcPr>
            <w:tcW w:w="1442" w:type="dxa"/>
            <w:tcBorders>
              <w:top w:val="single" w:sz="4" w:space="0" w:color="auto"/>
              <w:bottom w:val="single" w:sz="4" w:space="0" w:color="auto"/>
            </w:tcBorders>
          </w:tcPr>
          <w:p w14:paraId="0F9691CD" w14:textId="77777777" w:rsidR="00B61989" w:rsidRPr="00C052B9" w:rsidRDefault="00B61989" w:rsidP="00185891">
            <w:pPr>
              <w:pStyle w:val="NoSpacing"/>
              <w:contextualSpacing/>
              <w:jc w:val="center"/>
            </w:pPr>
            <w:r w:rsidRPr="00C052B9">
              <w:t>WHH (’15)</w:t>
            </w:r>
          </w:p>
        </w:tc>
      </w:tr>
      <w:tr w:rsidR="00B61989" w:rsidRPr="00C052B9" w14:paraId="6C2C7CD1" w14:textId="77777777" w:rsidTr="00185891">
        <w:trPr>
          <w:trHeight w:val="264"/>
        </w:trPr>
        <w:tc>
          <w:tcPr>
            <w:tcW w:w="2430" w:type="dxa"/>
            <w:tcBorders>
              <w:top w:val="single" w:sz="4" w:space="0" w:color="auto"/>
            </w:tcBorders>
          </w:tcPr>
          <w:p w14:paraId="0037FE4D" w14:textId="77777777" w:rsidR="00B61989" w:rsidRPr="00C052B9" w:rsidRDefault="00B61989" w:rsidP="00185891">
            <w:pPr>
              <w:pStyle w:val="NoSpacing"/>
              <w:contextualSpacing/>
              <w:jc w:val="both"/>
            </w:pPr>
            <w:r w:rsidRPr="00C052B9">
              <w:t>Preferences</w:t>
            </w:r>
          </w:p>
        </w:tc>
        <w:tc>
          <w:tcPr>
            <w:tcW w:w="1350" w:type="dxa"/>
            <w:tcBorders>
              <w:top w:val="single" w:sz="4" w:space="0" w:color="auto"/>
            </w:tcBorders>
          </w:tcPr>
          <w:p w14:paraId="7F237369" w14:textId="77777777" w:rsidR="00B61989" w:rsidRPr="00C052B9" w:rsidRDefault="00B61989" w:rsidP="00185891">
            <w:pPr>
              <w:pStyle w:val="NoSpacing"/>
              <w:contextualSpacing/>
              <w:jc w:val="center"/>
            </w:pPr>
            <w:r>
              <w:t>0.005</w:t>
            </w:r>
            <w:r w:rsidRPr="00C052B9">
              <w:t>*</w:t>
            </w:r>
          </w:p>
          <w:p w14:paraId="0E0F8021" w14:textId="77777777" w:rsidR="00B61989" w:rsidRPr="00C052B9" w:rsidRDefault="00B61989" w:rsidP="00185891">
            <w:pPr>
              <w:pStyle w:val="NoSpacing"/>
              <w:contextualSpacing/>
              <w:jc w:val="center"/>
            </w:pPr>
            <w:r w:rsidRPr="00C052B9">
              <w:t>(0.003)</w:t>
            </w:r>
          </w:p>
        </w:tc>
        <w:tc>
          <w:tcPr>
            <w:tcW w:w="1800" w:type="dxa"/>
            <w:tcBorders>
              <w:top w:val="single" w:sz="4" w:space="0" w:color="auto"/>
            </w:tcBorders>
          </w:tcPr>
          <w:p w14:paraId="03B332F5" w14:textId="77777777" w:rsidR="00B61989" w:rsidRPr="00C052B9" w:rsidRDefault="00B61989" w:rsidP="00185891">
            <w:pPr>
              <w:pStyle w:val="NoSpacing"/>
              <w:contextualSpacing/>
              <w:jc w:val="center"/>
            </w:pPr>
            <w:r w:rsidRPr="00C052B9">
              <w:t>0.</w:t>
            </w:r>
            <w:r>
              <w:t>345</w:t>
            </w:r>
            <w:r w:rsidRPr="00C052B9">
              <w:t>*</w:t>
            </w:r>
          </w:p>
          <w:p w14:paraId="0CB680A1" w14:textId="77777777" w:rsidR="00B61989" w:rsidRPr="00C052B9" w:rsidRDefault="00B61989" w:rsidP="00185891">
            <w:pPr>
              <w:pStyle w:val="NoSpacing"/>
              <w:contextualSpacing/>
              <w:jc w:val="center"/>
            </w:pPr>
            <w:r>
              <w:t>(0.145</w:t>
            </w:r>
            <w:r w:rsidRPr="00C052B9">
              <w:t>)</w:t>
            </w:r>
          </w:p>
        </w:tc>
        <w:tc>
          <w:tcPr>
            <w:tcW w:w="1620" w:type="dxa"/>
            <w:tcBorders>
              <w:top w:val="single" w:sz="4" w:space="0" w:color="auto"/>
            </w:tcBorders>
          </w:tcPr>
          <w:p w14:paraId="507146A0" w14:textId="77777777" w:rsidR="00B61989" w:rsidRDefault="00B61989" w:rsidP="00185891">
            <w:pPr>
              <w:pStyle w:val="NoSpacing"/>
              <w:contextualSpacing/>
              <w:jc w:val="center"/>
            </w:pPr>
            <w:r>
              <w:t>-0.385*</w:t>
            </w:r>
          </w:p>
          <w:p w14:paraId="24AF536D" w14:textId="77777777" w:rsidR="00B61989" w:rsidRPr="00C052B9" w:rsidRDefault="00B61989" w:rsidP="00185891">
            <w:pPr>
              <w:pStyle w:val="NoSpacing"/>
              <w:contextualSpacing/>
              <w:jc w:val="center"/>
            </w:pPr>
            <w:r>
              <w:t>(0.122)</w:t>
            </w:r>
          </w:p>
        </w:tc>
        <w:tc>
          <w:tcPr>
            <w:tcW w:w="1442" w:type="dxa"/>
            <w:tcBorders>
              <w:top w:val="single" w:sz="4" w:space="0" w:color="auto"/>
            </w:tcBorders>
          </w:tcPr>
          <w:p w14:paraId="75203444" w14:textId="77777777" w:rsidR="00B61989" w:rsidRDefault="00B61989" w:rsidP="00185891">
            <w:pPr>
              <w:pStyle w:val="NoSpacing"/>
              <w:contextualSpacing/>
              <w:jc w:val="center"/>
            </w:pPr>
            <w:r>
              <w:t>-1.445*</w:t>
            </w:r>
          </w:p>
          <w:p w14:paraId="6F821354" w14:textId="77777777" w:rsidR="00B61989" w:rsidRPr="00C052B9" w:rsidRDefault="00B61989" w:rsidP="00185891">
            <w:pPr>
              <w:pStyle w:val="NoSpacing"/>
              <w:contextualSpacing/>
              <w:jc w:val="center"/>
            </w:pPr>
            <w:r>
              <w:t>(0.442)</w:t>
            </w:r>
          </w:p>
        </w:tc>
      </w:tr>
      <w:tr w:rsidR="00B61989" w:rsidRPr="00C052B9" w14:paraId="619F553A" w14:textId="77777777" w:rsidTr="00185891">
        <w:trPr>
          <w:trHeight w:val="264"/>
        </w:trPr>
        <w:tc>
          <w:tcPr>
            <w:tcW w:w="2430" w:type="dxa"/>
          </w:tcPr>
          <w:p w14:paraId="01BD4F26" w14:textId="77777777" w:rsidR="00B61989" w:rsidRPr="00C052B9" w:rsidRDefault="00B61989" w:rsidP="00185891">
            <w:pPr>
              <w:pStyle w:val="NoSpacing"/>
              <w:contextualSpacing/>
            </w:pPr>
            <w:r>
              <w:t>Electoral Proximity</w:t>
            </w:r>
          </w:p>
        </w:tc>
        <w:tc>
          <w:tcPr>
            <w:tcW w:w="1350" w:type="dxa"/>
          </w:tcPr>
          <w:p w14:paraId="56920399" w14:textId="77777777" w:rsidR="00B61989" w:rsidRDefault="00B61989" w:rsidP="00185891">
            <w:pPr>
              <w:pStyle w:val="NoSpacing"/>
              <w:contextualSpacing/>
              <w:jc w:val="center"/>
            </w:pPr>
            <w:r>
              <w:t>0.687</w:t>
            </w:r>
          </w:p>
          <w:p w14:paraId="3AA0F786" w14:textId="77777777" w:rsidR="00B61989" w:rsidRDefault="00B61989" w:rsidP="00185891">
            <w:pPr>
              <w:pStyle w:val="NoSpacing"/>
              <w:contextualSpacing/>
              <w:jc w:val="center"/>
            </w:pPr>
            <w:r>
              <w:t>(0.590)</w:t>
            </w:r>
          </w:p>
        </w:tc>
        <w:tc>
          <w:tcPr>
            <w:tcW w:w="1800" w:type="dxa"/>
          </w:tcPr>
          <w:p w14:paraId="4C44B296" w14:textId="77777777" w:rsidR="00B61989" w:rsidRDefault="00B61989" w:rsidP="00185891">
            <w:pPr>
              <w:pStyle w:val="NoSpacing"/>
              <w:contextualSpacing/>
              <w:jc w:val="center"/>
            </w:pPr>
            <w:r>
              <w:t>0.640</w:t>
            </w:r>
          </w:p>
          <w:p w14:paraId="0283F558" w14:textId="77777777" w:rsidR="00B61989" w:rsidRPr="00C052B9" w:rsidRDefault="00B61989" w:rsidP="00185891">
            <w:pPr>
              <w:pStyle w:val="NoSpacing"/>
              <w:contextualSpacing/>
              <w:jc w:val="center"/>
            </w:pPr>
            <w:r>
              <w:t>(0.590)</w:t>
            </w:r>
          </w:p>
        </w:tc>
        <w:tc>
          <w:tcPr>
            <w:tcW w:w="1620" w:type="dxa"/>
          </w:tcPr>
          <w:p w14:paraId="1B67E413" w14:textId="77777777" w:rsidR="00B61989" w:rsidRDefault="00B61989" w:rsidP="00185891">
            <w:pPr>
              <w:pStyle w:val="NoSpacing"/>
              <w:contextualSpacing/>
              <w:jc w:val="center"/>
            </w:pPr>
            <w:r>
              <w:t>0.321</w:t>
            </w:r>
          </w:p>
          <w:p w14:paraId="7BA55BBB" w14:textId="77777777" w:rsidR="00B61989" w:rsidRDefault="00B61989" w:rsidP="00185891">
            <w:pPr>
              <w:pStyle w:val="NoSpacing"/>
              <w:contextualSpacing/>
              <w:jc w:val="center"/>
            </w:pPr>
            <w:r>
              <w:t>(0.889)</w:t>
            </w:r>
          </w:p>
        </w:tc>
        <w:tc>
          <w:tcPr>
            <w:tcW w:w="1442" w:type="dxa"/>
          </w:tcPr>
          <w:p w14:paraId="11BD19EF" w14:textId="77777777" w:rsidR="00B61989" w:rsidRDefault="00B61989" w:rsidP="00185891">
            <w:pPr>
              <w:pStyle w:val="NoSpacing"/>
              <w:contextualSpacing/>
              <w:jc w:val="center"/>
            </w:pPr>
            <w:r>
              <w:t>-0.873</w:t>
            </w:r>
          </w:p>
          <w:p w14:paraId="1E98A930" w14:textId="77777777" w:rsidR="00B61989" w:rsidRDefault="00B61989" w:rsidP="00185891">
            <w:pPr>
              <w:pStyle w:val="NoSpacing"/>
              <w:contextualSpacing/>
              <w:jc w:val="center"/>
            </w:pPr>
            <w:r>
              <w:t>(1.895)</w:t>
            </w:r>
          </w:p>
        </w:tc>
      </w:tr>
      <w:tr w:rsidR="00B61989" w:rsidRPr="00C052B9" w14:paraId="68FC111B" w14:textId="77777777" w:rsidTr="00185891">
        <w:trPr>
          <w:trHeight w:val="264"/>
        </w:trPr>
        <w:tc>
          <w:tcPr>
            <w:tcW w:w="2430" w:type="dxa"/>
          </w:tcPr>
          <w:p w14:paraId="38957427" w14:textId="77777777" w:rsidR="00B61989" w:rsidRPr="00C052B9" w:rsidRDefault="00B61989" w:rsidP="00185891">
            <w:pPr>
              <w:pStyle w:val="NoSpacing"/>
              <w:contextualSpacing/>
            </w:pPr>
            <w:r>
              <w:t>Citizen Ideology</w:t>
            </w:r>
          </w:p>
        </w:tc>
        <w:tc>
          <w:tcPr>
            <w:tcW w:w="1350" w:type="dxa"/>
          </w:tcPr>
          <w:p w14:paraId="5895CD17" w14:textId="77777777" w:rsidR="00B61989" w:rsidRDefault="00B61989" w:rsidP="00185891">
            <w:pPr>
              <w:pStyle w:val="NoSpacing"/>
              <w:contextualSpacing/>
              <w:jc w:val="center"/>
            </w:pPr>
            <w:r>
              <w:t>0.027</w:t>
            </w:r>
          </w:p>
          <w:p w14:paraId="05E9CBCB" w14:textId="77777777" w:rsidR="00B61989" w:rsidRDefault="00B61989" w:rsidP="00185891">
            <w:pPr>
              <w:pStyle w:val="NoSpacing"/>
              <w:contextualSpacing/>
              <w:jc w:val="center"/>
            </w:pPr>
            <w:r>
              <w:t>(0.016)</w:t>
            </w:r>
          </w:p>
        </w:tc>
        <w:tc>
          <w:tcPr>
            <w:tcW w:w="1800" w:type="dxa"/>
          </w:tcPr>
          <w:p w14:paraId="753BD574" w14:textId="77777777" w:rsidR="00B61989" w:rsidRDefault="00B61989" w:rsidP="00185891">
            <w:pPr>
              <w:pStyle w:val="NoSpacing"/>
              <w:contextualSpacing/>
              <w:jc w:val="center"/>
            </w:pPr>
            <w:r>
              <w:t>0.028</w:t>
            </w:r>
          </w:p>
          <w:p w14:paraId="1378B183" w14:textId="77777777" w:rsidR="00B61989" w:rsidRPr="00C052B9" w:rsidRDefault="00B61989" w:rsidP="00185891">
            <w:pPr>
              <w:pStyle w:val="NoSpacing"/>
              <w:contextualSpacing/>
              <w:jc w:val="center"/>
            </w:pPr>
            <w:r>
              <w:t>(0.016)</w:t>
            </w:r>
          </w:p>
        </w:tc>
        <w:tc>
          <w:tcPr>
            <w:tcW w:w="1620" w:type="dxa"/>
          </w:tcPr>
          <w:p w14:paraId="183EB77F" w14:textId="77777777" w:rsidR="00B61989" w:rsidRDefault="00B61989" w:rsidP="00185891">
            <w:pPr>
              <w:pStyle w:val="NoSpacing"/>
              <w:contextualSpacing/>
              <w:jc w:val="center"/>
            </w:pPr>
            <w:r>
              <w:t>0.014</w:t>
            </w:r>
          </w:p>
          <w:p w14:paraId="391252DC" w14:textId="77777777" w:rsidR="00B61989" w:rsidRDefault="00B61989" w:rsidP="00185891">
            <w:pPr>
              <w:pStyle w:val="NoSpacing"/>
              <w:contextualSpacing/>
              <w:jc w:val="center"/>
            </w:pPr>
            <w:r>
              <w:t>(0.021)</w:t>
            </w:r>
          </w:p>
        </w:tc>
        <w:tc>
          <w:tcPr>
            <w:tcW w:w="1442" w:type="dxa"/>
          </w:tcPr>
          <w:p w14:paraId="0F01A5F4" w14:textId="77777777" w:rsidR="00B61989" w:rsidRDefault="00B61989" w:rsidP="00185891">
            <w:pPr>
              <w:pStyle w:val="NoSpacing"/>
              <w:contextualSpacing/>
              <w:jc w:val="center"/>
            </w:pPr>
            <w:r>
              <w:t>-0.126*</w:t>
            </w:r>
          </w:p>
          <w:p w14:paraId="4D4847EC" w14:textId="77777777" w:rsidR="00B61989" w:rsidRDefault="00B61989" w:rsidP="00185891">
            <w:pPr>
              <w:pStyle w:val="NoSpacing"/>
              <w:contextualSpacing/>
              <w:jc w:val="center"/>
            </w:pPr>
            <w:r>
              <w:t>(0.060)</w:t>
            </w:r>
          </w:p>
        </w:tc>
      </w:tr>
      <w:tr w:rsidR="00B61989" w:rsidRPr="00C052B9" w14:paraId="503308F9" w14:textId="77777777" w:rsidTr="00185891">
        <w:trPr>
          <w:trHeight w:val="264"/>
        </w:trPr>
        <w:tc>
          <w:tcPr>
            <w:tcW w:w="2430" w:type="dxa"/>
          </w:tcPr>
          <w:p w14:paraId="292939FD" w14:textId="77777777" w:rsidR="00B61989" w:rsidRPr="00C052B9" w:rsidRDefault="00B61989" w:rsidP="00185891">
            <w:pPr>
              <w:pStyle w:val="NoSpacing"/>
              <w:contextualSpacing/>
            </w:pPr>
            <w:r>
              <w:t xml:space="preserve">Proximity </w:t>
            </w:r>
            <m:oMath>
              <m:r>
                <w:rPr>
                  <w:rFonts w:ascii="Cambria Math" w:hAnsi="Cambria Math"/>
                </w:rPr>
                <m:t>×</m:t>
              </m:r>
            </m:oMath>
            <w:r>
              <w:t xml:space="preserve"> Ideology</w:t>
            </w:r>
          </w:p>
        </w:tc>
        <w:tc>
          <w:tcPr>
            <w:tcW w:w="1350" w:type="dxa"/>
          </w:tcPr>
          <w:p w14:paraId="2DA25815" w14:textId="77777777" w:rsidR="00B61989" w:rsidRDefault="00B61989" w:rsidP="00185891">
            <w:pPr>
              <w:pStyle w:val="NoSpacing"/>
              <w:contextualSpacing/>
              <w:jc w:val="center"/>
            </w:pPr>
            <w:r>
              <w:t>-0.017</w:t>
            </w:r>
          </w:p>
          <w:p w14:paraId="4819E7CF" w14:textId="77777777" w:rsidR="00B61989" w:rsidRDefault="00B61989" w:rsidP="00185891">
            <w:pPr>
              <w:pStyle w:val="NoSpacing"/>
              <w:contextualSpacing/>
              <w:jc w:val="center"/>
            </w:pPr>
            <w:r>
              <w:t>(0.013)</w:t>
            </w:r>
          </w:p>
        </w:tc>
        <w:tc>
          <w:tcPr>
            <w:tcW w:w="1800" w:type="dxa"/>
          </w:tcPr>
          <w:p w14:paraId="24DEC34C" w14:textId="77777777" w:rsidR="00B61989" w:rsidRDefault="00B61989" w:rsidP="00185891">
            <w:pPr>
              <w:pStyle w:val="NoSpacing"/>
              <w:contextualSpacing/>
              <w:jc w:val="center"/>
            </w:pPr>
            <w:r>
              <w:t>-0.016</w:t>
            </w:r>
          </w:p>
          <w:p w14:paraId="10F6FEF2" w14:textId="77777777" w:rsidR="00B61989" w:rsidRPr="00C052B9" w:rsidRDefault="00B61989" w:rsidP="00185891">
            <w:pPr>
              <w:pStyle w:val="NoSpacing"/>
              <w:contextualSpacing/>
              <w:jc w:val="center"/>
            </w:pPr>
            <w:r>
              <w:t>(0.013)</w:t>
            </w:r>
          </w:p>
        </w:tc>
        <w:tc>
          <w:tcPr>
            <w:tcW w:w="1620" w:type="dxa"/>
          </w:tcPr>
          <w:p w14:paraId="6E9F5690" w14:textId="77777777" w:rsidR="00B61989" w:rsidRDefault="00B61989" w:rsidP="00185891">
            <w:pPr>
              <w:pStyle w:val="NoSpacing"/>
              <w:contextualSpacing/>
              <w:jc w:val="center"/>
            </w:pPr>
            <w:r>
              <w:t>-0.006</w:t>
            </w:r>
          </w:p>
          <w:p w14:paraId="71C8CB8B" w14:textId="77777777" w:rsidR="00B61989" w:rsidRDefault="00B61989" w:rsidP="00185891">
            <w:pPr>
              <w:pStyle w:val="NoSpacing"/>
              <w:contextualSpacing/>
              <w:jc w:val="center"/>
            </w:pPr>
            <w:r>
              <w:t>(0.019)</w:t>
            </w:r>
          </w:p>
        </w:tc>
        <w:tc>
          <w:tcPr>
            <w:tcW w:w="1442" w:type="dxa"/>
          </w:tcPr>
          <w:p w14:paraId="3F358FCD" w14:textId="77777777" w:rsidR="00B61989" w:rsidRDefault="00B61989" w:rsidP="00185891">
            <w:pPr>
              <w:pStyle w:val="NoSpacing"/>
              <w:contextualSpacing/>
              <w:jc w:val="center"/>
            </w:pPr>
            <w:r>
              <w:t>0.012</w:t>
            </w:r>
          </w:p>
          <w:p w14:paraId="04DA9281" w14:textId="77777777" w:rsidR="00B61989" w:rsidRDefault="00B61989" w:rsidP="00185891">
            <w:pPr>
              <w:pStyle w:val="NoSpacing"/>
              <w:contextualSpacing/>
              <w:jc w:val="center"/>
            </w:pPr>
            <w:r>
              <w:t>(0.042)</w:t>
            </w:r>
          </w:p>
        </w:tc>
      </w:tr>
      <w:tr w:rsidR="00B61989" w:rsidRPr="00C052B9" w14:paraId="2C93EFD4" w14:textId="77777777" w:rsidTr="00185891">
        <w:trPr>
          <w:trHeight w:val="264"/>
        </w:trPr>
        <w:tc>
          <w:tcPr>
            <w:tcW w:w="2430" w:type="dxa"/>
          </w:tcPr>
          <w:p w14:paraId="50EC1571" w14:textId="77777777" w:rsidR="00B61989" w:rsidRPr="00C052B9" w:rsidRDefault="00B61989" w:rsidP="00185891">
            <w:pPr>
              <w:pStyle w:val="NoSpacing"/>
              <w:contextualSpacing/>
            </w:pPr>
            <w:r>
              <w:t>White</w:t>
            </w:r>
          </w:p>
        </w:tc>
        <w:tc>
          <w:tcPr>
            <w:tcW w:w="1350" w:type="dxa"/>
          </w:tcPr>
          <w:p w14:paraId="0BFF79DA" w14:textId="77777777" w:rsidR="00B61989" w:rsidRDefault="00B61989" w:rsidP="00185891">
            <w:pPr>
              <w:pStyle w:val="NoSpacing"/>
              <w:contextualSpacing/>
              <w:jc w:val="center"/>
            </w:pPr>
            <w:r>
              <w:t>-0.520*</w:t>
            </w:r>
          </w:p>
          <w:p w14:paraId="62F265F4" w14:textId="77777777" w:rsidR="00B61989" w:rsidRDefault="00B61989" w:rsidP="00185891">
            <w:pPr>
              <w:pStyle w:val="NoSpacing"/>
              <w:contextualSpacing/>
              <w:jc w:val="center"/>
            </w:pPr>
            <w:r>
              <w:t>(0.262)</w:t>
            </w:r>
          </w:p>
        </w:tc>
        <w:tc>
          <w:tcPr>
            <w:tcW w:w="1800" w:type="dxa"/>
          </w:tcPr>
          <w:p w14:paraId="083E1F9B" w14:textId="77777777" w:rsidR="00B61989" w:rsidRDefault="00B61989" w:rsidP="00185891">
            <w:pPr>
              <w:pStyle w:val="NoSpacing"/>
              <w:contextualSpacing/>
              <w:jc w:val="center"/>
            </w:pPr>
            <w:r>
              <w:t>-0.517*</w:t>
            </w:r>
          </w:p>
          <w:p w14:paraId="524F283E" w14:textId="77777777" w:rsidR="00B61989" w:rsidRPr="00C052B9" w:rsidRDefault="00B61989" w:rsidP="00185891">
            <w:pPr>
              <w:pStyle w:val="NoSpacing"/>
              <w:contextualSpacing/>
              <w:jc w:val="center"/>
            </w:pPr>
            <w:r>
              <w:t>(0.261)</w:t>
            </w:r>
          </w:p>
        </w:tc>
        <w:tc>
          <w:tcPr>
            <w:tcW w:w="1620" w:type="dxa"/>
          </w:tcPr>
          <w:p w14:paraId="41C7AF6F" w14:textId="77777777" w:rsidR="00B61989" w:rsidRDefault="00B61989" w:rsidP="00185891">
            <w:pPr>
              <w:pStyle w:val="NoSpacing"/>
              <w:contextualSpacing/>
              <w:jc w:val="center"/>
            </w:pPr>
            <w:r>
              <w:t>-0.484</w:t>
            </w:r>
          </w:p>
          <w:p w14:paraId="24A21828" w14:textId="77777777" w:rsidR="00B61989" w:rsidRDefault="00B61989" w:rsidP="00185891">
            <w:pPr>
              <w:pStyle w:val="NoSpacing"/>
              <w:contextualSpacing/>
              <w:jc w:val="center"/>
            </w:pPr>
            <w:r>
              <w:t>(0.278)</w:t>
            </w:r>
          </w:p>
        </w:tc>
        <w:tc>
          <w:tcPr>
            <w:tcW w:w="1442" w:type="dxa"/>
          </w:tcPr>
          <w:p w14:paraId="79858068" w14:textId="77777777" w:rsidR="00B61989" w:rsidRDefault="00B61989" w:rsidP="00185891">
            <w:pPr>
              <w:pStyle w:val="NoSpacing"/>
              <w:contextualSpacing/>
              <w:jc w:val="center"/>
            </w:pPr>
            <w:r>
              <w:t>-0.789*</w:t>
            </w:r>
          </w:p>
          <w:p w14:paraId="119C19BC" w14:textId="77777777" w:rsidR="00B61989" w:rsidRDefault="00B61989" w:rsidP="00185891">
            <w:pPr>
              <w:pStyle w:val="NoSpacing"/>
              <w:contextualSpacing/>
              <w:jc w:val="center"/>
            </w:pPr>
            <w:r>
              <w:t>(0.394)</w:t>
            </w:r>
          </w:p>
        </w:tc>
      </w:tr>
      <w:tr w:rsidR="00B61989" w:rsidRPr="00C052B9" w14:paraId="11AA5C71" w14:textId="77777777" w:rsidTr="00185891">
        <w:trPr>
          <w:trHeight w:val="264"/>
        </w:trPr>
        <w:tc>
          <w:tcPr>
            <w:tcW w:w="2430" w:type="dxa"/>
          </w:tcPr>
          <w:p w14:paraId="42646A23" w14:textId="77777777" w:rsidR="00B61989" w:rsidRPr="00C052B9" w:rsidRDefault="00B61989" w:rsidP="00185891">
            <w:pPr>
              <w:pStyle w:val="NoSpacing"/>
              <w:contextualSpacing/>
            </w:pPr>
            <w:r>
              <w:t>Male</w:t>
            </w:r>
          </w:p>
        </w:tc>
        <w:tc>
          <w:tcPr>
            <w:tcW w:w="1350" w:type="dxa"/>
          </w:tcPr>
          <w:p w14:paraId="21489D8E" w14:textId="77777777" w:rsidR="00B61989" w:rsidRDefault="00B61989" w:rsidP="00185891">
            <w:pPr>
              <w:pStyle w:val="NoSpacing"/>
              <w:contextualSpacing/>
              <w:jc w:val="center"/>
            </w:pPr>
            <w:r>
              <w:t>-0.297</w:t>
            </w:r>
          </w:p>
          <w:p w14:paraId="79D10615" w14:textId="77777777" w:rsidR="00B61989" w:rsidRDefault="00B61989" w:rsidP="00185891">
            <w:pPr>
              <w:pStyle w:val="NoSpacing"/>
              <w:contextualSpacing/>
              <w:jc w:val="center"/>
            </w:pPr>
            <w:r>
              <w:t>(0.186)</w:t>
            </w:r>
          </w:p>
        </w:tc>
        <w:tc>
          <w:tcPr>
            <w:tcW w:w="1800" w:type="dxa"/>
          </w:tcPr>
          <w:p w14:paraId="62E347FE" w14:textId="77777777" w:rsidR="00B61989" w:rsidRDefault="00B61989" w:rsidP="00185891">
            <w:pPr>
              <w:pStyle w:val="NoSpacing"/>
              <w:contextualSpacing/>
              <w:jc w:val="center"/>
            </w:pPr>
            <w:r>
              <w:t>-0.292</w:t>
            </w:r>
          </w:p>
          <w:p w14:paraId="444DB88F" w14:textId="77777777" w:rsidR="00B61989" w:rsidRPr="00C052B9" w:rsidRDefault="00B61989" w:rsidP="00185891">
            <w:pPr>
              <w:pStyle w:val="NoSpacing"/>
              <w:contextualSpacing/>
              <w:jc w:val="center"/>
            </w:pPr>
            <w:r>
              <w:t>(0.186)</w:t>
            </w:r>
          </w:p>
        </w:tc>
        <w:tc>
          <w:tcPr>
            <w:tcW w:w="1620" w:type="dxa"/>
          </w:tcPr>
          <w:p w14:paraId="74AE2541" w14:textId="77777777" w:rsidR="00B61989" w:rsidRDefault="00B61989" w:rsidP="00185891">
            <w:pPr>
              <w:pStyle w:val="NoSpacing"/>
              <w:contextualSpacing/>
              <w:jc w:val="center"/>
            </w:pPr>
            <w:r>
              <w:t>-0.235</w:t>
            </w:r>
          </w:p>
          <w:p w14:paraId="57D8309D" w14:textId="77777777" w:rsidR="00B61989" w:rsidRDefault="00B61989" w:rsidP="00185891">
            <w:pPr>
              <w:pStyle w:val="NoSpacing"/>
              <w:contextualSpacing/>
              <w:jc w:val="center"/>
            </w:pPr>
            <w:r>
              <w:t>(0.195)</w:t>
            </w:r>
          </w:p>
        </w:tc>
        <w:tc>
          <w:tcPr>
            <w:tcW w:w="1442" w:type="dxa"/>
          </w:tcPr>
          <w:p w14:paraId="1BCDD692" w14:textId="77777777" w:rsidR="00B61989" w:rsidRDefault="00B61989" w:rsidP="00185891">
            <w:pPr>
              <w:pStyle w:val="NoSpacing"/>
              <w:contextualSpacing/>
              <w:jc w:val="center"/>
            </w:pPr>
            <w:r>
              <w:t>-0.499</w:t>
            </w:r>
          </w:p>
          <w:p w14:paraId="42AD6938" w14:textId="77777777" w:rsidR="00B61989" w:rsidRDefault="00B61989" w:rsidP="00185891">
            <w:pPr>
              <w:pStyle w:val="NoSpacing"/>
              <w:contextualSpacing/>
              <w:jc w:val="center"/>
            </w:pPr>
            <w:r>
              <w:t>(0.287)</w:t>
            </w:r>
          </w:p>
        </w:tc>
      </w:tr>
      <w:tr w:rsidR="00B61989" w:rsidRPr="00C052B9" w14:paraId="0C864B91" w14:textId="77777777" w:rsidTr="00185891">
        <w:trPr>
          <w:trHeight w:val="264"/>
        </w:trPr>
        <w:tc>
          <w:tcPr>
            <w:tcW w:w="2430" w:type="dxa"/>
          </w:tcPr>
          <w:p w14:paraId="4FA91F62" w14:textId="77777777" w:rsidR="00B61989" w:rsidRDefault="00B61989" w:rsidP="00185891">
            <w:pPr>
              <w:pStyle w:val="NoSpacing"/>
              <w:contextualSpacing/>
            </w:pPr>
            <w:r>
              <w:t>Appointed</w:t>
            </w:r>
          </w:p>
        </w:tc>
        <w:tc>
          <w:tcPr>
            <w:tcW w:w="1350" w:type="dxa"/>
          </w:tcPr>
          <w:p w14:paraId="2625E59E" w14:textId="77777777" w:rsidR="00B61989" w:rsidRDefault="00B61989" w:rsidP="00185891">
            <w:pPr>
              <w:pStyle w:val="NoSpacing"/>
              <w:contextualSpacing/>
              <w:jc w:val="center"/>
            </w:pPr>
            <w:r>
              <w:t>0.391</w:t>
            </w:r>
          </w:p>
          <w:p w14:paraId="16E6B146" w14:textId="77777777" w:rsidR="00B61989" w:rsidRDefault="00B61989" w:rsidP="00185891">
            <w:pPr>
              <w:pStyle w:val="NoSpacing"/>
              <w:contextualSpacing/>
              <w:jc w:val="center"/>
            </w:pPr>
            <w:r>
              <w:t>(0.357)</w:t>
            </w:r>
          </w:p>
        </w:tc>
        <w:tc>
          <w:tcPr>
            <w:tcW w:w="1800" w:type="dxa"/>
          </w:tcPr>
          <w:p w14:paraId="2B2B79DC" w14:textId="77777777" w:rsidR="00B61989" w:rsidRDefault="00B61989" w:rsidP="00185891">
            <w:pPr>
              <w:pStyle w:val="NoSpacing"/>
              <w:contextualSpacing/>
              <w:jc w:val="center"/>
            </w:pPr>
            <w:r>
              <w:t>0.444</w:t>
            </w:r>
          </w:p>
          <w:p w14:paraId="3DEEC5F0" w14:textId="77777777" w:rsidR="00B61989" w:rsidRPr="00C052B9" w:rsidRDefault="00B61989" w:rsidP="00185891">
            <w:pPr>
              <w:pStyle w:val="NoSpacing"/>
              <w:contextualSpacing/>
              <w:jc w:val="center"/>
            </w:pPr>
            <w:r>
              <w:t>(0.357)</w:t>
            </w:r>
          </w:p>
        </w:tc>
        <w:tc>
          <w:tcPr>
            <w:tcW w:w="1620" w:type="dxa"/>
          </w:tcPr>
          <w:p w14:paraId="0C2C59F0" w14:textId="77777777" w:rsidR="00B61989" w:rsidRDefault="00B61989" w:rsidP="00185891">
            <w:pPr>
              <w:pStyle w:val="NoSpacing"/>
              <w:contextualSpacing/>
              <w:jc w:val="center"/>
            </w:pPr>
            <w:r>
              <w:t>0.814</w:t>
            </w:r>
          </w:p>
          <w:p w14:paraId="1C83062F" w14:textId="77777777" w:rsidR="00B61989" w:rsidRDefault="00B61989" w:rsidP="00185891">
            <w:pPr>
              <w:pStyle w:val="NoSpacing"/>
              <w:contextualSpacing/>
              <w:jc w:val="center"/>
            </w:pPr>
            <w:r>
              <w:t>(0.601)</w:t>
            </w:r>
          </w:p>
        </w:tc>
        <w:tc>
          <w:tcPr>
            <w:tcW w:w="1442" w:type="dxa"/>
          </w:tcPr>
          <w:p w14:paraId="6991032D" w14:textId="77777777" w:rsidR="00B61989" w:rsidRDefault="00B61989" w:rsidP="00185891">
            <w:pPr>
              <w:pStyle w:val="NoSpacing"/>
              <w:contextualSpacing/>
              <w:jc w:val="center"/>
            </w:pPr>
            <w:r>
              <w:t>-0.293</w:t>
            </w:r>
          </w:p>
          <w:p w14:paraId="7B33C7D6" w14:textId="77777777" w:rsidR="00B61989" w:rsidRDefault="00B61989" w:rsidP="00185891">
            <w:pPr>
              <w:pStyle w:val="NoSpacing"/>
              <w:contextualSpacing/>
              <w:jc w:val="center"/>
            </w:pPr>
            <w:r>
              <w:t>(1.196)</w:t>
            </w:r>
          </w:p>
        </w:tc>
      </w:tr>
      <w:tr w:rsidR="00B61989" w:rsidRPr="00C052B9" w14:paraId="50C6ECC7" w14:textId="77777777" w:rsidTr="00185891">
        <w:trPr>
          <w:trHeight w:val="264"/>
        </w:trPr>
        <w:tc>
          <w:tcPr>
            <w:tcW w:w="2430" w:type="dxa"/>
          </w:tcPr>
          <w:p w14:paraId="170D9FAB" w14:textId="77777777" w:rsidR="00B61989" w:rsidRDefault="00B61989" w:rsidP="00185891">
            <w:pPr>
              <w:pStyle w:val="NoSpacing"/>
              <w:contextualSpacing/>
            </w:pPr>
            <w:r>
              <w:t>Term Length</w:t>
            </w:r>
          </w:p>
        </w:tc>
        <w:tc>
          <w:tcPr>
            <w:tcW w:w="1350" w:type="dxa"/>
          </w:tcPr>
          <w:p w14:paraId="00B31A1F" w14:textId="77777777" w:rsidR="00B61989" w:rsidRDefault="00B61989" w:rsidP="00185891">
            <w:pPr>
              <w:pStyle w:val="NoSpacing"/>
              <w:contextualSpacing/>
              <w:jc w:val="center"/>
            </w:pPr>
            <w:r>
              <w:t>0.085</w:t>
            </w:r>
          </w:p>
          <w:p w14:paraId="71FDD72C" w14:textId="77777777" w:rsidR="00B61989" w:rsidRDefault="00B61989" w:rsidP="00185891">
            <w:pPr>
              <w:pStyle w:val="NoSpacing"/>
              <w:contextualSpacing/>
              <w:jc w:val="center"/>
            </w:pPr>
            <w:r>
              <w:t>(0.457)</w:t>
            </w:r>
          </w:p>
        </w:tc>
        <w:tc>
          <w:tcPr>
            <w:tcW w:w="1800" w:type="dxa"/>
          </w:tcPr>
          <w:p w14:paraId="3234B0DE" w14:textId="77777777" w:rsidR="00B61989" w:rsidRDefault="00B61989" w:rsidP="00185891">
            <w:pPr>
              <w:pStyle w:val="NoSpacing"/>
              <w:contextualSpacing/>
              <w:jc w:val="center"/>
            </w:pPr>
            <w:r>
              <w:t>0.110</w:t>
            </w:r>
          </w:p>
          <w:p w14:paraId="2A71F9A9" w14:textId="77777777" w:rsidR="00B61989" w:rsidRPr="00C052B9" w:rsidRDefault="00B61989" w:rsidP="00185891">
            <w:pPr>
              <w:pStyle w:val="NoSpacing"/>
              <w:contextualSpacing/>
              <w:jc w:val="center"/>
            </w:pPr>
            <w:r>
              <w:t>(0.457)</w:t>
            </w:r>
          </w:p>
        </w:tc>
        <w:tc>
          <w:tcPr>
            <w:tcW w:w="1620" w:type="dxa"/>
          </w:tcPr>
          <w:p w14:paraId="71838708" w14:textId="77777777" w:rsidR="00B61989" w:rsidRDefault="00B61989" w:rsidP="00185891">
            <w:pPr>
              <w:pStyle w:val="NoSpacing"/>
              <w:contextualSpacing/>
              <w:jc w:val="center"/>
            </w:pPr>
            <w:r>
              <w:t>0.007</w:t>
            </w:r>
          </w:p>
          <w:p w14:paraId="5DE0386A" w14:textId="77777777" w:rsidR="00B61989" w:rsidRDefault="00B61989" w:rsidP="00185891">
            <w:pPr>
              <w:pStyle w:val="NoSpacing"/>
              <w:contextualSpacing/>
              <w:jc w:val="center"/>
            </w:pPr>
            <w:r>
              <w:t>(0.748)</w:t>
            </w:r>
          </w:p>
        </w:tc>
        <w:tc>
          <w:tcPr>
            <w:tcW w:w="1442" w:type="dxa"/>
          </w:tcPr>
          <w:p w14:paraId="7DE113BE" w14:textId="77777777" w:rsidR="00B61989" w:rsidRDefault="00B61989" w:rsidP="00185891">
            <w:pPr>
              <w:pStyle w:val="NoSpacing"/>
              <w:contextualSpacing/>
              <w:jc w:val="center"/>
            </w:pPr>
            <w:r>
              <w:t>0.263</w:t>
            </w:r>
          </w:p>
          <w:p w14:paraId="3EBF6D0A" w14:textId="77777777" w:rsidR="00B61989" w:rsidRDefault="00B61989" w:rsidP="00185891">
            <w:pPr>
              <w:pStyle w:val="NoSpacing"/>
              <w:contextualSpacing/>
              <w:jc w:val="center"/>
            </w:pPr>
            <w:r>
              <w:t>(0.488)</w:t>
            </w:r>
          </w:p>
        </w:tc>
      </w:tr>
      <w:tr w:rsidR="00B61989" w:rsidRPr="00C052B9" w14:paraId="750ED9EB" w14:textId="77777777" w:rsidTr="00185891">
        <w:trPr>
          <w:trHeight w:val="264"/>
        </w:trPr>
        <w:tc>
          <w:tcPr>
            <w:tcW w:w="2430" w:type="dxa"/>
          </w:tcPr>
          <w:p w14:paraId="7A766774" w14:textId="77777777" w:rsidR="00B61989" w:rsidRDefault="00B61989" w:rsidP="00185891">
            <w:pPr>
              <w:pStyle w:val="NoSpacing"/>
              <w:contextualSpacing/>
            </w:pPr>
            <w:r>
              <w:t>Death Case</w:t>
            </w:r>
          </w:p>
        </w:tc>
        <w:tc>
          <w:tcPr>
            <w:tcW w:w="1350" w:type="dxa"/>
          </w:tcPr>
          <w:p w14:paraId="2B6BD330" w14:textId="77777777" w:rsidR="00B61989" w:rsidRDefault="00B61989" w:rsidP="00185891">
            <w:pPr>
              <w:pStyle w:val="NoSpacing"/>
              <w:contextualSpacing/>
              <w:jc w:val="center"/>
            </w:pPr>
            <w:r>
              <w:t>-1.292*</w:t>
            </w:r>
          </w:p>
          <w:p w14:paraId="6291B0A0" w14:textId="77777777" w:rsidR="00B61989" w:rsidRDefault="00B61989" w:rsidP="00185891">
            <w:pPr>
              <w:pStyle w:val="NoSpacing"/>
              <w:contextualSpacing/>
              <w:jc w:val="center"/>
            </w:pPr>
            <w:r>
              <w:t>(0.214)</w:t>
            </w:r>
          </w:p>
        </w:tc>
        <w:tc>
          <w:tcPr>
            <w:tcW w:w="1800" w:type="dxa"/>
          </w:tcPr>
          <w:p w14:paraId="0A31E250" w14:textId="77777777" w:rsidR="00B61989" w:rsidRDefault="00B61989" w:rsidP="00185891">
            <w:pPr>
              <w:pStyle w:val="NoSpacing"/>
              <w:contextualSpacing/>
              <w:jc w:val="center"/>
            </w:pPr>
            <w:r>
              <w:t>-1.287*</w:t>
            </w:r>
          </w:p>
          <w:p w14:paraId="36C3D807" w14:textId="77777777" w:rsidR="00B61989" w:rsidRPr="00C052B9" w:rsidRDefault="00B61989" w:rsidP="00185891">
            <w:pPr>
              <w:pStyle w:val="NoSpacing"/>
              <w:contextualSpacing/>
              <w:jc w:val="center"/>
            </w:pPr>
            <w:r>
              <w:t>(0.214)</w:t>
            </w:r>
          </w:p>
        </w:tc>
        <w:tc>
          <w:tcPr>
            <w:tcW w:w="1620" w:type="dxa"/>
          </w:tcPr>
          <w:p w14:paraId="12434A87" w14:textId="77777777" w:rsidR="00B61989" w:rsidRDefault="00B61989" w:rsidP="00185891">
            <w:pPr>
              <w:pStyle w:val="NoSpacing"/>
              <w:contextualSpacing/>
              <w:jc w:val="center"/>
            </w:pPr>
            <w:r>
              <w:t>-1.428*</w:t>
            </w:r>
          </w:p>
          <w:p w14:paraId="3A8EE98C" w14:textId="77777777" w:rsidR="00B61989" w:rsidRDefault="00B61989" w:rsidP="00185891">
            <w:pPr>
              <w:pStyle w:val="NoSpacing"/>
              <w:contextualSpacing/>
              <w:jc w:val="center"/>
            </w:pPr>
            <w:r>
              <w:t>(0.276)</w:t>
            </w:r>
          </w:p>
        </w:tc>
        <w:tc>
          <w:tcPr>
            <w:tcW w:w="1442" w:type="dxa"/>
          </w:tcPr>
          <w:p w14:paraId="17A264CC" w14:textId="77777777" w:rsidR="00B61989" w:rsidRDefault="00B61989" w:rsidP="00185891">
            <w:pPr>
              <w:pStyle w:val="NoSpacing"/>
              <w:contextualSpacing/>
              <w:jc w:val="center"/>
            </w:pPr>
            <w:r>
              <w:t>-0.440</w:t>
            </w:r>
          </w:p>
          <w:p w14:paraId="4C019DC8" w14:textId="77777777" w:rsidR="00B61989" w:rsidRDefault="00B61989" w:rsidP="00185891">
            <w:pPr>
              <w:pStyle w:val="NoSpacing"/>
              <w:contextualSpacing/>
              <w:jc w:val="center"/>
            </w:pPr>
            <w:r>
              <w:t>(0.751)</w:t>
            </w:r>
          </w:p>
        </w:tc>
      </w:tr>
      <w:tr w:rsidR="00B61989" w:rsidRPr="00C052B9" w14:paraId="77A37798" w14:textId="77777777" w:rsidTr="00185891">
        <w:trPr>
          <w:trHeight w:val="264"/>
        </w:trPr>
        <w:tc>
          <w:tcPr>
            <w:tcW w:w="2430" w:type="dxa"/>
          </w:tcPr>
          <w:p w14:paraId="55CB0B86" w14:textId="77777777" w:rsidR="00B61989" w:rsidRDefault="00B61989" w:rsidP="00185891">
            <w:pPr>
              <w:pStyle w:val="NoSpacing"/>
              <w:contextualSpacing/>
            </w:pPr>
            <w:r>
              <w:t>Intercept</w:t>
            </w:r>
          </w:p>
        </w:tc>
        <w:tc>
          <w:tcPr>
            <w:tcW w:w="1350" w:type="dxa"/>
          </w:tcPr>
          <w:p w14:paraId="6985F6F5" w14:textId="77777777" w:rsidR="00B61989" w:rsidRDefault="00B61989" w:rsidP="00185891">
            <w:pPr>
              <w:pStyle w:val="NoSpacing"/>
              <w:contextualSpacing/>
              <w:jc w:val="center"/>
            </w:pPr>
            <w:r>
              <w:t>-0.785</w:t>
            </w:r>
          </w:p>
          <w:p w14:paraId="536008B1" w14:textId="77777777" w:rsidR="00B61989" w:rsidRDefault="00B61989" w:rsidP="00185891">
            <w:pPr>
              <w:pStyle w:val="NoSpacing"/>
              <w:contextualSpacing/>
              <w:jc w:val="center"/>
            </w:pPr>
            <w:r>
              <w:t>(3.090)</w:t>
            </w:r>
          </w:p>
        </w:tc>
        <w:tc>
          <w:tcPr>
            <w:tcW w:w="1800" w:type="dxa"/>
          </w:tcPr>
          <w:p w14:paraId="263A5986" w14:textId="77777777" w:rsidR="00B61989" w:rsidRDefault="00B61989" w:rsidP="00185891">
            <w:pPr>
              <w:pStyle w:val="NoSpacing"/>
              <w:contextualSpacing/>
              <w:jc w:val="center"/>
            </w:pPr>
            <w:r>
              <w:t>-1.014</w:t>
            </w:r>
          </w:p>
          <w:p w14:paraId="278940C0" w14:textId="77777777" w:rsidR="00B61989" w:rsidRPr="00C052B9" w:rsidRDefault="00B61989" w:rsidP="00185891">
            <w:pPr>
              <w:pStyle w:val="NoSpacing"/>
              <w:contextualSpacing/>
              <w:jc w:val="center"/>
            </w:pPr>
            <w:r>
              <w:t>(3.096)</w:t>
            </w:r>
          </w:p>
        </w:tc>
        <w:tc>
          <w:tcPr>
            <w:tcW w:w="1620" w:type="dxa"/>
          </w:tcPr>
          <w:p w14:paraId="5785BBC6" w14:textId="77777777" w:rsidR="00B61989" w:rsidRDefault="00B61989" w:rsidP="00185891">
            <w:pPr>
              <w:pStyle w:val="NoSpacing"/>
              <w:contextualSpacing/>
              <w:jc w:val="center"/>
            </w:pPr>
            <w:r>
              <w:t>2.235</w:t>
            </w:r>
          </w:p>
          <w:p w14:paraId="40817358" w14:textId="77777777" w:rsidR="00B61989" w:rsidRDefault="00B61989" w:rsidP="00185891">
            <w:pPr>
              <w:pStyle w:val="NoSpacing"/>
              <w:contextualSpacing/>
              <w:jc w:val="center"/>
            </w:pPr>
            <w:r>
              <w:t>(5.018)</w:t>
            </w:r>
          </w:p>
        </w:tc>
        <w:tc>
          <w:tcPr>
            <w:tcW w:w="1442" w:type="dxa"/>
          </w:tcPr>
          <w:p w14:paraId="4132DDB2" w14:textId="77777777" w:rsidR="00B61989" w:rsidRDefault="00B61989" w:rsidP="00185891">
            <w:pPr>
              <w:pStyle w:val="NoSpacing"/>
              <w:contextualSpacing/>
              <w:jc w:val="center"/>
            </w:pPr>
            <w:r>
              <w:t>6.686*</w:t>
            </w:r>
          </w:p>
          <w:p w14:paraId="576FD0A0" w14:textId="77777777" w:rsidR="00B61989" w:rsidRDefault="00B61989" w:rsidP="00185891">
            <w:pPr>
              <w:pStyle w:val="NoSpacing"/>
              <w:contextualSpacing/>
              <w:jc w:val="center"/>
            </w:pPr>
            <w:r>
              <w:t>(3.229)</w:t>
            </w:r>
          </w:p>
        </w:tc>
      </w:tr>
      <w:tr w:rsidR="00B61989" w:rsidRPr="00C052B9" w14:paraId="2B263C8D" w14:textId="77777777" w:rsidTr="00185891">
        <w:trPr>
          <w:trHeight w:val="264"/>
        </w:trPr>
        <w:tc>
          <w:tcPr>
            <w:tcW w:w="2430" w:type="dxa"/>
            <w:tcBorders>
              <w:bottom w:val="single" w:sz="4" w:space="0" w:color="auto"/>
            </w:tcBorders>
          </w:tcPr>
          <w:p w14:paraId="552FEA85" w14:textId="77777777" w:rsidR="00B61989" w:rsidRPr="00C052B9" w:rsidRDefault="00B61989" w:rsidP="00185891">
            <w:pPr>
              <w:pStyle w:val="NoSpacing"/>
              <w:contextualSpacing/>
              <w:jc w:val="both"/>
            </w:pPr>
            <w:r>
              <w:t>Fixed Effects</w:t>
            </w:r>
          </w:p>
        </w:tc>
        <w:tc>
          <w:tcPr>
            <w:tcW w:w="6212" w:type="dxa"/>
            <w:gridSpan w:val="4"/>
            <w:tcBorders>
              <w:bottom w:val="single" w:sz="4" w:space="0" w:color="auto"/>
            </w:tcBorders>
          </w:tcPr>
          <w:p w14:paraId="2A44C42A" w14:textId="77777777" w:rsidR="00B61989" w:rsidRPr="00C052B9" w:rsidRDefault="00B61989" w:rsidP="00185891">
            <w:pPr>
              <w:pStyle w:val="NoSpacing"/>
              <w:contextualSpacing/>
              <w:jc w:val="center"/>
              <w:rPr>
                <w:i/>
              </w:rPr>
            </w:pPr>
            <w:r w:rsidRPr="00C052B9">
              <w:rPr>
                <w:i/>
              </w:rPr>
              <w:t>Included in every model</w:t>
            </w:r>
          </w:p>
        </w:tc>
      </w:tr>
      <w:tr w:rsidR="00B61989" w:rsidRPr="00C052B9" w14:paraId="131110EB" w14:textId="77777777" w:rsidTr="00185891">
        <w:trPr>
          <w:trHeight w:val="249"/>
        </w:trPr>
        <w:tc>
          <w:tcPr>
            <w:tcW w:w="2430" w:type="dxa"/>
            <w:tcBorders>
              <w:top w:val="single" w:sz="4" w:space="0" w:color="auto"/>
            </w:tcBorders>
          </w:tcPr>
          <w:p w14:paraId="74EDB706" w14:textId="77777777" w:rsidR="00B61989" w:rsidRPr="00C052B9" w:rsidRDefault="00B61989" w:rsidP="00185891">
            <w:pPr>
              <w:pStyle w:val="NoSpacing"/>
              <w:contextualSpacing/>
              <w:jc w:val="both"/>
            </w:pPr>
            <w:r w:rsidRPr="00C052B9">
              <w:t>N</w:t>
            </w:r>
          </w:p>
        </w:tc>
        <w:tc>
          <w:tcPr>
            <w:tcW w:w="1350" w:type="dxa"/>
            <w:tcBorders>
              <w:top w:val="single" w:sz="4" w:space="0" w:color="auto"/>
            </w:tcBorders>
          </w:tcPr>
          <w:p w14:paraId="5E935E29" w14:textId="77777777" w:rsidR="00B61989" w:rsidRPr="00C052B9" w:rsidRDefault="00B61989" w:rsidP="00185891">
            <w:pPr>
              <w:pStyle w:val="NoSpacing"/>
              <w:contextualSpacing/>
              <w:jc w:val="center"/>
            </w:pPr>
            <w:r>
              <w:t>1,437</w:t>
            </w:r>
          </w:p>
        </w:tc>
        <w:tc>
          <w:tcPr>
            <w:tcW w:w="1800" w:type="dxa"/>
            <w:tcBorders>
              <w:top w:val="single" w:sz="4" w:space="0" w:color="auto"/>
            </w:tcBorders>
          </w:tcPr>
          <w:p w14:paraId="569023D5" w14:textId="77777777" w:rsidR="00B61989" w:rsidRPr="00C052B9" w:rsidRDefault="00B61989" w:rsidP="00185891">
            <w:pPr>
              <w:pStyle w:val="NoSpacing"/>
              <w:contextualSpacing/>
              <w:jc w:val="center"/>
            </w:pPr>
            <w:r>
              <w:t>1,437</w:t>
            </w:r>
          </w:p>
        </w:tc>
        <w:tc>
          <w:tcPr>
            <w:tcW w:w="1620" w:type="dxa"/>
            <w:tcBorders>
              <w:top w:val="single" w:sz="4" w:space="0" w:color="auto"/>
            </w:tcBorders>
          </w:tcPr>
          <w:p w14:paraId="72BB9385" w14:textId="77777777" w:rsidR="00B61989" w:rsidRPr="00C052B9" w:rsidRDefault="00B61989" w:rsidP="00185891">
            <w:pPr>
              <w:pStyle w:val="NoSpacing"/>
              <w:contextualSpacing/>
              <w:jc w:val="center"/>
            </w:pPr>
            <w:r>
              <w:t>1,037</w:t>
            </w:r>
          </w:p>
        </w:tc>
        <w:tc>
          <w:tcPr>
            <w:tcW w:w="1442" w:type="dxa"/>
            <w:tcBorders>
              <w:top w:val="single" w:sz="4" w:space="0" w:color="auto"/>
            </w:tcBorders>
          </w:tcPr>
          <w:p w14:paraId="211739CC" w14:textId="77777777" w:rsidR="00B61989" w:rsidRPr="00C052B9" w:rsidRDefault="00B61989" w:rsidP="00185891">
            <w:pPr>
              <w:pStyle w:val="NoSpacing"/>
              <w:contextualSpacing/>
              <w:jc w:val="center"/>
            </w:pPr>
            <w:r>
              <w:t>383</w:t>
            </w:r>
          </w:p>
        </w:tc>
      </w:tr>
      <w:tr w:rsidR="00B61989" w:rsidRPr="00C052B9" w14:paraId="522B0EEC" w14:textId="77777777" w:rsidTr="00185891">
        <w:trPr>
          <w:trHeight w:val="280"/>
        </w:trPr>
        <w:tc>
          <w:tcPr>
            <w:tcW w:w="2430" w:type="dxa"/>
          </w:tcPr>
          <w:p w14:paraId="10C2B7A1" w14:textId="77777777" w:rsidR="00B61989" w:rsidRPr="00C052B9" w:rsidRDefault="00B61989" w:rsidP="00185891">
            <w:pPr>
              <w:pStyle w:val="NoSpacing"/>
              <w:contextualSpacing/>
              <w:jc w:val="both"/>
            </w:pPr>
            <m:oMathPara>
              <m:oMathParaPr>
                <m:jc m:val="left"/>
              </m:oMathParaPr>
              <m:oMath>
                <m:sSup>
                  <m:sSupPr>
                    <m:ctrlPr>
                      <w:rPr>
                        <w:rFonts w:ascii="Cambria Math" w:hAnsi="Cambria Math"/>
                        <w:i/>
                      </w:rPr>
                    </m:ctrlPr>
                  </m:sSupPr>
                  <m:e>
                    <m:r>
                      <w:rPr>
                        <w:rFonts w:ascii="Cambria Math" w:hAnsi="Cambria Math"/>
                      </w:rPr>
                      <m:t>χ</m:t>
                    </m:r>
                  </m:e>
                  <m:sup>
                    <m:r>
                      <w:rPr>
                        <w:rFonts w:ascii="Cambria Math" w:hAnsi="Cambria Math"/>
                      </w:rPr>
                      <m:t>2</m:t>
                    </m:r>
                  </m:sup>
                </m:sSup>
              </m:oMath>
            </m:oMathPara>
          </w:p>
        </w:tc>
        <w:tc>
          <w:tcPr>
            <w:tcW w:w="1350" w:type="dxa"/>
          </w:tcPr>
          <w:p w14:paraId="190B4E11" w14:textId="77777777" w:rsidR="00B61989" w:rsidRPr="00C052B9" w:rsidRDefault="00B61989" w:rsidP="00185891">
            <w:pPr>
              <w:pStyle w:val="NoSpacing"/>
              <w:contextualSpacing/>
              <w:jc w:val="center"/>
            </w:pPr>
            <w:r>
              <w:t>392.95</w:t>
            </w:r>
            <w:r w:rsidRPr="00C052B9">
              <w:t>*</w:t>
            </w:r>
          </w:p>
        </w:tc>
        <w:tc>
          <w:tcPr>
            <w:tcW w:w="1800" w:type="dxa"/>
          </w:tcPr>
          <w:p w14:paraId="61BEACF4" w14:textId="77777777" w:rsidR="00B61989" w:rsidRPr="00C052B9" w:rsidRDefault="00B61989" w:rsidP="00185891">
            <w:pPr>
              <w:pStyle w:val="NoSpacing"/>
              <w:contextualSpacing/>
              <w:jc w:val="center"/>
            </w:pPr>
            <w:r>
              <w:t>394.55</w:t>
            </w:r>
            <w:r w:rsidRPr="00C052B9">
              <w:t>*</w:t>
            </w:r>
          </w:p>
        </w:tc>
        <w:tc>
          <w:tcPr>
            <w:tcW w:w="1620" w:type="dxa"/>
          </w:tcPr>
          <w:p w14:paraId="6AFDF11E" w14:textId="77777777" w:rsidR="00B61989" w:rsidRPr="00C052B9" w:rsidRDefault="00B61989" w:rsidP="00185891">
            <w:pPr>
              <w:pStyle w:val="NoSpacing"/>
              <w:contextualSpacing/>
              <w:jc w:val="center"/>
            </w:pPr>
            <w:r>
              <w:t>308.66</w:t>
            </w:r>
            <w:r w:rsidRPr="00C052B9">
              <w:t>*</w:t>
            </w:r>
          </w:p>
        </w:tc>
        <w:tc>
          <w:tcPr>
            <w:tcW w:w="1442" w:type="dxa"/>
          </w:tcPr>
          <w:p w14:paraId="2B17FBFE" w14:textId="77777777" w:rsidR="00B61989" w:rsidRPr="00C052B9" w:rsidRDefault="00B61989" w:rsidP="00185891">
            <w:pPr>
              <w:pStyle w:val="NoSpacing"/>
              <w:contextualSpacing/>
              <w:jc w:val="center"/>
            </w:pPr>
            <w:r>
              <w:t>127.74*</w:t>
            </w:r>
          </w:p>
        </w:tc>
      </w:tr>
      <w:tr w:rsidR="00B61989" w:rsidRPr="00C052B9" w14:paraId="7B7DD704" w14:textId="77777777" w:rsidTr="00185891">
        <w:trPr>
          <w:trHeight w:val="264"/>
        </w:trPr>
        <w:tc>
          <w:tcPr>
            <w:tcW w:w="2430" w:type="dxa"/>
            <w:tcBorders>
              <w:bottom w:val="single" w:sz="4" w:space="0" w:color="auto"/>
            </w:tcBorders>
          </w:tcPr>
          <w:p w14:paraId="58E850CB" w14:textId="77777777" w:rsidR="00B61989" w:rsidRPr="00C052B9" w:rsidRDefault="00B61989" w:rsidP="00185891">
            <w:pPr>
              <w:pStyle w:val="NoSpacing"/>
              <w:contextualSpacing/>
              <w:jc w:val="both"/>
            </w:pPr>
            <w:r w:rsidRPr="00C052B9">
              <w:t>PRE</w:t>
            </w:r>
          </w:p>
        </w:tc>
        <w:tc>
          <w:tcPr>
            <w:tcW w:w="1350" w:type="dxa"/>
            <w:tcBorders>
              <w:bottom w:val="single" w:sz="4" w:space="0" w:color="auto"/>
            </w:tcBorders>
          </w:tcPr>
          <w:p w14:paraId="63706C83" w14:textId="77777777" w:rsidR="00B61989" w:rsidRPr="00C052B9" w:rsidRDefault="00B61989" w:rsidP="00185891">
            <w:pPr>
              <w:pStyle w:val="NoSpacing"/>
              <w:contextualSpacing/>
              <w:jc w:val="center"/>
            </w:pPr>
            <w:r w:rsidRPr="00C052B9">
              <w:t>0.</w:t>
            </w:r>
            <w:r>
              <w:t>408</w:t>
            </w:r>
          </w:p>
        </w:tc>
        <w:tc>
          <w:tcPr>
            <w:tcW w:w="1800" w:type="dxa"/>
            <w:tcBorders>
              <w:bottom w:val="single" w:sz="4" w:space="0" w:color="auto"/>
            </w:tcBorders>
          </w:tcPr>
          <w:p w14:paraId="6AFFC597" w14:textId="77777777" w:rsidR="00B61989" w:rsidRPr="00C052B9" w:rsidRDefault="00B61989" w:rsidP="00185891">
            <w:pPr>
              <w:pStyle w:val="NoSpacing"/>
              <w:contextualSpacing/>
              <w:jc w:val="center"/>
            </w:pPr>
            <w:r w:rsidRPr="00C052B9">
              <w:t>0.</w:t>
            </w:r>
            <w:r>
              <w:t>408</w:t>
            </w:r>
          </w:p>
        </w:tc>
        <w:tc>
          <w:tcPr>
            <w:tcW w:w="1620" w:type="dxa"/>
            <w:tcBorders>
              <w:bottom w:val="single" w:sz="4" w:space="0" w:color="auto"/>
            </w:tcBorders>
          </w:tcPr>
          <w:p w14:paraId="714C1030" w14:textId="77777777" w:rsidR="00B61989" w:rsidRPr="00C052B9" w:rsidRDefault="00B61989" w:rsidP="00185891">
            <w:pPr>
              <w:pStyle w:val="NoSpacing"/>
              <w:contextualSpacing/>
              <w:jc w:val="center"/>
            </w:pPr>
            <w:r w:rsidRPr="00C052B9">
              <w:t>0.</w:t>
            </w:r>
            <w:r>
              <w:t>399</w:t>
            </w:r>
          </w:p>
        </w:tc>
        <w:tc>
          <w:tcPr>
            <w:tcW w:w="1442" w:type="dxa"/>
            <w:tcBorders>
              <w:bottom w:val="single" w:sz="4" w:space="0" w:color="auto"/>
            </w:tcBorders>
          </w:tcPr>
          <w:p w14:paraId="0E15F5A8" w14:textId="77777777" w:rsidR="00B61989" w:rsidRPr="00C052B9" w:rsidRDefault="00B61989" w:rsidP="00185891">
            <w:pPr>
              <w:pStyle w:val="NoSpacing"/>
              <w:contextualSpacing/>
              <w:jc w:val="center"/>
            </w:pPr>
            <w:r>
              <w:t>0.432</w:t>
            </w:r>
          </w:p>
        </w:tc>
      </w:tr>
      <w:tr w:rsidR="00B61989" w:rsidRPr="00C052B9" w14:paraId="36A3AD67" w14:textId="77777777" w:rsidTr="00185891">
        <w:trPr>
          <w:trHeight w:val="249"/>
        </w:trPr>
        <w:tc>
          <w:tcPr>
            <w:tcW w:w="8642" w:type="dxa"/>
            <w:gridSpan w:val="5"/>
            <w:tcBorders>
              <w:top w:val="single" w:sz="4" w:space="0" w:color="auto"/>
            </w:tcBorders>
          </w:tcPr>
          <w:p w14:paraId="25AE9C02" w14:textId="77777777" w:rsidR="00B61989" w:rsidRPr="00C052B9" w:rsidRDefault="00B61989" w:rsidP="00185891">
            <w:pPr>
              <w:pStyle w:val="NoSpacing"/>
              <w:contextualSpacing/>
              <w:jc w:val="both"/>
            </w:pPr>
            <w:r w:rsidRPr="00C052B9">
              <w:t xml:space="preserve">Notes: Table entries represent logistic regression coefficients (standard errors in parentheses). The dependent variable is whether a justice cast a liberal vote </w:t>
            </w:r>
            <w:proofErr w:type="gramStart"/>
            <w:r w:rsidRPr="00C052B9">
              <w:t>in a given</w:t>
            </w:r>
            <w:proofErr w:type="gramEnd"/>
            <w:r w:rsidRPr="00C052B9">
              <w:t xml:space="preserve"> decision (“1” if yes, “0” otherwise). Asterisks denote statistical significance (</w:t>
            </w:r>
            <m:oMath>
              <m:r>
                <w:rPr>
                  <w:rFonts w:ascii="Cambria Math" w:hAnsi="Cambria Math"/>
                </w:rPr>
                <m:t>p&lt;0.05</m:t>
              </m:r>
            </m:oMath>
            <w:r w:rsidRPr="00C052B9">
              <w:t xml:space="preserve">). </w:t>
            </w:r>
          </w:p>
        </w:tc>
      </w:tr>
    </w:tbl>
    <w:p w14:paraId="74F41CC9" w14:textId="4040167E" w:rsidR="00537A5B" w:rsidRDefault="00573A7F" w:rsidP="007B7CD4">
      <w:pPr>
        <w:spacing w:line="480" w:lineRule="auto"/>
        <w:ind w:firstLine="0"/>
        <w:rPr>
          <w:sz w:val="24"/>
          <w:szCs w:val="24"/>
        </w:rPr>
      </w:pPr>
      <w:r>
        <w:rPr>
          <w:sz w:val="24"/>
          <w:szCs w:val="24"/>
        </w:rPr>
        <w:t xml:space="preserve">their </w:t>
      </w:r>
      <w:proofErr w:type="gramStart"/>
      <w:r>
        <w:rPr>
          <w:sz w:val="24"/>
          <w:szCs w:val="24"/>
        </w:rPr>
        <w:t>justices</w:t>
      </w:r>
      <w:proofErr w:type="gramEnd"/>
      <w:r>
        <w:rPr>
          <w:sz w:val="24"/>
          <w:szCs w:val="24"/>
        </w:rPr>
        <w:t xml:space="preserve"> tenure in office. We code these terms of office equal to 100. While this is clearly unrealistic, given the null effect term length has across all four models, no shorter coding decision would change this null result. </w:t>
      </w:r>
    </w:p>
    <w:p w14:paraId="1031DFBA" w14:textId="762C8766" w:rsidR="005F511B" w:rsidRDefault="00537A5B" w:rsidP="007B7CD4">
      <w:pPr>
        <w:spacing w:line="480" w:lineRule="auto"/>
        <w:ind w:firstLine="0"/>
        <w:rPr>
          <w:sz w:val="24"/>
          <w:szCs w:val="24"/>
        </w:rPr>
      </w:pPr>
      <w:r>
        <w:rPr>
          <w:sz w:val="24"/>
          <w:szCs w:val="24"/>
        </w:rPr>
        <w:tab/>
      </w:r>
      <w:r w:rsidR="00573A7F">
        <w:rPr>
          <w:sz w:val="24"/>
          <w:szCs w:val="24"/>
        </w:rPr>
        <w:t xml:space="preserve"> </w:t>
      </w:r>
      <w:r>
        <w:rPr>
          <w:sz w:val="24"/>
          <w:szCs w:val="24"/>
        </w:rPr>
        <w:t xml:space="preserve">Finally, we account for the legal issue area of a given case. We have data for death penalty and abortion cases. We therefore code the issue area of a case as “1” if it is a death penalty case and “0” if it is an abortion case. Approximately 33.8 percent of all observations in our sample are death cases. Because death penalty cases are typically more salient to the electorate and potential </w:t>
      </w:r>
      <w:r>
        <w:rPr>
          <w:sz w:val="24"/>
          <w:szCs w:val="24"/>
        </w:rPr>
        <w:lastRenderedPageBreak/>
        <w:t xml:space="preserve">fodder for challengers in judicial elections, we expect that justices should be less likely to cast liberal votes in these cases compared to abortion cases. </w:t>
      </w:r>
    </w:p>
    <w:p w14:paraId="7AC75C81" w14:textId="4AFAC6AB" w:rsidR="00211093" w:rsidRDefault="00537A5B" w:rsidP="000B224F">
      <w:pPr>
        <w:spacing w:line="480" w:lineRule="auto"/>
        <w:rPr>
          <w:sz w:val="24"/>
          <w:szCs w:val="24"/>
        </w:rPr>
      </w:pPr>
      <w:r>
        <w:rPr>
          <w:sz w:val="24"/>
          <w:szCs w:val="24"/>
        </w:rPr>
        <w:t xml:space="preserve">Turning </w:t>
      </w:r>
      <w:r w:rsidR="00824227">
        <w:rPr>
          <w:sz w:val="24"/>
          <w:szCs w:val="24"/>
        </w:rPr>
        <w:t xml:space="preserve">now </w:t>
      </w:r>
      <w:r>
        <w:rPr>
          <w:sz w:val="24"/>
          <w:szCs w:val="24"/>
        </w:rPr>
        <w:t>to the results from the models in Table A1</w:t>
      </w:r>
      <w:r w:rsidR="00211093">
        <w:rPr>
          <w:sz w:val="24"/>
          <w:szCs w:val="24"/>
        </w:rPr>
        <w:t xml:space="preserve">, </w:t>
      </w:r>
      <w:r>
        <w:rPr>
          <w:sz w:val="24"/>
          <w:szCs w:val="24"/>
        </w:rPr>
        <w:t>note straight-away</w:t>
      </w:r>
      <w:r w:rsidR="00211093">
        <w:rPr>
          <w:sz w:val="24"/>
          <w:szCs w:val="24"/>
        </w:rPr>
        <w:t xml:space="preserve"> that each measure of a state supreme court justice’s ideology, across all four model, is a statistically significant predictor of their votes in death penalty and abortion cases. Because we discuss these findings within the main text of the paper, we proceed to discuss the remaining statistical controls. </w:t>
      </w:r>
    </w:p>
    <w:p w14:paraId="7AA11423" w14:textId="7BAFED9D" w:rsidR="007B7CD4" w:rsidRDefault="00211093" w:rsidP="007B7CD4">
      <w:pPr>
        <w:spacing w:line="480" w:lineRule="auto"/>
        <w:ind w:firstLine="0"/>
        <w:rPr>
          <w:sz w:val="24"/>
          <w:szCs w:val="24"/>
        </w:rPr>
      </w:pPr>
      <w:r>
        <w:rPr>
          <w:sz w:val="24"/>
          <w:szCs w:val="24"/>
        </w:rPr>
        <w:tab/>
        <w:t>Observe that we find no effect for electoral prox</w:t>
      </w:r>
      <w:r>
        <w:rPr>
          <w:sz w:val="24"/>
          <w:szCs w:val="24"/>
        </w:rPr>
        <w:t>imity, citizen ideology, or their multiplicative effect</w:t>
      </w:r>
      <w:r w:rsidR="00B61989">
        <w:rPr>
          <w:sz w:val="24"/>
          <w:szCs w:val="24"/>
        </w:rPr>
        <w:t xml:space="preserve"> on judicial decision-making</w:t>
      </w:r>
      <w:r w:rsidR="002D4A2E">
        <w:rPr>
          <w:sz w:val="24"/>
          <w:szCs w:val="24"/>
        </w:rPr>
        <w:t xml:space="preserve"> across most of the models in Table A1. The sole exception is in the fourth column of results. There, we see that among justices who are </w:t>
      </w:r>
      <w:r w:rsidR="002D4A2E" w:rsidRPr="003938DF">
        <w:rPr>
          <w:i/>
          <w:iCs/>
          <w:sz w:val="24"/>
          <w:szCs w:val="24"/>
        </w:rPr>
        <w:t>not</w:t>
      </w:r>
      <w:r w:rsidR="002D4A2E">
        <w:rPr>
          <w:sz w:val="24"/>
          <w:szCs w:val="24"/>
        </w:rPr>
        <w:t xml:space="preserve"> facing reelection within two years, they are </w:t>
      </w:r>
      <w:r w:rsidR="002D4A2E" w:rsidRPr="002D4A2E">
        <w:rPr>
          <w:i/>
          <w:iCs/>
          <w:sz w:val="24"/>
          <w:szCs w:val="24"/>
        </w:rPr>
        <w:t>less</w:t>
      </w:r>
      <w:r w:rsidR="002D4A2E">
        <w:rPr>
          <w:sz w:val="24"/>
          <w:szCs w:val="24"/>
        </w:rPr>
        <w:t xml:space="preserve"> likely to cast liberal votes</w:t>
      </w:r>
      <w:r w:rsidR="00B61989">
        <w:rPr>
          <w:sz w:val="24"/>
          <w:szCs w:val="24"/>
        </w:rPr>
        <w:t xml:space="preserve"> </w:t>
      </w:r>
      <w:r w:rsidR="002D4A2E">
        <w:rPr>
          <w:sz w:val="24"/>
          <w:szCs w:val="24"/>
        </w:rPr>
        <w:t xml:space="preserve">as voters become more liberal, all things being equal. </w:t>
      </w:r>
    </w:p>
    <w:p w14:paraId="273BA9D5" w14:textId="361A8415" w:rsidR="003938DF" w:rsidRDefault="003938DF" w:rsidP="007B7CD4">
      <w:pPr>
        <w:spacing w:line="480" w:lineRule="auto"/>
        <w:ind w:firstLine="0"/>
        <w:rPr>
          <w:sz w:val="24"/>
          <w:szCs w:val="24"/>
        </w:rPr>
      </w:pPr>
      <w:r>
        <w:rPr>
          <w:sz w:val="24"/>
          <w:szCs w:val="24"/>
        </w:rPr>
        <w:tab/>
        <w:t xml:space="preserve">Judicial demographics and case issue area provides somewhat more consistent results, by comparison. We see that across three of the four models that white jurists are predicted to be less likely to cast liberal votes compared to nonwhite ones, all things being equal. For example, using the first column of results from Table A1, we find that nonwhite jurists are approximately 21.3 percent more likely to cast a liberal vote compared to white jurists, all things being equal. In none of our four models do we find statistically compelling evidence that male and female voting significantly differs. Nevertheless, we do find that justices are significantly less likely to cast liberal votes in death penalty cases compared to abortion cases in three of the four models. Again, using results from the first column, we find that justices are approximately 79.8 percent more likely to cast liberal votes in abortion cases compared to death penalty ones, all things being equal. And finally, we find no statistically significant evidence that term lengths affect judicial behavior in these two salient issue areas of state supreme court case-law. </w:t>
      </w:r>
    </w:p>
    <w:p w14:paraId="0F0D27FF" w14:textId="06C41B8F" w:rsidR="00B61989" w:rsidRDefault="00B61989" w:rsidP="007B7CD4">
      <w:pPr>
        <w:spacing w:line="480" w:lineRule="auto"/>
        <w:ind w:firstLine="0"/>
        <w:rPr>
          <w:sz w:val="24"/>
          <w:szCs w:val="24"/>
        </w:rPr>
      </w:pPr>
    </w:p>
    <w:p w14:paraId="2C620016" w14:textId="46AA1C3E" w:rsidR="00B61989" w:rsidRDefault="00B61989" w:rsidP="007B7CD4">
      <w:pPr>
        <w:spacing w:line="480" w:lineRule="auto"/>
        <w:ind w:firstLine="0"/>
        <w:rPr>
          <w:sz w:val="24"/>
          <w:szCs w:val="24"/>
        </w:rPr>
      </w:pPr>
    </w:p>
    <w:p w14:paraId="070A3E9C" w14:textId="2F10901C" w:rsidR="00B61989" w:rsidRDefault="00B61989" w:rsidP="007B7CD4">
      <w:pPr>
        <w:spacing w:line="480" w:lineRule="auto"/>
        <w:ind w:firstLine="0"/>
        <w:rPr>
          <w:sz w:val="24"/>
          <w:szCs w:val="24"/>
        </w:rPr>
      </w:pPr>
    </w:p>
    <w:p w14:paraId="297546CF" w14:textId="132A355D" w:rsidR="00B61989" w:rsidRDefault="00B61989" w:rsidP="007B7CD4">
      <w:pPr>
        <w:spacing w:line="480" w:lineRule="auto"/>
        <w:ind w:firstLine="0"/>
        <w:rPr>
          <w:sz w:val="24"/>
          <w:szCs w:val="24"/>
        </w:rPr>
      </w:pPr>
    </w:p>
    <w:p w14:paraId="554DF32C" w14:textId="2A76B647" w:rsidR="00B61989" w:rsidRDefault="00B61989" w:rsidP="007B7CD4">
      <w:pPr>
        <w:spacing w:line="480" w:lineRule="auto"/>
        <w:ind w:firstLine="0"/>
        <w:rPr>
          <w:sz w:val="24"/>
          <w:szCs w:val="24"/>
        </w:rPr>
      </w:pPr>
    </w:p>
    <w:p w14:paraId="273B8CB9" w14:textId="77777777" w:rsidR="00B61989" w:rsidRDefault="00B61989" w:rsidP="007B7CD4">
      <w:pPr>
        <w:spacing w:line="480" w:lineRule="auto"/>
        <w:ind w:firstLine="0"/>
        <w:rPr>
          <w:sz w:val="24"/>
          <w:szCs w:val="24"/>
        </w:rPr>
      </w:pPr>
    </w:p>
    <w:p w14:paraId="108E6EFD" w14:textId="77777777" w:rsidR="007B7CD4" w:rsidRPr="007B7CD4" w:rsidRDefault="007B7CD4" w:rsidP="007B7CD4">
      <w:pPr>
        <w:spacing w:line="480" w:lineRule="auto"/>
        <w:ind w:firstLine="0"/>
        <w:rPr>
          <w:sz w:val="24"/>
          <w:szCs w:val="24"/>
        </w:rPr>
      </w:pPr>
    </w:p>
    <w:sectPr w:rsidR="007B7CD4" w:rsidRPr="007B7CD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7181" w14:textId="77777777" w:rsidR="00546983" w:rsidRDefault="00546983" w:rsidP="002E1CE8">
      <w:r>
        <w:separator/>
      </w:r>
    </w:p>
  </w:endnote>
  <w:endnote w:type="continuationSeparator" w:id="0">
    <w:p w14:paraId="1317DBDC" w14:textId="77777777" w:rsidR="00546983" w:rsidRDefault="00546983" w:rsidP="002E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810586"/>
      <w:docPartObj>
        <w:docPartGallery w:val="Page Numbers (Bottom of Page)"/>
        <w:docPartUnique/>
      </w:docPartObj>
    </w:sdtPr>
    <w:sdtContent>
      <w:p w14:paraId="5D398579" w14:textId="74DD8AB3" w:rsidR="002E1CE8" w:rsidRDefault="002E1CE8" w:rsidP="00DE70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D19F5" w14:textId="77777777" w:rsidR="002E1CE8" w:rsidRDefault="002E1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2879751"/>
      <w:docPartObj>
        <w:docPartGallery w:val="Page Numbers (Bottom of Page)"/>
        <w:docPartUnique/>
      </w:docPartObj>
    </w:sdtPr>
    <w:sdtContent>
      <w:p w14:paraId="097B89B1" w14:textId="15DF68BE" w:rsidR="002E1CE8" w:rsidRDefault="002E1CE8" w:rsidP="00DE7035">
        <w:pPr>
          <w:pStyle w:val="Footer"/>
          <w:framePr w:wrap="none" w:vAnchor="text" w:hAnchor="margin" w:xAlign="center" w:y="1"/>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21BDCF" w14:textId="77777777" w:rsidR="002E1CE8" w:rsidRDefault="002E1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280B" w14:textId="77777777" w:rsidR="00546983" w:rsidRDefault="00546983" w:rsidP="002E1CE8">
      <w:r>
        <w:separator/>
      </w:r>
    </w:p>
  </w:footnote>
  <w:footnote w:type="continuationSeparator" w:id="0">
    <w:p w14:paraId="253FEDD8" w14:textId="77777777" w:rsidR="00546983" w:rsidRDefault="00546983" w:rsidP="002E1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D4"/>
    <w:rsid w:val="000B224F"/>
    <w:rsid w:val="000D6D5E"/>
    <w:rsid w:val="00211093"/>
    <w:rsid w:val="002D4A2E"/>
    <w:rsid w:val="002E1CE8"/>
    <w:rsid w:val="003938DF"/>
    <w:rsid w:val="003B57B2"/>
    <w:rsid w:val="003C71B3"/>
    <w:rsid w:val="004619BD"/>
    <w:rsid w:val="00537A5B"/>
    <w:rsid w:val="00546983"/>
    <w:rsid w:val="00573A7F"/>
    <w:rsid w:val="005F511B"/>
    <w:rsid w:val="007B7CD4"/>
    <w:rsid w:val="007E2361"/>
    <w:rsid w:val="00824227"/>
    <w:rsid w:val="0087084A"/>
    <w:rsid w:val="009060C8"/>
    <w:rsid w:val="00AC254E"/>
    <w:rsid w:val="00B61989"/>
    <w:rsid w:val="00D743BE"/>
    <w:rsid w:val="00E22F85"/>
    <w:rsid w:val="00E25F9C"/>
    <w:rsid w:val="00E54617"/>
    <w:rsid w:val="00E84EA9"/>
    <w:rsid w:val="00F40F7C"/>
    <w:rsid w:val="00FA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AF57"/>
  <w15:chartTrackingRefBased/>
  <w15:docId w15:val="{14E1BAC6-BBB5-41D6-AFF8-F9160BA5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lang w:val="en-US" w:eastAsia="en-US" w:bidi="ar-SA"/>
        <w14:ligatures w14:val="standardContextual"/>
        <w14:numForm w14:val="oldStyle"/>
        <w14:numSpacing w14:val="proportional"/>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EA9"/>
  </w:style>
  <w:style w:type="paragraph" w:styleId="FootnoteText">
    <w:name w:val="footnote text"/>
    <w:basedOn w:val="Normal"/>
    <w:link w:val="FootnoteTextChar"/>
    <w:autoRedefine/>
    <w:uiPriority w:val="99"/>
    <w:semiHidden/>
    <w:unhideWhenUsed/>
    <w:rsid w:val="000D6D5E"/>
    <w:rPr>
      <w:sz w:val="20"/>
    </w:rPr>
  </w:style>
  <w:style w:type="character" w:customStyle="1" w:styleId="FootnoteTextChar">
    <w:name w:val="Footnote Text Char"/>
    <w:basedOn w:val="DefaultParagraphFont"/>
    <w:link w:val="FootnoteText"/>
    <w:uiPriority w:val="99"/>
    <w:semiHidden/>
    <w:rsid w:val="000D6D5E"/>
    <w:rPr>
      <w:sz w:val="20"/>
    </w:rPr>
  </w:style>
  <w:style w:type="table" w:styleId="TableGrid">
    <w:name w:val="Table Grid"/>
    <w:basedOn w:val="TableNormal"/>
    <w:uiPriority w:val="39"/>
    <w:rsid w:val="007B7CD4"/>
    <w:pPr>
      <w:ind w:firstLine="0"/>
      <w:jc w:val="left"/>
    </w:pPr>
    <w:rPr>
      <w:rFonts w:eastAsia="SimSun" w:cs="Times New Roman (Body CS)"/>
      <w:sz w:val="24"/>
      <w:szCs w:val="24"/>
      <w:lang w:eastAsia="zh-CN"/>
      <w14:ligatures w14:val="none"/>
      <w14:numForm w14:val="default"/>
      <w14:numSpacing w14:val="defau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7CD4"/>
    <w:rPr>
      <w:color w:val="808080"/>
    </w:rPr>
  </w:style>
  <w:style w:type="paragraph" w:styleId="Footer">
    <w:name w:val="footer"/>
    <w:basedOn w:val="Normal"/>
    <w:link w:val="FooterChar"/>
    <w:uiPriority w:val="99"/>
    <w:unhideWhenUsed/>
    <w:rsid w:val="002E1CE8"/>
    <w:pPr>
      <w:tabs>
        <w:tab w:val="center" w:pos="4680"/>
        <w:tab w:val="right" w:pos="9360"/>
      </w:tabs>
    </w:pPr>
  </w:style>
  <w:style w:type="character" w:customStyle="1" w:styleId="FooterChar">
    <w:name w:val="Footer Char"/>
    <w:basedOn w:val="DefaultParagraphFont"/>
    <w:link w:val="Footer"/>
    <w:uiPriority w:val="99"/>
    <w:rsid w:val="002E1CE8"/>
  </w:style>
  <w:style w:type="character" w:styleId="PageNumber">
    <w:name w:val="page number"/>
    <w:basedOn w:val="DefaultParagraphFont"/>
    <w:uiPriority w:val="99"/>
    <w:semiHidden/>
    <w:unhideWhenUsed/>
    <w:rsid w:val="002E1CE8"/>
  </w:style>
  <w:style w:type="paragraph" w:styleId="Header">
    <w:name w:val="header"/>
    <w:basedOn w:val="Normal"/>
    <w:link w:val="HeaderChar"/>
    <w:uiPriority w:val="99"/>
    <w:unhideWhenUsed/>
    <w:rsid w:val="002E1CE8"/>
    <w:pPr>
      <w:tabs>
        <w:tab w:val="center" w:pos="4680"/>
        <w:tab w:val="right" w:pos="9360"/>
      </w:tabs>
    </w:pPr>
  </w:style>
  <w:style w:type="character" w:customStyle="1" w:styleId="HeaderChar">
    <w:name w:val="Header Char"/>
    <w:basedOn w:val="DefaultParagraphFont"/>
    <w:link w:val="Header"/>
    <w:uiPriority w:val="99"/>
    <w:rsid w:val="002E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David Hughes</cp:lastModifiedBy>
  <cp:revision>20</cp:revision>
  <dcterms:created xsi:type="dcterms:W3CDTF">2022-12-16T21:43:00Z</dcterms:created>
  <dcterms:modified xsi:type="dcterms:W3CDTF">2022-12-17T02:59:00Z</dcterms:modified>
</cp:coreProperties>
</file>