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847E9" w14:textId="760AA56B" w:rsidR="00127EE6" w:rsidRPr="007C2DFF" w:rsidRDefault="008F55C0">
      <w:pPr>
        <w:rPr>
          <w:rFonts w:ascii="Times New Roman" w:hAnsi="Times New Roman" w:cs="Times New Roman"/>
          <w:b/>
        </w:rPr>
      </w:pPr>
      <w:r w:rsidRPr="007C2DFF">
        <w:rPr>
          <w:rFonts w:ascii="Times New Roman" w:hAnsi="Times New Roman" w:cs="Times New Roman"/>
          <w:b/>
        </w:rPr>
        <w:t>Appendix</w:t>
      </w:r>
      <w:r w:rsidR="00600DC5">
        <w:rPr>
          <w:rFonts w:ascii="Times New Roman" w:hAnsi="Times New Roman" w:cs="Times New Roman"/>
          <w:b/>
        </w:rPr>
        <w:t xml:space="preserve"> </w:t>
      </w:r>
      <w:r w:rsidR="00600DC5" w:rsidRPr="00600DC5">
        <w:rPr>
          <w:rFonts w:ascii="Times New Roman" w:hAnsi="Times New Roman" w:cs="Times New Roman"/>
        </w:rPr>
        <w:t>(“The U.S. Political Economy of Climate Change: Impacts of the ``Fracking'' Boom on State-Level Climate Policies”)</w:t>
      </w:r>
    </w:p>
    <w:p w14:paraId="273A7B20" w14:textId="4DAF5D08" w:rsidR="000763A5" w:rsidRPr="007C2DFF" w:rsidRDefault="000763A5">
      <w:pPr>
        <w:rPr>
          <w:rFonts w:ascii="Times New Roman" w:hAnsi="Times New Roman" w:cs="Times New Roman"/>
          <w:b/>
        </w:rPr>
      </w:pPr>
    </w:p>
    <w:p w14:paraId="5B90E1BC" w14:textId="03E5B819" w:rsidR="001D6B79" w:rsidRPr="007C2DFF" w:rsidRDefault="001D6B79">
      <w:pPr>
        <w:rPr>
          <w:rFonts w:ascii="Times New Roman" w:hAnsi="Times New Roman" w:cs="Times New Roman"/>
          <w:u w:val="single"/>
        </w:rPr>
      </w:pPr>
      <w:r w:rsidRPr="007C2DFF">
        <w:rPr>
          <w:rFonts w:ascii="Times New Roman" w:hAnsi="Times New Roman" w:cs="Times New Roman"/>
          <w:u w:val="single"/>
        </w:rPr>
        <w:t>Contents</w:t>
      </w:r>
    </w:p>
    <w:p w14:paraId="536228EB" w14:textId="05119038" w:rsidR="001D6B79" w:rsidRPr="007C2DFF" w:rsidRDefault="001D6B79" w:rsidP="001D6B79">
      <w:pPr>
        <w:pStyle w:val="ListParagraph"/>
        <w:numPr>
          <w:ilvl w:val="0"/>
          <w:numId w:val="1"/>
        </w:numPr>
        <w:rPr>
          <w:rFonts w:ascii="Times New Roman" w:hAnsi="Times New Roman" w:cs="Times New Roman"/>
        </w:rPr>
      </w:pPr>
      <w:r w:rsidRPr="007C2DFF">
        <w:rPr>
          <w:rFonts w:ascii="Times New Roman" w:hAnsi="Times New Roman" w:cs="Times New Roman"/>
          <w:b/>
        </w:rPr>
        <w:t>Figures A1, A2.</w:t>
      </w:r>
      <w:r w:rsidRPr="007C2DFF">
        <w:rPr>
          <w:rFonts w:ascii="Times New Roman" w:hAnsi="Times New Roman" w:cs="Times New Roman"/>
        </w:rPr>
        <w:t xml:space="preserve"> LEV policy: Common trends for &gt;5% and &gt;0% shale as treatment status</w:t>
      </w:r>
      <w:r w:rsidR="00DD76AE" w:rsidRPr="007C2DFF">
        <w:rPr>
          <w:rFonts w:ascii="Times New Roman" w:hAnsi="Times New Roman" w:cs="Times New Roman"/>
        </w:rPr>
        <w:t>.</w:t>
      </w:r>
      <w:r w:rsidR="00114C2C" w:rsidRPr="007C2DFF">
        <w:rPr>
          <w:rFonts w:ascii="Times New Roman" w:hAnsi="Times New Roman" w:cs="Times New Roman"/>
        </w:rPr>
        <w:t xml:space="preserve"> (p. 2-3)</w:t>
      </w:r>
    </w:p>
    <w:p w14:paraId="3B4B206F" w14:textId="10ACBEFD" w:rsidR="001D6B79" w:rsidRPr="007C2DFF" w:rsidRDefault="001D6B79" w:rsidP="001D6B79">
      <w:pPr>
        <w:pStyle w:val="ListParagraph"/>
        <w:numPr>
          <w:ilvl w:val="0"/>
          <w:numId w:val="1"/>
        </w:numPr>
        <w:rPr>
          <w:rFonts w:ascii="Times New Roman" w:hAnsi="Times New Roman" w:cs="Times New Roman"/>
        </w:rPr>
      </w:pPr>
      <w:r w:rsidRPr="007C2DFF">
        <w:rPr>
          <w:rFonts w:ascii="Times New Roman" w:hAnsi="Times New Roman" w:cs="Times New Roman"/>
          <w:b/>
        </w:rPr>
        <w:t>Figure A3.</w:t>
      </w:r>
      <w:r w:rsidRPr="007C2DFF">
        <w:rPr>
          <w:rFonts w:ascii="Times New Roman" w:hAnsi="Times New Roman" w:cs="Times New Roman"/>
        </w:rPr>
        <w:t xml:space="preserve"> Mandated renewables: Common trends for &gt;0% shale as treatment status</w:t>
      </w:r>
      <w:r w:rsidR="00DD76AE" w:rsidRPr="007C2DFF">
        <w:rPr>
          <w:rFonts w:ascii="Times New Roman" w:hAnsi="Times New Roman" w:cs="Times New Roman"/>
        </w:rPr>
        <w:t>.</w:t>
      </w:r>
      <w:r w:rsidR="00114C2C" w:rsidRPr="007C2DFF">
        <w:rPr>
          <w:rFonts w:ascii="Times New Roman" w:hAnsi="Times New Roman" w:cs="Times New Roman"/>
        </w:rPr>
        <w:t xml:space="preserve"> (p. 4)</w:t>
      </w:r>
    </w:p>
    <w:p w14:paraId="4992D2C2" w14:textId="3228FDFA" w:rsidR="001D6B79" w:rsidRPr="007C2DFF" w:rsidRDefault="001D6B79" w:rsidP="001D6B79">
      <w:pPr>
        <w:pStyle w:val="ListParagraph"/>
        <w:numPr>
          <w:ilvl w:val="0"/>
          <w:numId w:val="1"/>
        </w:numPr>
        <w:rPr>
          <w:rFonts w:ascii="Times New Roman" w:hAnsi="Times New Roman" w:cs="Times New Roman"/>
        </w:rPr>
      </w:pPr>
      <w:r w:rsidRPr="007C2DFF">
        <w:rPr>
          <w:rFonts w:ascii="Times New Roman" w:hAnsi="Times New Roman" w:cs="Times New Roman"/>
          <w:b/>
        </w:rPr>
        <w:t xml:space="preserve">Tables A1, A2, A3. </w:t>
      </w:r>
      <w:r w:rsidRPr="007C2DFF">
        <w:rPr>
          <w:rFonts w:ascii="Times New Roman" w:hAnsi="Times New Roman" w:cs="Times New Roman"/>
        </w:rPr>
        <w:t>Main regression results from the text, with control variables.</w:t>
      </w:r>
      <w:r w:rsidR="00114C2C" w:rsidRPr="007C2DFF">
        <w:rPr>
          <w:rFonts w:ascii="Times New Roman" w:hAnsi="Times New Roman" w:cs="Times New Roman"/>
        </w:rPr>
        <w:t xml:space="preserve"> (p. 5-7)</w:t>
      </w:r>
    </w:p>
    <w:p w14:paraId="07AEC8A4" w14:textId="106D4AC9" w:rsidR="001D6B79" w:rsidRPr="007C2DFF" w:rsidRDefault="00DD76AE" w:rsidP="001D6B79">
      <w:pPr>
        <w:pStyle w:val="ListParagraph"/>
        <w:numPr>
          <w:ilvl w:val="0"/>
          <w:numId w:val="1"/>
        </w:numPr>
        <w:rPr>
          <w:rFonts w:ascii="Times New Roman" w:hAnsi="Times New Roman" w:cs="Times New Roman"/>
        </w:rPr>
      </w:pPr>
      <w:r w:rsidRPr="007C2DFF">
        <w:rPr>
          <w:rFonts w:ascii="Times New Roman" w:hAnsi="Times New Roman" w:cs="Times New Roman"/>
          <w:b/>
        </w:rPr>
        <w:t>Tables A4, A5</w:t>
      </w:r>
      <w:r w:rsidRPr="007C2DFF">
        <w:rPr>
          <w:rFonts w:ascii="Times New Roman" w:hAnsi="Times New Roman" w:cs="Times New Roman"/>
        </w:rPr>
        <w:t xml:space="preserve">. </w:t>
      </w:r>
      <w:r w:rsidR="001D6B79" w:rsidRPr="007C2DFF">
        <w:rPr>
          <w:rFonts w:ascii="Times New Roman" w:hAnsi="Times New Roman" w:cs="Times New Roman"/>
        </w:rPr>
        <w:t>LEV policy diff-in-diff regressions for additional treatment time periods</w:t>
      </w:r>
      <w:r w:rsidRPr="007C2DFF">
        <w:rPr>
          <w:rFonts w:ascii="Times New Roman" w:hAnsi="Times New Roman" w:cs="Times New Roman"/>
        </w:rPr>
        <w:t>.</w:t>
      </w:r>
      <w:r w:rsidR="00114C2C" w:rsidRPr="007C2DFF">
        <w:rPr>
          <w:rFonts w:ascii="Times New Roman" w:hAnsi="Times New Roman" w:cs="Times New Roman"/>
        </w:rPr>
        <w:t xml:space="preserve"> (p. 8-9)</w:t>
      </w:r>
    </w:p>
    <w:p w14:paraId="0AAFF75B" w14:textId="27E65050" w:rsidR="001D6B79" w:rsidRPr="007C2DFF" w:rsidRDefault="00DD76AE" w:rsidP="001D6B79">
      <w:pPr>
        <w:pStyle w:val="ListParagraph"/>
        <w:numPr>
          <w:ilvl w:val="0"/>
          <w:numId w:val="1"/>
        </w:numPr>
        <w:rPr>
          <w:rFonts w:ascii="Times New Roman" w:hAnsi="Times New Roman" w:cs="Times New Roman"/>
        </w:rPr>
      </w:pPr>
      <w:r w:rsidRPr="007C2DFF">
        <w:rPr>
          <w:rFonts w:ascii="Times New Roman" w:hAnsi="Times New Roman" w:cs="Times New Roman"/>
          <w:b/>
        </w:rPr>
        <w:t xml:space="preserve">Table A6. </w:t>
      </w:r>
      <w:r w:rsidR="001D6B79" w:rsidRPr="007C2DFF">
        <w:rPr>
          <w:rFonts w:ascii="Times New Roman" w:hAnsi="Times New Roman" w:cs="Times New Roman"/>
        </w:rPr>
        <w:t>Mandated renewable electricity policy diff-in-diff regressions for additional treatment time periods</w:t>
      </w:r>
      <w:r w:rsidR="00114C2C" w:rsidRPr="007C2DFF">
        <w:rPr>
          <w:rFonts w:ascii="Times New Roman" w:hAnsi="Times New Roman" w:cs="Times New Roman"/>
        </w:rPr>
        <w:t>. (p. 10)</w:t>
      </w:r>
    </w:p>
    <w:p w14:paraId="4C7D3963" w14:textId="6709A066" w:rsidR="000763A5" w:rsidRPr="007C2DFF" w:rsidRDefault="00014080" w:rsidP="001D6B79">
      <w:pPr>
        <w:pStyle w:val="ListParagraph"/>
        <w:numPr>
          <w:ilvl w:val="0"/>
          <w:numId w:val="1"/>
        </w:numPr>
        <w:rPr>
          <w:rFonts w:ascii="Times New Roman" w:hAnsi="Times New Roman" w:cs="Times New Roman"/>
        </w:rPr>
      </w:pPr>
      <w:r w:rsidRPr="007C2DFF">
        <w:rPr>
          <w:rFonts w:ascii="Times New Roman" w:hAnsi="Times New Roman" w:cs="Times New Roman"/>
          <w:b/>
        </w:rPr>
        <w:t xml:space="preserve">Figures A4. Tables A7, A8. </w:t>
      </w:r>
      <w:r w:rsidR="001D6B79" w:rsidRPr="007C2DFF">
        <w:rPr>
          <w:rFonts w:ascii="Times New Roman" w:hAnsi="Times New Roman" w:cs="Times New Roman"/>
        </w:rPr>
        <w:t xml:space="preserve">Placebo test </w:t>
      </w:r>
      <w:r w:rsidRPr="007C2DFF">
        <w:rPr>
          <w:rFonts w:ascii="Times New Roman" w:hAnsi="Times New Roman" w:cs="Times New Roman"/>
        </w:rPr>
        <w:t xml:space="preserve">coefficient plots and </w:t>
      </w:r>
      <w:r w:rsidR="001D6B79" w:rsidRPr="007C2DFF">
        <w:rPr>
          <w:rFonts w:ascii="Times New Roman" w:hAnsi="Times New Roman" w:cs="Times New Roman"/>
        </w:rPr>
        <w:t>regression</w:t>
      </w:r>
      <w:r w:rsidR="00114C2C" w:rsidRPr="007C2DFF">
        <w:rPr>
          <w:rFonts w:ascii="Times New Roman" w:hAnsi="Times New Roman" w:cs="Times New Roman"/>
        </w:rPr>
        <w:t xml:space="preserve"> results</w:t>
      </w:r>
      <w:r w:rsidRPr="007C2DFF">
        <w:rPr>
          <w:rFonts w:ascii="Times New Roman" w:hAnsi="Times New Roman" w:cs="Times New Roman"/>
        </w:rPr>
        <w:t>.</w:t>
      </w:r>
      <w:r w:rsidR="00114C2C" w:rsidRPr="007C2DFF">
        <w:rPr>
          <w:rFonts w:ascii="Times New Roman" w:hAnsi="Times New Roman" w:cs="Times New Roman"/>
        </w:rPr>
        <w:t xml:space="preserve"> (p. 11-1</w:t>
      </w:r>
      <w:r w:rsidR="00220907">
        <w:rPr>
          <w:rFonts w:ascii="Times New Roman" w:hAnsi="Times New Roman" w:cs="Times New Roman"/>
        </w:rPr>
        <w:t>3</w:t>
      </w:r>
      <w:r w:rsidR="00114C2C" w:rsidRPr="007C2DFF">
        <w:rPr>
          <w:rFonts w:ascii="Times New Roman" w:hAnsi="Times New Roman" w:cs="Times New Roman"/>
        </w:rPr>
        <w:t>)</w:t>
      </w:r>
    </w:p>
    <w:p w14:paraId="6218624A" w14:textId="2CBEC43D" w:rsidR="00EE4DC7" w:rsidRDefault="00EE4DC7" w:rsidP="00EE4DC7">
      <w:pPr>
        <w:pStyle w:val="ListParagraph"/>
        <w:numPr>
          <w:ilvl w:val="0"/>
          <w:numId w:val="1"/>
        </w:numPr>
        <w:rPr>
          <w:rFonts w:ascii="Times New Roman" w:hAnsi="Times New Roman" w:cs="Times New Roman"/>
        </w:rPr>
      </w:pPr>
      <w:r w:rsidRPr="007C2DFF">
        <w:rPr>
          <w:rFonts w:ascii="Times New Roman" w:hAnsi="Times New Roman" w:cs="Times New Roman"/>
          <w:b/>
        </w:rPr>
        <w:t>Tables A9, A10</w:t>
      </w:r>
      <w:r w:rsidR="00794C36" w:rsidRPr="007C2DFF">
        <w:rPr>
          <w:rFonts w:ascii="Times New Roman" w:hAnsi="Times New Roman" w:cs="Times New Roman"/>
          <w:b/>
        </w:rPr>
        <w:t>, A11</w:t>
      </w:r>
      <w:r w:rsidRPr="007C2DFF">
        <w:rPr>
          <w:rFonts w:ascii="Times New Roman" w:hAnsi="Times New Roman" w:cs="Times New Roman"/>
          <w:b/>
        </w:rPr>
        <w:t xml:space="preserve">. </w:t>
      </w:r>
      <w:r w:rsidRPr="007C2DFF">
        <w:rPr>
          <w:rFonts w:ascii="Times New Roman" w:hAnsi="Times New Roman" w:cs="Times New Roman"/>
        </w:rPr>
        <w:t>Two-way</w:t>
      </w:r>
      <w:r w:rsidR="00C709CE" w:rsidRPr="007C2DFF">
        <w:rPr>
          <w:rFonts w:ascii="Times New Roman" w:hAnsi="Times New Roman" w:cs="Times New Roman"/>
        </w:rPr>
        <w:t xml:space="preserve"> </w:t>
      </w:r>
      <w:r w:rsidRPr="007C2DFF">
        <w:rPr>
          <w:rFonts w:ascii="Times New Roman" w:hAnsi="Times New Roman" w:cs="Times New Roman"/>
        </w:rPr>
        <w:t>fixed effects</w:t>
      </w:r>
      <w:r w:rsidR="00C709CE" w:rsidRPr="007C2DFF">
        <w:rPr>
          <w:rFonts w:ascii="Times New Roman" w:hAnsi="Times New Roman" w:cs="Times New Roman"/>
        </w:rPr>
        <w:t xml:space="preserve"> (i.e., state-time)</w:t>
      </w:r>
      <w:r w:rsidRPr="007C2DFF">
        <w:rPr>
          <w:rFonts w:ascii="Times New Roman" w:hAnsi="Times New Roman" w:cs="Times New Roman"/>
        </w:rPr>
        <w:t xml:space="preserve"> regressions. (p. 1</w:t>
      </w:r>
      <w:r w:rsidR="00220907">
        <w:rPr>
          <w:rFonts w:ascii="Times New Roman" w:hAnsi="Times New Roman" w:cs="Times New Roman"/>
        </w:rPr>
        <w:t>4</w:t>
      </w:r>
      <w:r w:rsidR="00C138CA" w:rsidRPr="007C2DFF">
        <w:rPr>
          <w:rFonts w:ascii="Times New Roman" w:hAnsi="Times New Roman" w:cs="Times New Roman"/>
        </w:rPr>
        <w:t>-1</w:t>
      </w:r>
      <w:r w:rsidR="00220907">
        <w:rPr>
          <w:rFonts w:ascii="Times New Roman" w:hAnsi="Times New Roman" w:cs="Times New Roman"/>
        </w:rPr>
        <w:t>5</w:t>
      </w:r>
      <w:r w:rsidRPr="007C2DFF">
        <w:rPr>
          <w:rFonts w:ascii="Times New Roman" w:hAnsi="Times New Roman" w:cs="Times New Roman"/>
        </w:rPr>
        <w:t>)</w:t>
      </w:r>
    </w:p>
    <w:p w14:paraId="35396844" w14:textId="74D2929E" w:rsidR="00BD4652" w:rsidRPr="00BD4652" w:rsidRDefault="00BD4652" w:rsidP="00BD4652">
      <w:pPr>
        <w:pStyle w:val="ListParagraph"/>
        <w:numPr>
          <w:ilvl w:val="0"/>
          <w:numId w:val="1"/>
        </w:numPr>
        <w:spacing w:line="480" w:lineRule="auto"/>
        <w:rPr>
          <w:rFonts w:ascii="Times New Roman" w:hAnsi="Times New Roman" w:cs="Times New Roman"/>
          <w:b/>
        </w:rPr>
      </w:pPr>
      <w:r w:rsidRPr="00BD4652">
        <w:rPr>
          <w:rFonts w:ascii="Times New Roman" w:hAnsi="Times New Roman" w:cs="Times New Roman"/>
          <w:b/>
        </w:rPr>
        <w:t>Why not try an instrumented difference-in-difference?</w:t>
      </w:r>
      <w:r>
        <w:rPr>
          <w:rFonts w:ascii="Times New Roman" w:hAnsi="Times New Roman" w:cs="Times New Roman"/>
          <w:b/>
        </w:rPr>
        <w:t xml:space="preserve"> </w:t>
      </w:r>
      <w:r w:rsidRPr="00BD4652">
        <w:rPr>
          <w:rFonts w:ascii="Times New Roman" w:hAnsi="Times New Roman" w:cs="Times New Roman"/>
        </w:rPr>
        <w:t>(p. 1</w:t>
      </w:r>
      <w:r w:rsidR="00220907">
        <w:rPr>
          <w:rFonts w:ascii="Times New Roman" w:hAnsi="Times New Roman" w:cs="Times New Roman"/>
        </w:rPr>
        <w:t>6</w:t>
      </w:r>
      <w:r w:rsidRPr="00BD4652">
        <w:rPr>
          <w:rFonts w:ascii="Times New Roman" w:hAnsi="Times New Roman" w:cs="Times New Roman"/>
        </w:rPr>
        <w:t>)</w:t>
      </w:r>
    </w:p>
    <w:p w14:paraId="166560D2" w14:textId="690A5F64" w:rsidR="000763A5" w:rsidRPr="007C2DFF" w:rsidRDefault="000763A5">
      <w:pPr>
        <w:rPr>
          <w:rFonts w:ascii="Times New Roman" w:hAnsi="Times New Roman" w:cs="Times New Roman"/>
          <w:b/>
        </w:rPr>
      </w:pPr>
    </w:p>
    <w:p w14:paraId="4DFA665B" w14:textId="1A358189" w:rsidR="001D6B79" w:rsidRPr="007C2DFF" w:rsidRDefault="001D6B79">
      <w:pPr>
        <w:rPr>
          <w:rFonts w:ascii="Times New Roman" w:hAnsi="Times New Roman" w:cs="Times New Roman"/>
          <w:b/>
        </w:rPr>
      </w:pPr>
    </w:p>
    <w:p w14:paraId="11B71B65" w14:textId="38A2B521" w:rsidR="001D6B79" w:rsidRPr="007C2DFF" w:rsidRDefault="001D6B79">
      <w:pPr>
        <w:rPr>
          <w:rFonts w:ascii="Times New Roman" w:hAnsi="Times New Roman" w:cs="Times New Roman"/>
          <w:b/>
        </w:rPr>
      </w:pPr>
    </w:p>
    <w:p w14:paraId="550B78BF" w14:textId="77777777" w:rsidR="001D6B79" w:rsidRPr="007C2DFF" w:rsidRDefault="001D6B79">
      <w:pPr>
        <w:rPr>
          <w:rFonts w:ascii="Times New Roman" w:hAnsi="Times New Roman" w:cs="Times New Roman"/>
          <w:b/>
        </w:rPr>
      </w:pPr>
    </w:p>
    <w:p w14:paraId="6753C8A1" w14:textId="77777777" w:rsidR="001D6B79" w:rsidRPr="007C2DFF" w:rsidRDefault="001D6B79">
      <w:pPr>
        <w:rPr>
          <w:rFonts w:ascii="Times New Roman" w:hAnsi="Times New Roman" w:cs="Times New Roman"/>
          <w:b/>
        </w:rPr>
      </w:pPr>
    </w:p>
    <w:p w14:paraId="288A1CE3" w14:textId="77777777" w:rsidR="001D6B79" w:rsidRPr="007C2DFF" w:rsidRDefault="001D6B79">
      <w:pPr>
        <w:rPr>
          <w:rFonts w:ascii="Times New Roman" w:hAnsi="Times New Roman" w:cs="Times New Roman"/>
          <w:b/>
        </w:rPr>
      </w:pPr>
    </w:p>
    <w:p w14:paraId="1CCADF8F" w14:textId="77777777" w:rsidR="001D6B79" w:rsidRPr="007C2DFF" w:rsidRDefault="001D6B79">
      <w:pPr>
        <w:rPr>
          <w:rFonts w:ascii="Times New Roman" w:hAnsi="Times New Roman" w:cs="Times New Roman"/>
          <w:b/>
        </w:rPr>
      </w:pPr>
    </w:p>
    <w:p w14:paraId="4994A3EF" w14:textId="77777777" w:rsidR="001D6B79" w:rsidRPr="007C2DFF" w:rsidRDefault="001D6B79">
      <w:pPr>
        <w:rPr>
          <w:rFonts w:ascii="Times New Roman" w:hAnsi="Times New Roman" w:cs="Times New Roman"/>
          <w:b/>
        </w:rPr>
      </w:pPr>
    </w:p>
    <w:p w14:paraId="552C1C25" w14:textId="77777777" w:rsidR="001D6B79" w:rsidRPr="007C2DFF" w:rsidRDefault="001D6B79">
      <w:pPr>
        <w:rPr>
          <w:rFonts w:ascii="Times New Roman" w:hAnsi="Times New Roman" w:cs="Times New Roman"/>
          <w:b/>
        </w:rPr>
      </w:pPr>
    </w:p>
    <w:p w14:paraId="7ED3372E" w14:textId="77777777" w:rsidR="001D6B79" w:rsidRPr="007C2DFF" w:rsidRDefault="001D6B79">
      <w:pPr>
        <w:rPr>
          <w:rFonts w:ascii="Times New Roman" w:hAnsi="Times New Roman" w:cs="Times New Roman"/>
          <w:b/>
        </w:rPr>
      </w:pPr>
    </w:p>
    <w:p w14:paraId="71318BA6" w14:textId="77777777" w:rsidR="001D6B79" w:rsidRPr="007C2DFF" w:rsidRDefault="001D6B79">
      <w:pPr>
        <w:rPr>
          <w:rFonts w:ascii="Times New Roman" w:hAnsi="Times New Roman" w:cs="Times New Roman"/>
          <w:b/>
        </w:rPr>
      </w:pPr>
    </w:p>
    <w:p w14:paraId="3AF925FA" w14:textId="77777777" w:rsidR="001D6B79" w:rsidRPr="007C2DFF" w:rsidRDefault="001D6B79">
      <w:pPr>
        <w:rPr>
          <w:rFonts w:ascii="Times New Roman" w:hAnsi="Times New Roman" w:cs="Times New Roman"/>
          <w:b/>
        </w:rPr>
      </w:pPr>
    </w:p>
    <w:p w14:paraId="4E13D85E" w14:textId="77777777" w:rsidR="001D6B79" w:rsidRPr="007C2DFF" w:rsidRDefault="001D6B79">
      <w:pPr>
        <w:rPr>
          <w:rFonts w:ascii="Times New Roman" w:hAnsi="Times New Roman" w:cs="Times New Roman"/>
          <w:b/>
        </w:rPr>
      </w:pPr>
    </w:p>
    <w:p w14:paraId="0F1DA21D" w14:textId="77777777" w:rsidR="001D6B79" w:rsidRPr="007C2DFF" w:rsidRDefault="001D6B79">
      <w:pPr>
        <w:rPr>
          <w:rFonts w:ascii="Times New Roman" w:hAnsi="Times New Roman" w:cs="Times New Roman"/>
          <w:b/>
        </w:rPr>
      </w:pPr>
    </w:p>
    <w:p w14:paraId="17D5F0E2" w14:textId="77777777" w:rsidR="001D6B79" w:rsidRPr="007C2DFF" w:rsidRDefault="001D6B79">
      <w:pPr>
        <w:rPr>
          <w:rFonts w:ascii="Times New Roman" w:hAnsi="Times New Roman" w:cs="Times New Roman"/>
          <w:b/>
        </w:rPr>
      </w:pPr>
    </w:p>
    <w:p w14:paraId="1CD726C9" w14:textId="77777777" w:rsidR="001D6B79" w:rsidRPr="007C2DFF" w:rsidRDefault="001D6B79">
      <w:pPr>
        <w:rPr>
          <w:rFonts w:ascii="Times New Roman" w:hAnsi="Times New Roman" w:cs="Times New Roman"/>
          <w:b/>
        </w:rPr>
      </w:pPr>
    </w:p>
    <w:p w14:paraId="2E2D9345" w14:textId="77777777" w:rsidR="001D6B79" w:rsidRPr="007C2DFF" w:rsidRDefault="001D6B79">
      <w:pPr>
        <w:rPr>
          <w:rFonts w:ascii="Times New Roman" w:hAnsi="Times New Roman" w:cs="Times New Roman"/>
          <w:b/>
        </w:rPr>
      </w:pPr>
    </w:p>
    <w:p w14:paraId="77E8F280" w14:textId="77777777" w:rsidR="001D6B79" w:rsidRPr="007C2DFF" w:rsidRDefault="001D6B79">
      <w:pPr>
        <w:rPr>
          <w:rFonts w:ascii="Times New Roman" w:hAnsi="Times New Roman" w:cs="Times New Roman"/>
          <w:b/>
        </w:rPr>
      </w:pPr>
    </w:p>
    <w:p w14:paraId="6CD4B0C5" w14:textId="77777777" w:rsidR="001D6B79" w:rsidRPr="007C2DFF" w:rsidRDefault="001D6B79">
      <w:pPr>
        <w:rPr>
          <w:rFonts w:ascii="Times New Roman" w:hAnsi="Times New Roman" w:cs="Times New Roman"/>
          <w:b/>
        </w:rPr>
      </w:pPr>
    </w:p>
    <w:p w14:paraId="11CD3DCD" w14:textId="77777777" w:rsidR="001D6B79" w:rsidRPr="007C2DFF" w:rsidRDefault="001D6B79">
      <w:pPr>
        <w:rPr>
          <w:rFonts w:ascii="Times New Roman" w:hAnsi="Times New Roman" w:cs="Times New Roman"/>
          <w:b/>
        </w:rPr>
      </w:pPr>
    </w:p>
    <w:p w14:paraId="7284F7BA" w14:textId="77777777" w:rsidR="001D6B79" w:rsidRPr="007C2DFF" w:rsidRDefault="001D6B79">
      <w:pPr>
        <w:rPr>
          <w:rFonts w:ascii="Times New Roman" w:hAnsi="Times New Roman" w:cs="Times New Roman"/>
          <w:b/>
        </w:rPr>
      </w:pPr>
    </w:p>
    <w:p w14:paraId="65746B68" w14:textId="77777777" w:rsidR="001D6B79" w:rsidRPr="007C2DFF" w:rsidRDefault="001D6B79">
      <w:pPr>
        <w:rPr>
          <w:rFonts w:ascii="Times New Roman" w:hAnsi="Times New Roman" w:cs="Times New Roman"/>
          <w:b/>
        </w:rPr>
      </w:pPr>
    </w:p>
    <w:p w14:paraId="1DD875BF" w14:textId="77777777" w:rsidR="001D6B79" w:rsidRPr="007C2DFF" w:rsidRDefault="001D6B79">
      <w:pPr>
        <w:rPr>
          <w:rFonts w:ascii="Times New Roman" w:hAnsi="Times New Roman" w:cs="Times New Roman"/>
          <w:b/>
        </w:rPr>
      </w:pPr>
    </w:p>
    <w:p w14:paraId="2532C5A1" w14:textId="77777777" w:rsidR="001D6B79" w:rsidRPr="007C2DFF" w:rsidRDefault="001D6B79">
      <w:pPr>
        <w:rPr>
          <w:rFonts w:ascii="Times New Roman" w:hAnsi="Times New Roman" w:cs="Times New Roman"/>
          <w:b/>
        </w:rPr>
      </w:pPr>
    </w:p>
    <w:p w14:paraId="374F8251" w14:textId="77777777" w:rsidR="001D6B79" w:rsidRPr="007C2DFF" w:rsidRDefault="001D6B79">
      <w:pPr>
        <w:rPr>
          <w:rFonts w:ascii="Times New Roman" w:hAnsi="Times New Roman" w:cs="Times New Roman"/>
          <w:b/>
        </w:rPr>
      </w:pPr>
    </w:p>
    <w:p w14:paraId="471D1D81" w14:textId="77777777" w:rsidR="001D6B79" w:rsidRPr="007C2DFF" w:rsidRDefault="001D6B79">
      <w:pPr>
        <w:rPr>
          <w:rFonts w:ascii="Times New Roman" w:hAnsi="Times New Roman" w:cs="Times New Roman"/>
          <w:b/>
        </w:rPr>
      </w:pPr>
    </w:p>
    <w:p w14:paraId="347E2E1D" w14:textId="77777777" w:rsidR="001D6B79" w:rsidRPr="007C2DFF" w:rsidRDefault="001D6B79">
      <w:pPr>
        <w:rPr>
          <w:rFonts w:ascii="Times New Roman" w:hAnsi="Times New Roman" w:cs="Times New Roman"/>
          <w:b/>
        </w:rPr>
      </w:pPr>
    </w:p>
    <w:p w14:paraId="70AE8783" w14:textId="77777777" w:rsidR="00BD4652" w:rsidRDefault="00BD4652">
      <w:pPr>
        <w:rPr>
          <w:rFonts w:ascii="Times New Roman" w:hAnsi="Times New Roman" w:cs="Times New Roman"/>
          <w:b/>
        </w:rPr>
      </w:pPr>
    </w:p>
    <w:p w14:paraId="42686A11" w14:textId="332A1684" w:rsidR="001D6B79" w:rsidRPr="007C2DFF" w:rsidRDefault="001D6B79">
      <w:pPr>
        <w:rPr>
          <w:rFonts w:ascii="Times New Roman" w:hAnsi="Times New Roman" w:cs="Times New Roman"/>
          <w:b/>
        </w:rPr>
      </w:pPr>
      <w:r w:rsidRPr="007C2DFF">
        <w:rPr>
          <w:rFonts w:ascii="Times New Roman" w:hAnsi="Times New Roman" w:cs="Times New Roman"/>
          <w:b/>
        </w:rPr>
        <w:lastRenderedPageBreak/>
        <w:t>LEV policy: Common trends for &gt;5% and &gt;0% shale as treatment status</w:t>
      </w:r>
    </w:p>
    <w:p w14:paraId="0774453C" w14:textId="77777777" w:rsidR="001D6B79" w:rsidRPr="007C2DFF" w:rsidRDefault="001D6B79">
      <w:pPr>
        <w:rPr>
          <w:rFonts w:ascii="Times New Roman" w:hAnsi="Times New Roman" w:cs="Times New Roman"/>
          <w:b/>
        </w:rPr>
      </w:pPr>
    </w:p>
    <w:p w14:paraId="0B0703EC" w14:textId="3AB9DD87" w:rsidR="000763A5" w:rsidRPr="007C2DFF" w:rsidRDefault="001D6B79">
      <w:pPr>
        <w:rPr>
          <w:rFonts w:ascii="Times New Roman" w:hAnsi="Times New Roman" w:cs="Times New Roman"/>
          <w:b/>
        </w:rPr>
      </w:pPr>
      <w:r w:rsidRPr="007C2DFF">
        <w:rPr>
          <w:rFonts w:ascii="Times New Roman" w:hAnsi="Times New Roman" w:cs="Times New Roman"/>
          <w:b/>
          <w:noProof/>
        </w:rPr>
        <w:drawing>
          <wp:inline distT="0" distB="0" distL="0" distR="0" wp14:anchorId="0760EE65" wp14:editId="61DA27ED">
            <wp:extent cx="5943600" cy="47053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705350"/>
                    </a:xfrm>
                    <a:prstGeom prst="rect">
                      <a:avLst/>
                    </a:prstGeom>
                  </pic:spPr>
                </pic:pic>
              </a:graphicData>
            </a:graphic>
          </wp:inline>
        </w:drawing>
      </w:r>
    </w:p>
    <w:p w14:paraId="26258B0B" w14:textId="5DC16156" w:rsidR="001D6B79" w:rsidRPr="007C2DFF" w:rsidRDefault="001D6B79" w:rsidP="00B260BF">
      <w:pPr>
        <w:jc w:val="center"/>
        <w:rPr>
          <w:rFonts w:ascii="Times New Roman" w:hAnsi="Times New Roman" w:cs="Times New Roman"/>
        </w:rPr>
      </w:pPr>
      <w:r w:rsidRPr="007C2DFF">
        <w:rPr>
          <w:rFonts w:ascii="Times New Roman" w:hAnsi="Times New Roman" w:cs="Times New Roman"/>
          <w:b/>
        </w:rPr>
        <w:t>Figure A1.</w:t>
      </w:r>
      <w:r w:rsidRPr="007C2DFF">
        <w:rPr>
          <w:rFonts w:ascii="Times New Roman" w:hAnsi="Times New Roman" w:cs="Times New Roman"/>
        </w:rPr>
        <w:t xml:space="preserve"> For &gt;5% shale coverage treatment status: Common trends before, during, and after the height of the fracking boom. Vertical lines (2003, 2013) indicate breaks between pre-treatment (1999-2003), treatment (2004-06, 2004-08, or 2004-10), and post-treatment (2007-10, 2009-12, or 2011-14) periods. Raw data is plotted in the background of group mean</w:t>
      </w:r>
      <w:r w:rsidR="006D5993" w:rsidRPr="007C2DFF">
        <w:rPr>
          <w:rFonts w:ascii="Times New Roman" w:hAnsi="Times New Roman" w:cs="Times New Roman"/>
        </w:rPr>
        <w:t>s and</w:t>
      </w:r>
      <w:r w:rsidRPr="007C2DFF">
        <w:rPr>
          <w:rFonts w:ascii="Times New Roman" w:hAnsi="Times New Roman" w:cs="Times New Roman"/>
        </w:rPr>
        <w:t xml:space="preserve"> trends.</w:t>
      </w:r>
    </w:p>
    <w:p w14:paraId="758B75D3" w14:textId="160BF552" w:rsidR="000763A5" w:rsidRPr="007C2DFF" w:rsidRDefault="000763A5">
      <w:pPr>
        <w:rPr>
          <w:rFonts w:ascii="Times New Roman" w:hAnsi="Times New Roman" w:cs="Times New Roman"/>
          <w:b/>
        </w:rPr>
      </w:pPr>
    </w:p>
    <w:p w14:paraId="63CF1857" w14:textId="185D86B7" w:rsidR="000763A5" w:rsidRPr="007C2DFF" w:rsidRDefault="001D6B79" w:rsidP="000763A5">
      <w:pPr>
        <w:jc w:val="center"/>
        <w:rPr>
          <w:rFonts w:ascii="Times New Roman" w:hAnsi="Times New Roman" w:cs="Times New Roman"/>
          <w:b/>
        </w:rPr>
      </w:pPr>
      <w:r w:rsidRPr="007C2DFF">
        <w:rPr>
          <w:rFonts w:ascii="Times New Roman" w:hAnsi="Times New Roman" w:cs="Times New Roman"/>
          <w:b/>
          <w:noProof/>
        </w:rPr>
        <w:lastRenderedPageBreak/>
        <w:drawing>
          <wp:inline distT="0" distB="0" distL="0" distR="0" wp14:anchorId="62B504DF" wp14:editId="736C2F3F">
            <wp:extent cx="5943600" cy="46094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609465"/>
                    </a:xfrm>
                    <a:prstGeom prst="rect">
                      <a:avLst/>
                    </a:prstGeom>
                  </pic:spPr>
                </pic:pic>
              </a:graphicData>
            </a:graphic>
          </wp:inline>
        </w:drawing>
      </w:r>
    </w:p>
    <w:p w14:paraId="5705D3A6" w14:textId="6CDE8288" w:rsidR="001D6B79" w:rsidRPr="007C2DFF" w:rsidRDefault="001D6B79" w:rsidP="00B260BF">
      <w:pPr>
        <w:jc w:val="center"/>
        <w:rPr>
          <w:rFonts w:ascii="Times New Roman" w:hAnsi="Times New Roman" w:cs="Times New Roman"/>
        </w:rPr>
      </w:pPr>
      <w:r w:rsidRPr="007C2DFF">
        <w:rPr>
          <w:rFonts w:ascii="Times New Roman" w:hAnsi="Times New Roman" w:cs="Times New Roman"/>
          <w:b/>
        </w:rPr>
        <w:t xml:space="preserve">Figure A2. </w:t>
      </w:r>
      <w:r w:rsidRPr="007C2DFF">
        <w:rPr>
          <w:rFonts w:ascii="Times New Roman" w:hAnsi="Times New Roman" w:cs="Times New Roman"/>
        </w:rPr>
        <w:t xml:space="preserve">For &gt;0% shale coverage treatment status: Common trends before, during, and after the height of the fracking boom. Vertical lines (2003, 2013) indicate breaks between pre-treatment (1999-2003), treatment (2004-06, 2004-08, or 2004-10), and post-treatment (2007-10, 2009-12, or 2011-14) periods. Raw data is plotted in the background of </w:t>
      </w:r>
      <w:r w:rsidR="006D5993" w:rsidRPr="007C2DFF">
        <w:rPr>
          <w:rFonts w:ascii="Times New Roman" w:hAnsi="Times New Roman" w:cs="Times New Roman"/>
        </w:rPr>
        <w:t>group means and trends</w:t>
      </w:r>
      <w:r w:rsidRPr="007C2DFF">
        <w:rPr>
          <w:rFonts w:ascii="Times New Roman" w:hAnsi="Times New Roman" w:cs="Times New Roman"/>
        </w:rPr>
        <w:t>.</w:t>
      </w:r>
    </w:p>
    <w:p w14:paraId="08C6FE70" w14:textId="335326A0" w:rsidR="000763A5" w:rsidRPr="007C2DFF" w:rsidRDefault="000763A5" w:rsidP="000763A5">
      <w:pPr>
        <w:jc w:val="center"/>
        <w:rPr>
          <w:rFonts w:ascii="Times New Roman" w:hAnsi="Times New Roman" w:cs="Times New Roman"/>
          <w:b/>
        </w:rPr>
      </w:pPr>
    </w:p>
    <w:p w14:paraId="10C0D7C6" w14:textId="77777777" w:rsidR="001D6B79" w:rsidRPr="007C2DFF" w:rsidRDefault="001D6B79" w:rsidP="000763A5">
      <w:pPr>
        <w:jc w:val="center"/>
        <w:rPr>
          <w:rFonts w:ascii="Times New Roman" w:hAnsi="Times New Roman" w:cs="Times New Roman"/>
          <w:b/>
        </w:rPr>
      </w:pPr>
    </w:p>
    <w:p w14:paraId="34682650" w14:textId="77777777" w:rsidR="001D6B79" w:rsidRPr="007C2DFF" w:rsidRDefault="001D6B79" w:rsidP="000763A5">
      <w:pPr>
        <w:jc w:val="center"/>
        <w:rPr>
          <w:rFonts w:ascii="Times New Roman" w:hAnsi="Times New Roman" w:cs="Times New Roman"/>
          <w:b/>
        </w:rPr>
      </w:pPr>
    </w:p>
    <w:p w14:paraId="07513DA5" w14:textId="77777777" w:rsidR="001D6B79" w:rsidRPr="007C2DFF" w:rsidRDefault="001D6B79" w:rsidP="000763A5">
      <w:pPr>
        <w:jc w:val="center"/>
        <w:rPr>
          <w:rFonts w:ascii="Times New Roman" w:hAnsi="Times New Roman" w:cs="Times New Roman"/>
          <w:b/>
        </w:rPr>
      </w:pPr>
    </w:p>
    <w:p w14:paraId="41FA5570" w14:textId="77777777" w:rsidR="001D6B79" w:rsidRPr="007C2DFF" w:rsidRDefault="001D6B79" w:rsidP="000763A5">
      <w:pPr>
        <w:jc w:val="center"/>
        <w:rPr>
          <w:rFonts w:ascii="Times New Roman" w:hAnsi="Times New Roman" w:cs="Times New Roman"/>
          <w:b/>
        </w:rPr>
      </w:pPr>
    </w:p>
    <w:p w14:paraId="669A488E" w14:textId="77777777" w:rsidR="001D6B79" w:rsidRPr="007C2DFF" w:rsidRDefault="001D6B79" w:rsidP="000763A5">
      <w:pPr>
        <w:jc w:val="center"/>
        <w:rPr>
          <w:rFonts w:ascii="Times New Roman" w:hAnsi="Times New Roman" w:cs="Times New Roman"/>
          <w:b/>
        </w:rPr>
      </w:pPr>
    </w:p>
    <w:p w14:paraId="382C0FD2" w14:textId="77777777" w:rsidR="001D6B79" w:rsidRPr="007C2DFF" w:rsidRDefault="001D6B79" w:rsidP="000763A5">
      <w:pPr>
        <w:jc w:val="center"/>
        <w:rPr>
          <w:rFonts w:ascii="Times New Roman" w:hAnsi="Times New Roman" w:cs="Times New Roman"/>
          <w:b/>
        </w:rPr>
      </w:pPr>
    </w:p>
    <w:p w14:paraId="5D4DBF56" w14:textId="77777777" w:rsidR="001D6B79" w:rsidRPr="007C2DFF" w:rsidRDefault="001D6B79" w:rsidP="000763A5">
      <w:pPr>
        <w:jc w:val="center"/>
        <w:rPr>
          <w:rFonts w:ascii="Times New Roman" w:hAnsi="Times New Roman" w:cs="Times New Roman"/>
          <w:b/>
        </w:rPr>
      </w:pPr>
    </w:p>
    <w:p w14:paraId="71097A54" w14:textId="77777777" w:rsidR="001D6B79" w:rsidRPr="007C2DFF" w:rsidRDefault="001D6B79" w:rsidP="000763A5">
      <w:pPr>
        <w:jc w:val="center"/>
        <w:rPr>
          <w:rFonts w:ascii="Times New Roman" w:hAnsi="Times New Roman" w:cs="Times New Roman"/>
          <w:b/>
        </w:rPr>
      </w:pPr>
    </w:p>
    <w:p w14:paraId="04CD7182" w14:textId="77777777" w:rsidR="001D6B79" w:rsidRPr="007C2DFF" w:rsidRDefault="001D6B79" w:rsidP="000763A5">
      <w:pPr>
        <w:jc w:val="center"/>
        <w:rPr>
          <w:rFonts w:ascii="Times New Roman" w:hAnsi="Times New Roman" w:cs="Times New Roman"/>
          <w:b/>
        </w:rPr>
      </w:pPr>
    </w:p>
    <w:p w14:paraId="7EDA0960" w14:textId="77777777" w:rsidR="001D6B79" w:rsidRPr="007C2DFF" w:rsidRDefault="001D6B79" w:rsidP="000763A5">
      <w:pPr>
        <w:jc w:val="center"/>
        <w:rPr>
          <w:rFonts w:ascii="Times New Roman" w:hAnsi="Times New Roman" w:cs="Times New Roman"/>
          <w:b/>
        </w:rPr>
      </w:pPr>
    </w:p>
    <w:p w14:paraId="4E4B706C" w14:textId="77777777" w:rsidR="001D6B79" w:rsidRPr="007C2DFF" w:rsidRDefault="001D6B79" w:rsidP="000763A5">
      <w:pPr>
        <w:jc w:val="center"/>
        <w:rPr>
          <w:rFonts w:ascii="Times New Roman" w:hAnsi="Times New Roman" w:cs="Times New Roman"/>
          <w:b/>
        </w:rPr>
      </w:pPr>
    </w:p>
    <w:p w14:paraId="7FBFF55B" w14:textId="77777777" w:rsidR="001D6B79" w:rsidRPr="007C2DFF" w:rsidRDefault="001D6B79" w:rsidP="000763A5">
      <w:pPr>
        <w:jc w:val="center"/>
        <w:rPr>
          <w:rFonts w:ascii="Times New Roman" w:hAnsi="Times New Roman" w:cs="Times New Roman"/>
          <w:b/>
        </w:rPr>
      </w:pPr>
    </w:p>
    <w:p w14:paraId="59D79252" w14:textId="5EAFC42C" w:rsidR="001D6B79" w:rsidRPr="007C2DFF" w:rsidRDefault="001D6B79" w:rsidP="001D6B79">
      <w:pPr>
        <w:rPr>
          <w:rFonts w:ascii="Times New Roman" w:hAnsi="Times New Roman" w:cs="Times New Roman"/>
          <w:b/>
        </w:rPr>
      </w:pPr>
    </w:p>
    <w:p w14:paraId="4FD7DA7B" w14:textId="77777777" w:rsidR="00E46CCA" w:rsidRDefault="00E46CCA" w:rsidP="001D6B79">
      <w:pPr>
        <w:rPr>
          <w:rFonts w:ascii="Times New Roman" w:hAnsi="Times New Roman" w:cs="Times New Roman"/>
          <w:b/>
        </w:rPr>
      </w:pPr>
    </w:p>
    <w:p w14:paraId="4B276909" w14:textId="77777777" w:rsidR="00E46CCA" w:rsidRDefault="00E46CCA" w:rsidP="001D6B79">
      <w:pPr>
        <w:rPr>
          <w:rFonts w:ascii="Times New Roman" w:hAnsi="Times New Roman" w:cs="Times New Roman"/>
          <w:b/>
        </w:rPr>
      </w:pPr>
    </w:p>
    <w:p w14:paraId="1805B3FD" w14:textId="26E570DC" w:rsidR="001D6B79" w:rsidRPr="007C2DFF" w:rsidRDefault="001D6B79" w:rsidP="001D6B79">
      <w:pPr>
        <w:rPr>
          <w:rFonts w:ascii="Times New Roman" w:hAnsi="Times New Roman" w:cs="Times New Roman"/>
          <w:b/>
        </w:rPr>
      </w:pPr>
      <w:r w:rsidRPr="007C2DFF">
        <w:rPr>
          <w:rFonts w:ascii="Times New Roman" w:hAnsi="Times New Roman" w:cs="Times New Roman"/>
          <w:b/>
        </w:rPr>
        <w:lastRenderedPageBreak/>
        <w:t>Mandated renewables: Common trends for &gt;0% shale as treatment status</w:t>
      </w:r>
    </w:p>
    <w:p w14:paraId="51BD1A88" w14:textId="77777777" w:rsidR="001D6B79" w:rsidRPr="007C2DFF" w:rsidRDefault="001D6B79" w:rsidP="000763A5">
      <w:pPr>
        <w:jc w:val="center"/>
        <w:rPr>
          <w:rFonts w:ascii="Times New Roman" w:hAnsi="Times New Roman" w:cs="Times New Roman"/>
          <w:b/>
        </w:rPr>
      </w:pPr>
    </w:p>
    <w:p w14:paraId="17FD905C" w14:textId="3E1549CD" w:rsidR="000763A5" w:rsidRPr="007C2DFF" w:rsidRDefault="001D6B79" w:rsidP="000763A5">
      <w:pPr>
        <w:jc w:val="center"/>
        <w:rPr>
          <w:rFonts w:ascii="Times New Roman" w:hAnsi="Times New Roman" w:cs="Times New Roman"/>
          <w:b/>
        </w:rPr>
      </w:pPr>
      <w:r w:rsidRPr="007C2DFF">
        <w:rPr>
          <w:rFonts w:ascii="Times New Roman" w:hAnsi="Times New Roman" w:cs="Times New Roman"/>
          <w:b/>
          <w:noProof/>
        </w:rPr>
        <w:drawing>
          <wp:inline distT="0" distB="0" distL="0" distR="0" wp14:anchorId="747202A0" wp14:editId="2ECC9C21">
            <wp:extent cx="5943600" cy="46202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620260"/>
                    </a:xfrm>
                    <a:prstGeom prst="rect">
                      <a:avLst/>
                    </a:prstGeom>
                  </pic:spPr>
                </pic:pic>
              </a:graphicData>
            </a:graphic>
          </wp:inline>
        </w:drawing>
      </w:r>
    </w:p>
    <w:p w14:paraId="435BF6EF" w14:textId="00DDCCBF" w:rsidR="001D6B79" w:rsidRPr="007C2DFF" w:rsidRDefault="001D6B79" w:rsidP="00B260BF">
      <w:pPr>
        <w:jc w:val="center"/>
        <w:rPr>
          <w:rFonts w:ascii="Times New Roman" w:hAnsi="Times New Roman" w:cs="Times New Roman"/>
        </w:rPr>
      </w:pPr>
      <w:r w:rsidRPr="007C2DFF">
        <w:rPr>
          <w:rFonts w:ascii="Times New Roman" w:hAnsi="Times New Roman" w:cs="Times New Roman"/>
          <w:b/>
        </w:rPr>
        <w:t>Figure A3.</w:t>
      </w:r>
      <w:r w:rsidRPr="007C2DFF">
        <w:rPr>
          <w:rFonts w:ascii="Times New Roman" w:hAnsi="Times New Roman" w:cs="Times New Roman"/>
        </w:rPr>
        <w:t xml:space="preserve"> For &gt;0% shale coverage treatment status: Common trends before, during, and after the height of the fracking boom. Vertical lines (2003, 2013) indicate breaks between pre-treatment (1999-2003), treatment (2004-06, 2004-08, or 2004-10), and post-treatment (2007-10, 2009-12, or 2011-14) periods. Raw data is plotted in the background of </w:t>
      </w:r>
      <w:r w:rsidR="006D5993" w:rsidRPr="007C2DFF">
        <w:rPr>
          <w:rFonts w:ascii="Times New Roman" w:hAnsi="Times New Roman" w:cs="Times New Roman"/>
        </w:rPr>
        <w:t>group means and trends</w:t>
      </w:r>
      <w:r w:rsidRPr="007C2DFF">
        <w:rPr>
          <w:rFonts w:ascii="Times New Roman" w:hAnsi="Times New Roman" w:cs="Times New Roman"/>
        </w:rPr>
        <w:t>. Multiple vertical dotted lines indicate the multiple treatment timing periods tested.</w:t>
      </w:r>
    </w:p>
    <w:p w14:paraId="5C63642F" w14:textId="41757E04" w:rsidR="000763A5" w:rsidRPr="007C2DFF" w:rsidRDefault="000763A5" w:rsidP="000763A5">
      <w:pPr>
        <w:jc w:val="center"/>
        <w:rPr>
          <w:rFonts w:ascii="Times New Roman" w:hAnsi="Times New Roman" w:cs="Times New Roman"/>
          <w:b/>
        </w:rPr>
      </w:pPr>
    </w:p>
    <w:p w14:paraId="5370432F" w14:textId="14CE32DA" w:rsidR="001D6B79" w:rsidRPr="007C2DFF" w:rsidRDefault="001D6B79" w:rsidP="000763A5">
      <w:pPr>
        <w:jc w:val="center"/>
        <w:rPr>
          <w:rFonts w:ascii="Times New Roman" w:hAnsi="Times New Roman" w:cs="Times New Roman"/>
          <w:b/>
        </w:rPr>
      </w:pPr>
    </w:p>
    <w:p w14:paraId="45818154" w14:textId="144B4CD5" w:rsidR="001D6B79" w:rsidRPr="007C2DFF" w:rsidRDefault="001D6B79" w:rsidP="000763A5">
      <w:pPr>
        <w:jc w:val="center"/>
        <w:rPr>
          <w:rFonts w:ascii="Times New Roman" w:hAnsi="Times New Roman" w:cs="Times New Roman"/>
          <w:b/>
        </w:rPr>
      </w:pPr>
    </w:p>
    <w:p w14:paraId="27CF4EA3" w14:textId="57089316" w:rsidR="001D6B79" w:rsidRPr="007C2DFF" w:rsidRDefault="001D6B79" w:rsidP="000763A5">
      <w:pPr>
        <w:jc w:val="center"/>
        <w:rPr>
          <w:rFonts w:ascii="Times New Roman" w:hAnsi="Times New Roman" w:cs="Times New Roman"/>
          <w:b/>
        </w:rPr>
      </w:pPr>
    </w:p>
    <w:p w14:paraId="7EFFA4F4" w14:textId="30682F69" w:rsidR="001D6B79" w:rsidRPr="007C2DFF" w:rsidRDefault="001D6B79" w:rsidP="000763A5">
      <w:pPr>
        <w:jc w:val="center"/>
        <w:rPr>
          <w:rFonts w:ascii="Times New Roman" w:hAnsi="Times New Roman" w:cs="Times New Roman"/>
          <w:b/>
        </w:rPr>
      </w:pPr>
    </w:p>
    <w:p w14:paraId="27EF91E8" w14:textId="2CBD450D" w:rsidR="001D6B79" w:rsidRPr="007C2DFF" w:rsidRDefault="001D6B79" w:rsidP="000763A5">
      <w:pPr>
        <w:jc w:val="center"/>
        <w:rPr>
          <w:rFonts w:ascii="Times New Roman" w:hAnsi="Times New Roman" w:cs="Times New Roman"/>
          <w:b/>
        </w:rPr>
      </w:pPr>
    </w:p>
    <w:p w14:paraId="740EE068" w14:textId="79C3EA11" w:rsidR="001D6B79" w:rsidRPr="007C2DFF" w:rsidRDefault="001D6B79" w:rsidP="000763A5">
      <w:pPr>
        <w:jc w:val="center"/>
        <w:rPr>
          <w:rFonts w:ascii="Times New Roman" w:hAnsi="Times New Roman" w:cs="Times New Roman"/>
          <w:b/>
        </w:rPr>
      </w:pPr>
    </w:p>
    <w:p w14:paraId="6BF78AC7" w14:textId="1293F732" w:rsidR="001D6B79" w:rsidRPr="007C2DFF" w:rsidRDefault="001D6B79" w:rsidP="000763A5">
      <w:pPr>
        <w:jc w:val="center"/>
        <w:rPr>
          <w:rFonts w:ascii="Times New Roman" w:hAnsi="Times New Roman" w:cs="Times New Roman"/>
          <w:b/>
        </w:rPr>
      </w:pPr>
    </w:p>
    <w:p w14:paraId="517EF93A" w14:textId="0F2C0B87" w:rsidR="001D6B79" w:rsidRPr="007C2DFF" w:rsidRDefault="001D6B79" w:rsidP="000763A5">
      <w:pPr>
        <w:jc w:val="center"/>
        <w:rPr>
          <w:rFonts w:ascii="Times New Roman" w:hAnsi="Times New Roman" w:cs="Times New Roman"/>
          <w:b/>
        </w:rPr>
      </w:pPr>
    </w:p>
    <w:p w14:paraId="27C2EB46" w14:textId="7BC89CDD" w:rsidR="001D6B79" w:rsidRPr="007C2DFF" w:rsidRDefault="001D6B79" w:rsidP="000763A5">
      <w:pPr>
        <w:jc w:val="center"/>
        <w:rPr>
          <w:rFonts w:ascii="Times New Roman" w:hAnsi="Times New Roman" w:cs="Times New Roman"/>
          <w:b/>
        </w:rPr>
      </w:pPr>
    </w:p>
    <w:p w14:paraId="5A36D294" w14:textId="04396132" w:rsidR="001D6B79" w:rsidRPr="007C2DFF" w:rsidRDefault="001D6B79" w:rsidP="000763A5">
      <w:pPr>
        <w:jc w:val="center"/>
        <w:rPr>
          <w:rFonts w:ascii="Times New Roman" w:hAnsi="Times New Roman" w:cs="Times New Roman"/>
          <w:b/>
        </w:rPr>
      </w:pPr>
    </w:p>
    <w:p w14:paraId="3B7A38D7" w14:textId="77777777" w:rsidR="006D5993" w:rsidRPr="007C2DFF" w:rsidRDefault="006D5993" w:rsidP="001D6B79">
      <w:pPr>
        <w:rPr>
          <w:rFonts w:ascii="Times New Roman" w:hAnsi="Times New Roman" w:cs="Times New Roman"/>
          <w:b/>
        </w:rPr>
      </w:pPr>
    </w:p>
    <w:p w14:paraId="7B5EE60F" w14:textId="77777777" w:rsidR="00E46CCA" w:rsidRDefault="00E46CCA" w:rsidP="001D6B79">
      <w:pPr>
        <w:rPr>
          <w:rFonts w:ascii="Times New Roman" w:hAnsi="Times New Roman" w:cs="Times New Roman"/>
          <w:b/>
        </w:rPr>
      </w:pPr>
    </w:p>
    <w:p w14:paraId="28525E15" w14:textId="41F55230" w:rsidR="001D6B79" w:rsidRPr="007C2DFF" w:rsidRDefault="001D6B79" w:rsidP="001D6B79">
      <w:pPr>
        <w:rPr>
          <w:rFonts w:ascii="Times New Roman" w:hAnsi="Times New Roman" w:cs="Times New Roman"/>
          <w:b/>
        </w:rPr>
      </w:pPr>
      <w:r w:rsidRPr="007C2DFF">
        <w:rPr>
          <w:rFonts w:ascii="Times New Roman" w:hAnsi="Times New Roman" w:cs="Times New Roman"/>
          <w:b/>
        </w:rPr>
        <w:lastRenderedPageBreak/>
        <w:t>Main regression results from the text, with control variables.</w:t>
      </w:r>
    </w:p>
    <w:p w14:paraId="67CF15CD" w14:textId="000E1C71" w:rsidR="001D6B79" w:rsidRPr="007C2DFF" w:rsidRDefault="001D6B79" w:rsidP="000763A5">
      <w:pPr>
        <w:jc w:val="center"/>
        <w:rPr>
          <w:rFonts w:ascii="Times New Roman" w:hAnsi="Times New Roman" w:cs="Times New Roman"/>
          <w:b/>
        </w:rPr>
      </w:pPr>
    </w:p>
    <w:p w14:paraId="4F3D1334" w14:textId="042208B7" w:rsidR="001D6B79" w:rsidRPr="007C2DFF" w:rsidRDefault="00B77AAB" w:rsidP="000763A5">
      <w:pPr>
        <w:jc w:val="center"/>
        <w:rPr>
          <w:rFonts w:ascii="Times New Roman" w:hAnsi="Times New Roman" w:cs="Times New Roman"/>
          <w:b/>
        </w:rPr>
      </w:pPr>
      <w:r w:rsidRPr="00B77AAB">
        <w:rPr>
          <w:rFonts w:ascii="Times New Roman" w:hAnsi="Times New Roman" w:cs="Times New Roman"/>
          <w:b/>
          <w:noProof/>
        </w:rPr>
        <w:drawing>
          <wp:inline distT="0" distB="0" distL="0" distR="0" wp14:anchorId="28B4F527" wp14:editId="11FBE68B">
            <wp:extent cx="4190058" cy="6528391"/>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12334" cy="6563099"/>
                    </a:xfrm>
                    <a:prstGeom prst="rect">
                      <a:avLst/>
                    </a:prstGeom>
                  </pic:spPr>
                </pic:pic>
              </a:graphicData>
            </a:graphic>
          </wp:inline>
        </w:drawing>
      </w:r>
    </w:p>
    <w:p w14:paraId="615D590C" w14:textId="28FA664C" w:rsidR="001D6B79" w:rsidRPr="007C2DFF" w:rsidRDefault="001D6B79" w:rsidP="00B260BF">
      <w:pPr>
        <w:jc w:val="center"/>
        <w:rPr>
          <w:rFonts w:ascii="Times New Roman" w:hAnsi="Times New Roman" w:cs="Times New Roman"/>
        </w:rPr>
      </w:pPr>
      <w:r w:rsidRPr="007C2DFF">
        <w:rPr>
          <w:rFonts w:ascii="Times New Roman" w:hAnsi="Times New Roman" w:cs="Times New Roman"/>
          <w:b/>
        </w:rPr>
        <w:t>Table A1. Effect of fracking on LEV policy, 2004-06 as treatment period.</w:t>
      </w:r>
      <w:r w:rsidRPr="007C2DFF">
        <w:rPr>
          <w:rFonts w:ascii="Times New Roman" w:hAnsi="Times New Roman" w:cs="Times New Roman"/>
        </w:rPr>
        <w:t xml:space="preserve"> Estimates produced using OLS difference-in-difference regressions. DV is LEV policy adoption per state. Standard errors are clustered (by state) and robust. The treatment period is 2004-06, so the ``pre'' period is 1999-2003; the ``post'' period is 2007-11. All continuous variables are measured as averages per state, during those five-year spans. ``Treated'' and ``Time'' are binary (0/1). N = 94 because Texas is dropped for theoretical reasons and Alaska and Hawaii are dropped for data availability reasons.</w:t>
      </w:r>
    </w:p>
    <w:p w14:paraId="7E25881A" w14:textId="77777777" w:rsidR="001D6B79" w:rsidRPr="007C2DFF" w:rsidRDefault="001D6B79" w:rsidP="000763A5">
      <w:pPr>
        <w:jc w:val="center"/>
        <w:rPr>
          <w:rFonts w:ascii="Times New Roman" w:hAnsi="Times New Roman" w:cs="Times New Roman"/>
          <w:b/>
        </w:rPr>
      </w:pPr>
    </w:p>
    <w:p w14:paraId="1D8D58C0" w14:textId="11FAE5F8" w:rsidR="001D6B79" w:rsidRPr="007C2DFF" w:rsidRDefault="0043482C" w:rsidP="000763A5">
      <w:pPr>
        <w:jc w:val="center"/>
        <w:rPr>
          <w:rFonts w:ascii="Times New Roman" w:hAnsi="Times New Roman" w:cs="Times New Roman"/>
          <w:b/>
        </w:rPr>
      </w:pPr>
      <w:r w:rsidRPr="0043482C">
        <w:rPr>
          <w:rFonts w:ascii="Times New Roman" w:hAnsi="Times New Roman" w:cs="Times New Roman"/>
          <w:b/>
          <w:noProof/>
        </w:rPr>
        <w:drawing>
          <wp:inline distT="0" distB="0" distL="0" distR="0" wp14:anchorId="61552831" wp14:editId="4CCDEF6C">
            <wp:extent cx="4210890" cy="6677246"/>
            <wp:effectExtent l="0" t="0" r="571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7188" cy="6687233"/>
                    </a:xfrm>
                    <a:prstGeom prst="rect">
                      <a:avLst/>
                    </a:prstGeom>
                  </pic:spPr>
                </pic:pic>
              </a:graphicData>
            </a:graphic>
          </wp:inline>
        </w:drawing>
      </w:r>
    </w:p>
    <w:p w14:paraId="05DD76FC" w14:textId="479C3596" w:rsidR="00DD76AE" w:rsidRPr="007C2DFF" w:rsidRDefault="00DD76AE" w:rsidP="00B260BF">
      <w:pPr>
        <w:jc w:val="center"/>
        <w:rPr>
          <w:rFonts w:ascii="Times New Roman" w:hAnsi="Times New Roman" w:cs="Times New Roman"/>
          <w:b/>
        </w:rPr>
      </w:pPr>
      <w:r w:rsidRPr="007C2DFF">
        <w:rPr>
          <w:rFonts w:ascii="Times New Roman" w:hAnsi="Times New Roman" w:cs="Times New Roman"/>
          <w:b/>
        </w:rPr>
        <w:t xml:space="preserve">Table A2. Effect of fracking on renewable electricity policy, 2004-06 as treatment period. </w:t>
      </w:r>
      <w:r w:rsidRPr="007C2DFF">
        <w:rPr>
          <w:rFonts w:ascii="Times New Roman" w:hAnsi="Times New Roman" w:cs="Times New Roman"/>
        </w:rPr>
        <w:t>Estimates produced using OLS difference-in-difference regressions. DV is mandated renewable proportion per state. Standard errors are clustered (by state) and robust. The treatment period is 2004-06, so the ``pre'' period is 1999-2003; the ``post'' period is 2007-11. All continuous variables are measured as averages per state, during those five-year spans. ``Treated'' and ``Time'' are binary (0/1). N = 94 because Texas is dropped for theoretical reasons and Alaska and Hawaii are dropped for data availability reasons.</w:t>
      </w:r>
    </w:p>
    <w:p w14:paraId="1D4C2D07" w14:textId="77777777" w:rsidR="00DD76AE" w:rsidRPr="007C2DFF" w:rsidRDefault="00DD76AE" w:rsidP="000763A5">
      <w:pPr>
        <w:jc w:val="center"/>
        <w:rPr>
          <w:rFonts w:ascii="Times New Roman" w:hAnsi="Times New Roman" w:cs="Times New Roman"/>
          <w:b/>
        </w:rPr>
      </w:pPr>
    </w:p>
    <w:p w14:paraId="1E95D06E" w14:textId="5071DD21" w:rsidR="001D6B79" w:rsidRPr="007C2DFF" w:rsidRDefault="007711AF" w:rsidP="000763A5">
      <w:pPr>
        <w:jc w:val="center"/>
        <w:rPr>
          <w:rFonts w:ascii="Times New Roman" w:hAnsi="Times New Roman" w:cs="Times New Roman"/>
          <w:b/>
        </w:rPr>
      </w:pPr>
      <w:r w:rsidRPr="007711AF">
        <w:rPr>
          <w:rFonts w:ascii="Times New Roman" w:hAnsi="Times New Roman" w:cs="Times New Roman"/>
          <w:b/>
          <w:noProof/>
        </w:rPr>
        <w:drawing>
          <wp:inline distT="0" distB="0" distL="0" distR="0" wp14:anchorId="3B3D23E3" wp14:editId="2A8CF128">
            <wp:extent cx="4204546" cy="6634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19882" cy="6658916"/>
                    </a:xfrm>
                    <a:prstGeom prst="rect">
                      <a:avLst/>
                    </a:prstGeom>
                  </pic:spPr>
                </pic:pic>
              </a:graphicData>
            </a:graphic>
          </wp:inline>
        </w:drawing>
      </w:r>
    </w:p>
    <w:p w14:paraId="2213D5BF" w14:textId="4EE6BFF4" w:rsidR="00DD76AE" w:rsidRPr="007C2DFF" w:rsidRDefault="00DD76AE" w:rsidP="00B260BF">
      <w:pPr>
        <w:jc w:val="center"/>
        <w:rPr>
          <w:rFonts w:ascii="Times New Roman" w:hAnsi="Times New Roman" w:cs="Times New Roman"/>
        </w:rPr>
      </w:pPr>
      <w:r w:rsidRPr="007C2DFF">
        <w:rPr>
          <w:rFonts w:ascii="Times New Roman" w:hAnsi="Times New Roman" w:cs="Times New Roman"/>
          <w:b/>
        </w:rPr>
        <w:t>Table A3. Effect of fracking on renewable electricity policy, 2004-10 as treatment period</w:t>
      </w:r>
      <w:r w:rsidRPr="007C2DFF">
        <w:rPr>
          <w:rFonts w:ascii="Times New Roman" w:hAnsi="Times New Roman" w:cs="Times New Roman"/>
        </w:rPr>
        <w:t>. Estimates produced using OLS difference-in-difference regressions. DV is mandated renewable proportion per state. Standard errors are clustered (by state) and robust. The treatment period is 2004-10, so the ``pre'' period is 1999-2003; the ``post'' period is 2011-15. All continuous variables are measured as averages per state, during those five-year spans. ``Treated'' and ``Time'' are binary (0/1). N = 94 because Texas is dropped for theoretical reasons and Alaska and Hawaii are dropped for data availability reasons.</w:t>
      </w:r>
    </w:p>
    <w:p w14:paraId="0C37E8E2" w14:textId="77777777" w:rsidR="007711AF" w:rsidRDefault="007711AF" w:rsidP="00DD76AE">
      <w:pPr>
        <w:rPr>
          <w:rFonts w:ascii="Times New Roman" w:hAnsi="Times New Roman" w:cs="Times New Roman"/>
          <w:b/>
        </w:rPr>
      </w:pPr>
    </w:p>
    <w:p w14:paraId="1017C3F0" w14:textId="11C9F7E6" w:rsidR="001D6B79" w:rsidRPr="007C2DFF" w:rsidRDefault="00DD76AE" w:rsidP="00DD76AE">
      <w:pPr>
        <w:rPr>
          <w:rFonts w:ascii="Times New Roman" w:hAnsi="Times New Roman" w:cs="Times New Roman"/>
          <w:b/>
        </w:rPr>
      </w:pPr>
      <w:r w:rsidRPr="007C2DFF">
        <w:rPr>
          <w:rFonts w:ascii="Times New Roman" w:hAnsi="Times New Roman" w:cs="Times New Roman"/>
          <w:b/>
        </w:rPr>
        <w:lastRenderedPageBreak/>
        <w:t>LEV policy diff-in-diff regressions for additional treatment time periods</w:t>
      </w:r>
    </w:p>
    <w:p w14:paraId="2325A087" w14:textId="77777777" w:rsidR="00DD76AE" w:rsidRPr="007C2DFF" w:rsidRDefault="00DD76AE" w:rsidP="00DD76AE">
      <w:pPr>
        <w:rPr>
          <w:rFonts w:ascii="Times New Roman" w:hAnsi="Times New Roman" w:cs="Times New Roman"/>
          <w:b/>
        </w:rPr>
      </w:pPr>
    </w:p>
    <w:p w14:paraId="25FF7630" w14:textId="7501C8BE" w:rsidR="000763A5" w:rsidRPr="007C2DFF" w:rsidRDefault="001D6B79" w:rsidP="000763A5">
      <w:pPr>
        <w:jc w:val="center"/>
        <w:rPr>
          <w:rFonts w:ascii="Times New Roman" w:hAnsi="Times New Roman" w:cs="Times New Roman"/>
          <w:b/>
        </w:rPr>
      </w:pPr>
      <w:r w:rsidRPr="007C2DFF">
        <w:rPr>
          <w:rFonts w:ascii="Times New Roman" w:hAnsi="Times New Roman" w:cs="Times New Roman"/>
          <w:b/>
          <w:noProof/>
        </w:rPr>
        <w:drawing>
          <wp:inline distT="0" distB="0" distL="0" distR="0" wp14:anchorId="0692C4B3" wp14:editId="0070733E">
            <wp:extent cx="4409621" cy="6487337"/>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13704" cy="6493344"/>
                    </a:xfrm>
                    <a:prstGeom prst="rect">
                      <a:avLst/>
                    </a:prstGeom>
                  </pic:spPr>
                </pic:pic>
              </a:graphicData>
            </a:graphic>
          </wp:inline>
        </w:drawing>
      </w:r>
    </w:p>
    <w:p w14:paraId="607F1C34" w14:textId="6ADDACE0" w:rsidR="001D6B79" w:rsidRPr="007C2DFF" w:rsidRDefault="00DD76AE" w:rsidP="00B260BF">
      <w:pPr>
        <w:jc w:val="center"/>
        <w:rPr>
          <w:rFonts w:ascii="Times New Roman" w:hAnsi="Times New Roman" w:cs="Times New Roman"/>
        </w:rPr>
      </w:pPr>
      <w:r w:rsidRPr="007C2DFF">
        <w:rPr>
          <w:rFonts w:ascii="Times New Roman" w:hAnsi="Times New Roman" w:cs="Times New Roman"/>
          <w:b/>
        </w:rPr>
        <w:t xml:space="preserve">Table A4. </w:t>
      </w:r>
      <w:r w:rsidR="001D6B79" w:rsidRPr="007C2DFF">
        <w:rPr>
          <w:rFonts w:ascii="Times New Roman" w:hAnsi="Times New Roman" w:cs="Times New Roman"/>
          <w:b/>
        </w:rPr>
        <w:t>Effect of fracking on LEV policy, 2004-08 as treatment period</w:t>
      </w:r>
      <w:r w:rsidR="001D6B79" w:rsidRPr="007C2DFF">
        <w:rPr>
          <w:rFonts w:ascii="Times New Roman" w:hAnsi="Times New Roman" w:cs="Times New Roman"/>
        </w:rPr>
        <w:t>. Estimates produced using OLS difference-in-difference regressions. DV is LEV policy adoption per state. Standard errors are clustered (by state) and robust. The treatment period is 2004-08, so the ``pre'' period is 1999-2003; the ``post'' period is 2009-13. All continuous variables are measured as averages per state, during those five-year spans. ``Treated'' and ``Time'' are binary (0/1). N = 94 because Texas is dropped for theoretical reasons and Alaska and Hawaii are dropped for data availability reasons.</w:t>
      </w:r>
    </w:p>
    <w:p w14:paraId="56F7BDE7" w14:textId="7AB5A5F3" w:rsidR="000763A5" w:rsidRPr="007C2DFF" w:rsidRDefault="000763A5" w:rsidP="000763A5">
      <w:pPr>
        <w:jc w:val="center"/>
        <w:rPr>
          <w:rFonts w:ascii="Times New Roman" w:hAnsi="Times New Roman" w:cs="Times New Roman"/>
          <w:b/>
        </w:rPr>
      </w:pPr>
    </w:p>
    <w:p w14:paraId="25AC4826" w14:textId="5F95537E" w:rsidR="000763A5" w:rsidRPr="007C2DFF" w:rsidRDefault="001D6B79" w:rsidP="000763A5">
      <w:pPr>
        <w:jc w:val="center"/>
        <w:rPr>
          <w:rFonts w:ascii="Times New Roman" w:hAnsi="Times New Roman" w:cs="Times New Roman"/>
          <w:b/>
        </w:rPr>
      </w:pPr>
      <w:r w:rsidRPr="007C2DFF">
        <w:rPr>
          <w:rFonts w:ascii="Times New Roman" w:hAnsi="Times New Roman" w:cs="Times New Roman"/>
          <w:b/>
          <w:noProof/>
        </w:rPr>
        <w:drawing>
          <wp:inline distT="0" distB="0" distL="0" distR="0" wp14:anchorId="31CEE4BD" wp14:editId="3A5F7099">
            <wp:extent cx="4364457" cy="6475228"/>
            <wp:effectExtent l="0" t="0" r="444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69133" cy="6482166"/>
                    </a:xfrm>
                    <a:prstGeom prst="rect">
                      <a:avLst/>
                    </a:prstGeom>
                  </pic:spPr>
                </pic:pic>
              </a:graphicData>
            </a:graphic>
          </wp:inline>
        </w:drawing>
      </w:r>
    </w:p>
    <w:p w14:paraId="7EB0F1AB" w14:textId="2B63795B" w:rsidR="001D6B79" w:rsidRPr="007C2DFF" w:rsidRDefault="00DD76AE" w:rsidP="00B260BF">
      <w:pPr>
        <w:jc w:val="center"/>
        <w:rPr>
          <w:rFonts w:ascii="Times New Roman" w:hAnsi="Times New Roman" w:cs="Times New Roman"/>
        </w:rPr>
      </w:pPr>
      <w:r w:rsidRPr="007C2DFF">
        <w:rPr>
          <w:rFonts w:ascii="Times New Roman" w:hAnsi="Times New Roman" w:cs="Times New Roman"/>
          <w:b/>
        </w:rPr>
        <w:t xml:space="preserve">Table A5. </w:t>
      </w:r>
      <w:r w:rsidR="001D6B79" w:rsidRPr="007C2DFF">
        <w:rPr>
          <w:rFonts w:ascii="Times New Roman" w:hAnsi="Times New Roman" w:cs="Times New Roman"/>
          <w:b/>
        </w:rPr>
        <w:t>Effect of fracking on LEV policy, 2004-10 as treatment period.</w:t>
      </w:r>
      <w:r w:rsidR="001D6B79" w:rsidRPr="007C2DFF">
        <w:rPr>
          <w:rFonts w:ascii="Times New Roman" w:hAnsi="Times New Roman" w:cs="Times New Roman"/>
        </w:rPr>
        <w:t xml:space="preserve"> Estimates produced using OLS difference-in-difference regressions. DV is LEV policy adoption per state. Standard errors are clustered (by state) and robust. The treatment period is 2004-10, so the ``pre'' period is 1999-2003; the ``post'' period is 2011-15. All continuous variables are measured as averages per state, during those five-year spans. ``Treated'' and ``Time'' are binary (0/1). N = 94 because Texas is dropped for theoretical reasons and Alaska and Hawaii are dropped for data availability reasons.</w:t>
      </w:r>
    </w:p>
    <w:p w14:paraId="3CD779DD" w14:textId="6F8763C0" w:rsidR="000763A5" w:rsidRPr="007C2DFF" w:rsidRDefault="000763A5" w:rsidP="000763A5">
      <w:pPr>
        <w:jc w:val="center"/>
        <w:rPr>
          <w:rFonts w:ascii="Times New Roman" w:hAnsi="Times New Roman" w:cs="Times New Roman"/>
          <w:b/>
        </w:rPr>
      </w:pPr>
    </w:p>
    <w:p w14:paraId="37551447" w14:textId="77777777" w:rsidR="00E46CCA" w:rsidRDefault="00E46CCA" w:rsidP="00DD76AE">
      <w:pPr>
        <w:rPr>
          <w:rFonts w:ascii="Times New Roman" w:hAnsi="Times New Roman" w:cs="Times New Roman"/>
          <w:b/>
        </w:rPr>
      </w:pPr>
    </w:p>
    <w:p w14:paraId="380AAEF1" w14:textId="02ACB980" w:rsidR="00DD76AE" w:rsidRPr="007C2DFF" w:rsidRDefault="00DD76AE" w:rsidP="00DD76AE">
      <w:pPr>
        <w:rPr>
          <w:rFonts w:ascii="Times New Roman" w:hAnsi="Times New Roman" w:cs="Times New Roman"/>
          <w:b/>
        </w:rPr>
      </w:pPr>
      <w:r w:rsidRPr="007C2DFF">
        <w:rPr>
          <w:rFonts w:ascii="Times New Roman" w:hAnsi="Times New Roman" w:cs="Times New Roman"/>
          <w:b/>
        </w:rPr>
        <w:lastRenderedPageBreak/>
        <w:t>Mandated renewable electricity policy diff-in-diff regressions for additional time periods</w:t>
      </w:r>
    </w:p>
    <w:p w14:paraId="76879A10" w14:textId="77777777" w:rsidR="00DD76AE" w:rsidRPr="007C2DFF" w:rsidRDefault="00DD76AE" w:rsidP="000763A5">
      <w:pPr>
        <w:jc w:val="center"/>
        <w:rPr>
          <w:rFonts w:ascii="Times New Roman" w:hAnsi="Times New Roman" w:cs="Times New Roman"/>
          <w:b/>
        </w:rPr>
      </w:pPr>
    </w:p>
    <w:p w14:paraId="7A85FB38" w14:textId="0411CC86" w:rsidR="000763A5" w:rsidRPr="007C2DFF" w:rsidRDefault="00527EC1" w:rsidP="000763A5">
      <w:pPr>
        <w:jc w:val="center"/>
        <w:rPr>
          <w:rFonts w:ascii="Times New Roman" w:hAnsi="Times New Roman" w:cs="Times New Roman"/>
          <w:b/>
        </w:rPr>
      </w:pPr>
      <w:r w:rsidRPr="00527EC1">
        <w:rPr>
          <w:rFonts w:ascii="Times New Roman" w:hAnsi="Times New Roman" w:cs="Times New Roman"/>
          <w:b/>
          <w:noProof/>
        </w:rPr>
        <w:drawing>
          <wp:inline distT="0" distB="0" distL="0" distR="0" wp14:anchorId="39DFEEA5" wp14:editId="7C65CC9E">
            <wp:extent cx="4372467" cy="653902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92444" cy="6568900"/>
                    </a:xfrm>
                    <a:prstGeom prst="rect">
                      <a:avLst/>
                    </a:prstGeom>
                  </pic:spPr>
                </pic:pic>
              </a:graphicData>
            </a:graphic>
          </wp:inline>
        </w:drawing>
      </w:r>
    </w:p>
    <w:p w14:paraId="4A09FC93" w14:textId="77777777" w:rsidR="00A060FD" w:rsidRDefault="00DD76AE" w:rsidP="00A060FD">
      <w:pPr>
        <w:jc w:val="center"/>
        <w:rPr>
          <w:rFonts w:ascii="Times New Roman" w:hAnsi="Times New Roman" w:cs="Times New Roman"/>
        </w:rPr>
      </w:pPr>
      <w:r w:rsidRPr="007C2DFF">
        <w:rPr>
          <w:rFonts w:ascii="Times New Roman" w:hAnsi="Times New Roman" w:cs="Times New Roman"/>
          <w:b/>
        </w:rPr>
        <w:t xml:space="preserve">Table A6. </w:t>
      </w:r>
      <w:r w:rsidR="001D6B79" w:rsidRPr="007C2DFF">
        <w:rPr>
          <w:rFonts w:ascii="Times New Roman" w:hAnsi="Times New Roman" w:cs="Times New Roman"/>
          <w:b/>
        </w:rPr>
        <w:t>Effect of fracking on renewable electricity policy, 2004-08 as treatment period.</w:t>
      </w:r>
      <w:r w:rsidR="001D6B79" w:rsidRPr="007C2DFF">
        <w:rPr>
          <w:rFonts w:ascii="Times New Roman" w:hAnsi="Times New Roman" w:cs="Times New Roman"/>
        </w:rPr>
        <w:t xml:space="preserve"> Estimates produced using OLS difference-in-difference regressions. DV is mandated renewable proportion per state. Standard errors are clustered (by state) and robust. The treatment period is 2004-08, so the ``pre'' period is 1999-2003; the ``post'' period is 2009-13. All continuous variables are measured as averages per state, during those five-year spans. ``Treated'' and ``Time'' are binary (0/1). N = 94 because Texas is dropped for theoretical reasons and Alaska and Hawaii are dropped for data availability reasons.</w:t>
      </w:r>
    </w:p>
    <w:p w14:paraId="282D5F28" w14:textId="77777777" w:rsidR="00A060FD" w:rsidRDefault="00A060FD" w:rsidP="00A060FD">
      <w:pPr>
        <w:jc w:val="center"/>
        <w:rPr>
          <w:rFonts w:ascii="Times New Roman" w:hAnsi="Times New Roman" w:cs="Times New Roman"/>
          <w:b/>
        </w:rPr>
      </w:pPr>
    </w:p>
    <w:p w14:paraId="31C81416" w14:textId="7C2B6778" w:rsidR="000763A5" w:rsidRPr="00A060FD" w:rsidRDefault="000763A5" w:rsidP="00A060FD">
      <w:pPr>
        <w:jc w:val="center"/>
        <w:rPr>
          <w:rFonts w:ascii="Times New Roman" w:hAnsi="Times New Roman" w:cs="Times New Roman"/>
        </w:rPr>
      </w:pPr>
      <w:bookmarkStart w:id="0" w:name="_GoBack"/>
      <w:bookmarkEnd w:id="0"/>
      <w:r w:rsidRPr="007C2DFF">
        <w:rPr>
          <w:rFonts w:ascii="Times New Roman" w:hAnsi="Times New Roman" w:cs="Times New Roman"/>
          <w:b/>
        </w:rPr>
        <w:t xml:space="preserve">Placebo test </w:t>
      </w:r>
      <w:r w:rsidR="001D6B79" w:rsidRPr="007C2DFF">
        <w:rPr>
          <w:rFonts w:ascii="Times New Roman" w:hAnsi="Times New Roman" w:cs="Times New Roman"/>
          <w:b/>
        </w:rPr>
        <w:t xml:space="preserve">coefficient plots and </w:t>
      </w:r>
      <w:r w:rsidRPr="007C2DFF">
        <w:rPr>
          <w:rFonts w:ascii="Times New Roman" w:hAnsi="Times New Roman" w:cs="Times New Roman"/>
          <w:b/>
        </w:rPr>
        <w:t>regression</w:t>
      </w:r>
      <w:r w:rsidR="001D6B79" w:rsidRPr="007C2DFF">
        <w:rPr>
          <w:rFonts w:ascii="Times New Roman" w:hAnsi="Times New Roman" w:cs="Times New Roman"/>
          <w:b/>
        </w:rPr>
        <w:t xml:space="preserve"> results</w:t>
      </w:r>
    </w:p>
    <w:p w14:paraId="77804ABC" w14:textId="0FC01625" w:rsidR="00600DD2" w:rsidRPr="007C2DFF" w:rsidRDefault="00600DD2" w:rsidP="000763A5">
      <w:pPr>
        <w:rPr>
          <w:rFonts w:ascii="Times New Roman" w:hAnsi="Times New Roman" w:cs="Times New Roman"/>
          <w:b/>
        </w:rPr>
      </w:pPr>
    </w:p>
    <w:p w14:paraId="571E490E" w14:textId="61CD99E1" w:rsidR="00600DD2" w:rsidRPr="007C2DFF" w:rsidRDefault="00600DD2" w:rsidP="00600DD2">
      <w:pPr>
        <w:ind w:firstLine="720"/>
        <w:rPr>
          <w:rFonts w:ascii="Times New Roman" w:hAnsi="Times New Roman" w:cs="Times New Roman"/>
        </w:rPr>
      </w:pPr>
      <w:r w:rsidRPr="007C2DFF">
        <w:rPr>
          <w:rFonts w:ascii="Times New Roman" w:hAnsi="Times New Roman" w:cs="Times New Roman"/>
        </w:rPr>
        <w:t xml:space="preserve">When employing the difference-in-difference research design, it is necessary to run similar regressions while using a placebo treatment timing, to check whether treatment may have started before the research design assumes. In this case, the following regression table and coefficient plot shows that there were not significant correlations when we use 2002 as a potential treatment period (really ``2001.5'': </w:t>
      </w:r>
      <w:proofErr w:type="gramStart"/>
      <w:r w:rsidRPr="007C2DFF">
        <w:rPr>
          <w:rFonts w:ascii="Times New Roman" w:hAnsi="Times New Roman" w:cs="Times New Roman"/>
        </w:rPr>
        <w:t>pre period</w:t>
      </w:r>
      <w:proofErr w:type="gramEnd"/>
      <w:r w:rsidRPr="007C2DFF">
        <w:rPr>
          <w:rFonts w:ascii="Times New Roman" w:hAnsi="Times New Roman" w:cs="Times New Roman"/>
        </w:rPr>
        <w:t xml:space="preserve"> is 2000-01, post period is 2002-03). </w:t>
      </w:r>
      <w:r w:rsidR="004F21CA">
        <w:rPr>
          <w:rFonts w:ascii="Times New Roman" w:hAnsi="Times New Roman" w:cs="Times New Roman"/>
        </w:rPr>
        <w:t>A c</w:t>
      </w:r>
      <w:r w:rsidRPr="007C2DFF">
        <w:rPr>
          <w:rFonts w:ascii="Times New Roman" w:hAnsi="Times New Roman" w:cs="Times New Roman"/>
        </w:rPr>
        <w:t xml:space="preserve">oefficient placebo plot </w:t>
      </w:r>
      <w:r w:rsidR="004F21CA">
        <w:rPr>
          <w:rFonts w:ascii="Times New Roman" w:hAnsi="Times New Roman" w:cs="Times New Roman"/>
        </w:rPr>
        <w:t>is</w:t>
      </w:r>
      <w:r w:rsidRPr="007C2DFF">
        <w:rPr>
          <w:rFonts w:ascii="Times New Roman" w:hAnsi="Times New Roman" w:cs="Times New Roman"/>
        </w:rPr>
        <w:t xml:space="preserve"> shown below for </w:t>
      </w:r>
      <w:r w:rsidR="004F21CA">
        <w:rPr>
          <w:rFonts w:ascii="Times New Roman" w:hAnsi="Times New Roman" w:cs="Times New Roman"/>
        </w:rPr>
        <w:t>the renewable policy outcome</w:t>
      </w:r>
      <w:r w:rsidRPr="007C2DFF">
        <w:rPr>
          <w:rFonts w:ascii="Times New Roman" w:hAnsi="Times New Roman" w:cs="Times New Roman"/>
        </w:rPr>
        <w:t xml:space="preserve"> (regression tables </w:t>
      </w:r>
      <w:r w:rsidR="004F21CA">
        <w:rPr>
          <w:rFonts w:ascii="Times New Roman" w:hAnsi="Times New Roman" w:cs="Times New Roman"/>
        </w:rPr>
        <w:t>follow</w:t>
      </w:r>
      <w:r w:rsidRPr="007C2DFF">
        <w:rPr>
          <w:rFonts w:ascii="Times New Roman" w:hAnsi="Times New Roman" w:cs="Times New Roman"/>
        </w:rPr>
        <w:t xml:space="preserve">). These placebo tests show null results (if we pretend that fracking treatment began before 2004). </w:t>
      </w:r>
    </w:p>
    <w:p w14:paraId="64E93A49" w14:textId="279538DD" w:rsidR="00014080" w:rsidRPr="007C2DFF" w:rsidRDefault="008B5C28" w:rsidP="004F21CA">
      <w:pPr>
        <w:rPr>
          <w:rFonts w:ascii="Times New Roman" w:hAnsi="Times New Roman" w:cs="Times New Roman"/>
          <w:b/>
        </w:rPr>
      </w:pPr>
      <w:r w:rsidRPr="007C2DFF">
        <w:rPr>
          <w:rFonts w:ascii="Times New Roman" w:hAnsi="Times New Roman" w:cs="Times New Roman"/>
        </w:rPr>
        <w:tab/>
      </w:r>
      <w:r w:rsidR="004F21CA">
        <w:rPr>
          <w:rFonts w:ascii="Times New Roman" w:hAnsi="Times New Roman" w:cs="Times New Roman"/>
        </w:rPr>
        <w:t xml:space="preserve">I do not display a coefficient plot to test the placebo timing effects for the case of LEV policy, as the common trends charts show that outcome variable values for the years 1998-2003 are all constant. Therefore, any placebo test that uses a year in that time window as the treatment timing (e.g., 2001.5, as described above) will produce placebo treatment estimates of 0, with standard errors of 0. </w:t>
      </w:r>
    </w:p>
    <w:p w14:paraId="41318447" w14:textId="5BAFE9CF" w:rsidR="00600DD2" w:rsidRPr="007C2DFF" w:rsidRDefault="00600DD2" w:rsidP="000763A5">
      <w:pPr>
        <w:rPr>
          <w:rFonts w:ascii="Times New Roman" w:hAnsi="Times New Roman" w:cs="Times New Roman"/>
        </w:rPr>
      </w:pPr>
    </w:p>
    <w:p w14:paraId="06A992BA" w14:textId="3757DBF3" w:rsidR="00600DD2" w:rsidRPr="007C2DFF" w:rsidRDefault="00600DD2" w:rsidP="000763A5">
      <w:pPr>
        <w:rPr>
          <w:rFonts w:ascii="Times New Roman" w:hAnsi="Times New Roman" w:cs="Times New Roman"/>
        </w:rPr>
      </w:pPr>
      <w:r w:rsidRPr="007C2DFF">
        <w:rPr>
          <w:rFonts w:ascii="Times New Roman" w:hAnsi="Times New Roman" w:cs="Times New Roman"/>
          <w:noProof/>
        </w:rPr>
        <w:drawing>
          <wp:inline distT="0" distB="0" distL="0" distR="0" wp14:anchorId="5ABE2B7F" wp14:editId="5827791B">
            <wp:extent cx="4922874" cy="3896223"/>
            <wp:effectExtent l="0" t="0" r="508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39664" cy="3909512"/>
                    </a:xfrm>
                    <a:prstGeom prst="rect">
                      <a:avLst/>
                    </a:prstGeom>
                  </pic:spPr>
                </pic:pic>
              </a:graphicData>
            </a:graphic>
          </wp:inline>
        </w:drawing>
      </w:r>
    </w:p>
    <w:p w14:paraId="409DBC6A" w14:textId="14F6A5EA" w:rsidR="00C627C7" w:rsidRPr="007C2DFF" w:rsidRDefault="00C627C7" w:rsidP="00B260BF">
      <w:pPr>
        <w:jc w:val="center"/>
        <w:rPr>
          <w:rFonts w:ascii="Times New Roman" w:hAnsi="Times New Roman" w:cs="Times New Roman"/>
          <w:b/>
        </w:rPr>
      </w:pPr>
      <w:r w:rsidRPr="007C2DFF">
        <w:rPr>
          <w:rFonts w:ascii="Times New Roman" w:hAnsi="Times New Roman" w:cs="Times New Roman"/>
          <w:b/>
        </w:rPr>
        <w:t>Figure A</w:t>
      </w:r>
      <w:r w:rsidR="004F21CA">
        <w:rPr>
          <w:rFonts w:ascii="Times New Roman" w:hAnsi="Times New Roman" w:cs="Times New Roman"/>
          <w:b/>
        </w:rPr>
        <w:t>4</w:t>
      </w:r>
      <w:r w:rsidRPr="007C2DFF">
        <w:rPr>
          <w:rFonts w:ascii="Times New Roman" w:hAnsi="Times New Roman" w:cs="Times New Roman"/>
          <w:b/>
        </w:rPr>
        <w:t>.</w:t>
      </w:r>
    </w:p>
    <w:p w14:paraId="01698020" w14:textId="4764F788" w:rsidR="000763A5" w:rsidRPr="007C2DFF" w:rsidRDefault="000763A5" w:rsidP="000763A5">
      <w:pPr>
        <w:rPr>
          <w:rFonts w:ascii="Times New Roman" w:hAnsi="Times New Roman" w:cs="Times New Roman"/>
        </w:rPr>
      </w:pPr>
    </w:p>
    <w:p w14:paraId="0779072F" w14:textId="73FE7567" w:rsidR="000763A5" w:rsidRPr="007C2DFF" w:rsidRDefault="001D6B79" w:rsidP="001D6B79">
      <w:pPr>
        <w:jc w:val="center"/>
        <w:rPr>
          <w:rFonts w:ascii="Times New Roman" w:hAnsi="Times New Roman" w:cs="Times New Roman"/>
        </w:rPr>
      </w:pPr>
      <w:r w:rsidRPr="007C2DFF">
        <w:rPr>
          <w:rFonts w:ascii="Times New Roman" w:hAnsi="Times New Roman" w:cs="Times New Roman"/>
          <w:noProof/>
        </w:rPr>
        <w:lastRenderedPageBreak/>
        <w:drawing>
          <wp:inline distT="0" distB="0" distL="0" distR="0" wp14:anchorId="2B44396A" wp14:editId="6B88A3BD">
            <wp:extent cx="3538449" cy="5932672"/>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41889" cy="5938439"/>
                    </a:xfrm>
                    <a:prstGeom prst="rect">
                      <a:avLst/>
                    </a:prstGeom>
                  </pic:spPr>
                </pic:pic>
              </a:graphicData>
            </a:graphic>
          </wp:inline>
        </w:drawing>
      </w:r>
    </w:p>
    <w:p w14:paraId="03EAF86B" w14:textId="53AA50AA" w:rsidR="001D6B79" w:rsidRPr="007C2DFF" w:rsidRDefault="00C627C7" w:rsidP="00B260BF">
      <w:pPr>
        <w:jc w:val="center"/>
        <w:rPr>
          <w:rFonts w:ascii="Times New Roman" w:hAnsi="Times New Roman" w:cs="Times New Roman"/>
        </w:rPr>
      </w:pPr>
      <w:r w:rsidRPr="007C2DFF">
        <w:rPr>
          <w:rFonts w:ascii="Times New Roman" w:hAnsi="Times New Roman" w:cs="Times New Roman"/>
          <w:b/>
        </w:rPr>
        <w:t>Table A7.</w:t>
      </w:r>
      <w:r w:rsidRPr="007C2DFF">
        <w:rPr>
          <w:rFonts w:ascii="Times New Roman" w:hAnsi="Times New Roman" w:cs="Times New Roman"/>
        </w:rPr>
        <w:t xml:space="preserve"> </w:t>
      </w:r>
      <w:r w:rsidR="001D6B79" w:rsidRPr="007C2DFF">
        <w:rPr>
          <w:rFonts w:ascii="Times New Roman" w:hAnsi="Times New Roman" w:cs="Times New Roman"/>
        </w:rPr>
        <w:t xml:space="preserve">LEV </w:t>
      </w:r>
      <w:r w:rsidR="007A6527">
        <w:rPr>
          <w:rFonts w:ascii="Times New Roman" w:hAnsi="Times New Roman" w:cs="Times New Roman"/>
        </w:rPr>
        <w:t>placebo</w:t>
      </w:r>
      <w:r w:rsidR="001D6B79" w:rsidRPr="007C2DFF">
        <w:rPr>
          <w:rFonts w:ascii="Times New Roman" w:hAnsi="Times New Roman" w:cs="Times New Roman"/>
        </w:rPr>
        <w:t xml:space="preserve"> regressions: </w:t>
      </w:r>
      <w:proofErr w:type="gramStart"/>
      <w:r w:rsidR="001D6B79" w:rsidRPr="007C2DFF">
        <w:rPr>
          <w:rFonts w:ascii="Times New Roman" w:hAnsi="Times New Roman" w:cs="Times New Roman"/>
        </w:rPr>
        <w:t>pre as</w:t>
      </w:r>
      <w:proofErr w:type="gramEnd"/>
      <w:r w:rsidR="001D6B79" w:rsidRPr="007C2DFF">
        <w:rPr>
          <w:rFonts w:ascii="Times New Roman" w:hAnsi="Times New Roman" w:cs="Times New Roman"/>
        </w:rPr>
        <w:t xml:space="preserve"> 2000-01, post as 2002-03.</w:t>
      </w:r>
    </w:p>
    <w:p w14:paraId="6735B97A" w14:textId="75DC71C7" w:rsidR="000763A5" w:rsidRPr="007C2DFF" w:rsidRDefault="000763A5" w:rsidP="000763A5">
      <w:pPr>
        <w:rPr>
          <w:rFonts w:ascii="Times New Roman" w:hAnsi="Times New Roman" w:cs="Times New Roman"/>
        </w:rPr>
      </w:pPr>
    </w:p>
    <w:p w14:paraId="2505CA4B" w14:textId="12B1D538" w:rsidR="000763A5" w:rsidRPr="007C2DFF" w:rsidRDefault="001D6B79" w:rsidP="001D6B79">
      <w:pPr>
        <w:jc w:val="center"/>
        <w:rPr>
          <w:rFonts w:ascii="Times New Roman" w:hAnsi="Times New Roman" w:cs="Times New Roman"/>
        </w:rPr>
      </w:pPr>
      <w:r w:rsidRPr="007C2DFF">
        <w:rPr>
          <w:rFonts w:ascii="Times New Roman" w:hAnsi="Times New Roman" w:cs="Times New Roman"/>
          <w:noProof/>
        </w:rPr>
        <w:lastRenderedPageBreak/>
        <w:drawing>
          <wp:inline distT="0" distB="0" distL="0" distR="0" wp14:anchorId="7EF596B1" wp14:editId="78D807D8">
            <wp:extent cx="3679964" cy="5810988"/>
            <wp:effectExtent l="0" t="0" r="317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82970" cy="5815735"/>
                    </a:xfrm>
                    <a:prstGeom prst="rect">
                      <a:avLst/>
                    </a:prstGeom>
                  </pic:spPr>
                </pic:pic>
              </a:graphicData>
            </a:graphic>
          </wp:inline>
        </w:drawing>
      </w:r>
    </w:p>
    <w:p w14:paraId="4B4D809D" w14:textId="2C260AFC" w:rsidR="001D6B79" w:rsidRPr="007C2DFF" w:rsidRDefault="00C627C7" w:rsidP="00B260BF">
      <w:pPr>
        <w:jc w:val="center"/>
        <w:rPr>
          <w:rFonts w:ascii="Times New Roman" w:hAnsi="Times New Roman" w:cs="Times New Roman"/>
        </w:rPr>
      </w:pPr>
      <w:r w:rsidRPr="007C2DFF">
        <w:rPr>
          <w:rFonts w:ascii="Times New Roman" w:hAnsi="Times New Roman" w:cs="Times New Roman"/>
          <w:b/>
        </w:rPr>
        <w:t>Table A8.</w:t>
      </w:r>
      <w:r w:rsidRPr="007C2DFF">
        <w:rPr>
          <w:rFonts w:ascii="Times New Roman" w:hAnsi="Times New Roman" w:cs="Times New Roman"/>
        </w:rPr>
        <w:t xml:space="preserve"> </w:t>
      </w:r>
      <w:r w:rsidR="001D6B79" w:rsidRPr="007C2DFF">
        <w:rPr>
          <w:rFonts w:ascii="Times New Roman" w:hAnsi="Times New Roman" w:cs="Times New Roman"/>
        </w:rPr>
        <w:t xml:space="preserve">Renewables </w:t>
      </w:r>
      <w:r w:rsidR="007A6527">
        <w:rPr>
          <w:rFonts w:ascii="Times New Roman" w:hAnsi="Times New Roman" w:cs="Times New Roman"/>
        </w:rPr>
        <w:t>placebo</w:t>
      </w:r>
      <w:r w:rsidR="001D6B79" w:rsidRPr="007C2DFF">
        <w:rPr>
          <w:rFonts w:ascii="Times New Roman" w:hAnsi="Times New Roman" w:cs="Times New Roman"/>
        </w:rPr>
        <w:t xml:space="preserve"> regressions: </w:t>
      </w:r>
      <w:proofErr w:type="gramStart"/>
      <w:r w:rsidR="001D6B79" w:rsidRPr="007C2DFF">
        <w:rPr>
          <w:rFonts w:ascii="Times New Roman" w:hAnsi="Times New Roman" w:cs="Times New Roman"/>
        </w:rPr>
        <w:t>pre as</w:t>
      </w:r>
      <w:proofErr w:type="gramEnd"/>
      <w:r w:rsidR="001D6B79" w:rsidRPr="007C2DFF">
        <w:rPr>
          <w:rFonts w:ascii="Times New Roman" w:hAnsi="Times New Roman" w:cs="Times New Roman"/>
        </w:rPr>
        <w:t xml:space="preserve"> 2000-01, post as 2002-03.</w:t>
      </w:r>
    </w:p>
    <w:p w14:paraId="69A04B52" w14:textId="457684B8" w:rsidR="00EE4DC7" w:rsidRPr="007C2DFF" w:rsidRDefault="00EE4DC7" w:rsidP="001D6B79">
      <w:pPr>
        <w:rPr>
          <w:rFonts w:ascii="Times New Roman" w:hAnsi="Times New Roman" w:cs="Times New Roman"/>
        </w:rPr>
      </w:pPr>
    </w:p>
    <w:p w14:paraId="6ECE7150" w14:textId="00DE0E8A" w:rsidR="00EE4DC7" w:rsidRPr="007C2DFF" w:rsidRDefault="00EE4DC7" w:rsidP="001D6B79">
      <w:pPr>
        <w:rPr>
          <w:rFonts w:ascii="Times New Roman" w:hAnsi="Times New Roman" w:cs="Times New Roman"/>
        </w:rPr>
      </w:pPr>
    </w:p>
    <w:p w14:paraId="61E07D00" w14:textId="7C286408" w:rsidR="00EE4DC7" w:rsidRPr="007C2DFF" w:rsidRDefault="00EE4DC7" w:rsidP="001D6B79">
      <w:pPr>
        <w:rPr>
          <w:rFonts w:ascii="Times New Roman" w:hAnsi="Times New Roman" w:cs="Times New Roman"/>
        </w:rPr>
      </w:pPr>
    </w:p>
    <w:p w14:paraId="349275F3" w14:textId="71C3CC9B" w:rsidR="00EE4DC7" w:rsidRPr="007C2DFF" w:rsidRDefault="00EE4DC7" w:rsidP="001D6B79">
      <w:pPr>
        <w:rPr>
          <w:rFonts w:ascii="Times New Roman" w:hAnsi="Times New Roman" w:cs="Times New Roman"/>
        </w:rPr>
      </w:pPr>
    </w:p>
    <w:p w14:paraId="7F8D54A2" w14:textId="6BF4D4A4" w:rsidR="00EE4DC7" w:rsidRPr="007C2DFF" w:rsidRDefault="00EE4DC7" w:rsidP="001D6B79">
      <w:pPr>
        <w:rPr>
          <w:rFonts w:ascii="Times New Roman" w:hAnsi="Times New Roman" w:cs="Times New Roman"/>
        </w:rPr>
      </w:pPr>
    </w:p>
    <w:p w14:paraId="2A8E9948" w14:textId="3B9B22D1" w:rsidR="00EE4DC7" w:rsidRPr="007C2DFF" w:rsidRDefault="00EE4DC7" w:rsidP="001D6B79">
      <w:pPr>
        <w:rPr>
          <w:rFonts w:ascii="Times New Roman" w:hAnsi="Times New Roman" w:cs="Times New Roman"/>
        </w:rPr>
      </w:pPr>
    </w:p>
    <w:p w14:paraId="49938697" w14:textId="3B9F2074" w:rsidR="00EE4DC7" w:rsidRPr="007C2DFF" w:rsidRDefault="00EE4DC7" w:rsidP="001D6B79">
      <w:pPr>
        <w:rPr>
          <w:rFonts w:ascii="Times New Roman" w:hAnsi="Times New Roman" w:cs="Times New Roman"/>
        </w:rPr>
      </w:pPr>
    </w:p>
    <w:p w14:paraId="62ACD48F" w14:textId="1B636AA9" w:rsidR="00EE4DC7" w:rsidRPr="007C2DFF" w:rsidRDefault="00EE4DC7" w:rsidP="001D6B79">
      <w:pPr>
        <w:rPr>
          <w:rFonts w:ascii="Times New Roman" w:hAnsi="Times New Roman" w:cs="Times New Roman"/>
        </w:rPr>
      </w:pPr>
    </w:p>
    <w:p w14:paraId="4FFFA0C6" w14:textId="1CC79B6E" w:rsidR="00EE4DC7" w:rsidRPr="007C2DFF" w:rsidRDefault="00EE4DC7" w:rsidP="001D6B79">
      <w:pPr>
        <w:rPr>
          <w:rFonts w:ascii="Times New Roman" w:hAnsi="Times New Roman" w:cs="Times New Roman"/>
        </w:rPr>
      </w:pPr>
    </w:p>
    <w:p w14:paraId="30A29A16" w14:textId="68FE10A3" w:rsidR="00EE4DC7" w:rsidRPr="007C2DFF" w:rsidRDefault="00EE4DC7" w:rsidP="001D6B79">
      <w:pPr>
        <w:rPr>
          <w:rFonts w:ascii="Times New Roman" w:hAnsi="Times New Roman" w:cs="Times New Roman"/>
        </w:rPr>
      </w:pPr>
    </w:p>
    <w:p w14:paraId="75D12477" w14:textId="7370CE9B" w:rsidR="00EE4DC7" w:rsidRPr="007C2DFF" w:rsidRDefault="00EE4DC7" w:rsidP="001D6B79">
      <w:pPr>
        <w:rPr>
          <w:rFonts w:ascii="Times New Roman" w:hAnsi="Times New Roman" w:cs="Times New Roman"/>
        </w:rPr>
      </w:pPr>
    </w:p>
    <w:p w14:paraId="1E395C1B" w14:textId="77777777" w:rsidR="00E46CCA" w:rsidRDefault="00E46CCA" w:rsidP="001D6B79">
      <w:pPr>
        <w:rPr>
          <w:rFonts w:ascii="Times New Roman" w:hAnsi="Times New Roman" w:cs="Times New Roman"/>
          <w:b/>
        </w:rPr>
      </w:pPr>
    </w:p>
    <w:p w14:paraId="49B3075F" w14:textId="55F7CB26" w:rsidR="00EE4DC7" w:rsidRPr="007C2DFF" w:rsidRDefault="00EE4DC7" w:rsidP="001D6B79">
      <w:pPr>
        <w:rPr>
          <w:rFonts w:ascii="Times New Roman" w:hAnsi="Times New Roman" w:cs="Times New Roman"/>
          <w:b/>
        </w:rPr>
      </w:pPr>
      <w:r w:rsidRPr="007C2DFF">
        <w:rPr>
          <w:rFonts w:ascii="Times New Roman" w:hAnsi="Times New Roman" w:cs="Times New Roman"/>
          <w:b/>
        </w:rPr>
        <w:lastRenderedPageBreak/>
        <w:t>Two-way fixed effects</w:t>
      </w:r>
      <w:r w:rsidR="00C709CE" w:rsidRPr="007C2DFF">
        <w:rPr>
          <w:rFonts w:ascii="Times New Roman" w:hAnsi="Times New Roman" w:cs="Times New Roman"/>
          <w:b/>
        </w:rPr>
        <w:t xml:space="preserve"> (i.e., state-time)</w:t>
      </w:r>
      <w:r w:rsidRPr="007C2DFF">
        <w:rPr>
          <w:rFonts w:ascii="Times New Roman" w:hAnsi="Times New Roman" w:cs="Times New Roman"/>
          <w:b/>
        </w:rPr>
        <w:t xml:space="preserve"> regressions</w:t>
      </w:r>
    </w:p>
    <w:p w14:paraId="19D54CB1" w14:textId="1AFADAB6" w:rsidR="00EE4DC7" w:rsidRPr="007C2DFF" w:rsidRDefault="00EE4DC7" w:rsidP="001D6B79">
      <w:pPr>
        <w:rPr>
          <w:rFonts w:ascii="Times New Roman" w:hAnsi="Times New Roman" w:cs="Times New Roman"/>
        </w:rPr>
      </w:pPr>
    </w:p>
    <w:p w14:paraId="24A54A3E" w14:textId="614C8570" w:rsidR="00C709CE" w:rsidRPr="007C2DFF" w:rsidRDefault="003A4EFD" w:rsidP="001D6B79">
      <w:pPr>
        <w:rPr>
          <w:rFonts w:ascii="Times New Roman" w:hAnsi="Times New Roman" w:cs="Times New Roman"/>
        </w:rPr>
      </w:pPr>
      <w:r w:rsidRPr="007C2DFF">
        <w:rPr>
          <w:rFonts w:ascii="Times New Roman" w:hAnsi="Times New Roman" w:cs="Times New Roman"/>
          <w:b/>
        </w:rPr>
        <w:t>Table A9</w:t>
      </w:r>
      <w:r w:rsidRPr="007C2DFF">
        <w:rPr>
          <w:rFonts w:ascii="Times New Roman" w:hAnsi="Times New Roman" w:cs="Times New Roman"/>
        </w:rPr>
        <w:t xml:space="preserve"> displays a similar model to the main results in the text (from </w:t>
      </w:r>
      <w:r w:rsidRPr="007C2DFF">
        <w:rPr>
          <w:rFonts w:ascii="Times New Roman" w:hAnsi="Times New Roman" w:cs="Times New Roman"/>
          <w:b/>
        </w:rPr>
        <w:t>Tables 2-4</w:t>
      </w:r>
      <w:r w:rsidRPr="007C2DFF">
        <w:rPr>
          <w:rFonts w:ascii="Times New Roman" w:hAnsi="Times New Roman" w:cs="Times New Roman"/>
        </w:rPr>
        <w:t xml:space="preserve">) using a two-way fixed effects model. There are still just two periods in these models. The “pre” period is 1999-2003 for each column in </w:t>
      </w:r>
      <w:r w:rsidRPr="007C2DFF">
        <w:rPr>
          <w:rFonts w:ascii="Times New Roman" w:hAnsi="Times New Roman" w:cs="Times New Roman"/>
          <w:b/>
        </w:rPr>
        <w:t>Table A9</w:t>
      </w:r>
      <w:r w:rsidRPr="007C2DFF">
        <w:rPr>
          <w:rFonts w:ascii="Times New Roman" w:hAnsi="Times New Roman" w:cs="Times New Roman"/>
        </w:rPr>
        <w:t>, but the “post” period varies</w:t>
      </w:r>
      <w:r w:rsidR="002E19AA" w:rsidRPr="007C2DFF">
        <w:rPr>
          <w:rFonts w:ascii="Times New Roman" w:hAnsi="Times New Roman" w:cs="Times New Roman"/>
        </w:rPr>
        <w:t xml:space="preserve"> (by column)</w:t>
      </w:r>
      <w:r w:rsidRPr="007C2DFF">
        <w:rPr>
          <w:rFonts w:ascii="Times New Roman" w:hAnsi="Times New Roman" w:cs="Times New Roman"/>
        </w:rPr>
        <w:t xml:space="preserve">, as in the main results in </w:t>
      </w:r>
      <w:r w:rsidRPr="007C2DFF">
        <w:rPr>
          <w:rFonts w:ascii="Times New Roman" w:hAnsi="Times New Roman" w:cs="Times New Roman"/>
          <w:b/>
        </w:rPr>
        <w:t>Tables 2-4</w:t>
      </w:r>
      <w:r w:rsidRPr="007C2DFF">
        <w:rPr>
          <w:rFonts w:ascii="Times New Roman" w:hAnsi="Times New Roman" w:cs="Times New Roman"/>
        </w:rPr>
        <w:t>. The treatment and outcome values here are the averages of the variable over those five-year spans (for both pre and post periods).</w:t>
      </w:r>
      <w:r w:rsidR="00BE46E9" w:rsidRPr="007C2DFF">
        <w:rPr>
          <w:rFonts w:ascii="Times New Roman" w:hAnsi="Times New Roman" w:cs="Times New Roman"/>
        </w:rPr>
        <w:t xml:space="preserve"> The treatment variable in </w:t>
      </w:r>
      <w:r w:rsidR="00AE249F" w:rsidRPr="007C2DFF">
        <w:rPr>
          <w:rFonts w:ascii="Times New Roman" w:hAnsi="Times New Roman" w:cs="Times New Roman"/>
          <w:b/>
        </w:rPr>
        <w:t>Table</w:t>
      </w:r>
      <w:r w:rsidR="00AE249F" w:rsidRPr="007C2DFF">
        <w:rPr>
          <w:rFonts w:ascii="Times New Roman" w:hAnsi="Times New Roman" w:cs="Times New Roman"/>
        </w:rPr>
        <w:t xml:space="preserve"> </w:t>
      </w:r>
      <w:r w:rsidR="00BE46E9" w:rsidRPr="007C2DFF">
        <w:rPr>
          <w:rFonts w:ascii="Times New Roman" w:hAnsi="Times New Roman" w:cs="Times New Roman"/>
          <w:b/>
        </w:rPr>
        <w:t>A9</w:t>
      </w:r>
      <w:r w:rsidR="00BE46E9" w:rsidRPr="007C2DFF">
        <w:rPr>
          <w:rFonts w:ascii="Times New Roman" w:hAnsi="Times New Roman" w:cs="Times New Roman"/>
        </w:rPr>
        <w:t xml:space="preserve"> is shale share of land per state—measured the same as the main results. For both outcome variable policies (LEV</w:t>
      </w:r>
      <w:r w:rsidR="00DF34BD" w:rsidRPr="007C2DFF">
        <w:rPr>
          <w:rFonts w:ascii="Times New Roman" w:hAnsi="Times New Roman" w:cs="Times New Roman"/>
        </w:rPr>
        <w:t>—first three columns—</w:t>
      </w:r>
      <w:r w:rsidR="00BE46E9" w:rsidRPr="007C2DFF">
        <w:rPr>
          <w:rFonts w:ascii="Times New Roman" w:hAnsi="Times New Roman" w:cs="Times New Roman"/>
        </w:rPr>
        <w:t>and RPS</w:t>
      </w:r>
      <w:r w:rsidR="00DF34BD" w:rsidRPr="007C2DFF">
        <w:rPr>
          <w:rFonts w:ascii="Times New Roman" w:hAnsi="Times New Roman" w:cs="Times New Roman"/>
        </w:rPr>
        <w:t>—fourth through sixth columns</w:t>
      </w:r>
      <w:r w:rsidR="00BE46E9" w:rsidRPr="007C2DFF">
        <w:rPr>
          <w:rFonts w:ascii="Times New Roman" w:hAnsi="Times New Roman" w:cs="Times New Roman"/>
        </w:rPr>
        <w:t>), all treatment period possibilities yield statistically significant results for these two-way fixed effects models. The coefficients are slightly larger than main diff-in-diff results from the text.</w:t>
      </w:r>
      <w:r w:rsidR="00C60755" w:rsidRPr="007C2DFF">
        <w:rPr>
          <w:rFonts w:ascii="Times New Roman" w:hAnsi="Times New Roman" w:cs="Times New Roman"/>
        </w:rPr>
        <w:t xml:space="preserve"> (Unlike in the main text regressions, Hawaii and Alaska are included here, as no covariates are necessary in these two-way fixed effects models; HI and AK were dropped from the main diff-in-diff regressions because data on environmental policy opinion was not available for those states. Texas is still not included here, so 49 states are included in these two-way fixed effects regressions.) </w:t>
      </w:r>
    </w:p>
    <w:p w14:paraId="399A2C80" w14:textId="77777777" w:rsidR="00C709CE" w:rsidRPr="007C2DFF" w:rsidRDefault="00C709CE" w:rsidP="001D6B79">
      <w:pPr>
        <w:rPr>
          <w:rFonts w:ascii="Times New Roman" w:hAnsi="Times New Roman" w:cs="Times New Roman"/>
        </w:rPr>
      </w:pPr>
    </w:p>
    <w:p w14:paraId="40DC804F" w14:textId="7284AFD7" w:rsidR="00EE4DC7" w:rsidRPr="007C2DFF" w:rsidRDefault="00EE4DC7" w:rsidP="00EE4DC7">
      <w:pPr>
        <w:jc w:val="center"/>
        <w:rPr>
          <w:rFonts w:ascii="Times New Roman" w:hAnsi="Times New Roman" w:cs="Times New Roman"/>
        </w:rPr>
      </w:pPr>
      <w:r w:rsidRPr="007C2DFF">
        <w:rPr>
          <w:rFonts w:ascii="Times New Roman" w:hAnsi="Times New Roman" w:cs="Times New Roman"/>
          <w:noProof/>
        </w:rPr>
        <w:drawing>
          <wp:inline distT="0" distB="0" distL="0" distR="0" wp14:anchorId="71650358" wp14:editId="58BAB669">
            <wp:extent cx="5475767" cy="1201042"/>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21966" cy="1211175"/>
                    </a:xfrm>
                    <a:prstGeom prst="rect">
                      <a:avLst/>
                    </a:prstGeom>
                  </pic:spPr>
                </pic:pic>
              </a:graphicData>
            </a:graphic>
          </wp:inline>
        </w:drawing>
      </w:r>
    </w:p>
    <w:p w14:paraId="675AC636" w14:textId="43E422BE" w:rsidR="00794C36" w:rsidRPr="007C2DFF" w:rsidRDefault="00794C36" w:rsidP="00B260BF">
      <w:pPr>
        <w:jc w:val="center"/>
        <w:rPr>
          <w:rFonts w:ascii="Times New Roman" w:hAnsi="Times New Roman" w:cs="Times New Roman"/>
        </w:rPr>
      </w:pPr>
      <w:r w:rsidRPr="007C2DFF">
        <w:rPr>
          <w:rFonts w:ascii="Times New Roman" w:hAnsi="Times New Roman" w:cs="Times New Roman"/>
          <w:b/>
        </w:rPr>
        <w:t>Table A9.</w:t>
      </w:r>
    </w:p>
    <w:p w14:paraId="75D113D0" w14:textId="70F2104A" w:rsidR="00C709CE" w:rsidRPr="007C2DFF" w:rsidRDefault="00C709CE" w:rsidP="00EE4DC7">
      <w:pPr>
        <w:jc w:val="center"/>
        <w:rPr>
          <w:rFonts w:ascii="Times New Roman" w:hAnsi="Times New Roman" w:cs="Times New Roman"/>
        </w:rPr>
      </w:pPr>
    </w:p>
    <w:p w14:paraId="447D2E74" w14:textId="67FFDF59" w:rsidR="001A5E84" w:rsidRPr="007C2DFF" w:rsidRDefault="001A5E84" w:rsidP="00C709CE">
      <w:pPr>
        <w:rPr>
          <w:rFonts w:ascii="Times New Roman" w:hAnsi="Times New Roman" w:cs="Times New Roman"/>
        </w:rPr>
      </w:pPr>
      <w:r w:rsidRPr="007C2DFF">
        <w:rPr>
          <w:rFonts w:ascii="Times New Roman" w:hAnsi="Times New Roman" w:cs="Times New Roman"/>
          <w:b/>
        </w:rPr>
        <w:t>Table A10</w:t>
      </w:r>
      <w:r w:rsidRPr="007C2DFF">
        <w:rPr>
          <w:rFonts w:ascii="Times New Roman" w:hAnsi="Times New Roman" w:cs="Times New Roman"/>
        </w:rPr>
        <w:t xml:space="preserve"> displays two-way fixed effects regression results but broadens the units (from state-time) to state-</w:t>
      </w:r>
      <w:r w:rsidRPr="007C2DFF">
        <w:rPr>
          <w:rFonts w:ascii="Times New Roman" w:hAnsi="Times New Roman" w:cs="Times New Roman"/>
          <w:i/>
        </w:rPr>
        <w:t>year</w:t>
      </w:r>
      <w:r w:rsidRPr="007C2DFF">
        <w:rPr>
          <w:rFonts w:ascii="Times New Roman" w:hAnsi="Times New Roman" w:cs="Times New Roman"/>
        </w:rPr>
        <w:t xml:space="preserve">, increasing the time periods for each state from two to 17 (for the LEV outcome) or 19 (for RPS). Further, the “treatment” here is measured as shale wells (data from </w:t>
      </w:r>
      <w:proofErr w:type="spellStart"/>
      <w:r w:rsidRPr="007C2DFF">
        <w:rPr>
          <w:rFonts w:ascii="Times New Roman" w:hAnsi="Times New Roman" w:cs="Times New Roman"/>
        </w:rPr>
        <w:t>Fedaseyeu</w:t>
      </w:r>
      <w:proofErr w:type="spellEnd"/>
      <w:r w:rsidRPr="007C2DFF">
        <w:rPr>
          <w:rFonts w:ascii="Times New Roman" w:hAnsi="Times New Roman" w:cs="Times New Roman"/>
        </w:rPr>
        <w:t xml:space="preserve"> et al 2015) per state, divided by state GSP to obtain a more economically meaningful measure of shale wells (both oil and gas)—as a proxy for volume of oil or gas extracted. (I am not sure if data on </w:t>
      </w:r>
      <w:r w:rsidR="00102FDA" w:rsidRPr="007C2DFF">
        <w:rPr>
          <w:rFonts w:ascii="Times New Roman" w:hAnsi="Times New Roman" w:cs="Times New Roman"/>
        </w:rPr>
        <w:t xml:space="preserve">volume of </w:t>
      </w:r>
      <w:r w:rsidRPr="007C2DFF">
        <w:rPr>
          <w:rFonts w:ascii="Times New Roman" w:hAnsi="Times New Roman" w:cs="Times New Roman"/>
        </w:rPr>
        <w:t xml:space="preserve">shale oil/gas extracted per state-year exists.) I refer to “treatment” here in quotation marks because the </w:t>
      </w:r>
      <w:r w:rsidRPr="007C2DFF">
        <w:rPr>
          <w:rFonts w:ascii="Times New Roman" w:hAnsi="Times New Roman" w:cs="Times New Roman"/>
          <w:i/>
        </w:rPr>
        <w:t>extraction</w:t>
      </w:r>
      <w:r w:rsidRPr="007C2DFF">
        <w:rPr>
          <w:rFonts w:ascii="Times New Roman" w:hAnsi="Times New Roman" w:cs="Times New Roman"/>
        </w:rPr>
        <w:t xml:space="preserve"> of fracked shale oil or gas is less plausibly exogenous to political forces that are </w:t>
      </w:r>
      <w:r w:rsidR="00C26A86" w:rsidRPr="007C2DFF">
        <w:rPr>
          <w:rFonts w:ascii="Times New Roman" w:hAnsi="Times New Roman" w:cs="Times New Roman"/>
        </w:rPr>
        <w:t>relevant changes in</w:t>
      </w:r>
      <w:r w:rsidRPr="007C2DFF">
        <w:rPr>
          <w:rFonts w:ascii="Times New Roman" w:hAnsi="Times New Roman" w:cs="Times New Roman"/>
        </w:rPr>
        <w:t xml:space="preserve"> LEV and RPS policies. As explained in a footnote in the paper text, extraction is partially a product of political forces that shape regulation, which in turn makes extraction more or less difficult for corporations in </w:t>
      </w:r>
      <w:r w:rsidR="00996E2F" w:rsidRPr="007C2DFF">
        <w:rPr>
          <w:rFonts w:ascii="Times New Roman" w:hAnsi="Times New Roman" w:cs="Times New Roman"/>
        </w:rPr>
        <w:t>any given</w:t>
      </w:r>
      <w:r w:rsidRPr="007C2DFF">
        <w:rPr>
          <w:rFonts w:ascii="Times New Roman" w:hAnsi="Times New Roman" w:cs="Times New Roman"/>
        </w:rPr>
        <w:t xml:space="preserve"> state. Therefore, this measure of fracking as extraction is less well-suited to causal inference analysis. However, in the chance that this extraction measure is exogenous </w:t>
      </w:r>
      <w:r w:rsidRPr="007C2DFF">
        <w:rPr>
          <w:rFonts w:ascii="Times New Roman" w:hAnsi="Times New Roman" w:cs="Times New Roman"/>
          <w:i/>
        </w:rPr>
        <w:t>enough</w:t>
      </w:r>
      <w:r w:rsidRPr="007C2DFF">
        <w:rPr>
          <w:rFonts w:ascii="Times New Roman" w:hAnsi="Times New Roman" w:cs="Times New Roman"/>
        </w:rPr>
        <w:t xml:space="preserve">, </w:t>
      </w:r>
      <w:r w:rsidRPr="007C2DFF">
        <w:rPr>
          <w:rFonts w:ascii="Times New Roman" w:hAnsi="Times New Roman" w:cs="Times New Roman"/>
          <w:b/>
        </w:rPr>
        <w:t>Table A10</w:t>
      </w:r>
      <w:r w:rsidRPr="007C2DFF">
        <w:rPr>
          <w:rFonts w:ascii="Times New Roman" w:hAnsi="Times New Roman" w:cs="Times New Roman"/>
        </w:rPr>
        <w:t xml:space="preserve"> (and </w:t>
      </w:r>
      <w:r w:rsidRPr="007C2DFF">
        <w:rPr>
          <w:rFonts w:ascii="Times New Roman" w:hAnsi="Times New Roman" w:cs="Times New Roman"/>
          <w:b/>
        </w:rPr>
        <w:t>A11)</w:t>
      </w:r>
      <w:r w:rsidRPr="007C2DFF">
        <w:rPr>
          <w:rFonts w:ascii="Times New Roman" w:hAnsi="Times New Roman" w:cs="Times New Roman"/>
        </w:rPr>
        <w:t xml:space="preserve"> employ this measure of extraction as a treatment in these two-way fixed effects models, still yielding statistically significant results. The coefficients are not intuitively interpretable because of the weighting by state GSP. This treatment variable is specifically calculated as: (well count / state GSP) * 1,000,000.</w:t>
      </w:r>
    </w:p>
    <w:p w14:paraId="20DD023C" w14:textId="59AB899E" w:rsidR="004568AD" w:rsidRPr="007C2DFF" w:rsidRDefault="004568AD" w:rsidP="00C709CE">
      <w:pPr>
        <w:rPr>
          <w:rFonts w:ascii="Times New Roman" w:hAnsi="Times New Roman" w:cs="Times New Roman"/>
        </w:rPr>
      </w:pPr>
    </w:p>
    <w:p w14:paraId="77DE4000" w14:textId="12CA3E01" w:rsidR="004568AD" w:rsidRPr="007C2DFF" w:rsidRDefault="00C64382" w:rsidP="00964B67">
      <w:pPr>
        <w:jc w:val="center"/>
        <w:rPr>
          <w:rFonts w:ascii="Times New Roman" w:hAnsi="Times New Roman" w:cs="Times New Roman"/>
        </w:rPr>
      </w:pPr>
      <w:r w:rsidRPr="00C64382">
        <w:rPr>
          <w:rFonts w:ascii="Times New Roman" w:hAnsi="Times New Roman" w:cs="Times New Roman"/>
          <w:noProof/>
        </w:rPr>
        <w:lastRenderedPageBreak/>
        <w:drawing>
          <wp:inline distT="0" distB="0" distL="0" distR="0" wp14:anchorId="73B96B00" wp14:editId="75B6A8F1">
            <wp:extent cx="3897423" cy="1048492"/>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34909" cy="1058577"/>
                    </a:xfrm>
                    <a:prstGeom prst="rect">
                      <a:avLst/>
                    </a:prstGeom>
                  </pic:spPr>
                </pic:pic>
              </a:graphicData>
            </a:graphic>
          </wp:inline>
        </w:drawing>
      </w:r>
    </w:p>
    <w:p w14:paraId="35D75D79" w14:textId="60498B20" w:rsidR="00794C36" w:rsidRPr="007C2DFF" w:rsidRDefault="00794C36" w:rsidP="00B260BF">
      <w:pPr>
        <w:jc w:val="center"/>
        <w:rPr>
          <w:rFonts w:ascii="Times New Roman" w:hAnsi="Times New Roman" w:cs="Times New Roman"/>
        </w:rPr>
      </w:pPr>
      <w:r w:rsidRPr="007C2DFF">
        <w:rPr>
          <w:rFonts w:ascii="Times New Roman" w:hAnsi="Times New Roman" w:cs="Times New Roman"/>
          <w:b/>
        </w:rPr>
        <w:t>Table A10.</w:t>
      </w:r>
    </w:p>
    <w:p w14:paraId="5FBBAB4C" w14:textId="77777777" w:rsidR="00964B67" w:rsidRPr="007C2DFF" w:rsidRDefault="00964B67" w:rsidP="00964B67">
      <w:pPr>
        <w:jc w:val="center"/>
        <w:rPr>
          <w:rFonts w:ascii="Times New Roman" w:hAnsi="Times New Roman" w:cs="Times New Roman"/>
        </w:rPr>
      </w:pPr>
    </w:p>
    <w:p w14:paraId="4D6E9528" w14:textId="4D6F8768" w:rsidR="004568AD" w:rsidRPr="007C2DFF" w:rsidRDefault="001A5E84" w:rsidP="00C709CE">
      <w:pPr>
        <w:rPr>
          <w:rFonts w:ascii="Times New Roman" w:hAnsi="Times New Roman" w:cs="Times New Roman"/>
        </w:rPr>
      </w:pPr>
      <w:r w:rsidRPr="007C2DFF">
        <w:rPr>
          <w:rFonts w:ascii="Times New Roman" w:hAnsi="Times New Roman" w:cs="Times New Roman"/>
          <w:b/>
        </w:rPr>
        <w:t>Table A11</w:t>
      </w:r>
      <w:r w:rsidRPr="007C2DFF">
        <w:rPr>
          <w:rFonts w:ascii="Times New Roman" w:hAnsi="Times New Roman" w:cs="Times New Roman"/>
        </w:rPr>
        <w:t xml:space="preserve"> displays similar two-way fixed regressions as </w:t>
      </w:r>
      <w:r w:rsidRPr="007C2DFF">
        <w:rPr>
          <w:rFonts w:ascii="Times New Roman" w:hAnsi="Times New Roman" w:cs="Times New Roman"/>
          <w:b/>
        </w:rPr>
        <w:t>A9</w:t>
      </w:r>
      <w:r w:rsidRPr="007C2DFF">
        <w:rPr>
          <w:rFonts w:ascii="Times New Roman" w:hAnsi="Times New Roman" w:cs="Times New Roman"/>
        </w:rPr>
        <w:t xml:space="preserve"> (using state-time</w:t>
      </w:r>
      <w:r w:rsidR="00996E2F" w:rsidRPr="007C2DFF">
        <w:rPr>
          <w:rFonts w:ascii="Times New Roman" w:hAnsi="Times New Roman" w:cs="Times New Roman"/>
        </w:rPr>
        <w:t xml:space="preserve"> [not year]—</w:t>
      </w:r>
      <w:r w:rsidRPr="007C2DFF">
        <w:rPr>
          <w:rFonts w:ascii="Times New Roman" w:hAnsi="Times New Roman" w:cs="Times New Roman"/>
        </w:rPr>
        <w:t xml:space="preserve">two time periods), still yielding statistically significant results. Treatment here is shale well count (adjusted by state GSP, as explained for </w:t>
      </w:r>
      <w:r w:rsidRPr="007C2DFF">
        <w:rPr>
          <w:rFonts w:ascii="Times New Roman" w:hAnsi="Times New Roman" w:cs="Times New Roman"/>
          <w:b/>
        </w:rPr>
        <w:t>Table A10</w:t>
      </w:r>
      <w:r w:rsidRPr="007C2DFF">
        <w:rPr>
          <w:rFonts w:ascii="Times New Roman" w:hAnsi="Times New Roman" w:cs="Times New Roman"/>
        </w:rPr>
        <w:t xml:space="preserve">). Since </w:t>
      </w:r>
      <w:r w:rsidRPr="007C2DFF">
        <w:rPr>
          <w:rFonts w:ascii="Times New Roman" w:hAnsi="Times New Roman" w:cs="Times New Roman"/>
          <w:b/>
        </w:rPr>
        <w:t>A11</w:t>
      </w:r>
      <w:r w:rsidRPr="007C2DFF">
        <w:rPr>
          <w:rFonts w:ascii="Times New Roman" w:hAnsi="Times New Roman" w:cs="Times New Roman"/>
        </w:rPr>
        <w:t xml:space="preserve"> measures different treatment time periods, the treatment variable (adjusted well count) is measured as the </w:t>
      </w:r>
      <w:r w:rsidRPr="007C2DFF">
        <w:rPr>
          <w:rFonts w:ascii="Times New Roman" w:hAnsi="Times New Roman" w:cs="Times New Roman"/>
          <w:i/>
        </w:rPr>
        <w:t>sum</w:t>
      </w:r>
      <w:r w:rsidRPr="007C2DFF">
        <w:rPr>
          <w:rFonts w:ascii="Times New Roman" w:hAnsi="Times New Roman" w:cs="Times New Roman"/>
        </w:rPr>
        <w:t xml:space="preserve"> of that (adjusted) quantity </w:t>
      </w:r>
      <w:proofErr w:type="spellStart"/>
      <w:r w:rsidRPr="007C2DFF">
        <w:rPr>
          <w:rFonts w:ascii="Times New Roman" w:hAnsi="Times New Roman" w:cs="Times New Roman"/>
        </w:rPr>
        <w:t>over all</w:t>
      </w:r>
      <w:proofErr w:type="spellEnd"/>
      <w:r w:rsidRPr="007C2DFF">
        <w:rPr>
          <w:rFonts w:ascii="Times New Roman" w:hAnsi="Times New Roman" w:cs="Times New Roman"/>
        </w:rPr>
        <w:t xml:space="preserve"> years of the treatment (e.g., if the treatment period is measured as 2004-06, as it is in the first two columns, then the treatment variable is measured as the sum of all [adjusted] wells in 2004 + 2005 + 2006). </w:t>
      </w:r>
      <w:r w:rsidR="00D46D1A" w:rsidRPr="007C2DFF">
        <w:rPr>
          <w:rFonts w:ascii="Times New Roman" w:hAnsi="Times New Roman" w:cs="Times New Roman"/>
        </w:rPr>
        <w:t xml:space="preserve">Similar to </w:t>
      </w:r>
      <w:r w:rsidR="00D46D1A" w:rsidRPr="007C2DFF">
        <w:rPr>
          <w:rFonts w:ascii="Times New Roman" w:hAnsi="Times New Roman" w:cs="Times New Roman"/>
          <w:b/>
        </w:rPr>
        <w:t>A10</w:t>
      </w:r>
      <w:r w:rsidR="00D46D1A" w:rsidRPr="007C2DFF">
        <w:rPr>
          <w:rFonts w:ascii="Times New Roman" w:hAnsi="Times New Roman" w:cs="Times New Roman"/>
        </w:rPr>
        <w:t xml:space="preserve">, the adjusted nature of the treatment variable makes the coefficients not very intuitive to interpret. </w:t>
      </w:r>
    </w:p>
    <w:p w14:paraId="68656CF6" w14:textId="161203FE" w:rsidR="00C709CE" w:rsidRPr="007C2DFF" w:rsidRDefault="00C709CE" w:rsidP="00C709CE">
      <w:pPr>
        <w:rPr>
          <w:rFonts w:ascii="Times New Roman" w:hAnsi="Times New Roman" w:cs="Times New Roman"/>
        </w:rPr>
      </w:pPr>
    </w:p>
    <w:p w14:paraId="4C2FECF5" w14:textId="211EAF80" w:rsidR="00C709CE" w:rsidRPr="007C2DFF" w:rsidRDefault="00AD429B" w:rsidP="008072C2">
      <w:pPr>
        <w:jc w:val="center"/>
        <w:rPr>
          <w:rFonts w:ascii="Times New Roman" w:hAnsi="Times New Roman" w:cs="Times New Roman"/>
        </w:rPr>
      </w:pPr>
      <w:r w:rsidRPr="00AD429B">
        <w:rPr>
          <w:rFonts w:ascii="Times New Roman" w:hAnsi="Times New Roman" w:cs="Times New Roman"/>
          <w:noProof/>
        </w:rPr>
        <w:drawing>
          <wp:inline distT="0" distB="0" distL="0" distR="0" wp14:anchorId="313F83D0" wp14:editId="1708F190">
            <wp:extent cx="4922874" cy="1467921"/>
            <wp:effectExtent l="0" t="0" r="508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62529" cy="1479746"/>
                    </a:xfrm>
                    <a:prstGeom prst="rect">
                      <a:avLst/>
                    </a:prstGeom>
                  </pic:spPr>
                </pic:pic>
              </a:graphicData>
            </a:graphic>
          </wp:inline>
        </w:drawing>
      </w:r>
    </w:p>
    <w:p w14:paraId="29BF69D6" w14:textId="73817E96" w:rsidR="00794C36" w:rsidRPr="007C2DFF" w:rsidRDefault="00794C36" w:rsidP="00B260BF">
      <w:pPr>
        <w:jc w:val="center"/>
        <w:rPr>
          <w:rFonts w:ascii="Times New Roman" w:hAnsi="Times New Roman" w:cs="Times New Roman"/>
        </w:rPr>
      </w:pPr>
      <w:r w:rsidRPr="007C2DFF">
        <w:rPr>
          <w:rFonts w:ascii="Times New Roman" w:hAnsi="Times New Roman" w:cs="Times New Roman"/>
          <w:b/>
        </w:rPr>
        <w:t>Table A11.</w:t>
      </w:r>
    </w:p>
    <w:p w14:paraId="2C007CC5" w14:textId="387ADCE1" w:rsidR="00794C36" w:rsidRDefault="00794C36" w:rsidP="008072C2">
      <w:pPr>
        <w:jc w:val="center"/>
        <w:rPr>
          <w:rFonts w:ascii="Times New Roman" w:hAnsi="Times New Roman" w:cs="Times New Roman"/>
        </w:rPr>
      </w:pPr>
    </w:p>
    <w:p w14:paraId="5C78696C" w14:textId="12712B3B" w:rsidR="00BD4652" w:rsidRDefault="00BD4652" w:rsidP="008072C2">
      <w:pPr>
        <w:jc w:val="center"/>
        <w:rPr>
          <w:rFonts w:ascii="Times New Roman" w:hAnsi="Times New Roman" w:cs="Times New Roman"/>
        </w:rPr>
      </w:pPr>
    </w:p>
    <w:p w14:paraId="1A94257E" w14:textId="406F08F2" w:rsidR="00BD4652" w:rsidRDefault="00BD4652" w:rsidP="008072C2">
      <w:pPr>
        <w:jc w:val="center"/>
        <w:rPr>
          <w:rFonts w:ascii="Times New Roman" w:hAnsi="Times New Roman" w:cs="Times New Roman"/>
        </w:rPr>
      </w:pPr>
    </w:p>
    <w:p w14:paraId="7EB71243" w14:textId="50449930" w:rsidR="00BD4652" w:rsidRDefault="00BD4652" w:rsidP="008072C2">
      <w:pPr>
        <w:jc w:val="center"/>
        <w:rPr>
          <w:rFonts w:ascii="Times New Roman" w:hAnsi="Times New Roman" w:cs="Times New Roman"/>
        </w:rPr>
      </w:pPr>
    </w:p>
    <w:p w14:paraId="72B5A239" w14:textId="3D1D521A" w:rsidR="00BD4652" w:rsidRDefault="00BD4652" w:rsidP="008072C2">
      <w:pPr>
        <w:jc w:val="center"/>
        <w:rPr>
          <w:rFonts w:ascii="Times New Roman" w:hAnsi="Times New Roman" w:cs="Times New Roman"/>
        </w:rPr>
      </w:pPr>
    </w:p>
    <w:p w14:paraId="28E390C7" w14:textId="3D35FA42" w:rsidR="00BD4652" w:rsidRDefault="00BD4652" w:rsidP="008072C2">
      <w:pPr>
        <w:jc w:val="center"/>
        <w:rPr>
          <w:rFonts w:ascii="Times New Roman" w:hAnsi="Times New Roman" w:cs="Times New Roman"/>
        </w:rPr>
      </w:pPr>
    </w:p>
    <w:p w14:paraId="5ACE9941" w14:textId="42DA464D" w:rsidR="00BD4652" w:rsidRDefault="00BD4652" w:rsidP="008072C2">
      <w:pPr>
        <w:jc w:val="center"/>
        <w:rPr>
          <w:rFonts w:ascii="Times New Roman" w:hAnsi="Times New Roman" w:cs="Times New Roman"/>
        </w:rPr>
      </w:pPr>
    </w:p>
    <w:p w14:paraId="4AC7E332" w14:textId="7163CC3A" w:rsidR="00BD4652" w:rsidRDefault="00BD4652" w:rsidP="008072C2">
      <w:pPr>
        <w:jc w:val="center"/>
        <w:rPr>
          <w:rFonts w:ascii="Times New Roman" w:hAnsi="Times New Roman" w:cs="Times New Roman"/>
        </w:rPr>
      </w:pPr>
    </w:p>
    <w:p w14:paraId="1C9ECFD3" w14:textId="139783C8" w:rsidR="00BD4652" w:rsidRDefault="00BD4652" w:rsidP="008072C2">
      <w:pPr>
        <w:jc w:val="center"/>
        <w:rPr>
          <w:rFonts w:ascii="Times New Roman" w:hAnsi="Times New Roman" w:cs="Times New Roman"/>
        </w:rPr>
      </w:pPr>
    </w:p>
    <w:p w14:paraId="36A756FD" w14:textId="4CC0FEC0" w:rsidR="00BD4652" w:rsidRDefault="00BD4652" w:rsidP="008072C2">
      <w:pPr>
        <w:jc w:val="center"/>
        <w:rPr>
          <w:rFonts w:ascii="Times New Roman" w:hAnsi="Times New Roman" w:cs="Times New Roman"/>
        </w:rPr>
      </w:pPr>
    </w:p>
    <w:p w14:paraId="22F9F999" w14:textId="6AE920FF" w:rsidR="00BD4652" w:rsidRDefault="00BD4652" w:rsidP="008072C2">
      <w:pPr>
        <w:jc w:val="center"/>
        <w:rPr>
          <w:rFonts w:ascii="Times New Roman" w:hAnsi="Times New Roman" w:cs="Times New Roman"/>
        </w:rPr>
      </w:pPr>
    </w:p>
    <w:p w14:paraId="0CA3BC3E" w14:textId="007955B1" w:rsidR="00BD4652" w:rsidRDefault="00BD4652" w:rsidP="008072C2">
      <w:pPr>
        <w:jc w:val="center"/>
        <w:rPr>
          <w:rFonts w:ascii="Times New Roman" w:hAnsi="Times New Roman" w:cs="Times New Roman"/>
        </w:rPr>
      </w:pPr>
    </w:p>
    <w:p w14:paraId="49D91F7F" w14:textId="299A2DD2" w:rsidR="00BD4652" w:rsidRDefault="00BD4652" w:rsidP="008072C2">
      <w:pPr>
        <w:jc w:val="center"/>
        <w:rPr>
          <w:rFonts w:ascii="Times New Roman" w:hAnsi="Times New Roman" w:cs="Times New Roman"/>
        </w:rPr>
      </w:pPr>
    </w:p>
    <w:p w14:paraId="1ADC98B3" w14:textId="1BDAC27A" w:rsidR="00BD4652" w:rsidRDefault="00BD4652" w:rsidP="008072C2">
      <w:pPr>
        <w:jc w:val="center"/>
        <w:rPr>
          <w:rFonts w:ascii="Times New Roman" w:hAnsi="Times New Roman" w:cs="Times New Roman"/>
        </w:rPr>
      </w:pPr>
    </w:p>
    <w:p w14:paraId="326385AF" w14:textId="2F0C495E" w:rsidR="00BD4652" w:rsidRDefault="00BD4652" w:rsidP="008072C2">
      <w:pPr>
        <w:jc w:val="center"/>
        <w:rPr>
          <w:rFonts w:ascii="Times New Roman" w:hAnsi="Times New Roman" w:cs="Times New Roman"/>
        </w:rPr>
      </w:pPr>
    </w:p>
    <w:p w14:paraId="056756DF" w14:textId="687C5392" w:rsidR="00BD4652" w:rsidRDefault="00BD4652" w:rsidP="008072C2">
      <w:pPr>
        <w:jc w:val="center"/>
        <w:rPr>
          <w:rFonts w:ascii="Times New Roman" w:hAnsi="Times New Roman" w:cs="Times New Roman"/>
        </w:rPr>
      </w:pPr>
    </w:p>
    <w:p w14:paraId="049EE87A" w14:textId="5F493B07" w:rsidR="00BD4652" w:rsidRDefault="00BD4652" w:rsidP="008072C2">
      <w:pPr>
        <w:jc w:val="center"/>
        <w:rPr>
          <w:rFonts w:ascii="Times New Roman" w:hAnsi="Times New Roman" w:cs="Times New Roman"/>
        </w:rPr>
      </w:pPr>
    </w:p>
    <w:p w14:paraId="176A69EA" w14:textId="686DFED6" w:rsidR="00BD4652" w:rsidRDefault="00BD4652" w:rsidP="008072C2">
      <w:pPr>
        <w:jc w:val="center"/>
        <w:rPr>
          <w:rFonts w:ascii="Times New Roman" w:hAnsi="Times New Roman" w:cs="Times New Roman"/>
        </w:rPr>
      </w:pPr>
    </w:p>
    <w:p w14:paraId="5ED646DC" w14:textId="5D694E12" w:rsidR="00BD4652" w:rsidRDefault="00BD4652" w:rsidP="008072C2">
      <w:pPr>
        <w:jc w:val="center"/>
        <w:rPr>
          <w:rFonts w:ascii="Times New Roman" w:hAnsi="Times New Roman" w:cs="Times New Roman"/>
        </w:rPr>
      </w:pPr>
    </w:p>
    <w:p w14:paraId="2BE4F4D0" w14:textId="09909519" w:rsidR="00BD4652" w:rsidRDefault="00BD4652" w:rsidP="008072C2">
      <w:pPr>
        <w:jc w:val="center"/>
        <w:rPr>
          <w:rFonts w:ascii="Times New Roman" w:hAnsi="Times New Roman" w:cs="Times New Roman"/>
        </w:rPr>
      </w:pPr>
    </w:p>
    <w:p w14:paraId="0AB4A924" w14:textId="4FC98160" w:rsidR="00BD4652" w:rsidRDefault="00BD4652" w:rsidP="008072C2">
      <w:pPr>
        <w:jc w:val="center"/>
        <w:rPr>
          <w:rFonts w:ascii="Times New Roman" w:hAnsi="Times New Roman" w:cs="Times New Roman"/>
        </w:rPr>
      </w:pPr>
    </w:p>
    <w:p w14:paraId="00751BAB" w14:textId="27B30FCB" w:rsidR="00BD4652" w:rsidRDefault="00BD4652" w:rsidP="008072C2">
      <w:pPr>
        <w:jc w:val="center"/>
        <w:rPr>
          <w:rFonts w:ascii="Times New Roman" w:hAnsi="Times New Roman" w:cs="Times New Roman"/>
        </w:rPr>
      </w:pPr>
    </w:p>
    <w:p w14:paraId="33A47152" w14:textId="39EFFFA9" w:rsidR="00BD4652" w:rsidRPr="00BD4652" w:rsidRDefault="00BD4652" w:rsidP="00BD4652">
      <w:pPr>
        <w:spacing w:line="480" w:lineRule="auto"/>
        <w:rPr>
          <w:rFonts w:ascii="Times New Roman" w:hAnsi="Times New Roman" w:cs="Times New Roman"/>
          <w:b/>
        </w:rPr>
      </w:pPr>
      <w:r>
        <w:rPr>
          <w:rFonts w:ascii="Times New Roman" w:hAnsi="Times New Roman" w:cs="Times New Roman"/>
          <w:b/>
        </w:rPr>
        <w:t>Why not try an instrumented difference-in-difference?</w:t>
      </w:r>
    </w:p>
    <w:p w14:paraId="7022E4F2" w14:textId="05B609D9" w:rsidR="00BD4652" w:rsidRPr="00BD4652" w:rsidRDefault="00BD4652" w:rsidP="004F21CA">
      <w:pPr>
        <w:ind w:firstLine="720"/>
        <w:rPr>
          <w:rFonts w:ascii="Times New Roman" w:hAnsi="Times New Roman" w:cs="Times New Roman"/>
        </w:rPr>
      </w:pPr>
      <w:r w:rsidRPr="00BD4652">
        <w:rPr>
          <w:rFonts w:ascii="Times New Roman" w:hAnsi="Times New Roman" w:cs="Times New Roman"/>
        </w:rPr>
        <w:t xml:space="preserve">Given that shale distribution is plausibly random but extraction is a treatment of interest, some readers may wonder if I could employ a research design framing shale distribution as an instrument for the endogenous treatment of </w:t>
      </w:r>
      <w:r w:rsidRPr="00BD4652">
        <w:rPr>
          <w:rFonts w:ascii="Times New Roman" w:hAnsi="Times New Roman" w:cs="Times New Roman"/>
          <w:i/>
        </w:rPr>
        <w:t>extraction</w:t>
      </w:r>
      <w:r w:rsidRPr="00BD4652">
        <w:rPr>
          <w:rFonts w:ascii="Times New Roman" w:hAnsi="Times New Roman" w:cs="Times New Roman"/>
        </w:rPr>
        <w:t xml:space="preserve">. This might produce the complier average causal effect (CACE) of extraction (from pre to post time periods). Unfortunately, since one necessary assumption for instrumental variables research designs is “excludability”—that the instrument (here, shale distribution) can only plausibly affect the outcome (here, climate policy) via the endogenous treatment (here, extraction). In this political context, that claim seems unsupported: it is very possible that the pure knowledge that shale resource extraction is on the table could cause state policymakers to change policy to be more favorable to </w:t>
      </w:r>
      <w:r w:rsidRPr="00BD4652">
        <w:rPr>
          <w:rFonts w:ascii="Times New Roman" w:hAnsi="Times New Roman" w:cs="Times New Roman"/>
          <w:i/>
        </w:rPr>
        <w:t>future</w:t>
      </w:r>
      <w:r w:rsidRPr="00BD4652">
        <w:rPr>
          <w:rFonts w:ascii="Times New Roman" w:hAnsi="Times New Roman" w:cs="Times New Roman"/>
        </w:rPr>
        <w:t xml:space="preserve"> extraction, independent from actual oil or gas extracted. (I still show a few two-way fixed effects models in the appendix that employ extraction as the treatment variable; results show statistically significant effects, similar to the main results reported in the paper body.)</w:t>
      </w:r>
    </w:p>
    <w:p w14:paraId="1B7199B8" w14:textId="77777777" w:rsidR="00BD4652" w:rsidRPr="007C2DFF" w:rsidRDefault="00BD4652" w:rsidP="008072C2">
      <w:pPr>
        <w:jc w:val="center"/>
        <w:rPr>
          <w:rFonts w:ascii="Times New Roman" w:hAnsi="Times New Roman" w:cs="Times New Roman"/>
        </w:rPr>
      </w:pPr>
    </w:p>
    <w:sectPr w:rsidR="00BD4652" w:rsidRPr="007C2DFF" w:rsidSect="00F47FE8">
      <w:footerReference w:type="even"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9248B1" w14:textId="77777777" w:rsidR="006B31EA" w:rsidRDefault="006B31EA" w:rsidP="000763A5">
      <w:r>
        <w:separator/>
      </w:r>
    </w:p>
  </w:endnote>
  <w:endnote w:type="continuationSeparator" w:id="0">
    <w:p w14:paraId="252E9EF1" w14:textId="77777777" w:rsidR="006B31EA" w:rsidRDefault="006B31EA" w:rsidP="00076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14856467"/>
      <w:docPartObj>
        <w:docPartGallery w:val="Page Numbers (Bottom of Page)"/>
        <w:docPartUnique/>
      </w:docPartObj>
    </w:sdtPr>
    <w:sdtEndPr>
      <w:rPr>
        <w:rStyle w:val="PageNumber"/>
      </w:rPr>
    </w:sdtEndPr>
    <w:sdtContent>
      <w:p w14:paraId="14E7A2EE" w14:textId="77FC9655" w:rsidR="000763A5" w:rsidRDefault="000763A5" w:rsidP="007A67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F66759" w14:textId="77777777" w:rsidR="000763A5" w:rsidRDefault="000763A5" w:rsidP="000763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670045"/>
      <w:docPartObj>
        <w:docPartGallery w:val="Page Numbers (Bottom of Page)"/>
        <w:docPartUnique/>
      </w:docPartObj>
    </w:sdtPr>
    <w:sdtEndPr>
      <w:rPr>
        <w:rStyle w:val="PageNumber"/>
      </w:rPr>
    </w:sdtEndPr>
    <w:sdtContent>
      <w:p w14:paraId="1F620542" w14:textId="35518C7B" w:rsidR="000763A5" w:rsidRDefault="000763A5" w:rsidP="007A67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A606727" w14:textId="77777777" w:rsidR="000763A5" w:rsidRDefault="000763A5" w:rsidP="000763A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81DCB" w14:textId="77777777" w:rsidR="006B31EA" w:rsidRDefault="006B31EA" w:rsidP="000763A5">
      <w:r>
        <w:separator/>
      </w:r>
    </w:p>
  </w:footnote>
  <w:footnote w:type="continuationSeparator" w:id="0">
    <w:p w14:paraId="106E1289" w14:textId="77777777" w:rsidR="006B31EA" w:rsidRDefault="006B31EA" w:rsidP="000763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A6101"/>
    <w:multiLevelType w:val="hybridMultilevel"/>
    <w:tmpl w:val="722ED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5C0"/>
    <w:rsid w:val="00014080"/>
    <w:rsid w:val="000763A5"/>
    <w:rsid w:val="000B4BBE"/>
    <w:rsid w:val="00102FDA"/>
    <w:rsid w:val="00114C2C"/>
    <w:rsid w:val="001A5E84"/>
    <w:rsid w:val="001D6B79"/>
    <w:rsid w:val="00220907"/>
    <w:rsid w:val="002E19AA"/>
    <w:rsid w:val="002F349D"/>
    <w:rsid w:val="00344461"/>
    <w:rsid w:val="003A4EFD"/>
    <w:rsid w:val="0043482C"/>
    <w:rsid w:val="004568AD"/>
    <w:rsid w:val="004F21CA"/>
    <w:rsid w:val="005217AB"/>
    <w:rsid w:val="00527EC1"/>
    <w:rsid w:val="005341D5"/>
    <w:rsid w:val="005643AA"/>
    <w:rsid w:val="005D2873"/>
    <w:rsid w:val="00600DC5"/>
    <w:rsid w:val="00600DD2"/>
    <w:rsid w:val="006B31EA"/>
    <w:rsid w:val="006D5993"/>
    <w:rsid w:val="007021EF"/>
    <w:rsid w:val="00755414"/>
    <w:rsid w:val="007711AF"/>
    <w:rsid w:val="00794C36"/>
    <w:rsid w:val="007A6527"/>
    <w:rsid w:val="007C2DFF"/>
    <w:rsid w:val="007D5190"/>
    <w:rsid w:val="008072C2"/>
    <w:rsid w:val="008B5C28"/>
    <w:rsid w:val="008F55C0"/>
    <w:rsid w:val="00964B67"/>
    <w:rsid w:val="00996E2F"/>
    <w:rsid w:val="00A060FD"/>
    <w:rsid w:val="00A6118D"/>
    <w:rsid w:val="00AA3F2D"/>
    <w:rsid w:val="00AD429B"/>
    <w:rsid w:val="00AE249F"/>
    <w:rsid w:val="00B260BF"/>
    <w:rsid w:val="00B77AAB"/>
    <w:rsid w:val="00BD4652"/>
    <w:rsid w:val="00BE46E9"/>
    <w:rsid w:val="00C138CA"/>
    <w:rsid w:val="00C26A86"/>
    <w:rsid w:val="00C60755"/>
    <w:rsid w:val="00C627C7"/>
    <w:rsid w:val="00C64382"/>
    <w:rsid w:val="00C709CE"/>
    <w:rsid w:val="00C71121"/>
    <w:rsid w:val="00C71A99"/>
    <w:rsid w:val="00CA2177"/>
    <w:rsid w:val="00D46D1A"/>
    <w:rsid w:val="00DD76AE"/>
    <w:rsid w:val="00DF34BD"/>
    <w:rsid w:val="00E46CCA"/>
    <w:rsid w:val="00E55243"/>
    <w:rsid w:val="00E94A2D"/>
    <w:rsid w:val="00EE4DC7"/>
    <w:rsid w:val="00F47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3AE8EA"/>
  <w15:chartTrackingRefBased/>
  <w15:docId w15:val="{F7589977-7B00-7440-9A27-D394C9324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763A5"/>
    <w:pPr>
      <w:tabs>
        <w:tab w:val="center" w:pos="4680"/>
        <w:tab w:val="right" w:pos="9360"/>
      </w:tabs>
    </w:pPr>
  </w:style>
  <w:style w:type="character" w:customStyle="1" w:styleId="FooterChar">
    <w:name w:val="Footer Char"/>
    <w:basedOn w:val="DefaultParagraphFont"/>
    <w:link w:val="Footer"/>
    <w:uiPriority w:val="99"/>
    <w:rsid w:val="000763A5"/>
  </w:style>
  <w:style w:type="character" w:styleId="PageNumber">
    <w:name w:val="page number"/>
    <w:basedOn w:val="DefaultParagraphFont"/>
    <w:uiPriority w:val="99"/>
    <w:semiHidden/>
    <w:unhideWhenUsed/>
    <w:rsid w:val="000763A5"/>
  </w:style>
  <w:style w:type="paragraph" w:styleId="ListParagraph">
    <w:name w:val="List Paragraph"/>
    <w:basedOn w:val="Normal"/>
    <w:uiPriority w:val="34"/>
    <w:qFormat/>
    <w:rsid w:val="001D6B79"/>
    <w:pPr>
      <w:ind w:left="720"/>
      <w:contextualSpacing/>
    </w:pPr>
  </w:style>
  <w:style w:type="paragraph" w:styleId="BalloonText">
    <w:name w:val="Balloon Text"/>
    <w:basedOn w:val="Normal"/>
    <w:link w:val="BalloonTextChar"/>
    <w:uiPriority w:val="99"/>
    <w:semiHidden/>
    <w:unhideWhenUsed/>
    <w:rsid w:val="00A6118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6118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1813</Words>
  <Characters>10336</Characters>
  <Application>Microsoft Office Word</Application>
  <DocSecurity>0</DocSecurity>
  <Lines>86</Lines>
  <Paragraphs>24</Paragraphs>
  <ScaleCrop>false</ScaleCrop>
  <Company/>
  <LinksUpToDate>false</LinksUpToDate>
  <CharactersWithSpaces>12125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Zacher</dc:creator>
  <cp:keywords/>
  <dc:description/>
  <cp:lastModifiedBy>Sam Zacher</cp:lastModifiedBy>
  <cp:revision>3</cp:revision>
  <cp:lastPrinted>2022-05-13T23:47:00Z</cp:lastPrinted>
  <dcterms:created xsi:type="dcterms:W3CDTF">2022-08-16T16:24:00Z</dcterms:created>
  <dcterms:modified xsi:type="dcterms:W3CDTF">2022-08-16T16:25:00Z</dcterms:modified>
</cp:coreProperties>
</file>