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5C" w:rsidRPr="00F9349E" w:rsidRDefault="0045575C" w:rsidP="0045575C">
      <w:pPr>
        <w:widowControl w:val="0"/>
        <w:spacing w:after="0" w:line="480" w:lineRule="auto"/>
        <w:rPr>
          <w:rFonts w:cs="Times New Roman"/>
          <w:vertAlign w:val="baseline"/>
        </w:rPr>
      </w:pPr>
      <w:r w:rsidRPr="00F9349E">
        <w:rPr>
          <w:rFonts w:cs="Times New Roman"/>
          <w:vertAlign w:val="baseline"/>
        </w:rPr>
        <w:t xml:space="preserve">Anthony A. Pezzola, </w:t>
      </w:r>
      <w:r w:rsidRPr="00F9349E">
        <w:rPr>
          <w:rFonts w:cs="Times New Roman"/>
          <w:vertAlign w:val="baseline"/>
        </w:rPr>
        <w:t>The Deep Roots of Protectionism in the Southern Cone:</w:t>
      </w:r>
      <w:r w:rsidRPr="00F9349E">
        <w:rPr>
          <w:rFonts w:cs="Times New Roman"/>
          <w:vertAlign w:val="baseline"/>
        </w:rPr>
        <w:t xml:space="preserve"> </w:t>
      </w:r>
      <w:r w:rsidRPr="00F9349E">
        <w:rPr>
          <w:rFonts w:cs="Times New Roman"/>
          <w:vertAlign w:val="baseline"/>
        </w:rPr>
        <w:t>Constituent Interests and Mercosur’s Common External Tariff</w:t>
      </w:r>
      <w:r w:rsidRPr="00F9349E">
        <w:rPr>
          <w:rFonts w:cs="Times New Roman"/>
          <w:vertAlign w:val="baseline"/>
        </w:rPr>
        <w:t xml:space="preserve">. </w:t>
      </w:r>
      <w:r w:rsidRPr="00F9349E">
        <w:rPr>
          <w:rFonts w:cs="Times New Roman"/>
          <w:i/>
          <w:vertAlign w:val="baseline"/>
        </w:rPr>
        <w:t>Latin American Politics and Society</w:t>
      </w:r>
      <w:r w:rsidRPr="00F9349E">
        <w:rPr>
          <w:rFonts w:cs="Times New Roman"/>
          <w:vertAlign w:val="baseline"/>
        </w:rPr>
        <w:t xml:space="preserve"> vol. 60, no. 4 (Winter 2018).</w:t>
      </w:r>
    </w:p>
    <w:p w:rsidR="0045575C" w:rsidRPr="00F9349E" w:rsidRDefault="0045575C" w:rsidP="0045575C">
      <w:pPr>
        <w:widowControl w:val="0"/>
        <w:spacing w:after="0" w:line="480" w:lineRule="auto"/>
        <w:rPr>
          <w:rFonts w:cs="Times New Roman"/>
          <w:vertAlign w:val="baseline"/>
        </w:rPr>
      </w:pPr>
    </w:p>
    <w:p w:rsidR="0045575C" w:rsidRPr="0045575C" w:rsidRDefault="0045575C" w:rsidP="0045575C">
      <w:pPr>
        <w:widowControl w:val="0"/>
        <w:spacing w:after="0" w:line="480" w:lineRule="auto"/>
        <w:rPr>
          <w:rFonts w:eastAsia="Calibri" w:cs="Times New Roman"/>
          <w:b/>
          <w:kern w:val="0"/>
          <w:vertAlign w:val="baseline"/>
        </w:rPr>
      </w:pPr>
    </w:p>
    <w:p w:rsidR="0045575C" w:rsidRPr="0045575C" w:rsidRDefault="0045575C" w:rsidP="0045575C">
      <w:pPr>
        <w:widowControl w:val="0"/>
        <w:spacing w:after="0" w:line="480" w:lineRule="auto"/>
        <w:jc w:val="center"/>
        <w:rPr>
          <w:rFonts w:eastAsia="Calibri" w:cs="Times New Roman"/>
          <w:b/>
          <w:smallCaps/>
          <w:kern w:val="0"/>
          <w:vertAlign w:val="baseline"/>
        </w:rPr>
      </w:pPr>
      <w:r w:rsidRPr="0045575C">
        <w:rPr>
          <w:rFonts w:eastAsia="Calibri" w:cs="Times New Roman"/>
          <w:b/>
          <w:smallCaps/>
          <w:kern w:val="0"/>
          <w:vertAlign w:val="baseline"/>
        </w:rPr>
        <w:t>Web Appendix</w:t>
      </w:r>
    </w:p>
    <w:p w:rsidR="0045575C" w:rsidRPr="0045575C" w:rsidRDefault="0045575C" w:rsidP="0045575C">
      <w:pPr>
        <w:widowControl w:val="0"/>
        <w:spacing w:after="0" w:line="480" w:lineRule="auto"/>
        <w:jc w:val="center"/>
        <w:rPr>
          <w:rFonts w:eastAsia="Calibri" w:cs="Times New Roman"/>
          <w:b/>
          <w:kern w:val="0"/>
          <w:vertAlign w:val="baseline"/>
        </w:rPr>
      </w:pPr>
    </w:p>
    <w:p w:rsidR="0045575C" w:rsidRPr="0045575C" w:rsidRDefault="0045575C" w:rsidP="0045575C">
      <w:pPr>
        <w:widowControl w:val="0"/>
        <w:numPr>
          <w:ilvl w:val="0"/>
          <w:numId w:val="1"/>
        </w:numPr>
        <w:spacing w:after="0" w:line="480" w:lineRule="auto"/>
        <w:contextualSpacing/>
        <w:rPr>
          <w:rFonts w:eastAsia="Times New Roman" w:cs="Times New Roman"/>
          <w:kern w:val="0"/>
          <w:vertAlign w:val="baseline"/>
          <w:lang w:eastAsia="es-ES"/>
        </w:rPr>
      </w:pPr>
      <w:r w:rsidRPr="0045575C">
        <w:rPr>
          <w:rFonts w:eastAsia="Batang" w:cs="Times New Roman"/>
          <w:kern w:val="0"/>
          <w:vertAlign w:val="baseline"/>
          <w:lang w:val="en-GB" w:eastAsia="ko-KR"/>
        </w:rPr>
        <w:t>Descriptive Statistics</w:t>
      </w:r>
    </w:p>
    <w:p w:rsidR="0045575C" w:rsidRPr="0045575C" w:rsidRDefault="0045575C" w:rsidP="0045575C">
      <w:pPr>
        <w:widowControl w:val="0"/>
        <w:numPr>
          <w:ilvl w:val="0"/>
          <w:numId w:val="1"/>
        </w:numPr>
        <w:spacing w:after="0" w:line="480" w:lineRule="auto"/>
        <w:contextualSpacing/>
        <w:rPr>
          <w:rFonts w:eastAsia="Times New Roman" w:cs="Times New Roman"/>
          <w:kern w:val="0"/>
          <w:vertAlign w:val="baseline"/>
          <w:lang w:eastAsia="es-ES"/>
        </w:rPr>
      </w:pPr>
      <w:r w:rsidRPr="0045575C">
        <w:rPr>
          <w:rFonts w:eastAsia="Batang" w:cs="Times New Roman"/>
          <w:kern w:val="0"/>
          <w:vertAlign w:val="baseline"/>
          <w:lang w:val="en-GB" w:eastAsia="ko-KR"/>
        </w:rPr>
        <w:t>List of industries included in models</w:t>
      </w:r>
    </w:p>
    <w:p w:rsidR="0045575C" w:rsidRPr="0045575C" w:rsidRDefault="0045575C" w:rsidP="0045575C">
      <w:pPr>
        <w:widowControl w:val="0"/>
        <w:numPr>
          <w:ilvl w:val="0"/>
          <w:numId w:val="1"/>
        </w:numPr>
        <w:spacing w:after="0" w:line="480" w:lineRule="auto"/>
        <w:contextualSpacing/>
        <w:jc w:val="both"/>
        <w:outlineLvl w:val="0"/>
        <w:rPr>
          <w:rFonts w:eastAsia="Times New Roman" w:cs="Times New Roman"/>
          <w:kern w:val="0"/>
          <w:vertAlign w:val="baseline"/>
          <w:lang w:val="en-GB" w:eastAsia="es-ES"/>
        </w:rPr>
      </w:pPr>
      <w:r w:rsidRPr="0045575C">
        <w:rPr>
          <w:rFonts w:eastAsia="Times New Roman" w:cs="Times New Roman"/>
          <w:kern w:val="0"/>
          <w:vertAlign w:val="baseline"/>
          <w:lang w:val="en-GB" w:eastAsia="es-ES"/>
        </w:rPr>
        <w:t>Discussion of the Variable Subnational Production</w:t>
      </w:r>
    </w:p>
    <w:p w:rsidR="0045575C" w:rsidRPr="0045575C" w:rsidRDefault="0045575C" w:rsidP="0045575C">
      <w:pPr>
        <w:widowControl w:val="0"/>
        <w:numPr>
          <w:ilvl w:val="0"/>
          <w:numId w:val="1"/>
        </w:numPr>
        <w:spacing w:after="0" w:line="480" w:lineRule="auto"/>
        <w:contextualSpacing/>
        <w:jc w:val="both"/>
        <w:outlineLvl w:val="0"/>
        <w:rPr>
          <w:rFonts w:eastAsia="Times New Roman" w:cs="Times New Roman"/>
          <w:kern w:val="0"/>
          <w:vertAlign w:val="baseline"/>
          <w:lang w:val="en-GB" w:eastAsia="es-ES"/>
        </w:rPr>
      </w:pPr>
      <w:r w:rsidRPr="0045575C">
        <w:rPr>
          <w:rFonts w:eastAsia="Times New Roman" w:cs="Times New Roman"/>
          <w:kern w:val="0"/>
          <w:vertAlign w:val="baseline"/>
          <w:lang w:val="en-GB" w:eastAsia="es-ES"/>
        </w:rPr>
        <w:t xml:space="preserve">Alternative Specifications of </w:t>
      </w:r>
      <w:r w:rsidRPr="0045575C">
        <w:rPr>
          <w:rFonts w:eastAsia="Times New Roman" w:cs="Times New Roman"/>
          <w:noProof/>
          <w:kern w:val="0"/>
          <w:position w:val="-12"/>
          <w:vertAlign w:val="baseline"/>
        </w:rPr>
        <w:drawing>
          <wp:inline distT="0" distB="0" distL="0" distR="0" wp14:anchorId="65D6D054" wp14:editId="7D030D04">
            <wp:extent cx="1905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45575C" w:rsidRPr="0045575C" w:rsidRDefault="0045575C" w:rsidP="0045575C">
      <w:pPr>
        <w:widowControl w:val="0"/>
        <w:numPr>
          <w:ilvl w:val="0"/>
          <w:numId w:val="1"/>
        </w:numPr>
        <w:spacing w:after="0" w:line="480" w:lineRule="auto"/>
        <w:contextualSpacing/>
        <w:jc w:val="both"/>
        <w:outlineLvl w:val="0"/>
        <w:rPr>
          <w:rFonts w:eastAsia="Times New Roman" w:cs="Times New Roman"/>
          <w:kern w:val="0"/>
          <w:vertAlign w:val="baseline"/>
          <w:lang w:val="en-GB" w:eastAsia="es-ES"/>
        </w:rPr>
      </w:pPr>
      <w:r w:rsidRPr="0045575C">
        <w:rPr>
          <w:rFonts w:eastAsia="Times New Roman" w:cs="Times New Roman"/>
          <w:kern w:val="0"/>
          <w:vertAlign w:val="baseline"/>
          <w:lang w:val="en-GB" w:eastAsia="es-ES"/>
        </w:rPr>
        <w:t>Model fits for different weights of</w:t>
      </w:r>
      <w:r w:rsidRPr="0045575C">
        <w:rPr>
          <w:rFonts w:eastAsia="Times New Roman" w:cs="Times New Roman"/>
          <w:color w:val="365F91"/>
          <w:kern w:val="0"/>
          <w:vertAlign w:val="baseline"/>
          <w:lang w:val="en-GB" w:eastAsia="es-ES"/>
        </w:rPr>
        <w:t xml:space="preserve"> </w:t>
      </w:r>
      <w:r w:rsidRPr="0045575C">
        <w:rPr>
          <w:rFonts w:eastAsia="Times New Roman" w:cs="Times New Roman"/>
          <w:noProof/>
          <w:color w:val="365F91"/>
          <w:kern w:val="0"/>
          <w:position w:val="-12"/>
          <w:vertAlign w:val="baseline"/>
        </w:rPr>
        <w:drawing>
          <wp:inline distT="0" distB="0" distL="0" distR="0" wp14:anchorId="79173EDF" wp14:editId="0BD3EAEC">
            <wp:extent cx="1905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45575C" w:rsidRPr="00F9349E" w:rsidRDefault="0045575C" w:rsidP="0045575C">
      <w:pPr>
        <w:widowControl w:val="0"/>
        <w:spacing w:after="0" w:line="480" w:lineRule="auto"/>
        <w:rPr>
          <w:rFonts w:eastAsia="Calibri" w:cs="Times New Roman"/>
          <w:b/>
          <w:kern w:val="0"/>
          <w:vertAlign w:val="baseline"/>
        </w:rPr>
      </w:pPr>
      <w:r w:rsidRPr="0045575C">
        <w:rPr>
          <w:rFonts w:eastAsia="Calibri" w:cs="Times New Roman"/>
          <w:b/>
          <w:kern w:val="0"/>
          <w:vertAlign w:val="baseline"/>
        </w:rPr>
        <w:br w:type="page"/>
      </w:r>
    </w:p>
    <w:p w:rsidR="00D0637D" w:rsidRPr="00F9349E" w:rsidRDefault="00D0637D" w:rsidP="0045575C">
      <w:pPr>
        <w:widowControl w:val="0"/>
        <w:spacing w:after="0" w:line="480" w:lineRule="auto"/>
        <w:rPr>
          <w:rFonts w:eastAsia="Calibri" w:cs="Times New Roman"/>
          <w:b/>
          <w:kern w:val="0"/>
          <w:vertAlign w:val="baseline"/>
        </w:rPr>
      </w:pPr>
    </w:p>
    <w:p w:rsidR="00D0637D" w:rsidRPr="00D0637D" w:rsidRDefault="00D0637D" w:rsidP="00D0637D">
      <w:pPr>
        <w:rPr>
          <w:rFonts w:eastAsia="Calibri" w:cs="Times New Roman"/>
          <w:b/>
          <w:kern w:val="0"/>
          <w:vertAlign w:val="baseline"/>
        </w:rPr>
      </w:pPr>
    </w:p>
    <w:tbl>
      <w:tblPr>
        <w:tblW w:w="10643" w:type="dxa"/>
        <w:jc w:val="center"/>
        <w:tblLayout w:type="fixed"/>
        <w:tblCellMar>
          <w:left w:w="29" w:type="dxa"/>
          <w:right w:w="29" w:type="dxa"/>
        </w:tblCellMar>
        <w:tblLook w:val="0000" w:firstRow="0" w:lastRow="0" w:firstColumn="0" w:lastColumn="0" w:noHBand="0" w:noVBand="0"/>
      </w:tblPr>
      <w:tblGrid>
        <w:gridCol w:w="2885"/>
        <w:gridCol w:w="142"/>
        <w:gridCol w:w="1298"/>
        <w:gridCol w:w="1498"/>
        <w:gridCol w:w="1559"/>
        <w:gridCol w:w="1701"/>
        <w:gridCol w:w="1560"/>
      </w:tblGrid>
      <w:tr w:rsidR="00D0637D" w:rsidRPr="00D0637D" w:rsidTr="00722DFD">
        <w:trPr>
          <w:trHeight w:val="546"/>
          <w:jc w:val="center"/>
        </w:trPr>
        <w:tc>
          <w:tcPr>
            <w:tcW w:w="10643" w:type="dxa"/>
            <w:gridSpan w:val="7"/>
            <w:tcBorders>
              <w:bottom w:val="single" w:sz="4" w:space="0" w:color="auto"/>
            </w:tcBorders>
            <w:shd w:val="clear" w:color="auto" w:fill="auto"/>
            <w:noWrap/>
            <w:tcMar>
              <w:left w:w="28" w:type="dxa"/>
              <w:right w:w="28" w:type="dxa"/>
            </w:tcMar>
            <w:vAlign w:val="bottom"/>
          </w:tcPr>
          <w:p w:rsidR="00D0637D" w:rsidRPr="00D0637D" w:rsidRDefault="00D0637D" w:rsidP="00D0637D">
            <w:pPr>
              <w:spacing w:after="0" w:line="480" w:lineRule="auto"/>
              <w:rPr>
                <w:rFonts w:eastAsia="Batang" w:cs="Times New Roman"/>
                <w:b/>
                <w:color w:val="000000"/>
                <w:kern w:val="0"/>
                <w:vertAlign w:val="baseline"/>
                <w:lang w:val="en-GB" w:eastAsia="ko-KR"/>
              </w:rPr>
            </w:pPr>
            <w:bookmarkStart w:id="0" w:name="DescriptiveStatistics"/>
            <w:r w:rsidRPr="00D0637D">
              <w:rPr>
                <w:rFonts w:eastAsia="Batang" w:cs="Times New Roman"/>
                <w:b/>
                <w:color w:val="000000"/>
                <w:kern w:val="0"/>
                <w:vertAlign w:val="baseline"/>
                <w:lang w:val="en-GB" w:eastAsia="ko-KR"/>
              </w:rPr>
              <w:t>Descriptive Statistics</w:t>
            </w:r>
            <w:bookmarkEnd w:id="0"/>
          </w:p>
        </w:tc>
      </w:tr>
      <w:tr w:rsidR="00D0637D" w:rsidRPr="00D0637D" w:rsidTr="00722DFD">
        <w:trPr>
          <w:trHeight w:val="257"/>
          <w:jc w:val="center"/>
        </w:trPr>
        <w:tc>
          <w:tcPr>
            <w:tcW w:w="2885" w:type="dxa"/>
            <w:tcBorders>
              <w:top w:val="single" w:sz="4" w:space="0" w:color="auto"/>
            </w:tcBorders>
            <w:shd w:val="clear" w:color="auto" w:fill="auto"/>
            <w:noWrap/>
            <w:tcMar>
              <w:left w:w="0" w:type="dxa"/>
              <w:right w:w="0" w:type="dxa"/>
            </w:tcMar>
            <w:vAlign w:val="bottom"/>
          </w:tcPr>
          <w:p w:rsidR="00D0637D" w:rsidRPr="00D0637D" w:rsidRDefault="00D0637D" w:rsidP="00D0637D">
            <w:pPr>
              <w:spacing w:after="0" w:line="480" w:lineRule="auto"/>
              <w:rPr>
                <w:rFonts w:eastAsia="Batang" w:cs="Times New Roman"/>
                <w:b/>
                <w:color w:val="000000"/>
                <w:kern w:val="0"/>
                <w:vertAlign w:val="baseline"/>
                <w:lang w:val="en-GB" w:eastAsia="ko-KR"/>
              </w:rPr>
            </w:pPr>
            <w:r w:rsidRPr="00D0637D">
              <w:rPr>
                <w:rFonts w:eastAsia="Batang" w:cs="Times New Roman"/>
                <w:b/>
                <w:color w:val="000000"/>
                <w:kern w:val="0"/>
                <w:vertAlign w:val="baseline"/>
                <w:lang w:val="en-GB" w:eastAsia="ko-KR"/>
              </w:rPr>
              <w:t>Variable</w:t>
            </w:r>
          </w:p>
        </w:tc>
        <w:tc>
          <w:tcPr>
            <w:tcW w:w="142" w:type="dxa"/>
            <w:tcBorders>
              <w:top w:val="single" w:sz="4" w:space="0" w:color="auto"/>
            </w:tcBorders>
            <w:shd w:val="clear" w:color="auto" w:fill="auto"/>
            <w:noWrap/>
            <w:tcMar>
              <w:left w:w="28" w:type="dxa"/>
              <w:right w:w="28" w:type="dxa"/>
            </w:tcMar>
            <w:vAlign w:val="bottom"/>
          </w:tcPr>
          <w:p w:rsidR="00D0637D" w:rsidRPr="00D0637D" w:rsidRDefault="00D0637D" w:rsidP="00D0637D">
            <w:pPr>
              <w:spacing w:after="0" w:line="480" w:lineRule="auto"/>
              <w:rPr>
                <w:rFonts w:eastAsia="Batang" w:cs="Times New Roman"/>
                <w:b/>
                <w:color w:val="000000"/>
                <w:kern w:val="0"/>
                <w:vertAlign w:val="baseline"/>
                <w:lang w:val="en-GB" w:eastAsia="ko-KR"/>
              </w:rPr>
            </w:pPr>
          </w:p>
        </w:tc>
        <w:tc>
          <w:tcPr>
            <w:tcW w:w="7616" w:type="dxa"/>
            <w:gridSpan w:val="5"/>
            <w:tcBorders>
              <w:top w:val="single" w:sz="4" w:space="0" w:color="auto"/>
            </w:tcBorders>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b/>
                <w:color w:val="000000"/>
                <w:kern w:val="0"/>
                <w:vertAlign w:val="baseline"/>
                <w:lang w:val="en-GB" w:eastAsia="ko-KR"/>
              </w:rPr>
            </w:pPr>
            <w:r w:rsidRPr="00D0637D">
              <w:rPr>
                <w:rFonts w:eastAsia="Batang" w:cs="Times New Roman"/>
                <w:b/>
                <w:color w:val="000000"/>
                <w:kern w:val="0"/>
                <w:vertAlign w:val="baseline"/>
                <w:lang w:val="en-GB" w:eastAsia="ko-KR"/>
              </w:rPr>
              <w:t>Calculation</w:t>
            </w:r>
          </w:p>
        </w:tc>
      </w:tr>
      <w:tr w:rsidR="00D0637D" w:rsidRPr="00D0637D" w:rsidTr="00722DFD">
        <w:trPr>
          <w:trHeight w:val="257"/>
          <w:jc w:val="center"/>
        </w:trPr>
        <w:tc>
          <w:tcPr>
            <w:tcW w:w="2885" w:type="dxa"/>
            <w:shd w:val="clear" w:color="auto" w:fill="auto"/>
            <w:noWrap/>
            <w:tcMar>
              <w:left w:w="0" w:type="dxa"/>
              <w:right w:w="0" w:type="dxa"/>
            </w:tcMar>
            <w:vAlign w:val="bottom"/>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tcBorders>
              <w:bottom w:val="single" w:sz="4" w:space="0" w:color="auto"/>
            </w:tcBorders>
            <w:shd w:val="clear" w:color="auto" w:fill="auto"/>
            <w:noWrap/>
            <w:tcMar>
              <w:left w:w="28" w:type="dxa"/>
              <w:right w:w="28" w:type="dxa"/>
            </w:tcMar>
            <w:vAlign w:val="center"/>
          </w:tcPr>
          <w:p w:rsidR="00D0637D" w:rsidRPr="00D0637D" w:rsidRDefault="00D0637D" w:rsidP="00D0637D">
            <w:pPr>
              <w:spacing w:after="0" w:line="480" w:lineRule="auto"/>
              <w:jc w:val="center"/>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Min</w:t>
            </w:r>
          </w:p>
        </w:tc>
        <w:tc>
          <w:tcPr>
            <w:tcW w:w="1498" w:type="dxa"/>
            <w:tcBorders>
              <w:bottom w:val="single" w:sz="4" w:space="0" w:color="auto"/>
            </w:tcBorders>
            <w:shd w:val="clear" w:color="auto" w:fill="auto"/>
            <w:vAlign w:val="center"/>
          </w:tcPr>
          <w:p w:rsidR="00D0637D" w:rsidRPr="00D0637D" w:rsidRDefault="00D0637D" w:rsidP="00D0637D">
            <w:pPr>
              <w:spacing w:after="0" w:line="480" w:lineRule="auto"/>
              <w:jc w:val="center"/>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w:t>
            </w:r>
            <w:r w:rsidRPr="00D0637D">
              <w:rPr>
                <w:rFonts w:eastAsia="Batang" w:cs="Times New Roman"/>
                <w:color w:val="000000"/>
                <w:kern w:val="0"/>
                <w:lang w:val="en-GB" w:eastAsia="ko-KR"/>
              </w:rPr>
              <w:t>st</w:t>
            </w:r>
            <w:r w:rsidRPr="00D0637D">
              <w:rPr>
                <w:rFonts w:eastAsia="Batang" w:cs="Times New Roman"/>
                <w:color w:val="000000"/>
                <w:kern w:val="0"/>
                <w:vertAlign w:val="baseline"/>
                <w:lang w:val="en-GB" w:eastAsia="ko-KR"/>
              </w:rPr>
              <w:t xml:space="preserve"> Qu.</w:t>
            </w:r>
          </w:p>
        </w:tc>
        <w:tc>
          <w:tcPr>
            <w:tcW w:w="1559" w:type="dxa"/>
            <w:tcBorders>
              <w:bottom w:val="single" w:sz="4" w:space="0" w:color="auto"/>
            </w:tcBorders>
            <w:shd w:val="clear" w:color="auto" w:fill="auto"/>
            <w:vAlign w:val="center"/>
          </w:tcPr>
          <w:p w:rsidR="00D0637D" w:rsidRPr="00D0637D" w:rsidRDefault="00D0637D" w:rsidP="00D0637D">
            <w:pPr>
              <w:spacing w:after="0" w:line="480" w:lineRule="auto"/>
              <w:jc w:val="center"/>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Mean</w:t>
            </w:r>
          </w:p>
        </w:tc>
        <w:tc>
          <w:tcPr>
            <w:tcW w:w="1701" w:type="dxa"/>
            <w:tcBorders>
              <w:bottom w:val="single" w:sz="4" w:space="0" w:color="auto"/>
            </w:tcBorders>
            <w:shd w:val="clear" w:color="auto" w:fill="auto"/>
            <w:vAlign w:val="center"/>
          </w:tcPr>
          <w:p w:rsidR="00D0637D" w:rsidRPr="00D0637D" w:rsidRDefault="00D0637D" w:rsidP="00D0637D">
            <w:pPr>
              <w:spacing w:after="0" w:line="480" w:lineRule="auto"/>
              <w:jc w:val="center"/>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3</w:t>
            </w:r>
            <w:r w:rsidRPr="00D0637D">
              <w:rPr>
                <w:rFonts w:eastAsia="Batang" w:cs="Times New Roman"/>
                <w:color w:val="000000"/>
                <w:kern w:val="0"/>
                <w:lang w:val="en-GB" w:eastAsia="ko-KR"/>
              </w:rPr>
              <w:t>rd</w:t>
            </w:r>
            <w:r w:rsidRPr="00D0637D">
              <w:rPr>
                <w:rFonts w:eastAsia="Batang" w:cs="Times New Roman"/>
                <w:color w:val="000000"/>
                <w:kern w:val="0"/>
                <w:vertAlign w:val="baseline"/>
                <w:lang w:val="en-GB" w:eastAsia="ko-KR"/>
              </w:rPr>
              <w:t xml:space="preserve"> Qu.</w:t>
            </w:r>
          </w:p>
        </w:tc>
        <w:tc>
          <w:tcPr>
            <w:tcW w:w="1560" w:type="dxa"/>
            <w:tcBorders>
              <w:bottom w:val="single" w:sz="4" w:space="0" w:color="auto"/>
            </w:tcBorders>
            <w:shd w:val="clear" w:color="auto" w:fill="auto"/>
            <w:vAlign w:val="center"/>
          </w:tcPr>
          <w:p w:rsidR="00D0637D" w:rsidRPr="00D0637D" w:rsidRDefault="00D0637D" w:rsidP="00D0637D">
            <w:pPr>
              <w:spacing w:after="0" w:line="480" w:lineRule="auto"/>
              <w:jc w:val="center"/>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Max</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CET</w:t>
            </w:r>
            <w:r w:rsidRPr="00D0637D">
              <w:rPr>
                <w:rFonts w:eastAsia="Batang" w:cs="Times New Roman"/>
                <w:i/>
                <w:color w:val="000000"/>
                <w:kern w:val="0"/>
                <w:vertAlign w:val="subscript"/>
                <w:lang w:val="en-GB" w:eastAsia="ko-KR"/>
              </w:rPr>
              <w:t>p</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tcBorders>
              <w:top w:val="single" w:sz="4" w:space="0" w:color="auto"/>
            </w:tcBorders>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 xml:space="preserve">    0</w:t>
            </w:r>
            <w:r w:rsidRPr="00D0637D">
              <w:rPr>
                <w:rFonts w:eastAsia="Batang" w:cs="Times New Roman"/>
                <w:color w:val="FFFFFF"/>
                <w:kern w:val="0"/>
                <w:vertAlign w:val="baseline"/>
                <w:lang w:val="en-GB" w:eastAsia="ko-KR"/>
              </w:rPr>
              <w:t>.000</w:t>
            </w:r>
          </w:p>
        </w:tc>
        <w:tc>
          <w:tcPr>
            <w:tcW w:w="1498" w:type="dxa"/>
            <w:tcBorders>
              <w:top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6.00</w:t>
            </w:r>
            <w:r w:rsidRPr="00D0637D">
              <w:rPr>
                <w:rFonts w:eastAsia="Calibri" w:cs="Times New Roman"/>
                <w:color w:val="FFFFFF"/>
                <w:kern w:val="0"/>
                <w:vertAlign w:val="baseline"/>
                <w:lang w:val="en-GB"/>
              </w:rPr>
              <w:t>0</w:t>
            </w:r>
          </w:p>
        </w:tc>
        <w:tc>
          <w:tcPr>
            <w:tcW w:w="1559" w:type="dxa"/>
            <w:tcBorders>
              <w:top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11.39</w:t>
            </w:r>
            <w:r w:rsidRPr="00D0637D">
              <w:rPr>
                <w:rFonts w:eastAsia="Calibri" w:cs="Times New Roman"/>
                <w:color w:val="FFFFFF"/>
                <w:kern w:val="0"/>
                <w:vertAlign w:val="baseline"/>
                <w:lang w:val="en-GB"/>
              </w:rPr>
              <w:t>0</w:t>
            </w:r>
            <w:r w:rsidRPr="00D0637D">
              <w:rPr>
                <w:rFonts w:eastAsia="Batang" w:cs="Times New Roman"/>
                <w:color w:val="000000"/>
                <w:kern w:val="0"/>
                <w:vertAlign w:val="baseline"/>
                <w:lang w:val="en-GB" w:eastAsia="ko-KR"/>
              </w:rPr>
              <w:t xml:space="preserve"> </w:t>
            </w:r>
          </w:p>
        </w:tc>
        <w:tc>
          <w:tcPr>
            <w:tcW w:w="1701" w:type="dxa"/>
            <w:tcBorders>
              <w:top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16.00</w:t>
            </w:r>
            <w:r w:rsidRPr="00D0637D">
              <w:rPr>
                <w:rFonts w:eastAsia="Calibri" w:cs="Times New Roman"/>
                <w:color w:val="FFFFFF"/>
                <w:kern w:val="0"/>
                <w:vertAlign w:val="baseline"/>
                <w:lang w:val="en-GB"/>
              </w:rPr>
              <w:t>0</w:t>
            </w:r>
          </w:p>
        </w:tc>
        <w:tc>
          <w:tcPr>
            <w:tcW w:w="1560" w:type="dxa"/>
            <w:tcBorders>
              <w:top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20</w:t>
            </w:r>
            <w:r w:rsidRPr="00D0637D">
              <w:rPr>
                <w:rFonts w:eastAsia="Batang" w:cs="Times New Roman"/>
                <w:color w:val="FFFFFF"/>
                <w:kern w:val="0"/>
                <w:vertAlign w:val="baseline"/>
                <w:lang w:val="en-GB" w:eastAsia="ko-KR"/>
              </w:rPr>
              <w:t>.000</w:t>
            </w:r>
          </w:p>
        </w:tc>
      </w:tr>
      <w:tr w:rsidR="00D0637D" w:rsidRPr="00D0637D" w:rsidTr="00722DFD">
        <w:trPr>
          <w:trHeight w:val="301"/>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subscript"/>
                <w:lang w:val="en-GB" w:eastAsia="ko-KR"/>
              </w:rPr>
            </w:pPr>
            <w:r w:rsidRPr="00D0637D">
              <w:rPr>
                <w:rFonts w:eastAsia="Batang" w:cs="Times New Roman"/>
                <w:color w:val="000000"/>
                <w:kern w:val="0"/>
                <w:vertAlign w:val="baseline"/>
                <w:lang w:val="en-GB" w:eastAsia="ko-KR"/>
              </w:rPr>
              <w:t>Production</w:t>
            </w:r>
            <w:r w:rsidRPr="00D0637D">
              <w:rPr>
                <w:rFonts w:eastAsia="Batang" w:cs="Times New Roman"/>
                <w:i/>
                <w:color w:val="000000"/>
                <w:kern w:val="0"/>
                <w:vertAlign w:val="subscript"/>
                <w:lang w:val="en-GB" w:eastAsia="ko-KR"/>
              </w:rPr>
              <w:t>i</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204,172</w:t>
            </w:r>
            <w:r w:rsidRPr="00D0637D">
              <w:rPr>
                <w:rFonts w:eastAsia="Batang" w:cs="Times New Roman"/>
                <w:color w:val="FFFFFF"/>
                <w:kern w:val="0"/>
                <w:vertAlign w:val="baseline"/>
                <w:lang w:val="en-GB" w:eastAsia="ko-KR"/>
              </w:rPr>
              <w:t>.000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1,284,427</w:t>
            </w:r>
            <w:r w:rsidRPr="00D0637D">
              <w:rPr>
                <w:rFonts w:eastAsia="Batang" w:cs="Times New Roman"/>
                <w:color w:val="FFFFFF"/>
                <w:kern w:val="0"/>
                <w:vertAlign w:val="baseline"/>
                <w:lang w:val="en-GB" w:eastAsia="ko-KR"/>
              </w:rPr>
              <w:t>.000</w:t>
            </w:r>
            <w:r w:rsidRPr="00D0637D">
              <w:rPr>
                <w:rFonts w:eastAsia="Calibri" w:cs="Times New Roman"/>
                <w:color w:val="FFFFFF"/>
                <w:kern w:val="0"/>
                <w:vertAlign w:val="baseline"/>
                <w:lang w:val="en-GB"/>
              </w:rPr>
              <w:t>.</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2,232,319</w:t>
            </w:r>
            <w:r w:rsidRPr="00D0637D">
              <w:rPr>
                <w:rFonts w:eastAsia="Batang" w:cs="Times New Roman"/>
                <w:color w:val="FFFFFF"/>
                <w:kern w:val="0"/>
                <w:vertAlign w:val="baseline"/>
                <w:lang w:val="en-GB" w:eastAsia="ko-KR"/>
              </w:rPr>
              <w:t>.000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3,278,281</w:t>
            </w:r>
            <w:r w:rsidRPr="00D0637D">
              <w:rPr>
                <w:rFonts w:eastAsia="Batang" w:cs="Times New Roman"/>
                <w:color w:val="FFFFFF"/>
                <w:kern w:val="0"/>
                <w:vertAlign w:val="baseline"/>
                <w:lang w:val="en-GB" w:eastAsia="ko-KR"/>
              </w:rPr>
              <w:t>.000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7,139,620</w:t>
            </w:r>
            <w:r w:rsidRPr="00D0637D">
              <w:rPr>
                <w:rFonts w:eastAsia="Batang" w:cs="Times New Roman"/>
                <w:color w:val="FFFFFF"/>
                <w:kern w:val="0"/>
                <w:vertAlign w:val="baseline"/>
                <w:lang w:val="en-GB" w:eastAsia="ko-KR"/>
              </w:rPr>
              <w:t>.000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log(Production</w:t>
            </w:r>
            <w:r w:rsidRPr="00D0637D">
              <w:rPr>
                <w:rFonts w:eastAsia="Batang" w:cs="Times New Roman"/>
                <w:i/>
                <w:color w:val="000000"/>
                <w:kern w:val="0"/>
                <w:vertAlign w:val="subscript"/>
                <w:lang w:val="en-GB" w:eastAsia="ko-KR"/>
              </w:rPr>
              <w:t>i</w:t>
            </w:r>
            <w:r w:rsidRPr="00D0637D">
              <w:rPr>
                <w:rFonts w:eastAsia="Batang" w:cs="Times New Roman"/>
                <w:color w:val="000000"/>
                <w:kern w:val="0"/>
                <w:vertAlign w:val="baseline"/>
                <w:lang w:val="en-GB" w:eastAsia="ko-KR"/>
              </w:rPr>
              <w:t>)</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 xml:space="preserve">  12.23</w:t>
            </w:r>
            <w:r w:rsidRPr="00D0637D">
              <w:rPr>
                <w:rFonts w:eastAsia="Calibri" w:cs="Times New Roman"/>
                <w:color w:val="FFFFFF"/>
                <w:kern w:val="0"/>
                <w:vertAlign w:val="baseline"/>
                <w:lang w:val="en-GB"/>
              </w:rPr>
              <w:t>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14.07</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14.49</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15.00</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15.78</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Political Concentration</w:t>
            </w:r>
            <w:r w:rsidRPr="00D0637D">
              <w:rPr>
                <w:rFonts w:eastAsia="Batang" w:cs="Times New Roman"/>
                <w:i/>
                <w:color w:val="000000"/>
                <w:kern w:val="0"/>
                <w:vertAlign w:val="subscript"/>
                <w:lang w:val="en-GB" w:eastAsia="ko-KR"/>
              </w:rPr>
              <w:t>i</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 xml:space="preserve">  0.22</w:t>
            </w:r>
            <w:r w:rsidRPr="00D0637D">
              <w:rPr>
                <w:rFonts w:eastAsia="Calibri" w:cs="Times New Roman"/>
                <w:color w:val="FFFFFF"/>
                <w:kern w:val="0"/>
                <w:vertAlign w:val="baseline"/>
                <w:lang w:val="en-GB"/>
              </w:rPr>
              <w:t>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0.43</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0.49</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0.58</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0.79</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Subnational Production</w:t>
            </w:r>
            <w:r w:rsidRPr="00D0637D">
              <w:rPr>
                <w:rFonts w:eastAsia="Batang" w:cs="Times New Roman"/>
                <w:i/>
                <w:color w:val="000000"/>
                <w:kern w:val="0"/>
                <w:vertAlign w:val="subscript"/>
                <w:lang w:val="en-GB" w:eastAsia="ko-KR"/>
              </w:rPr>
              <w:t>i</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 xml:space="preserve">  3.28</w:t>
            </w:r>
            <w:r w:rsidRPr="00D0637D">
              <w:rPr>
                <w:rFonts w:eastAsia="Batang" w:cs="Times New Roman"/>
                <w:color w:val="FFFFFF"/>
                <w:kern w:val="0"/>
                <w:vertAlign w:val="baseline"/>
                <w:lang w:val="en-GB" w:eastAsia="ko-KR"/>
              </w:rPr>
              <w:t>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35.25</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59.05</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72.77</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242.50</w:t>
            </w:r>
            <w:r w:rsidRPr="00D0637D">
              <w:rPr>
                <w:rFonts w:eastAsia="Batang" w:cs="Times New Roman"/>
                <w:color w:val="FFFFFF"/>
                <w:kern w:val="0"/>
                <w:vertAlign w:val="baseline"/>
                <w:lang w:val="en-GB" w:eastAsia="ko-KR"/>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log(Subnational Production</w:t>
            </w:r>
            <w:r w:rsidRPr="00D0637D">
              <w:rPr>
                <w:rFonts w:eastAsia="Batang" w:cs="Times New Roman"/>
                <w:i/>
                <w:color w:val="000000"/>
                <w:kern w:val="0"/>
                <w:vertAlign w:val="subscript"/>
                <w:lang w:val="en-GB" w:eastAsia="ko-KR"/>
              </w:rPr>
              <w:t>i</w:t>
            </w:r>
            <w:r w:rsidRPr="00D0637D">
              <w:rPr>
                <w:rFonts w:eastAsia="Batang" w:cs="Times New Roman"/>
                <w:color w:val="000000"/>
                <w:kern w:val="0"/>
                <w:vertAlign w:val="baseline"/>
                <w:lang w:val="en-GB" w:eastAsia="ko-KR"/>
              </w:rPr>
              <w:t>)</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 xml:space="preserve">  1.19</w:t>
            </w:r>
            <w:r w:rsidRPr="00D0637D">
              <w:rPr>
                <w:rFonts w:eastAsia="Batang" w:cs="Times New Roman"/>
                <w:color w:val="FFFFFF"/>
                <w:kern w:val="0"/>
                <w:vertAlign w:val="baseline"/>
                <w:lang w:val="en-GB" w:eastAsia="ko-KR"/>
              </w:rPr>
              <w:t>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3.56</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3.97</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4.29</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5.49</w:t>
            </w:r>
            <w:r w:rsidRPr="00D0637D">
              <w:rPr>
                <w:rFonts w:eastAsia="Batang" w:cs="Times New Roman"/>
                <w:color w:val="FFFFFF"/>
                <w:kern w:val="0"/>
                <w:vertAlign w:val="baseline"/>
                <w:lang w:val="en-GB" w:eastAsia="ko-KR"/>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Wage</w:t>
            </w:r>
            <w:r w:rsidRPr="00D0637D">
              <w:rPr>
                <w:rFonts w:eastAsia="Batang" w:cs="Times New Roman"/>
                <w:i/>
                <w:color w:val="000000"/>
                <w:kern w:val="0"/>
                <w:vertAlign w:val="subscript"/>
                <w:lang w:val="en-GB" w:eastAsia="ko-KR"/>
              </w:rPr>
              <w:t>i</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449</w:t>
            </w:r>
            <w:r w:rsidRPr="00D0637D">
              <w:rPr>
                <w:rFonts w:eastAsia="Calibri" w:cs="Times New Roman"/>
                <w:color w:val="FFFFFF"/>
                <w:kern w:val="0"/>
                <w:vertAlign w:val="baseline"/>
                <w:lang w:val="en-GB"/>
              </w:rPr>
              <w:t>.670</w:t>
            </w:r>
          </w:p>
        </w:tc>
        <w:tc>
          <w:tcPr>
            <w:tcW w:w="1498"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3,769</w:t>
            </w:r>
            <w:r w:rsidRPr="00D0637D">
              <w:rPr>
                <w:rFonts w:eastAsia="Calibri" w:cs="Times New Roman"/>
                <w:color w:val="FFFFFF"/>
                <w:kern w:val="0"/>
                <w:vertAlign w:val="baseline"/>
                <w:lang w:val="en-GB"/>
              </w:rPr>
              <w:t>.930</w:t>
            </w:r>
          </w:p>
        </w:tc>
        <w:tc>
          <w:tcPr>
            <w:tcW w:w="1559"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6,267</w:t>
            </w:r>
            <w:r w:rsidRPr="00D0637D">
              <w:rPr>
                <w:rFonts w:eastAsia="Calibri" w:cs="Times New Roman"/>
                <w:color w:val="FFFFFF"/>
                <w:kern w:val="0"/>
                <w:vertAlign w:val="baseline"/>
                <w:lang w:val="en-GB"/>
              </w:rPr>
              <w:t>.800</w:t>
            </w:r>
          </w:p>
        </w:tc>
        <w:tc>
          <w:tcPr>
            <w:tcW w:w="1701"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7,615</w:t>
            </w:r>
            <w:r w:rsidRPr="00D0637D">
              <w:rPr>
                <w:rFonts w:eastAsia="Calibri" w:cs="Times New Roman"/>
                <w:color w:val="FFFFFF"/>
                <w:kern w:val="0"/>
                <w:vertAlign w:val="baseline"/>
                <w:lang w:val="en-GB"/>
              </w:rPr>
              <w:t>.730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2,070</w:t>
            </w:r>
            <w:r w:rsidRPr="00D0637D">
              <w:rPr>
                <w:rFonts w:eastAsia="Calibri" w:cs="Times New Roman"/>
                <w:color w:val="FFFFFF"/>
                <w:kern w:val="0"/>
                <w:vertAlign w:val="baseline"/>
                <w:lang w:val="en-GB"/>
              </w:rPr>
              <w:t>.240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lang w:val="en-GB" w:eastAsia="ko-KR"/>
              </w:rPr>
            </w:pPr>
            <w:r w:rsidRPr="00D0637D">
              <w:rPr>
                <w:rFonts w:eastAsia="Batang" w:cs="Times New Roman"/>
                <w:color w:val="000000"/>
                <w:kern w:val="0"/>
                <w:vertAlign w:val="baseline"/>
                <w:lang w:val="en-GB" w:eastAsia="ko-KR"/>
              </w:rPr>
              <w:t>log(Wage</w:t>
            </w:r>
            <w:r w:rsidRPr="00D0637D">
              <w:rPr>
                <w:rFonts w:eastAsia="Batang" w:cs="Times New Roman"/>
                <w:i/>
                <w:color w:val="000000"/>
                <w:kern w:val="0"/>
                <w:vertAlign w:val="subscript"/>
                <w:lang w:val="en-GB" w:eastAsia="ko-KR"/>
              </w:rPr>
              <w:t>i</w:t>
            </w:r>
            <w:r w:rsidRPr="00D0637D">
              <w:rPr>
                <w:rFonts w:eastAsia="Batang" w:cs="Times New Roman"/>
                <w:color w:val="000000"/>
                <w:kern w:val="0"/>
                <w:vertAlign w:val="baseline"/>
                <w:lang w:val="en-GB" w:eastAsia="ko-KR"/>
              </w:rPr>
              <w:t>)</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6.11</w:t>
            </w:r>
            <w:r w:rsidRPr="00D0637D">
              <w:rPr>
                <w:rFonts w:eastAsia="Calibri" w:cs="Times New Roman"/>
                <w:color w:val="FFFFFF"/>
                <w:kern w:val="0"/>
                <w:vertAlign w:val="baseline"/>
                <w:lang w:val="en-GB"/>
              </w:rPr>
              <w:t>0</w:t>
            </w:r>
          </w:p>
        </w:tc>
        <w:tc>
          <w:tcPr>
            <w:tcW w:w="1498"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8.23</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8.64</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8.94</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9.90</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lang w:val="en-GB" w:eastAsia="ko-KR"/>
              </w:rPr>
            </w:pPr>
            <w:r w:rsidRPr="00D0637D">
              <w:rPr>
                <w:rFonts w:eastAsia="Batang" w:cs="Times New Roman"/>
                <w:color w:val="000000"/>
                <w:kern w:val="0"/>
                <w:vertAlign w:val="baseline"/>
                <w:lang w:val="en-GB" w:eastAsia="ko-KR"/>
              </w:rPr>
              <w:t>Import Demand Elasticity</w:t>
            </w:r>
            <w:r w:rsidRPr="00D0637D">
              <w:rPr>
                <w:rFonts w:eastAsia="Batang" w:cs="Times New Roman"/>
                <w:i/>
                <w:color w:val="000000"/>
                <w:kern w:val="0"/>
                <w:vertAlign w:val="subscript"/>
                <w:lang w:val="en-GB" w:eastAsia="ko-KR"/>
              </w:rPr>
              <w:t>p</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Calibri" w:cs="Times New Roman"/>
                <w:color w:val="000000"/>
                <w:kern w:val="0"/>
                <w:vertAlign w:val="baseline"/>
                <w:lang w:val="en-GB"/>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-314.88</w:t>
            </w:r>
            <w:r w:rsidRPr="00D0637D">
              <w:rPr>
                <w:rFonts w:eastAsia="Calibri" w:cs="Times New Roman"/>
                <w:color w:val="FFFFFF"/>
                <w:kern w:val="0"/>
                <w:vertAlign w:val="baseline"/>
                <w:lang w:val="en-GB"/>
              </w:rPr>
              <w:t>0</w:t>
            </w:r>
          </w:p>
        </w:tc>
        <w:tc>
          <w:tcPr>
            <w:tcW w:w="1498"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-3.80</w:t>
            </w:r>
            <w:r w:rsidRPr="00D0637D">
              <w:rPr>
                <w:rFonts w:eastAsia="Calibri" w:cs="Times New Roman"/>
                <w:color w:val="FFFFFF"/>
                <w:kern w:val="0"/>
                <w:vertAlign w:val="baseline"/>
                <w:lang w:val="en-GB"/>
              </w:rPr>
              <w:t>0</w:t>
            </w:r>
          </w:p>
        </w:tc>
        <w:tc>
          <w:tcPr>
            <w:tcW w:w="1559"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-7.91</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Calibri" w:cs="Times New Roman"/>
                <w:color w:val="000000"/>
                <w:kern w:val="0"/>
                <w:vertAlign w:val="baseline"/>
                <w:lang w:val="en-GB"/>
              </w:rPr>
              <w:t>-0.38</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0.00</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Import Penetration</w:t>
            </w:r>
            <w:r w:rsidRPr="00D0637D">
              <w:rPr>
                <w:rFonts w:eastAsia="Batang" w:cs="Times New Roman"/>
                <w:i/>
                <w:color w:val="000000"/>
                <w:kern w:val="0"/>
                <w:vertAlign w:val="subscript"/>
                <w:lang w:val="en-GB" w:eastAsia="ko-KR"/>
              </w:rPr>
              <w:t>i</w:t>
            </w:r>
            <w:r w:rsidRPr="00D0637D">
              <w:rPr>
                <w:rFonts w:eastAsia="Batang" w:cs="Times New Roman"/>
                <w:color w:val="000000"/>
                <w:kern w:val="0"/>
                <w:vertAlign w:val="subscript"/>
                <w:lang w:val="en-GB" w:eastAsia="ko-KR"/>
              </w:rPr>
              <w:t xml:space="preserve"> </w:t>
            </w:r>
            <w:r w:rsidRPr="00D0637D">
              <w:rPr>
                <w:rFonts w:eastAsia="Batang" w:cs="Times New Roman"/>
                <w:color w:val="000000"/>
                <w:kern w:val="0"/>
                <w:vertAlign w:val="baseline"/>
                <w:lang w:val="en-GB" w:eastAsia="ko-KR"/>
              </w:rPr>
              <w:t xml:space="preserve"> </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0.000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0.000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0.04</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0.01</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0.31</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Intra-industry Trade</w:t>
            </w:r>
            <w:r w:rsidRPr="00D0637D">
              <w:rPr>
                <w:rFonts w:eastAsia="Batang" w:cs="Times New Roman"/>
                <w:i/>
                <w:color w:val="000000"/>
                <w:kern w:val="0"/>
                <w:vertAlign w:val="subscript"/>
                <w:lang w:val="en-GB" w:eastAsia="ko-KR"/>
              </w:rPr>
              <w:t>o</w:t>
            </w:r>
            <w:r w:rsidRPr="00D0637D">
              <w:rPr>
                <w:rFonts w:eastAsia="Batang" w:cs="Times New Roman"/>
                <w:color w:val="000000"/>
                <w:kern w:val="0"/>
                <w:vertAlign w:val="baseline"/>
                <w:lang w:val="en-GB" w:eastAsia="ko-KR"/>
              </w:rPr>
              <w:t xml:space="preserve"> </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0.000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0.000</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0.05</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0.01</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0.96</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shd w:val="clear" w:color="auto" w:fill="auto"/>
            <w:noWrap/>
            <w:tcMar>
              <w:left w:w="0" w:type="dxa"/>
              <w:right w:w="0" w:type="dxa"/>
            </w:tcMar>
          </w:tcPr>
          <w:p w:rsidR="00D0637D" w:rsidRPr="00D0637D" w:rsidRDefault="00D0637D" w:rsidP="00D0637D">
            <w:pPr>
              <w:spacing w:after="0" w:line="480" w:lineRule="auto"/>
              <w:ind w:left="360" w:hanging="360"/>
              <w:rPr>
                <w:rFonts w:eastAsia="Batang" w:cs="Times New Roman"/>
                <w:iCs/>
                <w:color w:val="000000"/>
                <w:kern w:val="0"/>
                <w:vertAlign w:val="baseline"/>
                <w:lang w:val="en-GB" w:eastAsia="ko-KR"/>
              </w:rPr>
            </w:pPr>
            <w:r w:rsidRPr="00D0637D">
              <w:rPr>
                <w:rFonts w:eastAsia="Batang" w:cs="Times New Roman"/>
                <w:color w:val="000000"/>
                <w:kern w:val="0"/>
                <w:vertAlign w:val="baseline"/>
                <w:lang w:val="en-GB" w:eastAsia="ko-KR"/>
              </w:rPr>
              <w:t>Revealed Comparative Advantage</w:t>
            </w:r>
            <w:r w:rsidRPr="00D0637D">
              <w:rPr>
                <w:rFonts w:eastAsia="Batang" w:cs="Times New Roman"/>
                <w:i/>
                <w:color w:val="000000"/>
                <w:kern w:val="0"/>
                <w:vertAlign w:val="subscript"/>
                <w:lang w:val="en-GB" w:eastAsia="ko-KR"/>
              </w:rPr>
              <w:t>p</w:t>
            </w:r>
            <w:r w:rsidRPr="00D0637D">
              <w:rPr>
                <w:rFonts w:eastAsia="Batang" w:cs="Times New Roman"/>
                <w:iCs/>
                <w:color w:val="000000"/>
                <w:kern w:val="0"/>
                <w:vertAlign w:val="baseline"/>
                <w:lang w:val="en-GB" w:eastAsia="ko-KR"/>
              </w:rPr>
              <w:t xml:space="preserve"> (RCA</w:t>
            </w:r>
            <w:r w:rsidRPr="00D0637D">
              <w:rPr>
                <w:rFonts w:eastAsia="Batang" w:cs="Times New Roman"/>
                <w:i/>
                <w:color w:val="000000"/>
                <w:kern w:val="0"/>
                <w:vertAlign w:val="subscript"/>
                <w:lang w:val="en-GB" w:eastAsia="ko-KR"/>
              </w:rPr>
              <w:t>p</w:t>
            </w:r>
            <w:r w:rsidRPr="00D0637D">
              <w:rPr>
                <w:rFonts w:eastAsia="Batang" w:cs="Times New Roman"/>
                <w:iCs/>
                <w:color w:val="000000"/>
                <w:kern w:val="0"/>
                <w:vertAlign w:val="baseline"/>
                <w:lang w:val="en-GB" w:eastAsia="ko-KR"/>
              </w:rPr>
              <w:t>)</w:t>
            </w:r>
          </w:p>
        </w:tc>
        <w:tc>
          <w:tcPr>
            <w:tcW w:w="142" w:type="dxa"/>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0.000</w:t>
            </w:r>
          </w:p>
        </w:tc>
        <w:tc>
          <w:tcPr>
            <w:tcW w:w="1498"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0.153</w:t>
            </w:r>
          </w:p>
        </w:tc>
        <w:tc>
          <w:tcPr>
            <w:tcW w:w="1559"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1.26</w:t>
            </w:r>
            <w:r w:rsidRPr="00D0637D">
              <w:rPr>
                <w:rFonts w:eastAsia="Calibri" w:cs="Times New Roman"/>
                <w:color w:val="FFFFFF"/>
                <w:kern w:val="0"/>
                <w:vertAlign w:val="baseline"/>
                <w:lang w:val="en-GB"/>
              </w:rPr>
              <w:t>0</w:t>
            </w:r>
          </w:p>
        </w:tc>
        <w:tc>
          <w:tcPr>
            <w:tcW w:w="1701"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0.53</w:t>
            </w:r>
            <w:r w:rsidRPr="00D0637D">
              <w:rPr>
                <w:rFonts w:eastAsia="Calibri" w:cs="Times New Roman"/>
                <w:color w:val="FFFFFF"/>
                <w:kern w:val="0"/>
                <w:vertAlign w:val="baseline"/>
                <w:lang w:val="en-GB"/>
              </w:rPr>
              <w:t>0</w:t>
            </w:r>
          </w:p>
        </w:tc>
        <w:tc>
          <w:tcPr>
            <w:tcW w:w="1560" w:type="dxa"/>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132.78</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2885" w:type="dxa"/>
            <w:tcBorders>
              <w:bottom w:val="single" w:sz="4" w:space="0" w:color="auto"/>
            </w:tcBorders>
            <w:shd w:val="clear" w:color="auto" w:fill="auto"/>
            <w:noWrap/>
            <w:tcMar>
              <w:left w:w="0" w:type="dxa"/>
              <w:right w:w="0" w:type="dxa"/>
            </w:tcMar>
          </w:tcPr>
          <w:p w:rsidR="00D0637D" w:rsidRPr="00D0637D" w:rsidRDefault="00D0637D" w:rsidP="00D0637D">
            <w:pPr>
              <w:spacing w:after="0" w:line="480" w:lineRule="auto"/>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asinh(RCA</w:t>
            </w:r>
            <w:r w:rsidRPr="00D0637D">
              <w:rPr>
                <w:rFonts w:eastAsia="Batang" w:cs="Times New Roman"/>
                <w:i/>
                <w:color w:val="000000"/>
                <w:kern w:val="0"/>
                <w:vertAlign w:val="subscript"/>
                <w:lang w:val="en-GB" w:eastAsia="ko-KR"/>
              </w:rPr>
              <w:t>p</w:t>
            </w:r>
            <w:r w:rsidRPr="00D0637D">
              <w:rPr>
                <w:rFonts w:eastAsia="Batang" w:cs="Times New Roman"/>
                <w:color w:val="000000"/>
                <w:kern w:val="0"/>
                <w:vertAlign w:val="baseline"/>
                <w:lang w:val="en-GB" w:eastAsia="ko-KR"/>
              </w:rPr>
              <w:t>)</w:t>
            </w:r>
          </w:p>
        </w:tc>
        <w:tc>
          <w:tcPr>
            <w:tcW w:w="142" w:type="dxa"/>
            <w:tcBorders>
              <w:bottom w:val="single" w:sz="4" w:space="0" w:color="auto"/>
            </w:tcBorders>
            <w:shd w:val="clear" w:color="auto" w:fill="auto"/>
            <w:noWrap/>
            <w:tcMar>
              <w:left w:w="28" w:type="dxa"/>
              <w:right w:w="28" w:type="dxa"/>
            </w:tcMar>
            <w:vAlign w:val="center"/>
          </w:tcPr>
          <w:p w:rsidR="00D0637D" w:rsidRPr="00D0637D" w:rsidRDefault="00D0637D" w:rsidP="00D0637D">
            <w:pPr>
              <w:spacing w:after="0" w:line="480" w:lineRule="auto"/>
              <w:rPr>
                <w:rFonts w:eastAsia="Batang" w:cs="Times New Roman"/>
                <w:color w:val="000000"/>
                <w:kern w:val="0"/>
                <w:vertAlign w:val="baseline"/>
                <w:lang w:val="en-GB" w:eastAsia="ko-KR"/>
              </w:rPr>
            </w:pPr>
          </w:p>
        </w:tc>
        <w:tc>
          <w:tcPr>
            <w:tcW w:w="1298" w:type="dxa"/>
            <w:tcBorders>
              <w:bottom w:val="single" w:sz="4" w:space="0" w:color="auto"/>
            </w:tcBorders>
            <w:shd w:val="clear" w:color="auto" w:fill="auto"/>
            <w:noWrap/>
            <w:tcMar>
              <w:left w:w="28" w:type="dxa"/>
              <w:right w:w="28" w:type="dxa"/>
            </w:tcMar>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0.000</w:t>
            </w:r>
          </w:p>
        </w:tc>
        <w:tc>
          <w:tcPr>
            <w:tcW w:w="1498" w:type="dxa"/>
            <w:tcBorders>
              <w:bottom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0.015</w:t>
            </w:r>
          </w:p>
        </w:tc>
        <w:tc>
          <w:tcPr>
            <w:tcW w:w="1559" w:type="dxa"/>
            <w:tcBorders>
              <w:bottom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0.48</w:t>
            </w:r>
            <w:r w:rsidRPr="00D0637D">
              <w:rPr>
                <w:rFonts w:eastAsia="Calibri" w:cs="Times New Roman"/>
                <w:color w:val="FFFFFF"/>
                <w:kern w:val="0"/>
                <w:vertAlign w:val="baseline"/>
                <w:lang w:val="en-GB"/>
              </w:rPr>
              <w:t>0</w:t>
            </w:r>
          </w:p>
        </w:tc>
        <w:tc>
          <w:tcPr>
            <w:tcW w:w="1701" w:type="dxa"/>
            <w:tcBorders>
              <w:bottom w:val="single" w:sz="4" w:space="0" w:color="auto"/>
            </w:tcBorders>
            <w:shd w:val="clear" w:color="auto" w:fill="auto"/>
            <w:vAlign w:val="center"/>
          </w:tcPr>
          <w:p w:rsidR="00D0637D" w:rsidRPr="00D0637D" w:rsidRDefault="00D0637D" w:rsidP="00D0637D">
            <w:pPr>
              <w:spacing w:after="0" w:line="480" w:lineRule="auto"/>
              <w:jc w:val="right"/>
              <w:rPr>
                <w:rFonts w:eastAsia="Calibri" w:cs="Times New Roman"/>
                <w:color w:val="000000"/>
                <w:kern w:val="0"/>
                <w:vertAlign w:val="baseline"/>
                <w:lang w:val="en-GB"/>
              </w:rPr>
            </w:pPr>
            <w:r w:rsidRPr="00D0637D">
              <w:rPr>
                <w:rFonts w:eastAsia="Batang" w:cs="Times New Roman"/>
                <w:color w:val="000000"/>
                <w:kern w:val="0"/>
                <w:vertAlign w:val="baseline"/>
                <w:lang w:val="en-GB" w:eastAsia="ko-KR"/>
              </w:rPr>
              <w:t>0.51</w:t>
            </w:r>
            <w:r w:rsidRPr="00D0637D">
              <w:rPr>
                <w:rFonts w:eastAsia="Calibri" w:cs="Times New Roman"/>
                <w:color w:val="FFFFFF"/>
                <w:kern w:val="0"/>
                <w:vertAlign w:val="baseline"/>
                <w:lang w:val="en-GB"/>
              </w:rPr>
              <w:t>0</w:t>
            </w:r>
          </w:p>
        </w:tc>
        <w:tc>
          <w:tcPr>
            <w:tcW w:w="1560" w:type="dxa"/>
            <w:tcBorders>
              <w:bottom w:val="single" w:sz="4" w:space="0" w:color="auto"/>
            </w:tcBorders>
            <w:shd w:val="clear" w:color="auto" w:fill="auto"/>
            <w:vAlign w:val="center"/>
          </w:tcPr>
          <w:p w:rsidR="00D0637D" w:rsidRPr="00D0637D" w:rsidRDefault="00D0637D" w:rsidP="00D0637D">
            <w:pPr>
              <w:spacing w:after="0" w:line="480" w:lineRule="auto"/>
              <w:jc w:val="right"/>
              <w:rPr>
                <w:rFonts w:eastAsia="Batang" w:cs="Times New Roman"/>
                <w:color w:val="000000"/>
                <w:kern w:val="0"/>
                <w:vertAlign w:val="baseline"/>
                <w:lang w:val="en-GB" w:eastAsia="ko-KR"/>
              </w:rPr>
            </w:pPr>
            <w:r w:rsidRPr="00D0637D">
              <w:rPr>
                <w:rFonts w:eastAsia="Batang" w:cs="Times New Roman"/>
                <w:color w:val="000000"/>
                <w:kern w:val="0"/>
                <w:vertAlign w:val="baseline"/>
                <w:lang w:val="en-GB" w:eastAsia="ko-KR"/>
              </w:rPr>
              <w:t>5.58</w:t>
            </w:r>
            <w:r w:rsidRPr="00D0637D">
              <w:rPr>
                <w:rFonts w:eastAsia="Calibri" w:cs="Times New Roman"/>
                <w:color w:val="FFFFFF"/>
                <w:kern w:val="0"/>
                <w:vertAlign w:val="baseline"/>
                <w:lang w:val="en-GB"/>
              </w:rPr>
              <w:t>0</w:t>
            </w:r>
          </w:p>
        </w:tc>
      </w:tr>
      <w:tr w:rsidR="00D0637D" w:rsidRPr="00D0637D" w:rsidTr="00722DFD">
        <w:trPr>
          <w:trHeight w:val="257"/>
          <w:jc w:val="center"/>
        </w:trPr>
        <w:tc>
          <w:tcPr>
            <w:tcW w:w="10643" w:type="dxa"/>
            <w:gridSpan w:val="7"/>
            <w:tcBorders>
              <w:top w:val="single" w:sz="4" w:space="0" w:color="auto"/>
            </w:tcBorders>
            <w:shd w:val="clear" w:color="auto" w:fill="auto"/>
            <w:noWrap/>
            <w:tcMar>
              <w:left w:w="0" w:type="dxa"/>
              <w:right w:w="0" w:type="dxa"/>
            </w:tcMar>
          </w:tcPr>
          <w:p w:rsidR="00D0637D" w:rsidRPr="00D0637D" w:rsidRDefault="00D0637D" w:rsidP="00D0637D">
            <w:pPr>
              <w:widowControl w:val="0"/>
              <w:spacing w:after="0" w:line="480" w:lineRule="auto"/>
              <w:ind w:left="630" w:hanging="630"/>
              <w:rPr>
                <w:rFonts w:eastAsia="Batang" w:cs="Times New Roman"/>
                <w:color w:val="000000"/>
                <w:kern w:val="0"/>
                <w:vertAlign w:val="baseline"/>
                <w:lang w:val="en-GB" w:eastAsia="ko-KR"/>
              </w:rPr>
            </w:pPr>
            <w:r w:rsidRPr="00D0637D">
              <w:rPr>
                <w:rFonts w:eastAsia="Calibri" w:cs="Times New Roman"/>
                <w:color w:val="000000"/>
                <w:kern w:val="0"/>
                <w:vertAlign w:val="baseline"/>
                <w:lang w:val="en-GB"/>
              </w:rPr>
              <w:t xml:space="preserve">Note: Where </w:t>
            </w:r>
            <w:r w:rsidRPr="00D0637D">
              <w:rPr>
                <w:rFonts w:eastAsia="Calibri" w:cs="Times New Roman"/>
                <w:i/>
                <w:color w:val="000000"/>
                <w:kern w:val="0"/>
                <w:vertAlign w:val="baseline"/>
                <w:lang w:val="en-GB"/>
              </w:rPr>
              <w:t>i</w:t>
            </w:r>
            <w:r w:rsidRPr="00D0637D">
              <w:rPr>
                <w:rFonts w:eastAsia="Calibri" w:cs="Times New Roman"/>
                <w:color w:val="000000"/>
                <w:kern w:val="0"/>
                <w:vertAlign w:val="baseline"/>
                <w:lang w:val="en-GB"/>
              </w:rPr>
              <w:t xml:space="preserve"> indicated the industry, </w:t>
            </w:r>
            <w:r w:rsidRPr="00D0637D">
              <w:rPr>
                <w:rFonts w:eastAsia="Calibri" w:cs="Times New Roman"/>
                <w:i/>
                <w:color w:val="000000"/>
                <w:kern w:val="0"/>
                <w:vertAlign w:val="baseline"/>
                <w:lang w:val="en-GB"/>
              </w:rPr>
              <w:t xml:space="preserve">p </w:t>
            </w:r>
            <w:r w:rsidRPr="00D0637D">
              <w:rPr>
                <w:rFonts w:eastAsia="Calibri" w:cs="Times New Roman"/>
                <w:color w:val="000000"/>
                <w:kern w:val="0"/>
                <w:vertAlign w:val="baseline"/>
                <w:lang w:val="en-GB"/>
              </w:rPr>
              <w:t>indicates the product.</w:t>
            </w:r>
            <w:r w:rsidRPr="00D0637D" w:rsidDel="00CA32C6">
              <w:rPr>
                <w:rFonts w:eastAsia="Calibri" w:cs="Times New Roman"/>
                <w:color w:val="000000"/>
                <w:kern w:val="0"/>
                <w:vertAlign w:val="baseline"/>
                <w:lang w:val="en-GB"/>
              </w:rPr>
              <w:t xml:space="preserve"> </w:t>
            </w:r>
          </w:p>
        </w:tc>
      </w:tr>
    </w:tbl>
    <w:p w:rsidR="00D0637D" w:rsidRPr="00D0637D" w:rsidRDefault="00D0637D" w:rsidP="00D0637D">
      <w:pPr>
        <w:rPr>
          <w:rFonts w:eastAsia="Calibri" w:cs="Times New Roman"/>
          <w:b/>
          <w:kern w:val="0"/>
          <w:vertAlign w:val="baseline"/>
        </w:rPr>
      </w:pPr>
    </w:p>
    <w:p w:rsidR="00D0637D" w:rsidRPr="00D0637D" w:rsidRDefault="00D0637D" w:rsidP="00D0637D">
      <w:pPr>
        <w:rPr>
          <w:rFonts w:eastAsia="Calibri" w:cs="Times New Roman"/>
          <w:b/>
          <w:kern w:val="0"/>
          <w:vertAlign w:val="baseline"/>
        </w:rPr>
      </w:pPr>
      <w:r w:rsidRPr="00D0637D">
        <w:rPr>
          <w:rFonts w:eastAsia="Calibri" w:cs="Times New Roman"/>
          <w:b/>
          <w:kern w:val="0"/>
          <w:vertAlign w:val="baseline"/>
        </w:rPr>
        <w:br w:type="page"/>
      </w:r>
    </w:p>
    <w:p w:rsidR="00D0637D" w:rsidRPr="00D0637D" w:rsidRDefault="00D0637D" w:rsidP="00D0637D">
      <w:pPr>
        <w:spacing w:after="0" w:line="480" w:lineRule="auto"/>
        <w:jc w:val="both"/>
        <w:outlineLvl w:val="0"/>
        <w:rPr>
          <w:rFonts w:eastAsia="Calibri" w:cs="Times New Roman"/>
          <w:b/>
          <w:kern w:val="0"/>
          <w:vertAlign w:val="baseline"/>
        </w:rPr>
      </w:pPr>
    </w:p>
    <w:tbl>
      <w:tblPr>
        <w:tblW w:w="8202" w:type="dxa"/>
        <w:tblCellMar>
          <w:top w:w="15" w:type="dxa"/>
          <w:bottom w:w="15" w:type="dxa"/>
        </w:tblCellMar>
        <w:tblLook w:val="04A0" w:firstRow="1" w:lastRow="0" w:firstColumn="1" w:lastColumn="0" w:noHBand="0" w:noVBand="1"/>
      </w:tblPr>
      <w:tblGrid>
        <w:gridCol w:w="5575"/>
        <w:gridCol w:w="1440"/>
        <w:gridCol w:w="1187"/>
      </w:tblGrid>
      <w:tr w:rsidR="00D0637D" w:rsidRPr="00D0637D" w:rsidTr="00722DFD">
        <w:trPr>
          <w:trHeight w:val="285"/>
        </w:trPr>
        <w:tc>
          <w:tcPr>
            <w:tcW w:w="8202" w:type="dxa"/>
            <w:gridSpan w:val="3"/>
            <w:tcBorders>
              <w:bottom w:val="single" w:sz="4" w:space="0" w:color="auto"/>
            </w:tcBorders>
            <w:noWrap/>
            <w:vAlign w:val="bottom"/>
          </w:tcPr>
          <w:p w:rsidR="00D0637D" w:rsidRPr="00D0637D" w:rsidRDefault="00D0637D" w:rsidP="00D0637D">
            <w:pPr>
              <w:spacing w:after="0" w:line="240" w:lineRule="auto"/>
              <w:rPr>
                <w:rFonts w:eastAsia="Times New Roman" w:cs="Times New Roman"/>
                <w:b/>
                <w:color w:val="000000"/>
                <w:kern w:val="0"/>
                <w:vertAlign w:val="baseline"/>
              </w:rPr>
            </w:pPr>
            <w:bookmarkStart w:id="1" w:name="Industries"/>
            <w:r w:rsidRPr="00D0637D">
              <w:rPr>
                <w:rFonts w:eastAsia="Times New Roman" w:cs="Times New Roman"/>
                <w:b/>
                <w:color w:val="000000"/>
                <w:kern w:val="0"/>
                <w:vertAlign w:val="baseline"/>
              </w:rPr>
              <w:t>Industries Included in Quantitative Models</w:t>
            </w:r>
            <w:bookmarkEnd w:id="1"/>
          </w:p>
        </w:tc>
      </w:tr>
      <w:tr w:rsidR="00D0637D" w:rsidRPr="00D0637D" w:rsidTr="00722DFD">
        <w:trPr>
          <w:trHeight w:val="285"/>
        </w:trPr>
        <w:tc>
          <w:tcPr>
            <w:tcW w:w="5575" w:type="dxa"/>
            <w:tcBorders>
              <w:top w:val="single" w:sz="4" w:space="0" w:color="auto"/>
              <w:bottom w:val="single" w:sz="4" w:space="0" w:color="auto"/>
            </w:tcBorders>
            <w:noWrap/>
            <w:vAlign w:val="bottom"/>
          </w:tcPr>
          <w:p w:rsidR="00D0637D" w:rsidRPr="00D0637D" w:rsidRDefault="00D0637D" w:rsidP="00D0637D">
            <w:pPr>
              <w:spacing w:after="0" w:line="240" w:lineRule="auto"/>
              <w:rPr>
                <w:rFonts w:eastAsia="Times New Roman" w:cs="Times New Roman"/>
                <w:color w:val="000000"/>
                <w:kern w:val="0"/>
                <w:vertAlign w:val="baseline"/>
              </w:rPr>
            </w:pPr>
            <w:r w:rsidRPr="00D0637D">
              <w:rPr>
                <w:rFonts w:eastAsia="Times New Roman" w:cs="Times New Roman"/>
                <w:color w:val="000000"/>
                <w:kern w:val="0"/>
                <w:vertAlign w:val="baseline"/>
              </w:rPr>
              <w:t>Brazilian Industrial Categories</w:t>
            </w:r>
          </w:p>
        </w:tc>
        <w:tc>
          <w:tcPr>
            <w:tcW w:w="1440" w:type="dxa"/>
            <w:tcBorders>
              <w:top w:val="single" w:sz="4" w:space="0" w:color="auto"/>
              <w:bottom w:val="single" w:sz="4" w:space="0" w:color="auto"/>
            </w:tcBorders>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Associated Product Lines</w:t>
            </w:r>
          </w:p>
        </w:tc>
        <w:tc>
          <w:tcPr>
            <w:tcW w:w="1187" w:type="dxa"/>
            <w:tcBorders>
              <w:top w:val="single" w:sz="4" w:space="0" w:color="auto"/>
              <w:bottom w:val="single" w:sz="4" w:space="0" w:color="auto"/>
            </w:tcBorders>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Included in Analysis</w:t>
            </w:r>
          </w:p>
        </w:tc>
      </w:tr>
      <w:tr w:rsidR="00D0637D" w:rsidRPr="00D0637D" w:rsidTr="00722DFD">
        <w:trPr>
          <w:trHeight w:val="285"/>
        </w:trPr>
        <w:tc>
          <w:tcPr>
            <w:tcW w:w="5575" w:type="dxa"/>
            <w:tcBorders>
              <w:top w:val="single" w:sz="4" w:space="0" w:color="auto"/>
            </w:tcBorders>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Cement and cement cylinders</w:t>
            </w:r>
          </w:p>
        </w:tc>
        <w:tc>
          <w:tcPr>
            <w:tcW w:w="1440" w:type="dxa"/>
            <w:tcBorders>
              <w:top w:val="single" w:sz="4" w:space="0" w:color="auto"/>
            </w:tcBorders>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24</w:t>
            </w:r>
          </w:p>
        </w:tc>
        <w:tc>
          <w:tcPr>
            <w:tcW w:w="1187" w:type="dxa"/>
            <w:tcBorders>
              <w:top w:val="single" w:sz="4" w:space="0" w:color="auto"/>
            </w:tcBorders>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Cement pieces and structures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Glass and articles of glass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87</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4"/>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Non-metallic mineral manufactures, n.e.s.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129</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Iron and steel</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354</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Non-ferrous metals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228</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Smelting and casting of steel</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1"/>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Other steel products, n.e.s.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274</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Fabrication of machinery and equipment</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966</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19"/>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Fabrication of tractors and heavy machinery, including parts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95</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73"/>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Maintenance and repair of tractors and heavy machinery</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137"/>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Equipment for the production and distribution of electricity</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114</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Fabrication of wire, cable, and other materials for the distribution of electricity</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13</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27"/>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Electronic equipment and appliances, excluding domestic appliances, typewriters, and computers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645</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9"/>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Domestic appliances, typewriters, and computers, including parts and accessories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253</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56"/>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TVs, radios, and communication equipment</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72</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Cars, Trucks, and buses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64</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Motors and parts for vehicles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48</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Naval industry</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18</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18"/>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Manufacture and repair of railway and tramway locomotives and rolling stock</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27</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Other vehicles, n.e.s.</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57</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19"/>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Manufactures of wood and cork, except the manufacture of furniture</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97</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Manufacture of Furniture</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25</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73"/>
        </w:trPr>
        <w:tc>
          <w:tcPr>
            <w:tcW w:w="5575" w:type="dxa"/>
            <w:vAlign w:val="bottom"/>
            <w:hideMark/>
          </w:tcPr>
          <w:p w:rsidR="00D0637D" w:rsidRPr="00D0637D" w:rsidRDefault="00D0637D" w:rsidP="00D0637D">
            <w:pPr>
              <w:spacing w:after="0" w:line="240" w:lineRule="auto"/>
              <w:ind w:left="699" w:hanging="360"/>
              <w:rPr>
                <w:rFonts w:eastAsia="Times New Roman" w:cs="Times New Roman"/>
                <w:bCs/>
                <w:color w:val="000000"/>
                <w:kern w:val="0"/>
                <w:vertAlign w:val="baseline"/>
              </w:rPr>
            </w:pPr>
            <w:r w:rsidRPr="00D0637D">
              <w:rPr>
                <w:rFonts w:eastAsia="Times New Roman" w:cs="Times New Roman"/>
                <w:bCs/>
                <w:color w:val="000000"/>
                <w:kern w:val="0"/>
                <w:vertAlign w:val="baseline"/>
              </w:rPr>
              <w:t>Charcoal</w:t>
            </w:r>
          </w:p>
        </w:tc>
        <w:tc>
          <w:tcPr>
            <w:tcW w:w="1440" w:type="dxa"/>
            <w:vAlign w:val="center"/>
          </w:tcPr>
          <w:p w:rsidR="00D0637D" w:rsidRPr="00D0637D" w:rsidRDefault="00D0637D" w:rsidP="00D0637D">
            <w:pPr>
              <w:spacing w:after="0" w:line="240" w:lineRule="auto"/>
              <w:ind w:right="342"/>
              <w:jc w:val="right"/>
              <w:rPr>
                <w:rFonts w:eastAsia="Times New Roman" w:cs="Times New Roman"/>
                <w:bCs/>
                <w:color w:val="000000"/>
                <w:kern w:val="0"/>
                <w:vertAlign w:val="baseline"/>
              </w:rPr>
            </w:pPr>
          </w:p>
        </w:tc>
        <w:tc>
          <w:tcPr>
            <w:tcW w:w="1187" w:type="dxa"/>
            <w:vAlign w:val="center"/>
          </w:tcPr>
          <w:p w:rsidR="00D0637D" w:rsidRPr="00D0637D" w:rsidRDefault="00D0637D" w:rsidP="00D0637D">
            <w:pPr>
              <w:spacing w:after="0" w:line="240" w:lineRule="auto"/>
              <w:jc w:val="center"/>
              <w:rPr>
                <w:rFonts w:eastAsia="Times New Roman" w:cs="Times New Roman"/>
                <w:bCs/>
                <w:color w:val="000000"/>
                <w:kern w:val="0"/>
                <w:vertAlign w:val="baseline"/>
              </w:rPr>
            </w:pPr>
            <w:r w:rsidRPr="00D0637D">
              <w:rPr>
                <w:rFonts w:eastAsia="Times New Roman" w:cs="Times New Roman"/>
                <w:bCs/>
                <w:color w:val="000000"/>
                <w:kern w:val="0"/>
                <w:vertAlign w:val="baseline"/>
              </w:rPr>
              <w:t>No</w:t>
            </w:r>
          </w:p>
        </w:tc>
      </w:tr>
      <w:tr w:rsidR="00D0637D" w:rsidRPr="00D0637D" w:rsidTr="00722DFD">
        <w:trPr>
          <w:trHeight w:val="119"/>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Cellulose and other pastes for the production of paper</w:t>
            </w:r>
          </w:p>
        </w:tc>
        <w:tc>
          <w:tcPr>
            <w:tcW w:w="1440"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109</w:t>
            </w:r>
          </w:p>
        </w:tc>
        <w:tc>
          <w:tcPr>
            <w:tcW w:w="1187"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bl>
    <w:p w:rsidR="00D0637D" w:rsidRPr="00D0637D" w:rsidRDefault="00D0637D" w:rsidP="00D0637D">
      <w:pPr>
        <w:spacing w:after="200" w:line="276" w:lineRule="auto"/>
        <w:rPr>
          <w:rFonts w:eastAsia="Calibri" w:cs="Times New Roman"/>
          <w:kern w:val="0"/>
          <w:vertAlign w:val="baseline"/>
        </w:rPr>
      </w:pPr>
      <w:r w:rsidRPr="00D0637D">
        <w:rPr>
          <w:rFonts w:eastAsia="Calibri" w:cs="Times New Roman"/>
          <w:kern w:val="0"/>
          <w:vertAlign w:val="baseline"/>
        </w:rPr>
        <w:br w:type="page"/>
      </w:r>
    </w:p>
    <w:tbl>
      <w:tblPr>
        <w:tblW w:w="8403" w:type="dxa"/>
        <w:tblCellMar>
          <w:top w:w="15" w:type="dxa"/>
          <w:bottom w:w="15" w:type="dxa"/>
        </w:tblCellMar>
        <w:tblLook w:val="04A0" w:firstRow="1" w:lastRow="0" w:firstColumn="1" w:lastColumn="0" w:noHBand="0" w:noVBand="1"/>
      </w:tblPr>
      <w:tblGrid>
        <w:gridCol w:w="5575"/>
        <w:gridCol w:w="1585"/>
        <w:gridCol w:w="1243"/>
      </w:tblGrid>
      <w:tr w:rsidR="00D0637D" w:rsidRPr="00D0637D" w:rsidTr="00722DFD">
        <w:trPr>
          <w:trHeight w:val="285"/>
        </w:trPr>
        <w:tc>
          <w:tcPr>
            <w:tcW w:w="8403" w:type="dxa"/>
            <w:gridSpan w:val="3"/>
            <w:tcBorders>
              <w:bottom w:val="single" w:sz="4" w:space="0" w:color="auto"/>
            </w:tcBorders>
            <w:vAlign w:val="bottom"/>
          </w:tcPr>
          <w:p w:rsidR="00D0637D" w:rsidRPr="00D0637D" w:rsidRDefault="00D0637D" w:rsidP="00D0637D">
            <w:pPr>
              <w:spacing w:after="0" w:line="240" w:lineRule="auto"/>
              <w:rPr>
                <w:rFonts w:eastAsia="Times New Roman" w:cs="Times New Roman"/>
                <w:color w:val="000000"/>
                <w:kern w:val="0"/>
                <w:vertAlign w:val="baseline"/>
              </w:rPr>
            </w:pPr>
            <w:r w:rsidRPr="00D0637D">
              <w:rPr>
                <w:rFonts w:eastAsia="Times New Roman" w:cs="Times New Roman"/>
                <w:b/>
                <w:color w:val="000000"/>
                <w:kern w:val="0"/>
                <w:vertAlign w:val="baseline"/>
              </w:rPr>
              <w:lastRenderedPageBreak/>
              <w:t>Industries Included in Quantitative Models (cont.)</w:t>
            </w:r>
          </w:p>
        </w:tc>
      </w:tr>
      <w:tr w:rsidR="00D0637D" w:rsidRPr="00D0637D" w:rsidTr="00722DFD">
        <w:trPr>
          <w:trHeight w:val="285"/>
        </w:trPr>
        <w:tc>
          <w:tcPr>
            <w:tcW w:w="5575" w:type="dxa"/>
            <w:tcBorders>
              <w:top w:val="single" w:sz="4" w:space="0" w:color="auto"/>
              <w:bottom w:val="single" w:sz="4" w:space="0" w:color="auto"/>
            </w:tcBorders>
            <w:vAlign w:val="bottom"/>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Brazilian Industrial Categories</w:t>
            </w:r>
          </w:p>
        </w:tc>
        <w:tc>
          <w:tcPr>
            <w:tcW w:w="1585" w:type="dxa"/>
            <w:tcBorders>
              <w:top w:val="single" w:sz="4" w:space="0" w:color="auto"/>
              <w:bottom w:val="single" w:sz="4" w:space="0" w:color="auto"/>
            </w:tcBorders>
            <w:vAlign w:val="bottom"/>
          </w:tcPr>
          <w:p w:rsidR="00D0637D" w:rsidRPr="00D0637D" w:rsidRDefault="00D0637D" w:rsidP="00D0637D">
            <w:pPr>
              <w:spacing w:after="0" w:line="240" w:lineRule="auto"/>
              <w:ind w:right="342"/>
              <w:jc w:val="right"/>
              <w:rPr>
                <w:rFonts w:eastAsia="Calibri" w:cs="Times New Roman"/>
                <w:color w:val="000000"/>
                <w:kern w:val="0"/>
                <w:vertAlign w:val="baseline"/>
              </w:rPr>
            </w:pPr>
            <w:r w:rsidRPr="00D0637D">
              <w:rPr>
                <w:rFonts w:eastAsia="Times New Roman" w:cs="Times New Roman"/>
                <w:color w:val="000000"/>
                <w:kern w:val="0"/>
                <w:vertAlign w:val="baseline"/>
              </w:rPr>
              <w:t>Brazilian Industrial Categories</w:t>
            </w:r>
          </w:p>
        </w:tc>
        <w:tc>
          <w:tcPr>
            <w:tcW w:w="1243" w:type="dxa"/>
            <w:tcBorders>
              <w:top w:val="single" w:sz="4" w:space="0" w:color="auto"/>
              <w:bottom w:val="single" w:sz="4" w:space="0" w:color="auto"/>
            </w:tcBorders>
            <w:vAlign w:val="bottom"/>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Brazilian Industrial Categories</w:t>
            </w:r>
          </w:p>
        </w:tc>
      </w:tr>
      <w:tr w:rsidR="00D0637D" w:rsidRPr="00D0637D" w:rsidTr="00722DFD">
        <w:trPr>
          <w:trHeight w:val="285"/>
        </w:trPr>
        <w:tc>
          <w:tcPr>
            <w:tcW w:w="5575" w:type="dxa"/>
            <w:tcBorders>
              <w:top w:val="single" w:sz="4" w:space="0" w:color="auto"/>
            </w:tcBorders>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Paper, cardboard, and paper products</w:t>
            </w:r>
          </w:p>
        </w:tc>
        <w:tc>
          <w:tcPr>
            <w:tcW w:w="1585" w:type="dxa"/>
            <w:tcBorders>
              <w:top w:val="single" w:sz="4" w:space="0" w:color="auto"/>
            </w:tcBorders>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47</w:t>
            </w:r>
          </w:p>
        </w:tc>
        <w:tc>
          <w:tcPr>
            <w:tcW w:w="1243" w:type="dxa"/>
            <w:tcBorders>
              <w:top w:val="single" w:sz="4" w:space="0" w:color="auto"/>
            </w:tcBorders>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9"/>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Publishing, printing and reproduction of recorded media</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48</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10"/>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Manufacture of rubber and rubber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205</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73"/>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Non petro and carbochemical chemical product</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1499</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Alcohol distillation</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Petroleum refining</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39</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Basic and intermediate chemicals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54</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Resins and man-made fibers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33</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Fertilizers and soil additives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40</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Chemical products, n.e.s.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39</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Pharmaceutics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816</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Perfume, soap, and candels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373</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Plastic sheeting</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94</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Plastic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83</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46"/>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Spinning, weaving and finishing of natural fibers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197</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28"/>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Spinning, weaving and finishing of artificial fibers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245</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Other textile products, n.e.s.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197</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Wearing apparel and accessories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281</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73"/>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Tanning and dressing of leather; manufacture of luggage, handbags, and harness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73</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Footwear</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33</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of coffee</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of rice</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12</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Wheat milling and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00"/>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preservation of fruit and vegetables, including juices and condiments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95</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92"/>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of other vegetable products for food</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167</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Tobacco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10</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101"/>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preservation of meat (except foal)</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124</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preservation of fowl</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25</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0"/>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preparation of dairy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50</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preparation of sugar and products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62</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38"/>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preservation of vegetable oils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28</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Refining oils and fats, n.e.s.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r w:rsidR="00D0637D" w:rsidRPr="00D0637D" w:rsidTr="00722DFD">
        <w:trPr>
          <w:trHeight w:val="285"/>
        </w:trPr>
        <w:tc>
          <w:tcPr>
            <w:tcW w:w="5575" w:type="dxa"/>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Animal feed</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No</w:t>
            </w:r>
          </w:p>
        </w:tc>
      </w:tr>
    </w:tbl>
    <w:p w:rsidR="00D0637D" w:rsidRPr="00D0637D" w:rsidRDefault="00D0637D" w:rsidP="00D0637D">
      <w:pPr>
        <w:spacing w:after="200" w:line="276" w:lineRule="auto"/>
        <w:rPr>
          <w:rFonts w:eastAsia="Calibri" w:cs="Times New Roman"/>
          <w:kern w:val="0"/>
          <w:vertAlign w:val="baseline"/>
        </w:rPr>
      </w:pPr>
      <w:r w:rsidRPr="00D0637D">
        <w:rPr>
          <w:rFonts w:eastAsia="Calibri" w:cs="Times New Roman"/>
          <w:kern w:val="0"/>
          <w:vertAlign w:val="baseline"/>
        </w:rPr>
        <w:br w:type="page"/>
      </w:r>
    </w:p>
    <w:tbl>
      <w:tblPr>
        <w:tblW w:w="8403" w:type="dxa"/>
        <w:tblCellMar>
          <w:top w:w="15" w:type="dxa"/>
          <w:bottom w:w="15" w:type="dxa"/>
        </w:tblCellMar>
        <w:tblLook w:val="04A0" w:firstRow="1" w:lastRow="0" w:firstColumn="1" w:lastColumn="0" w:noHBand="0" w:noVBand="1"/>
      </w:tblPr>
      <w:tblGrid>
        <w:gridCol w:w="5575"/>
        <w:gridCol w:w="1585"/>
        <w:gridCol w:w="1243"/>
      </w:tblGrid>
      <w:tr w:rsidR="00D0637D" w:rsidRPr="00D0637D" w:rsidTr="00722DFD">
        <w:trPr>
          <w:trHeight w:val="285"/>
        </w:trPr>
        <w:tc>
          <w:tcPr>
            <w:tcW w:w="8403" w:type="dxa"/>
            <w:gridSpan w:val="3"/>
            <w:tcBorders>
              <w:bottom w:val="single" w:sz="4" w:space="0" w:color="auto"/>
            </w:tcBorders>
          </w:tcPr>
          <w:p w:rsidR="00D0637D" w:rsidRPr="00D0637D" w:rsidRDefault="00D0637D" w:rsidP="00D0637D">
            <w:pPr>
              <w:spacing w:after="0" w:line="240" w:lineRule="auto"/>
              <w:rPr>
                <w:rFonts w:eastAsia="Times New Roman" w:cs="Times New Roman"/>
                <w:color w:val="000000"/>
                <w:kern w:val="0"/>
                <w:vertAlign w:val="baseline"/>
              </w:rPr>
            </w:pPr>
            <w:r w:rsidRPr="00D0637D">
              <w:rPr>
                <w:rFonts w:eastAsia="Times New Roman" w:cs="Times New Roman"/>
                <w:b/>
                <w:color w:val="000000"/>
                <w:kern w:val="0"/>
                <w:vertAlign w:val="baseline"/>
              </w:rPr>
              <w:lastRenderedPageBreak/>
              <w:t>Industries Included in Quantitative Models (cont.)</w:t>
            </w:r>
          </w:p>
        </w:tc>
      </w:tr>
      <w:tr w:rsidR="00D0637D" w:rsidRPr="00D0637D" w:rsidTr="00722DFD">
        <w:trPr>
          <w:trHeight w:val="285"/>
        </w:trPr>
        <w:tc>
          <w:tcPr>
            <w:tcW w:w="5575" w:type="dxa"/>
            <w:tcBorders>
              <w:top w:val="single" w:sz="4" w:space="0" w:color="auto"/>
              <w:bottom w:val="single" w:sz="4" w:space="0" w:color="auto"/>
            </w:tcBorders>
            <w:vAlign w:val="bottom"/>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Brazilian Industrial Categories</w:t>
            </w:r>
          </w:p>
        </w:tc>
        <w:tc>
          <w:tcPr>
            <w:tcW w:w="1585" w:type="dxa"/>
            <w:tcBorders>
              <w:top w:val="single" w:sz="4" w:space="0" w:color="auto"/>
              <w:bottom w:val="single" w:sz="4" w:space="0" w:color="auto"/>
            </w:tcBorders>
            <w:vAlign w:val="bottom"/>
          </w:tcPr>
          <w:p w:rsidR="00D0637D" w:rsidRPr="00D0637D" w:rsidRDefault="00D0637D" w:rsidP="00D0637D">
            <w:pPr>
              <w:spacing w:after="0" w:line="240" w:lineRule="auto"/>
              <w:ind w:right="342"/>
              <w:jc w:val="right"/>
              <w:rPr>
                <w:rFonts w:eastAsia="Calibri" w:cs="Times New Roman"/>
                <w:color w:val="000000"/>
                <w:kern w:val="0"/>
                <w:vertAlign w:val="baseline"/>
              </w:rPr>
            </w:pPr>
            <w:r w:rsidRPr="00D0637D">
              <w:rPr>
                <w:rFonts w:eastAsia="Times New Roman" w:cs="Times New Roman"/>
                <w:color w:val="000000"/>
                <w:kern w:val="0"/>
                <w:vertAlign w:val="baseline"/>
              </w:rPr>
              <w:t>Brazilian Industrial Categories</w:t>
            </w:r>
          </w:p>
        </w:tc>
        <w:tc>
          <w:tcPr>
            <w:tcW w:w="1243" w:type="dxa"/>
            <w:tcBorders>
              <w:top w:val="single" w:sz="4" w:space="0" w:color="auto"/>
              <w:bottom w:val="single" w:sz="4" w:space="0" w:color="auto"/>
            </w:tcBorders>
            <w:vAlign w:val="bottom"/>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Brazilian Industrial Categories</w:t>
            </w:r>
          </w:p>
        </w:tc>
      </w:tr>
      <w:tr w:rsidR="00D0637D" w:rsidRPr="00D0637D" w:rsidTr="00722DFD">
        <w:trPr>
          <w:trHeight w:val="285"/>
        </w:trPr>
        <w:tc>
          <w:tcPr>
            <w:tcW w:w="5575" w:type="dxa"/>
            <w:tcBorders>
              <w:top w:val="single" w:sz="4" w:space="0" w:color="auto"/>
            </w:tcBorders>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Other food stuffs</w:t>
            </w:r>
          </w:p>
        </w:tc>
        <w:tc>
          <w:tcPr>
            <w:tcW w:w="1585" w:type="dxa"/>
            <w:tcBorders>
              <w:top w:val="single" w:sz="4" w:space="0" w:color="auto"/>
            </w:tcBorders>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70</w:t>
            </w:r>
          </w:p>
        </w:tc>
        <w:tc>
          <w:tcPr>
            <w:tcW w:w="1243" w:type="dxa"/>
            <w:tcBorders>
              <w:top w:val="single" w:sz="4" w:space="0" w:color="auto"/>
            </w:tcBorders>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285"/>
        </w:trPr>
        <w:tc>
          <w:tcPr>
            <w:tcW w:w="5575" w:type="dxa"/>
            <w:noWrap/>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Processing and preservation of beverages</w:t>
            </w:r>
          </w:p>
        </w:tc>
        <w:tc>
          <w:tcPr>
            <w:tcW w:w="1585" w:type="dxa"/>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79</w:t>
            </w:r>
          </w:p>
        </w:tc>
        <w:tc>
          <w:tcPr>
            <w:tcW w:w="1243" w:type="dxa"/>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19"/>
        </w:trPr>
        <w:tc>
          <w:tcPr>
            <w:tcW w:w="5575" w:type="dxa"/>
            <w:tcBorders>
              <w:bottom w:val="single" w:sz="4" w:space="0" w:color="auto"/>
            </w:tcBorders>
            <w:vAlign w:val="bottom"/>
            <w:hideMark/>
          </w:tcPr>
          <w:p w:rsidR="00D0637D" w:rsidRPr="00D0637D" w:rsidRDefault="00D0637D" w:rsidP="00D0637D">
            <w:pPr>
              <w:spacing w:after="0" w:line="240" w:lineRule="auto"/>
              <w:ind w:left="699" w:hanging="360"/>
              <w:rPr>
                <w:rFonts w:eastAsia="Times New Roman" w:cs="Times New Roman"/>
                <w:color w:val="000000"/>
                <w:kern w:val="0"/>
                <w:vertAlign w:val="baseline"/>
              </w:rPr>
            </w:pPr>
            <w:r w:rsidRPr="00D0637D">
              <w:rPr>
                <w:rFonts w:eastAsia="Times New Roman" w:cs="Times New Roman"/>
                <w:color w:val="000000"/>
                <w:kern w:val="0"/>
                <w:vertAlign w:val="baseline"/>
              </w:rPr>
              <w:t>Miscellaneous manufactured articles, n.e.s.</w:t>
            </w:r>
          </w:p>
        </w:tc>
        <w:tc>
          <w:tcPr>
            <w:tcW w:w="1585" w:type="dxa"/>
            <w:tcBorders>
              <w:bottom w:val="single" w:sz="4" w:space="0" w:color="auto"/>
            </w:tcBorders>
            <w:vAlign w:val="center"/>
          </w:tcPr>
          <w:p w:rsidR="00D0637D" w:rsidRPr="00D0637D" w:rsidRDefault="00D0637D" w:rsidP="00D0637D">
            <w:pPr>
              <w:spacing w:after="0" w:line="240" w:lineRule="auto"/>
              <w:ind w:right="342"/>
              <w:jc w:val="right"/>
              <w:rPr>
                <w:rFonts w:eastAsia="Times New Roman" w:cs="Times New Roman"/>
                <w:color w:val="000000"/>
                <w:kern w:val="0"/>
                <w:vertAlign w:val="baseline"/>
              </w:rPr>
            </w:pPr>
            <w:r w:rsidRPr="00D0637D">
              <w:rPr>
                <w:rFonts w:eastAsia="Calibri" w:cs="Times New Roman"/>
                <w:color w:val="000000"/>
                <w:kern w:val="0"/>
                <w:vertAlign w:val="baseline"/>
              </w:rPr>
              <w:t>183</w:t>
            </w:r>
          </w:p>
        </w:tc>
        <w:tc>
          <w:tcPr>
            <w:tcW w:w="1243" w:type="dxa"/>
            <w:tcBorders>
              <w:bottom w:val="single" w:sz="4" w:space="0" w:color="auto"/>
            </w:tcBorders>
            <w:vAlign w:val="center"/>
          </w:tcPr>
          <w:p w:rsidR="00D0637D" w:rsidRPr="00D0637D" w:rsidRDefault="00D0637D" w:rsidP="00D0637D">
            <w:pPr>
              <w:spacing w:after="0" w:line="240" w:lineRule="auto"/>
              <w:jc w:val="center"/>
              <w:rPr>
                <w:rFonts w:eastAsia="Times New Roman" w:cs="Times New Roman"/>
                <w:color w:val="000000"/>
                <w:kern w:val="0"/>
                <w:vertAlign w:val="baseline"/>
              </w:rPr>
            </w:pPr>
            <w:r w:rsidRPr="00D0637D">
              <w:rPr>
                <w:rFonts w:eastAsia="Times New Roman" w:cs="Times New Roman"/>
                <w:color w:val="000000"/>
                <w:kern w:val="0"/>
                <w:vertAlign w:val="baseline"/>
              </w:rPr>
              <w:t>Yes</w:t>
            </w:r>
          </w:p>
        </w:tc>
      </w:tr>
      <w:tr w:rsidR="00D0637D" w:rsidRPr="00D0637D" w:rsidTr="00722DFD">
        <w:trPr>
          <w:trHeight w:val="39"/>
        </w:trPr>
        <w:tc>
          <w:tcPr>
            <w:tcW w:w="8403" w:type="dxa"/>
            <w:gridSpan w:val="3"/>
            <w:tcBorders>
              <w:top w:val="single" w:sz="4" w:space="0" w:color="auto"/>
            </w:tcBorders>
            <w:vAlign w:val="bottom"/>
          </w:tcPr>
          <w:p w:rsidR="00D0637D" w:rsidRPr="00AC0F1C" w:rsidRDefault="00D0637D" w:rsidP="00AC0F1C">
            <w:pPr>
              <w:spacing w:after="0" w:line="480" w:lineRule="auto"/>
              <w:ind w:left="360"/>
              <w:rPr>
                <w:rFonts w:eastAsia="Times New Roman" w:cs="Times New Roman"/>
                <w:color w:val="000000"/>
                <w:kern w:val="0"/>
                <w:vertAlign w:val="baseline"/>
              </w:rPr>
            </w:pPr>
            <w:bookmarkStart w:id="2" w:name="_GoBack"/>
            <w:r w:rsidRPr="00AC0F1C">
              <w:rPr>
                <w:rFonts w:eastAsia="Times New Roman" w:cs="Times New Roman"/>
                <w:color w:val="000000"/>
                <w:kern w:val="0"/>
                <w:vertAlign w:val="baseline"/>
              </w:rPr>
              <w:t>Notes:</w:t>
            </w:r>
          </w:p>
          <w:p w:rsidR="00D0637D" w:rsidRPr="00D0637D" w:rsidRDefault="00D0637D" w:rsidP="00AC0F1C">
            <w:pPr>
              <w:spacing w:after="0" w:line="480" w:lineRule="auto"/>
              <w:ind w:left="360"/>
              <w:contextualSpacing/>
              <w:rPr>
                <w:rFonts w:eastAsia="Times New Roman" w:cs="Times New Roman"/>
                <w:color w:val="000000"/>
                <w:kern w:val="0"/>
                <w:vertAlign w:val="baseline"/>
                <w:lang w:eastAsia="es-ES"/>
              </w:rPr>
            </w:pPr>
            <w:r w:rsidRPr="00D0637D">
              <w:rPr>
                <w:rFonts w:eastAsia="Times New Roman" w:cs="Times New Roman"/>
                <w:color w:val="000000"/>
                <w:kern w:val="0"/>
                <w:vertAlign w:val="baseline"/>
                <w:lang w:eastAsia="es-ES"/>
              </w:rPr>
              <w:t>Given the impossibility of reconciling the specific products associated with some industries due to the lack of a correspondence table for Brazils early industrial classifications (e.g. Fertilizers and soil additives), it was not possible to assign some industries products.</w:t>
            </w:r>
          </w:p>
          <w:p w:rsidR="00D0637D" w:rsidRPr="00D0637D" w:rsidRDefault="00D0637D" w:rsidP="00AC0F1C">
            <w:pPr>
              <w:spacing w:after="0" w:line="480" w:lineRule="auto"/>
              <w:ind w:left="360"/>
              <w:contextualSpacing/>
              <w:rPr>
                <w:rFonts w:eastAsia="Times New Roman" w:cs="Times New Roman"/>
                <w:color w:val="000000"/>
                <w:kern w:val="0"/>
                <w:vertAlign w:val="baseline"/>
                <w:lang w:eastAsia="es-ES"/>
              </w:rPr>
            </w:pPr>
            <w:r w:rsidRPr="00D0637D">
              <w:rPr>
                <w:rFonts w:eastAsia="Times New Roman" w:cs="Times New Roman"/>
                <w:color w:val="000000"/>
                <w:kern w:val="0"/>
                <w:vertAlign w:val="baseline"/>
                <w:lang w:eastAsia="es-ES"/>
              </w:rPr>
              <w:t>Due to the estimation requirements of the statistical model, industries with fewer than twenty products were excluded from the analysis.</w:t>
            </w:r>
          </w:p>
        </w:tc>
      </w:tr>
      <w:bookmarkEnd w:id="2"/>
    </w:tbl>
    <w:p w:rsidR="00D0637D" w:rsidRPr="00D0637D" w:rsidRDefault="00D0637D" w:rsidP="00D0637D">
      <w:pPr>
        <w:spacing w:after="0" w:line="480" w:lineRule="auto"/>
        <w:jc w:val="both"/>
        <w:outlineLvl w:val="0"/>
        <w:rPr>
          <w:rFonts w:eastAsia="Calibri" w:cs="Times New Roman"/>
          <w:b/>
          <w:kern w:val="0"/>
          <w:vertAlign w:val="baseline"/>
        </w:rPr>
      </w:pPr>
    </w:p>
    <w:p w:rsidR="00D0637D" w:rsidRPr="00F9349E" w:rsidRDefault="00D0637D" w:rsidP="0045575C">
      <w:pPr>
        <w:widowControl w:val="0"/>
        <w:spacing w:after="0" w:line="480" w:lineRule="auto"/>
        <w:rPr>
          <w:rFonts w:cs="Times New Roman"/>
          <w:vertAlign w:val="baseline"/>
        </w:rPr>
      </w:pPr>
    </w:p>
    <w:p w:rsidR="008C5415" w:rsidRPr="008C5415" w:rsidRDefault="008C5415" w:rsidP="008C5415">
      <w:pPr>
        <w:spacing w:after="0" w:line="480" w:lineRule="auto"/>
        <w:jc w:val="both"/>
        <w:outlineLvl w:val="0"/>
        <w:rPr>
          <w:rFonts w:eastAsia="Calibri" w:cs="Times New Roman"/>
          <w:b/>
          <w:kern w:val="0"/>
          <w:vertAlign w:val="baseline"/>
          <w:lang w:val="en-GB"/>
        </w:rPr>
      </w:pPr>
      <w:bookmarkStart w:id="3" w:name="SubnationalProduction"/>
      <w:r w:rsidRPr="008C5415">
        <w:rPr>
          <w:rFonts w:eastAsia="Calibri" w:cs="Times New Roman"/>
          <w:b/>
          <w:kern w:val="0"/>
          <w:vertAlign w:val="baseline"/>
          <w:lang w:val="en-GB"/>
        </w:rPr>
        <w:t xml:space="preserve">Discussion of the Variable </w:t>
      </w:r>
      <w:r w:rsidRPr="008C5415">
        <w:rPr>
          <w:rFonts w:eastAsia="Calibri" w:cs="Times New Roman"/>
          <w:b/>
          <w:i/>
          <w:kern w:val="0"/>
          <w:vertAlign w:val="baseline"/>
          <w:lang w:val="en-GB"/>
        </w:rPr>
        <w:t>Subnational Production</w:t>
      </w:r>
    </w:p>
    <w:bookmarkEnd w:id="3"/>
    <w:p w:rsidR="008C5415" w:rsidRPr="008C5415" w:rsidRDefault="008C5415" w:rsidP="008C5415">
      <w:pPr>
        <w:spacing w:after="0" w:line="480" w:lineRule="auto"/>
        <w:ind w:firstLine="720"/>
        <w:rPr>
          <w:rFonts w:eastAsia="Calibri" w:cs="Times New Roman"/>
          <w:kern w:val="0"/>
          <w:vertAlign w:val="baseline"/>
          <w:lang w:val="en-GB"/>
        </w:rPr>
      </w:pPr>
      <w:r w:rsidRPr="008C5415">
        <w:rPr>
          <w:rFonts w:eastAsia="Calibri" w:cs="Times New Roman"/>
          <w:kern w:val="0"/>
          <w:vertAlign w:val="baseline"/>
          <w:lang w:val="en-GB"/>
        </w:rPr>
        <w:t xml:space="preserve">The aggregate subnational importance of an industry as a producer within each subnational economy is calculated: </w:t>
      </w:r>
      <w:r w:rsidRPr="008C5415">
        <w:rPr>
          <w:rFonts w:eastAsia="Calibri" w:cs="Times New Roman"/>
          <w:i/>
          <w:kern w:val="0"/>
          <w:vertAlign w:val="baseline"/>
          <w:lang w:val="en-GB"/>
        </w:rPr>
        <w:t>Subnational Production</w:t>
      </w:r>
      <w:r w:rsidRPr="008C5415">
        <w:rPr>
          <w:rFonts w:eastAsia="Calibri" w:cs="Times New Roman"/>
          <w:i/>
          <w:kern w:val="0"/>
          <w:vertAlign w:val="subscript"/>
          <w:lang w:val="en-GB"/>
        </w:rPr>
        <w:t>i</w:t>
      </w:r>
      <w:r w:rsidRPr="008C5415">
        <w:rPr>
          <w:rFonts w:eastAsia="Calibri" w:cs="Times New Roman"/>
          <w:kern w:val="0"/>
          <w:vertAlign w:val="baseline"/>
          <w:lang w:val="en-GB"/>
        </w:rPr>
        <w:t xml:space="preserve"> </w:t>
      </w:r>
      <w:r w:rsidRPr="008C5415">
        <w:rPr>
          <w:rFonts w:eastAsia="Calibri" w:cs="Times New Roman"/>
          <w:noProof/>
          <w:kern w:val="0"/>
          <w:position w:val="-30"/>
          <w:vertAlign w:val="baseline"/>
        </w:rPr>
        <w:drawing>
          <wp:inline distT="0" distB="0" distL="0" distR="0" wp14:anchorId="3C7CE797" wp14:editId="1ECD4F12">
            <wp:extent cx="120015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inline>
        </w:drawing>
      </w:r>
      <w:r w:rsidRPr="008C5415">
        <w:rPr>
          <w:rFonts w:eastAsia="Calibri" w:cs="Times New Roman"/>
          <w:kern w:val="0"/>
          <w:vertAlign w:val="baseline"/>
          <w:lang w:val="en-GB"/>
        </w:rPr>
        <w:t xml:space="preserve">, where </w:t>
      </w:r>
      <w:r w:rsidRPr="008C5415">
        <w:rPr>
          <w:rFonts w:eastAsia="Calibri" w:cs="Times New Roman"/>
          <w:i/>
          <w:kern w:val="0"/>
          <w:vertAlign w:val="baseline"/>
          <w:lang w:val="en-GB"/>
        </w:rPr>
        <w:t>production</w:t>
      </w:r>
      <w:r w:rsidRPr="008C5415">
        <w:rPr>
          <w:rFonts w:eastAsia="Calibri" w:cs="Times New Roman"/>
          <w:i/>
          <w:kern w:val="0"/>
          <w:vertAlign w:val="subscript"/>
          <w:lang w:val="en-GB"/>
        </w:rPr>
        <w:t>i,k</w:t>
      </w:r>
      <w:r w:rsidRPr="008C5415">
        <w:rPr>
          <w:rFonts w:eastAsia="Calibri" w:cs="Times New Roman"/>
          <w:kern w:val="0"/>
          <w:vertAlign w:val="subscript"/>
          <w:lang w:val="en-GB"/>
        </w:rPr>
        <w:t xml:space="preserve"> </w:t>
      </w:r>
      <w:r w:rsidRPr="008C5415">
        <w:rPr>
          <w:rFonts w:eastAsia="Calibri" w:cs="Times New Roman"/>
          <w:kern w:val="0"/>
          <w:vertAlign w:val="baseline"/>
          <w:lang w:val="en-GB"/>
        </w:rPr>
        <w:t xml:space="preserve">is the value of production of industry </w:t>
      </w:r>
      <w:r w:rsidRPr="008C5415">
        <w:rPr>
          <w:rFonts w:eastAsia="Calibri" w:cs="Times New Roman"/>
          <w:i/>
          <w:kern w:val="0"/>
          <w:vertAlign w:val="baseline"/>
          <w:lang w:val="en-GB"/>
        </w:rPr>
        <w:t>i</w:t>
      </w:r>
      <w:r w:rsidRPr="008C5415">
        <w:rPr>
          <w:rFonts w:eastAsia="Calibri" w:cs="Times New Roman"/>
          <w:kern w:val="0"/>
          <w:vertAlign w:val="baseline"/>
          <w:lang w:val="en-GB"/>
        </w:rPr>
        <w:t xml:space="preserve"> in jurisdiction </w:t>
      </w:r>
      <w:r w:rsidRPr="008C5415">
        <w:rPr>
          <w:rFonts w:eastAsia="Calibri" w:cs="Times New Roman"/>
          <w:i/>
          <w:kern w:val="0"/>
          <w:vertAlign w:val="baseline"/>
          <w:lang w:val="en-GB"/>
        </w:rPr>
        <w:t>k</w:t>
      </w:r>
      <w:r w:rsidRPr="008C5415">
        <w:rPr>
          <w:rFonts w:eastAsia="Calibri" w:cs="Times New Roman"/>
          <w:kern w:val="0"/>
          <w:vertAlign w:val="baseline"/>
          <w:lang w:val="en-GB"/>
        </w:rPr>
        <w:t xml:space="preserve"> and </w:t>
      </w:r>
      <w:r w:rsidRPr="008C5415">
        <w:rPr>
          <w:rFonts w:eastAsia="Calibri" w:cs="Times New Roman"/>
          <w:i/>
          <w:kern w:val="0"/>
          <w:vertAlign w:val="baseline"/>
          <w:lang w:val="en-GB"/>
        </w:rPr>
        <w:t>GDP</w:t>
      </w:r>
      <w:r w:rsidRPr="008C5415">
        <w:rPr>
          <w:rFonts w:eastAsia="Calibri" w:cs="Times New Roman"/>
          <w:i/>
          <w:kern w:val="0"/>
          <w:vertAlign w:val="subscript"/>
          <w:lang w:val="en-GB"/>
        </w:rPr>
        <w:t>k</w:t>
      </w:r>
      <w:r w:rsidRPr="008C5415">
        <w:rPr>
          <w:rFonts w:eastAsia="Calibri" w:cs="Times New Roman"/>
          <w:kern w:val="0"/>
          <w:vertAlign w:val="baseline"/>
          <w:lang w:val="en-GB"/>
        </w:rPr>
        <w:t xml:space="preserve"> is the size of the subnational economy </w:t>
      </w:r>
      <w:r w:rsidRPr="008C5415">
        <w:rPr>
          <w:rFonts w:eastAsia="Calibri" w:cs="Times New Roman"/>
          <w:i/>
          <w:kern w:val="0"/>
          <w:vertAlign w:val="baseline"/>
          <w:lang w:val="en-GB"/>
        </w:rPr>
        <w:t>k</w:t>
      </w:r>
      <w:r w:rsidRPr="008C5415">
        <w:rPr>
          <w:rFonts w:eastAsia="Calibri" w:cs="Times New Roman"/>
          <w:kern w:val="0"/>
          <w:vertAlign w:val="baseline"/>
          <w:lang w:val="en-GB"/>
        </w:rPr>
        <w:t xml:space="preserve">, and </w:t>
      </w:r>
      <w:r w:rsidRPr="008C5415">
        <w:rPr>
          <w:rFonts w:eastAsia="Calibri" w:cs="Times New Roman"/>
          <w:i/>
          <w:kern w:val="0"/>
          <w:vertAlign w:val="baseline"/>
          <w:lang w:val="en-GB"/>
        </w:rPr>
        <w:t>n</w:t>
      </w:r>
      <w:r w:rsidRPr="008C5415">
        <w:rPr>
          <w:rFonts w:eastAsia="Calibri" w:cs="Times New Roman"/>
          <w:kern w:val="0"/>
          <w:vertAlign w:val="baseline"/>
          <w:lang w:val="en-GB"/>
        </w:rPr>
        <w:t xml:space="preserve"> is the total number of jurisdictions.</w:t>
      </w:r>
    </w:p>
    <w:p w:rsidR="008C5415" w:rsidRPr="00F9349E" w:rsidRDefault="008C5415" w:rsidP="008C5415">
      <w:pPr>
        <w:spacing w:after="0" w:line="480" w:lineRule="auto"/>
        <w:ind w:firstLine="720"/>
        <w:rPr>
          <w:rFonts w:eastAsia="Calibri" w:cs="Times New Roman"/>
          <w:kern w:val="0"/>
          <w:vertAlign w:val="baseline"/>
          <w:lang w:val="en-GB"/>
        </w:rPr>
      </w:pPr>
      <w:r w:rsidRPr="00F9349E">
        <w:rPr>
          <w:rFonts w:eastAsia="Calibri" w:cs="Times New Roman"/>
          <w:kern w:val="0"/>
          <w:vertAlign w:val="baseline"/>
          <w:lang w:val="en-GB"/>
        </w:rPr>
        <w:t xml:space="preserve">This measure takes into account the importance of the rural, government, and service sector, something that the absolute size of an industry cannot do.  Unfortunately, the indicator cannot directly measure the importance of the rural sector within a state’s economy and cannot capture the potential influence of rural corporatist machine politics in the member countries.  However, this measure does make a significant advance in the </w:t>
      </w:r>
      <w:r w:rsidRPr="00F9349E">
        <w:rPr>
          <w:rFonts w:eastAsia="Calibri" w:cs="Times New Roman"/>
          <w:kern w:val="0"/>
          <w:vertAlign w:val="baseline"/>
          <w:lang w:val="en-GB"/>
        </w:rPr>
        <w:lastRenderedPageBreak/>
        <w:t>incorporation of non-industrial economic interests.  Until data for the rural and service</w:t>
      </w:r>
      <w:r w:rsidRPr="00F9349E">
        <w:rPr>
          <w:rFonts w:eastAsia="Calibri" w:cs="Times New Roman"/>
          <w:kern w:val="0"/>
          <w:vertAlign w:val="baseline"/>
          <w:lang w:val="en-GB"/>
        </w:rPr>
        <w:t xml:space="preserve"> </w:t>
      </w:r>
      <w:r w:rsidRPr="00F9349E">
        <w:rPr>
          <w:rFonts w:eastAsia="Calibri" w:cs="Times New Roman"/>
          <w:kern w:val="0"/>
          <w:vertAlign w:val="baseline"/>
          <w:lang w:val="en-GB"/>
        </w:rPr>
        <w:t>economy are fully and accurately reported at the provincial (state) level, there is no way to directly model the influence of these different sectors.</w:t>
      </w:r>
    </w:p>
    <w:p w:rsidR="008C5415" w:rsidRPr="008C5415" w:rsidRDefault="008C5415" w:rsidP="008C5415">
      <w:pPr>
        <w:spacing w:after="0" w:line="480" w:lineRule="auto"/>
        <w:ind w:firstLine="720"/>
        <w:rPr>
          <w:rFonts w:eastAsia="Calibri" w:cs="Times New Roman"/>
          <w:kern w:val="0"/>
          <w:vertAlign w:val="baseline"/>
          <w:lang w:val="en-GB"/>
        </w:rPr>
      </w:pPr>
      <w:r w:rsidRPr="008C5415">
        <w:rPr>
          <w:rFonts w:eastAsia="Calibri" w:cs="Times New Roman"/>
          <w:kern w:val="0"/>
          <w:vertAlign w:val="baseline"/>
          <w:lang w:val="en-GB"/>
        </w:rPr>
        <w:t xml:space="preserve">While, this measure does not have the well-known properties of the Herfindahl index, the Gini coefficient, or an </w:t>
      </w:r>
      <w:r w:rsidRPr="008C5415">
        <w:rPr>
          <w:rFonts w:eastAsia="Calibri" w:cs="Times New Roman"/>
          <w:bCs/>
          <w:kern w:val="0"/>
          <w:vertAlign w:val="baseline"/>
          <w:lang w:val="en-GB"/>
        </w:rPr>
        <w:t>Atkinson index, none of these measures of concentration can</w:t>
      </w:r>
      <w:r w:rsidRPr="008C5415">
        <w:rPr>
          <w:rFonts w:eastAsia="Calibri" w:cs="Times New Roman"/>
          <w:kern w:val="0"/>
          <w:vertAlign w:val="baseline"/>
          <w:lang w:val="en-GB"/>
        </w:rPr>
        <w:t xml:space="preserve"> accurately capture the subnational importance of an industry in individual jurisdictions.  What we do know about the measure is that it has a lower limit of zero and an upper limit equal to the ratio of national industrial production to GDP.  While the measure may seem to strictly increase with the number of jurisdictions in which the industry appears, it does not.  This is because the value of the numerator does not change with the number of jurisdictions that an industry appears in.  We do know that if an industry is located within smaller subnational economies, the value of the measure is greater than if it were located in more robust economies.  Higher values of this measure of subnational importance, therefore, indicate that the industry has a more significant role in the economy of at least one subnational jurisdiction.</w:t>
      </w:r>
    </w:p>
    <w:p w:rsidR="008C5415" w:rsidRPr="008C5415" w:rsidRDefault="008C5415" w:rsidP="008C5415">
      <w:pPr>
        <w:spacing w:after="0" w:line="480" w:lineRule="auto"/>
        <w:ind w:firstLine="720"/>
        <w:rPr>
          <w:rFonts w:eastAsia="Calibri" w:cs="Times New Roman"/>
          <w:kern w:val="0"/>
          <w:vertAlign w:val="baseline"/>
          <w:lang w:val="en-GB"/>
        </w:rPr>
      </w:pPr>
      <w:r w:rsidRPr="008C5415">
        <w:rPr>
          <w:rFonts w:eastAsia="Calibri" w:cs="Times New Roman"/>
          <w:kern w:val="0"/>
          <w:vertAlign w:val="baseline"/>
          <w:lang w:val="en-GB"/>
        </w:rPr>
        <w:t xml:space="preserve">While the measure may seem to strictly increase with the number of jurisdictions in which the industry appears, it does not.  This is because the value of </w:t>
      </w:r>
      <w:r w:rsidRPr="008C5415">
        <w:rPr>
          <w:rFonts w:eastAsia="Calibri" w:cs="Times New Roman"/>
          <w:noProof/>
          <w:kern w:val="0"/>
          <w:position w:val="-28"/>
          <w:vertAlign w:val="baseline"/>
        </w:rPr>
        <w:drawing>
          <wp:inline distT="0" distB="0" distL="0" distR="0" wp14:anchorId="3671FAD4" wp14:editId="4DB0774C">
            <wp:extent cx="122872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8C5415">
        <w:rPr>
          <w:rFonts w:eastAsia="Calibri" w:cs="Times New Roman"/>
          <w:kern w:val="0"/>
          <w:vertAlign w:val="baseline"/>
          <w:lang w:val="en-GB"/>
        </w:rPr>
        <w:t xml:space="preserve"> does not change with the number of jurisdictions that an industry appears in.  If we assume that the industrial economies of all economies are the same size (</w:t>
      </w:r>
      <w:r w:rsidRPr="008C5415">
        <w:rPr>
          <w:rFonts w:eastAsia="Calibri" w:cs="Times New Roman"/>
          <w:noProof/>
          <w:kern w:val="0"/>
          <w:position w:val="-16"/>
          <w:vertAlign w:val="baseline"/>
        </w:rPr>
        <w:drawing>
          <wp:inline distT="0" distB="0" distL="0" distR="0" wp14:anchorId="05DD881D" wp14:editId="1EBB6A6C">
            <wp:extent cx="952500"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Pr="008C5415">
        <w:rPr>
          <w:rFonts w:eastAsia="Calibri" w:cs="Times New Roman"/>
          <w:kern w:val="0"/>
          <w:vertAlign w:val="baseline"/>
          <w:lang w:val="en-GB"/>
        </w:rPr>
        <w:t>=</w:t>
      </w:r>
      <w:r w:rsidRPr="008C5415">
        <w:rPr>
          <w:rFonts w:eastAsia="Calibri" w:cs="Times New Roman"/>
          <w:noProof/>
          <w:kern w:val="0"/>
          <w:position w:val="-16"/>
          <w:vertAlign w:val="baseline"/>
        </w:rPr>
        <w:drawing>
          <wp:inline distT="0" distB="0" distL="0" distR="0" wp14:anchorId="16EE7951" wp14:editId="55B0E839">
            <wp:extent cx="141922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rsidRPr="008C5415">
        <w:rPr>
          <w:rFonts w:eastAsia="Calibri" w:cs="Times New Roman"/>
          <w:kern w:val="0"/>
          <w:vertAlign w:val="baseline"/>
          <w:lang w:val="en-GB"/>
        </w:rPr>
        <w:t xml:space="preserve">), then the value of the measure does not change, for a given size of an industry, regardless of how many jurisdictions it operates in.  Once the size of the industrial economy of each jurisdiction is allowed to vary, no direct </w:t>
      </w:r>
      <w:r w:rsidRPr="008C5415">
        <w:rPr>
          <w:rFonts w:eastAsia="Calibri" w:cs="Times New Roman"/>
          <w:kern w:val="0"/>
          <w:vertAlign w:val="baseline"/>
          <w:lang w:val="en-GB"/>
        </w:rPr>
        <w:lastRenderedPageBreak/>
        <w:t>relationship exists between the size of an industry, the number of jurisdictions that it is present in, and its measure of subnational importance.  We do know that if an industry is located within smaller economies, the value of the measure will be greater than if it was located in more robust economies.</w:t>
      </w:r>
    </w:p>
    <w:p w:rsidR="008C5415" w:rsidRPr="00F9349E" w:rsidRDefault="008C5415" w:rsidP="008C5415">
      <w:pPr>
        <w:spacing w:after="0" w:line="480" w:lineRule="auto"/>
        <w:ind w:firstLine="720"/>
        <w:rPr>
          <w:rFonts w:eastAsia="Calibri" w:cs="Times New Roman"/>
          <w:kern w:val="0"/>
          <w:vertAlign w:val="baseline"/>
          <w:lang w:val="en-GB"/>
        </w:rPr>
      </w:pPr>
      <w:r w:rsidRPr="008C5415">
        <w:rPr>
          <w:rFonts w:eastAsia="Calibri" w:cs="Times New Roman"/>
          <w:kern w:val="0"/>
          <w:vertAlign w:val="baseline"/>
          <w:lang w:val="en-GB"/>
        </w:rPr>
        <w:t>The greatest limitation of this measure is that there is no way to determine whether an increase of 0.1 is due to an industry representing an additional 10% of one jurisdiction’s economy or an additional 1% of ten jurisdictions’ economies.  A Herfindahl index of subnational importance was calculated and integrated into the statistical models, but proved to be non-significant.</w:t>
      </w:r>
    </w:p>
    <w:p w:rsidR="00A21C26" w:rsidRPr="008C5415" w:rsidRDefault="00A21C26" w:rsidP="008C5415">
      <w:pPr>
        <w:spacing w:after="0" w:line="480" w:lineRule="auto"/>
        <w:ind w:firstLine="720"/>
        <w:rPr>
          <w:rFonts w:eastAsia="Calibri" w:cs="Times New Roman"/>
          <w:kern w:val="0"/>
          <w:vertAlign w:val="baseline"/>
          <w:lang w:val="en-GB"/>
        </w:rPr>
      </w:pPr>
    </w:p>
    <w:p w:rsidR="00A21C26" w:rsidRPr="00A21C26" w:rsidRDefault="00A21C26" w:rsidP="00A21C26">
      <w:pPr>
        <w:spacing w:after="0" w:line="480" w:lineRule="auto"/>
        <w:ind w:firstLine="720"/>
        <w:outlineLvl w:val="0"/>
        <w:rPr>
          <w:rFonts w:eastAsia="Calibri" w:cs="Times New Roman"/>
          <w:b/>
          <w:kern w:val="0"/>
          <w:vertAlign w:val="baseline"/>
          <w:lang w:val="en-GB"/>
        </w:rPr>
      </w:pPr>
      <w:bookmarkStart w:id="4" w:name="AlternativeSpecifications"/>
      <w:bookmarkStart w:id="5" w:name="ModelSpecifications"/>
      <w:r w:rsidRPr="00A21C26">
        <w:rPr>
          <w:rFonts w:eastAsia="Calibri" w:cs="Times New Roman"/>
          <w:b/>
          <w:kern w:val="0"/>
          <w:vertAlign w:val="baseline"/>
          <w:lang w:val="en-GB"/>
        </w:rPr>
        <w:t xml:space="preserve">Alternative Specifications </w:t>
      </w:r>
      <w:bookmarkEnd w:id="4"/>
      <w:r w:rsidRPr="00A21C26">
        <w:rPr>
          <w:rFonts w:eastAsia="Calibri" w:cs="Times New Roman"/>
          <w:b/>
          <w:kern w:val="0"/>
          <w:vertAlign w:val="baseline"/>
          <w:lang w:val="en-GB"/>
        </w:rPr>
        <w:t xml:space="preserve">of </w:t>
      </w:r>
      <w:r w:rsidRPr="00A21C26">
        <w:rPr>
          <w:rFonts w:eastAsia="Calibri" w:cs="Times New Roman"/>
          <w:b/>
          <w:noProof/>
          <w:kern w:val="0"/>
          <w:position w:val="-12"/>
          <w:vertAlign w:val="baseline"/>
        </w:rPr>
        <w:drawing>
          <wp:inline distT="0" distB="0" distL="0" distR="0" wp14:anchorId="089F570E" wp14:editId="63DB6131">
            <wp:extent cx="1905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bookmarkEnd w:id="5"/>
    </w:p>
    <w:p w:rsidR="00A21C26" w:rsidRPr="00A21C26" w:rsidRDefault="00A21C26" w:rsidP="00A21C26">
      <w:pPr>
        <w:autoSpaceDE w:val="0"/>
        <w:autoSpaceDN w:val="0"/>
        <w:adjustRightInd w:val="0"/>
        <w:spacing w:after="0" w:line="480" w:lineRule="auto"/>
        <w:ind w:firstLine="720"/>
        <w:rPr>
          <w:rFonts w:eastAsia="Calibri" w:cs="Times New Roman"/>
          <w:kern w:val="0"/>
          <w:vertAlign w:val="baseline"/>
        </w:rPr>
      </w:pPr>
      <w:r w:rsidRPr="00A21C26">
        <w:rPr>
          <w:rFonts w:eastAsia="Calibri" w:cs="Times New Roman"/>
          <w:kern w:val="0"/>
          <w:vertAlign w:val="baseline"/>
        </w:rPr>
        <w:t xml:space="preserve">As </w:t>
      </w:r>
      <w:r w:rsidRPr="00A21C26">
        <w:rPr>
          <w:rFonts w:eastAsia="Calibri" w:cs="Times New Roman"/>
          <w:noProof/>
          <w:kern w:val="0"/>
          <w:vertAlign w:val="baseline"/>
        </w:rPr>
        <w:t>Olarreaga et al. (1999)</w:t>
      </w:r>
      <w:r w:rsidRPr="00A21C26">
        <w:rPr>
          <w:rFonts w:eastAsia="Calibri" w:cs="Times New Roman"/>
          <w:kern w:val="0"/>
          <w:vertAlign w:val="baseline"/>
        </w:rPr>
        <w:t xml:space="preserve"> observe, the interests of Brazil dominated the formation of the CET.  This is because in most sectors Brazilian industry outweighed the combined production of Argentina, Paraguay, and Uruguay (e.g. basic chemical products).  However, in many sectors there was a balance between Brazil and the other countries (e.g. forestry products) and in some industries the other member states outweighed Brazil (e.g. leather goods and luggage).  In industries where Brazilian production dominated it is expected that Brazilian interests would dominate because they have more at stake and vice-a-versa.  Even though the Brazilian economy much larger than those of its partners, there is no reason to believe that the interests of the other member states did not shape policy outcomes with regard to industries were they had an important stake.</w:t>
      </w:r>
    </w:p>
    <w:p w:rsidR="00A21C26" w:rsidRPr="00A21C26" w:rsidRDefault="00A21C26" w:rsidP="00A21C26">
      <w:pPr>
        <w:autoSpaceDE w:val="0"/>
        <w:autoSpaceDN w:val="0"/>
        <w:adjustRightInd w:val="0"/>
        <w:spacing w:after="0" w:line="480" w:lineRule="auto"/>
        <w:ind w:firstLine="720"/>
        <w:rPr>
          <w:rFonts w:eastAsia="Calibri" w:cs="Times New Roman"/>
          <w:kern w:val="0"/>
          <w:vertAlign w:val="baseline"/>
        </w:rPr>
      </w:pPr>
      <w:r w:rsidRPr="00A21C26">
        <w:rPr>
          <w:rFonts w:eastAsia="Calibri" w:cs="Times New Roman"/>
          <w:noProof/>
          <w:kern w:val="0"/>
          <w:vertAlign w:val="baseline"/>
        </w:rPr>
        <w:t xml:space="preserve">Bianculli and Botto (2009) argue that </w:t>
      </w:r>
      <w:r w:rsidRPr="00A21C26">
        <w:rPr>
          <w:rFonts w:eastAsia="Calibri" w:cs="Times New Roman"/>
          <w:kern w:val="0"/>
          <w:vertAlign w:val="baseline"/>
        </w:rPr>
        <w:t xml:space="preserve">Brazil was able to impose its own tariff schedule on the other member. However, the CET does not mirror only the interests of </w:t>
      </w:r>
      <w:r w:rsidRPr="00A21C26">
        <w:rPr>
          <w:rFonts w:eastAsia="Calibri" w:cs="Times New Roman"/>
          <w:kern w:val="0"/>
          <w:vertAlign w:val="baseline"/>
        </w:rPr>
        <w:lastRenderedPageBreak/>
        <w:t>Brazil.  Using the same political and economic variables, the seven models descripted above were estimated using four new weighting methods for the countries (</w:t>
      </w:r>
      <w:r w:rsidRPr="00A21C26">
        <w:rPr>
          <w:rFonts w:eastAsia="Calibri" w:cs="Times New Roman"/>
          <w:noProof/>
          <w:kern w:val="0"/>
          <w:position w:val="-12"/>
          <w:vertAlign w:val="baseline"/>
        </w:rPr>
        <w:drawing>
          <wp:inline distT="0" distB="0" distL="0" distR="0" wp14:anchorId="722C7BF9" wp14:editId="2F9D043B">
            <wp:extent cx="1905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21C26">
        <w:rPr>
          <w:rFonts w:eastAsia="Calibri" w:cs="Times New Roman"/>
          <w:kern w:val="0"/>
          <w:vertAlign w:val="baseline"/>
        </w:rPr>
        <w:t xml:space="preserve">). The results suggest that the interests of all four countries were taken into account.  The four new methods of calculating </w:t>
      </w:r>
      <w:r w:rsidRPr="00A21C26">
        <w:rPr>
          <w:rFonts w:eastAsia="Calibri" w:cs="Times New Roman"/>
          <w:noProof/>
          <w:kern w:val="0"/>
          <w:position w:val="-12"/>
          <w:vertAlign w:val="baseline"/>
        </w:rPr>
        <w:drawing>
          <wp:inline distT="0" distB="0" distL="0" distR="0" wp14:anchorId="35B8202E" wp14:editId="73B748E5">
            <wp:extent cx="19050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21C26">
        <w:rPr>
          <w:rFonts w:eastAsia="Calibri" w:cs="Times New Roman"/>
          <w:kern w:val="0"/>
          <w:vertAlign w:val="baseline"/>
        </w:rPr>
        <w:t xml:space="preserve">consist of: 1) using only data from Brazil </w:t>
      </w:r>
      <w:r w:rsidRPr="00A21C26">
        <w:rPr>
          <w:rFonts w:eastAsia="Calibri" w:cs="Times New Roman"/>
          <w:noProof/>
          <w:kern w:val="0"/>
          <w:position w:val="-12"/>
          <w:vertAlign w:val="baseline"/>
        </w:rPr>
        <w:drawing>
          <wp:inline distT="0" distB="0" distL="0" distR="0" wp14:anchorId="59745E45" wp14:editId="60515841">
            <wp:extent cx="7905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rsidRPr="00A21C26">
        <w:rPr>
          <w:rFonts w:eastAsia="Calibri" w:cs="Times New Roman"/>
          <w:kern w:val="0"/>
          <w:vertAlign w:val="baseline"/>
        </w:rPr>
        <w:t xml:space="preserve">; 2) using only data from Argentina and Brazil </w:t>
      </w:r>
      <w:r w:rsidRPr="00A21C26">
        <w:rPr>
          <w:rFonts w:eastAsia="Calibri" w:cs="Times New Roman"/>
          <w:noProof/>
          <w:kern w:val="0"/>
          <w:position w:val="-12"/>
          <w:vertAlign w:val="baseline"/>
        </w:rPr>
        <w:drawing>
          <wp:inline distT="0" distB="0" distL="0" distR="0" wp14:anchorId="2BB391A0" wp14:editId="22E68310">
            <wp:extent cx="160972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247650"/>
                    </a:xfrm>
                    <a:prstGeom prst="rect">
                      <a:avLst/>
                    </a:prstGeom>
                    <a:noFill/>
                    <a:ln>
                      <a:noFill/>
                    </a:ln>
                  </pic:spPr>
                </pic:pic>
              </a:graphicData>
            </a:graphic>
          </wp:inline>
        </w:drawing>
      </w:r>
      <w:r w:rsidRPr="00A21C26">
        <w:rPr>
          <w:rFonts w:eastAsia="Calibri" w:cs="Times New Roman"/>
          <w:kern w:val="0"/>
          <w:vertAlign w:val="baseline"/>
        </w:rPr>
        <w:t xml:space="preserve">; 3) giving equal weight to each country </w:t>
      </w:r>
      <w:r w:rsidRPr="00A21C26">
        <w:rPr>
          <w:rFonts w:eastAsia="Calibri" w:cs="Times New Roman"/>
          <w:noProof/>
          <w:kern w:val="0"/>
          <w:position w:val="-12"/>
          <w:vertAlign w:val="baseline"/>
        </w:rPr>
        <w:drawing>
          <wp:inline distT="0" distB="0" distL="0" distR="0" wp14:anchorId="003ED1C9" wp14:editId="0502BEC0">
            <wp:extent cx="280987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238125"/>
                    </a:xfrm>
                    <a:prstGeom prst="rect">
                      <a:avLst/>
                    </a:prstGeom>
                    <a:noFill/>
                    <a:ln>
                      <a:noFill/>
                    </a:ln>
                  </pic:spPr>
                </pic:pic>
              </a:graphicData>
            </a:graphic>
          </wp:inline>
        </w:drawing>
      </w:r>
      <w:r w:rsidRPr="00A21C26">
        <w:rPr>
          <w:rFonts w:eastAsia="Calibri" w:cs="Times New Roman"/>
          <w:kern w:val="0"/>
          <w:vertAlign w:val="baseline"/>
        </w:rPr>
        <w:t xml:space="preserve">; and, 4) giving equal weight to Argentina and Brazil </w:t>
      </w:r>
      <w:r w:rsidRPr="00A21C26">
        <w:rPr>
          <w:rFonts w:eastAsia="Calibri" w:cs="Times New Roman"/>
          <w:noProof/>
          <w:kern w:val="0"/>
          <w:position w:val="-12"/>
          <w:vertAlign w:val="baseline"/>
        </w:rPr>
        <w:drawing>
          <wp:inline distT="0" distB="0" distL="0" distR="0" wp14:anchorId="555C7E1A" wp14:editId="585E960E">
            <wp:extent cx="1466850" cy="276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A21C26">
        <w:rPr>
          <w:rFonts w:eastAsia="Calibri" w:cs="Times New Roman"/>
          <w:kern w:val="0"/>
          <w:vertAlign w:val="baseline"/>
        </w:rPr>
        <w:t>.  As can be seen in Table 2, almost all the models, including those giving an equal weight to all the countries, outperform the models that only take into account Brazil.  These results confirm that weighting the political and economic variable based on the participation of each country in the total regional production of each industry best represents the political and economic consideration behind the formation of the CET.</w:t>
      </w:r>
    </w:p>
    <w:p w:rsidR="00A21C26" w:rsidRPr="00A21C26" w:rsidRDefault="00A21C26" w:rsidP="00A21C26">
      <w:pPr>
        <w:spacing w:after="0" w:line="480" w:lineRule="auto"/>
        <w:ind w:firstLine="720"/>
        <w:rPr>
          <w:rFonts w:eastAsia="Calibri" w:cs="Times New Roman"/>
          <w:kern w:val="0"/>
          <w:vertAlign w:val="baseline"/>
        </w:rPr>
      </w:pPr>
      <w:r w:rsidRPr="00A21C26">
        <w:rPr>
          <w:rFonts w:eastAsia="Calibri" w:cs="Times New Roman"/>
          <w:kern w:val="0"/>
          <w:vertAlign w:val="baselin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1078"/>
        <w:gridCol w:w="1078"/>
        <w:gridCol w:w="1078"/>
        <w:gridCol w:w="1078"/>
      </w:tblGrid>
      <w:tr w:rsidR="00A21C26" w:rsidRPr="00F9349E" w:rsidTr="00722DFD">
        <w:tc>
          <w:tcPr>
            <w:tcW w:w="0" w:type="auto"/>
            <w:gridSpan w:val="5"/>
            <w:tcBorders>
              <w:bottom w:val="single" w:sz="4" w:space="0" w:color="auto"/>
            </w:tcBorders>
          </w:tcPr>
          <w:p w:rsidR="00A21C26" w:rsidRPr="00F9349E" w:rsidRDefault="00A21C26" w:rsidP="00722DFD">
            <w:pPr>
              <w:rPr>
                <w:rFonts w:ascii="Times New Roman" w:hAnsi="Times New Roman" w:cs="Times New Roman"/>
                <w:b/>
                <w:sz w:val="24"/>
                <w:szCs w:val="24"/>
              </w:rPr>
            </w:pPr>
            <w:bookmarkStart w:id="6" w:name="ModelFits"/>
            <w:r w:rsidRPr="00F9349E">
              <w:rPr>
                <w:rFonts w:ascii="Times New Roman" w:hAnsi="Times New Roman" w:cs="Times New Roman"/>
                <w:b/>
                <w:sz w:val="24"/>
                <w:szCs w:val="24"/>
              </w:rPr>
              <w:lastRenderedPageBreak/>
              <w:t>Model Fits for Different Weighting (</w:t>
            </w:r>
            <w:r w:rsidRPr="00F9349E">
              <w:rPr>
                <w:rFonts w:ascii="Times New Roman" w:hAnsi="Times New Roman" w:cs="Times New Roman"/>
                <w:b/>
                <w:noProof/>
                <w:position w:val="-12"/>
                <w:sz w:val="24"/>
                <w:szCs w:val="24"/>
              </w:rPr>
              <w:drawing>
                <wp:inline distT="0" distB="0" distL="0" distR="0" wp14:anchorId="083A4D0A" wp14:editId="3FAA339A">
                  <wp:extent cx="190500" cy="238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F9349E">
              <w:rPr>
                <w:rFonts w:ascii="Times New Roman" w:hAnsi="Times New Roman" w:cs="Times New Roman"/>
                <w:b/>
                <w:sz w:val="24"/>
                <w:szCs w:val="24"/>
              </w:rPr>
              <w:t>) of Explanatory Variables</w:t>
            </w:r>
            <w:bookmarkEnd w:id="6"/>
          </w:p>
        </w:tc>
      </w:tr>
      <w:tr w:rsidR="00A21C26" w:rsidRPr="00F9349E" w:rsidTr="00722DFD">
        <w:tc>
          <w:tcPr>
            <w:tcW w:w="4860" w:type="dxa"/>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p>
        </w:tc>
        <w:tc>
          <w:tcPr>
            <w:tcW w:w="1116" w:type="dxa"/>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Model 1</w:t>
            </w:r>
          </w:p>
        </w:tc>
        <w:tc>
          <w:tcPr>
            <w:tcW w:w="0" w:type="auto"/>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Model 2</w:t>
            </w:r>
          </w:p>
        </w:tc>
        <w:tc>
          <w:tcPr>
            <w:tcW w:w="0" w:type="auto"/>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Model 5</w:t>
            </w:r>
          </w:p>
        </w:tc>
        <w:tc>
          <w:tcPr>
            <w:tcW w:w="0" w:type="auto"/>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Model 7</w:t>
            </w:r>
          </w:p>
        </w:tc>
      </w:tr>
      <w:tr w:rsidR="00A21C26" w:rsidRPr="00F9349E" w:rsidTr="00722DFD">
        <w:tc>
          <w:tcPr>
            <w:tcW w:w="4860" w:type="dxa"/>
            <w:tcBorders>
              <w:top w:val="single" w:sz="4" w:space="0" w:color="auto"/>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Average sq. out-of-sample error</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(10-fold cross-validation)</w:t>
            </w:r>
          </w:p>
        </w:tc>
        <w:tc>
          <w:tcPr>
            <w:tcW w:w="1116" w:type="dxa"/>
            <w:tcBorders>
              <w:top w:val="single" w:sz="4" w:space="0" w:color="auto"/>
            </w:tcBorders>
          </w:tcPr>
          <w:p w:rsidR="00A21C26" w:rsidRPr="00F9349E" w:rsidRDefault="00A21C26" w:rsidP="00722DFD">
            <w:pPr>
              <w:rPr>
                <w:rFonts w:ascii="Times New Roman" w:hAnsi="Times New Roman" w:cs="Times New Roman"/>
                <w:sz w:val="24"/>
                <w:szCs w:val="24"/>
              </w:rPr>
            </w:pPr>
          </w:p>
        </w:tc>
        <w:tc>
          <w:tcPr>
            <w:tcW w:w="1116" w:type="dxa"/>
            <w:tcBorders>
              <w:top w:val="single" w:sz="4" w:space="0" w:color="auto"/>
            </w:tcBorders>
          </w:tcPr>
          <w:p w:rsidR="00A21C26" w:rsidRPr="00F9349E" w:rsidRDefault="00A21C26" w:rsidP="00722DFD">
            <w:pPr>
              <w:rPr>
                <w:rFonts w:ascii="Times New Roman" w:hAnsi="Times New Roman" w:cs="Times New Roman"/>
                <w:sz w:val="24"/>
                <w:szCs w:val="24"/>
              </w:rPr>
            </w:pPr>
          </w:p>
        </w:tc>
        <w:tc>
          <w:tcPr>
            <w:tcW w:w="1116" w:type="dxa"/>
            <w:tcBorders>
              <w:top w:val="single" w:sz="4" w:space="0" w:color="auto"/>
            </w:tcBorders>
          </w:tcPr>
          <w:p w:rsidR="00A21C26" w:rsidRPr="00F9349E" w:rsidRDefault="00A21C26" w:rsidP="00722DFD">
            <w:pPr>
              <w:rPr>
                <w:rFonts w:ascii="Times New Roman" w:hAnsi="Times New Roman" w:cs="Times New Roman"/>
                <w:sz w:val="24"/>
                <w:szCs w:val="24"/>
              </w:rPr>
            </w:pPr>
          </w:p>
        </w:tc>
        <w:tc>
          <w:tcPr>
            <w:tcW w:w="1116" w:type="dxa"/>
            <w:tcBorders>
              <w:top w:val="single" w:sz="4" w:space="0" w:color="auto"/>
            </w:tcBorders>
          </w:tcPr>
          <w:p w:rsidR="00A21C26" w:rsidRPr="00F9349E" w:rsidRDefault="00A21C26" w:rsidP="00722DFD">
            <w:pPr>
              <w:rPr>
                <w:rFonts w:ascii="Times New Roman" w:hAnsi="Times New Roman" w:cs="Times New Roman"/>
                <w:sz w:val="24"/>
                <w:szCs w:val="24"/>
              </w:rPr>
            </w:pPr>
          </w:p>
        </w:tc>
      </w:tr>
      <w:tr w:rsidR="00A21C26" w:rsidRPr="00F9349E" w:rsidTr="00722DFD">
        <w:trPr>
          <w:trHeight w:val="341"/>
        </w:trPr>
        <w:tc>
          <w:tcPr>
            <w:tcW w:w="4860" w:type="dxa"/>
            <w:tcBorders>
              <w:top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 xml:space="preserve">Weights based on Production: </w:t>
            </w:r>
            <w:r w:rsidRPr="00F9349E">
              <w:rPr>
                <w:rFonts w:ascii="Times New Roman" w:hAnsi="Times New Roman" w:cs="Times New Roman"/>
                <w:noProof/>
                <w:position w:val="-12"/>
                <w:sz w:val="24"/>
                <w:szCs w:val="24"/>
              </w:rPr>
              <w:drawing>
                <wp:inline distT="0" distB="0" distL="0" distR="0" wp14:anchorId="7F8A72E8" wp14:editId="7D6737EC">
                  <wp:extent cx="2514600"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285750"/>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31.99</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34.48</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32.06</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31.39</w:t>
            </w:r>
          </w:p>
        </w:tc>
      </w:tr>
      <w:tr w:rsidR="00A21C26" w:rsidRPr="00F9349E" w:rsidTr="00722DFD">
        <w:trPr>
          <w:trHeight w:val="575"/>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Only data from Brazil:</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position w:val="-12"/>
                <w:sz w:val="24"/>
                <w:szCs w:val="24"/>
              </w:rPr>
              <w:drawing>
                <wp:inline distT="0" distB="0" distL="0" distR="0" wp14:anchorId="7BD94C7F" wp14:editId="5A589667">
                  <wp:extent cx="696350" cy="298436"/>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150" cy="299208"/>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38.43</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38.64</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38.43</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38.72</w:t>
            </w:r>
          </w:p>
        </w:tc>
      </w:tr>
      <w:tr w:rsidR="00A21C26" w:rsidRPr="00F9349E" w:rsidTr="00722DFD">
        <w:trPr>
          <w:trHeight w:val="440"/>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Only Argentina and Brazil:</w:t>
            </w:r>
            <w:r w:rsidRPr="00F9349E">
              <w:rPr>
                <w:rFonts w:ascii="Times New Roman" w:hAnsi="Times New Roman" w:cs="Times New Roman"/>
                <w:noProof/>
                <w:position w:val="-12"/>
                <w:sz w:val="24"/>
                <w:szCs w:val="24"/>
              </w:rPr>
              <w:t xml:space="preserve"> </w:t>
            </w:r>
            <w:r w:rsidRPr="00F9349E">
              <w:rPr>
                <w:rFonts w:ascii="Times New Roman" w:hAnsi="Times New Roman" w:cs="Times New Roman"/>
                <w:noProof/>
                <w:position w:val="-12"/>
                <w:sz w:val="24"/>
                <w:szCs w:val="24"/>
              </w:rPr>
              <w:drawing>
                <wp:inline distT="0" distB="0" distL="0" distR="0" wp14:anchorId="138EC769" wp14:editId="6784C063">
                  <wp:extent cx="1514475" cy="285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r w:rsidRPr="00F9349E">
              <w:rPr>
                <w:rFonts w:ascii="Times New Roman" w:hAnsi="Times New Roman" w:cs="Times New Roman"/>
                <w:sz w:val="24"/>
                <w:szCs w:val="24"/>
              </w:rPr>
              <w:t xml:space="preserve"> </w:t>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34.10</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35.92</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34.08</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33.98</w:t>
            </w:r>
          </w:p>
        </w:tc>
      </w:tr>
      <w:tr w:rsidR="00A21C26" w:rsidRPr="00F9349E" w:rsidTr="00722DFD">
        <w:trPr>
          <w:trHeight w:val="54"/>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Equal weight to each country:</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position w:val="-12"/>
                <w:sz w:val="24"/>
                <w:szCs w:val="24"/>
              </w:rPr>
              <w:drawing>
                <wp:inline distT="0" distB="0" distL="0" distR="0" wp14:anchorId="6AD58D79" wp14:editId="1DA1504C">
                  <wp:extent cx="271462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625" cy="276225"/>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38.24</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38.78</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38.23</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38.26</w:t>
            </w:r>
          </w:p>
        </w:tc>
      </w:tr>
      <w:tr w:rsidR="00A21C26" w:rsidRPr="00F9349E" w:rsidTr="00722DFD">
        <w:trPr>
          <w:trHeight w:val="251"/>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Only Argentina and Brazil with equal weights:</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sz w:val="24"/>
                <w:szCs w:val="24"/>
              </w:rPr>
              <w:drawing>
                <wp:inline distT="0" distB="0" distL="0" distR="0" wp14:anchorId="50923878" wp14:editId="148D2AAA">
                  <wp:extent cx="1543050" cy="28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32.62</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35.74</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31.57</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31.53</w:t>
            </w:r>
          </w:p>
        </w:tc>
      </w:tr>
      <w:tr w:rsidR="00A21C26" w:rsidRPr="00F9349E" w:rsidTr="00722DFD">
        <w:trPr>
          <w:trHeight w:val="494"/>
        </w:trPr>
        <w:tc>
          <w:tcPr>
            <w:tcW w:w="4860" w:type="dxa"/>
            <w:tcBorders>
              <w:bottom w:val="single" w:sz="4" w:space="0" w:color="auto"/>
            </w:tcBorders>
          </w:tcPr>
          <w:p w:rsidR="00A21C26" w:rsidRPr="00F9349E" w:rsidRDefault="00A21C26" w:rsidP="00722DFD">
            <w:pPr>
              <w:rPr>
                <w:rFonts w:ascii="Times New Roman" w:hAnsi="Times New Roman" w:cs="Times New Roman"/>
                <w:sz w:val="24"/>
                <w:szCs w:val="24"/>
              </w:rPr>
            </w:pP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Bayesian Information Criterion (BIC)</w:t>
            </w:r>
          </w:p>
        </w:tc>
        <w:tc>
          <w:tcPr>
            <w:tcW w:w="1116" w:type="dxa"/>
          </w:tcPr>
          <w:p w:rsidR="00A21C26" w:rsidRPr="00F9349E" w:rsidRDefault="00A21C26" w:rsidP="00722DFD">
            <w:pPr>
              <w:rPr>
                <w:rFonts w:ascii="Times New Roman" w:hAnsi="Times New Roman" w:cs="Times New Roman"/>
                <w:sz w:val="24"/>
                <w:szCs w:val="24"/>
              </w:rPr>
            </w:pPr>
          </w:p>
        </w:tc>
        <w:tc>
          <w:tcPr>
            <w:tcW w:w="1116" w:type="dxa"/>
          </w:tcPr>
          <w:p w:rsidR="00A21C26" w:rsidRPr="00F9349E" w:rsidRDefault="00A21C26" w:rsidP="00722DFD">
            <w:pPr>
              <w:rPr>
                <w:rFonts w:ascii="Times New Roman" w:hAnsi="Times New Roman" w:cs="Times New Roman"/>
                <w:sz w:val="24"/>
                <w:szCs w:val="24"/>
              </w:rPr>
            </w:pPr>
          </w:p>
        </w:tc>
        <w:tc>
          <w:tcPr>
            <w:tcW w:w="1116" w:type="dxa"/>
          </w:tcPr>
          <w:p w:rsidR="00A21C26" w:rsidRPr="00F9349E" w:rsidRDefault="00A21C26" w:rsidP="00722DFD">
            <w:pPr>
              <w:rPr>
                <w:rFonts w:ascii="Times New Roman" w:hAnsi="Times New Roman" w:cs="Times New Roman"/>
                <w:sz w:val="24"/>
                <w:szCs w:val="24"/>
              </w:rPr>
            </w:pPr>
          </w:p>
        </w:tc>
        <w:tc>
          <w:tcPr>
            <w:tcW w:w="1116" w:type="dxa"/>
          </w:tcPr>
          <w:p w:rsidR="00A21C26" w:rsidRPr="00F9349E" w:rsidRDefault="00A21C26" w:rsidP="00722DFD">
            <w:pPr>
              <w:rPr>
                <w:rFonts w:ascii="Times New Roman" w:hAnsi="Times New Roman" w:cs="Times New Roman"/>
                <w:sz w:val="24"/>
                <w:szCs w:val="24"/>
              </w:rPr>
            </w:pPr>
          </w:p>
        </w:tc>
      </w:tr>
      <w:tr w:rsidR="00A21C26" w:rsidRPr="00F9349E" w:rsidTr="00722DFD">
        <w:trPr>
          <w:trHeight w:val="809"/>
        </w:trPr>
        <w:tc>
          <w:tcPr>
            <w:tcW w:w="4860" w:type="dxa"/>
            <w:tcBorders>
              <w:top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 xml:space="preserve">Weights based on Production: </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sz w:val="24"/>
                <w:szCs w:val="24"/>
              </w:rPr>
              <w:drawing>
                <wp:inline distT="0" distB="0" distL="0" distR="0" wp14:anchorId="06AA71C9" wp14:editId="53DBDE12">
                  <wp:extent cx="2514600"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285750"/>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48833.77</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48838.06</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48842.78</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48860.18</w:t>
            </w:r>
          </w:p>
        </w:tc>
      </w:tr>
      <w:tr w:rsidR="00A21C26" w:rsidRPr="00F9349E" w:rsidTr="00722DFD">
        <w:trPr>
          <w:trHeight w:val="800"/>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Only data from Brazil:</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sz w:val="24"/>
                <w:szCs w:val="24"/>
              </w:rPr>
              <w:drawing>
                <wp:inline distT="0" distB="0" distL="0" distR="0" wp14:anchorId="34E33F44" wp14:editId="0CFEEEAB">
                  <wp:extent cx="66675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50196.33</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50197.56</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50205.41</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50200.88</w:t>
            </w:r>
          </w:p>
        </w:tc>
      </w:tr>
      <w:tr w:rsidR="00A21C26" w:rsidRPr="00F9349E" w:rsidTr="00722DFD">
        <w:trPr>
          <w:trHeight w:val="530"/>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 xml:space="preserve">Only Argentina and Brazil: </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position w:val="-12"/>
                <w:sz w:val="24"/>
                <w:szCs w:val="24"/>
              </w:rPr>
              <w:drawing>
                <wp:inline distT="0" distB="0" distL="0" distR="0" wp14:anchorId="2B16DD3B" wp14:editId="2731E25F">
                  <wp:extent cx="1514475" cy="285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50069.09</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50073.91</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50078.18</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50096.30</w:t>
            </w:r>
          </w:p>
        </w:tc>
      </w:tr>
      <w:tr w:rsidR="00A21C26" w:rsidRPr="00F9349E" w:rsidTr="00722DFD">
        <w:trPr>
          <w:trHeight w:val="791"/>
        </w:trPr>
        <w:tc>
          <w:tcPr>
            <w:tcW w:w="4860" w:type="dxa"/>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Equal weight to each country:</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position w:val="-12"/>
                <w:sz w:val="24"/>
                <w:szCs w:val="24"/>
              </w:rPr>
              <w:drawing>
                <wp:inline distT="0" distB="0" distL="0" distR="0" wp14:anchorId="3FC62A5B" wp14:editId="3053C8B7">
                  <wp:extent cx="2667000" cy="276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276225"/>
                          </a:xfrm>
                          <a:prstGeom prst="rect">
                            <a:avLst/>
                          </a:prstGeom>
                          <a:noFill/>
                          <a:ln>
                            <a:noFill/>
                          </a:ln>
                        </pic:spPr>
                      </pic:pic>
                    </a:graphicData>
                  </a:graphic>
                </wp:inline>
              </w:drawing>
            </w:r>
          </w:p>
        </w:tc>
        <w:tc>
          <w:tcPr>
            <w:tcW w:w="1116" w:type="dxa"/>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50149.40</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50151.41</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50157.75</w:t>
            </w:r>
          </w:p>
        </w:tc>
        <w:tc>
          <w:tcPr>
            <w:tcW w:w="0" w:type="auto"/>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50168.27</w:t>
            </w:r>
          </w:p>
        </w:tc>
      </w:tr>
      <w:tr w:rsidR="00A21C26" w:rsidRPr="00F9349E" w:rsidTr="00722DFD">
        <w:trPr>
          <w:trHeight w:val="629"/>
        </w:trPr>
        <w:tc>
          <w:tcPr>
            <w:tcW w:w="4860" w:type="dxa"/>
            <w:tcBorders>
              <w:bottom w:val="single" w:sz="4" w:space="0" w:color="auto"/>
            </w:tcBorders>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Only Argentina and Brazil with equal weights:</w:t>
            </w:r>
          </w:p>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noProof/>
                <w:position w:val="-12"/>
                <w:sz w:val="24"/>
                <w:szCs w:val="24"/>
              </w:rPr>
              <w:drawing>
                <wp:inline distT="0" distB="0" distL="0" distR="0" wp14:anchorId="1947DE4A" wp14:editId="75276D22">
                  <wp:extent cx="1543050" cy="285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inline>
              </w:drawing>
            </w:r>
          </w:p>
        </w:tc>
        <w:tc>
          <w:tcPr>
            <w:tcW w:w="1116" w:type="dxa"/>
            <w:tcBorders>
              <w:bottom w:val="single" w:sz="4" w:space="0" w:color="auto"/>
            </w:tcBorders>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50071.68</w:t>
            </w:r>
          </w:p>
        </w:tc>
        <w:tc>
          <w:tcPr>
            <w:tcW w:w="0" w:type="auto"/>
            <w:tcBorders>
              <w:bottom w:val="single" w:sz="4" w:space="0" w:color="auto"/>
            </w:tcBorders>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50082.96</w:t>
            </w:r>
          </w:p>
        </w:tc>
        <w:tc>
          <w:tcPr>
            <w:tcW w:w="0" w:type="auto"/>
            <w:tcBorders>
              <w:bottom w:val="single" w:sz="4" w:space="0" w:color="auto"/>
            </w:tcBorders>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50080.72</w:t>
            </w:r>
          </w:p>
        </w:tc>
        <w:tc>
          <w:tcPr>
            <w:tcW w:w="0" w:type="auto"/>
            <w:tcBorders>
              <w:bottom w:val="single" w:sz="4" w:space="0" w:color="auto"/>
            </w:tcBorders>
            <w:vAlign w:val="center"/>
          </w:tcPr>
          <w:p w:rsidR="00A21C26" w:rsidRPr="00F9349E" w:rsidRDefault="00A21C26" w:rsidP="00722DFD">
            <w:pPr>
              <w:rPr>
                <w:rFonts w:ascii="Times New Roman" w:hAnsi="Times New Roman" w:cs="Times New Roman"/>
                <w:sz w:val="24"/>
                <w:szCs w:val="24"/>
              </w:rPr>
            </w:pPr>
            <w:r w:rsidRPr="00F9349E">
              <w:rPr>
                <w:rFonts w:ascii="Times New Roman" w:hAnsi="Times New Roman" w:cs="Times New Roman"/>
                <w:sz w:val="24"/>
                <w:szCs w:val="24"/>
              </w:rPr>
              <w:t>50098.87</w:t>
            </w:r>
          </w:p>
        </w:tc>
      </w:tr>
    </w:tbl>
    <w:p w:rsidR="00A21C26" w:rsidRPr="00F9349E" w:rsidRDefault="00A21C26" w:rsidP="00A21C26">
      <w:pPr>
        <w:pStyle w:val="EndNoteBibliography"/>
        <w:widowControl w:val="0"/>
        <w:spacing w:after="0" w:line="480" w:lineRule="auto"/>
        <w:ind w:left="720" w:hanging="720"/>
        <w:rPr>
          <w:rFonts w:ascii="Times New Roman" w:hAnsi="Times New Roman" w:cs="Times New Roman"/>
          <w:b/>
          <w:sz w:val="24"/>
          <w:szCs w:val="24"/>
          <w:lang w:val="en-GB"/>
        </w:rPr>
      </w:pPr>
    </w:p>
    <w:p w:rsidR="008C5415" w:rsidRPr="008C5415" w:rsidRDefault="008C5415" w:rsidP="00A21C26">
      <w:pPr>
        <w:spacing w:after="0" w:line="480" w:lineRule="auto"/>
        <w:rPr>
          <w:rFonts w:eastAsia="Calibri" w:cs="Times New Roman"/>
          <w:kern w:val="0"/>
          <w:vertAlign w:val="baseline"/>
          <w:lang w:val="en-GB"/>
        </w:rPr>
      </w:pPr>
    </w:p>
    <w:p w:rsidR="008C5415" w:rsidRPr="00F9349E" w:rsidRDefault="008C5415" w:rsidP="00A21C26">
      <w:pPr>
        <w:widowControl w:val="0"/>
        <w:spacing w:after="0" w:line="480" w:lineRule="auto"/>
        <w:rPr>
          <w:rFonts w:cs="Times New Roman"/>
          <w:vertAlign w:val="baseline"/>
        </w:rPr>
      </w:pPr>
    </w:p>
    <w:sectPr w:rsidR="008C5415" w:rsidRPr="00F9349E" w:rsidSect="00F93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D4A16"/>
    <w:multiLevelType w:val="hybridMultilevel"/>
    <w:tmpl w:val="338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91CF0"/>
    <w:multiLevelType w:val="hybridMultilevel"/>
    <w:tmpl w:val="84066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C"/>
    <w:rsid w:val="00017F9D"/>
    <w:rsid w:val="00107A48"/>
    <w:rsid w:val="001738AD"/>
    <w:rsid w:val="001C3050"/>
    <w:rsid w:val="00242F0A"/>
    <w:rsid w:val="002E2FE8"/>
    <w:rsid w:val="0031360D"/>
    <w:rsid w:val="00325B97"/>
    <w:rsid w:val="003A47BA"/>
    <w:rsid w:val="00400A1C"/>
    <w:rsid w:val="004507E5"/>
    <w:rsid w:val="0045575C"/>
    <w:rsid w:val="004F5F66"/>
    <w:rsid w:val="00550253"/>
    <w:rsid w:val="00590404"/>
    <w:rsid w:val="00593C5C"/>
    <w:rsid w:val="00593E45"/>
    <w:rsid w:val="00596CED"/>
    <w:rsid w:val="005A195C"/>
    <w:rsid w:val="00664E11"/>
    <w:rsid w:val="00746B00"/>
    <w:rsid w:val="007C5C87"/>
    <w:rsid w:val="007E3ED4"/>
    <w:rsid w:val="007F540C"/>
    <w:rsid w:val="007F666E"/>
    <w:rsid w:val="00836251"/>
    <w:rsid w:val="00850775"/>
    <w:rsid w:val="008A5359"/>
    <w:rsid w:val="008B15C6"/>
    <w:rsid w:val="008B6F54"/>
    <w:rsid w:val="008C5415"/>
    <w:rsid w:val="008F60C7"/>
    <w:rsid w:val="008F7582"/>
    <w:rsid w:val="0094052A"/>
    <w:rsid w:val="00950BED"/>
    <w:rsid w:val="0095683D"/>
    <w:rsid w:val="009D2C11"/>
    <w:rsid w:val="009D7E39"/>
    <w:rsid w:val="009F2D47"/>
    <w:rsid w:val="00A21C26"/>
    <w:rsid w:val="00A96942"/>
    <w:rsid w:val="00AB1433"/>
    <w:rsid w:val="00AC0F1C"/>
    <w:rsid w:val="00B31238"/>
    <w:rsid w:val="00B666D8"/>
    <w:rsid w:val="00C476C7"/>
    <w:rsid w:val="00C57066"/>
    <w:rsid w:val="00CD57B2"/>
    <w:rsid w:val="00CE7523"/>
    <w:rsid w:val="00D0637D"/>
    <w:rsid w:val="00D21FA0"/>
    <w:rsid w:val="00D71A36"/>
    <w:rsid w:val="00DD55A7"/>
    <w:rsid w:val="00E90BDE"/>
    <w:rsid w:val="00F16371"/>
    <w:rsid w:val="00F812AB"/>
    <w:rsid w:val="00F86592"/>
    <w:rsid w:val="00F9349E"/>
    <w:rsid w:val="00FC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C1A96-1CED-4110-AB16-B017A321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Mangal"/>
        <w:kern w:val="24"/>
        <w:sz w:val="24"/>
        <w:szCs w:val="24"/>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F60C7"/>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8F60C7"/>
    <w:rPr>
      <w:sz w:val="20"/>
      <w:szCs w:val="20"/>
      <w:lang w:val="es-ES"/>
    </w:rPr>
  </w:style>
  <w:style w:type="paragraph" w:styleId="HTMLPreformatted">
    <w:name w:val="HTML Preformatted"/>
    <w:aliases w:val="Note number"/>
    <w:basedOn w:val="Normal"/>
    <w:link w:val="HTMLPreformattedChar"/>
    <w:autoRedefine/>
    <w:uiPriority w:val="99"/>
    <w:unhideWhenUsed/>
    <w:rsid w:val="00F8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cs="Courier"/>
      <w:lang w:val="es-ES_tradnl" w:eastAsia="es-ES"/>
    </w:rPr>
  </w:style>
  <w:style w:type="character" w:customStyle="1" w:styleId="HTMLPreformattedChar">
    <w:name w:val="HTML Preformatted Char"/>
    <w:aliases w:val="Note number Char"/>
    <w:link w:val="HTMLPreformatted"/>
    <w:uiPriority w:val="99"/>
    <w:rsid w:val="00F86592"/>
    <w:rPr>
      <w:rFonts w:ascii="Times New Roman" w:hAnsi="Times New Roman" w:cs="Courier"/>
      <w:sz w:val="24"/>
      <w:vertAlign w:val="superscript"/>
      <w:lang w:val="es-ES_tradnl" w:eastAsia="es-ES"/>
    </w:rPr>
  </w:style>
  <w:style w:type="character" w:styleId="EndnoteReference">
    <w:name w:val="endnote reference"/>
    <w:basedOn w:val="DefaultParagraphFont"/>
    <w:uiPriority w:val="99"/>
    <w:unhideWhenUsed/>
    <w:rsid w:val="00B666D8"/>
    <w:rPr>
      <w:rFonts w:ascii="Times New Roman" w:hAnsi="Times New Roman"/>
      <w:sz w:val="24"/>
      <w:vertAlign w:val="superscript"/>
    </w:rPr>
  </w:style>
  <w:style w:type="character" w:styleId="SubtleReference">
    <w:name w:val="Subtle Reference"/>
    <w:basedOn w:val="DefaultParagraphFont"/>
    <w:uiPriority w:val="31"/>
    <w:qFormat/>
    <w:rsid w:val="00F86592"/>
    <w:rPr>
      <w:smallCaps/>
      <w:color w:val="5A5A5A" w:themeColor="text1" w:themeTint="A5"/>
    </w:rPr>
  </w:style>
  <w:style w:type="character" w:styleId="FootnoteReference">
    <w:name w:val="footnote reference"/>
    <w:basedOn w:val="FootnoteTextChar"/>
    <w:uiPriority w:val="99"/>
    <w:unhideWhenUsed/>
    <w:rsid w:val="00AB1433"/>
    <w:rPr>
      <w:rFonts w:ascii="Times New Roman" w:eastAsia="Times New Roman" w:hAnsi="Times New Roman" w:cs="Courier New"/>
      <w:color w:val="000000"/>
      <w:sz w:val="20"/>
      <w:szCs w:val="20"/>
      <w:vertAlign w:val="superscript"/>
      <w:lang w:val="es-ES" w:eastAsia="ja-JP"/>
    </w:rPr>
  </w:style>
  <w:style w:type="paragraph" w:styleId="EndnoteText">
    <w:name w:val="endnote text"/>
    <w:basedOn w:val="Normal"/>
    <w:link w:val="EndnoteTextChar"/>
    <w:autoRedefine/>
    <w:uiPriority w:val="99"/>
    <w:unhideWhenUsed/>
    <w:rsid w:val="0094052A"/>
    <w:pPr>
      <w:spacing w:after="0" w:line="240" w:lineRule="auto"/>
    </w:pPr>
  </w:style>
  <w:style w:type="character" w:customStyle="1" w:styleId="EndnoteTextChar">
    <w:name w:val="Endnote Text Char"/>
    <w:basedOn w:val="DefaultParagraphFont"/>
    <w:link w:val="EndnoteText"/>
    <w:uiPriority w:val="99"/>
    <w:rsid w:val="0094052A"/>
  </w:style>
  <w:style w:type="paragraph" w:customStyle="1" w:styleId="EndNoteBibliography">
    <w:name w:val="EndNote Bibliography"/>
    <w:basedOn w:val="Normal"/>
    <w:link w:val="EndNoteBibliographyChar"/>
    <w:rsid w:val="00A21C26"/>
    <w:pPr>
      <w:spacing w:after="200" w:line="240" w:lineRule="auto"/>
    </w:pPr>
    <w:rPr>
      <w:rFonts w:ascii="Calibri" w:hAnsi="Calibri" w:cs="Calibri"/>
      <w:noProof/>
      <w:kern w:val="0"/>
      <w:sz w:val="22"/>
      <w:szCs w:val="22"/>
      <w:vertAlign w:val="baseline"/>
    </w:rPr>
  </w:style>
  <w:style w:type="character" w:customStyle="1" w:styleId="EndNoteBibliographyChar">
    <w:name w:val="EndNote Bibliography Char"/>
    <w:basedOn w:val="DefaultParagraphFont"/>
    <w:link w:val="EndNoteBibliography"/>
    <w:rsid w:val="00A21C26"/>
    <w:rPr>
      <w:rFonts w:ascii="Calibri" w:hAnsi="Calibri" w:cs="Calibri"/>
      <w:noProof/>
      <w:kern w:val="0"/>
      <w:sz w:val="22"/>
      <w:szCs w:val="22"/>
      <w:vertAlign w:val="baseline"/>
    </w:rPr>
  </w:style>
  <w:style w:type="table" w:styleId="TableGrid">
    <w:name w:val="Table Grid"/>
    <w:basedOn w:val="TableNormal"/>
    <w:uiPriority w:val="59"/>
    <w:rsid w:val="00A21C26"/>
    <w:pPr>
      <w:spacing w:after="0" w:line="240" w:lineRule="auto"/>
    </w:pPr>
    <w:rPr>
      <w:rFonts w:asciiTheme="minorHAnsi" w:hAnsiTheme="minorHAnsi" w:cstheme="minorBidi"/>
      <w:kern w:val="0"/>
      <w:sz w:val="22"/>
      <w:szCs w:val="22"/>
      <w:vertAlign w:val="baseli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1649</Words>
  <Characters>9401</Characters>
  <Application>Microsoft Office Word</Application>
  <DocSecurity>0</DocSecurity>
  <Lines>78</Lines>
  <Paragraphs>22</Paragraphs>
  <ScaleCrop>false</ScaleCrop>
  <Company>UNIVERSITY OF MIAMI</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Lahn, Eleanor T</dc:creator>
  <cp:keywords/>
  <dc:description/>
  <cp:lastModifiedBy>Lahn, Eleanor T</cp:lastModifiedBy>
  <cp:revision>7</cp:revision>
  <dcterms:created xsi:type="dcterms:W3CDTF">2018-07-22T16:00:00Z</dcterms:created>
  <dcterms:modified xsi:type="dcterms:W3CDTF">2018-07-22T16:14:00Z</dcterms:modified>
</cp:coreProperties>
</file>