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C16C" w14:textId="5B2547F1" w:rsidR="001B4EDD" w:rsidRPr="0070143F" w:rsidRDefault="001B4EDD">
      <w:pPr>
        <w:rPr>
          <w:rFonts w:ascii="Cambria" w:hAnsi="Cambria"/>
          <w:b/>
          <w:bCs/>
        </w:rPr>
      </w:pPr>
      <w:r w:rsidRPr="0070143F">
        <w:rPr>
          <w:rFonts w:ascii="Cambria" w:hAnsi="Cambria"/>
          <w:b/>
          <w:bCs/>
        </w:rPr>
        <w:t>Supplemental file 1: additional references 11-2</w:t>
      </w:r>
      <w:r w:rsidR="0006776B">
        <w:rPr>
          <w:rFonts w:ascii="Cambria" w:hAnsi="Cambria"/>
          <w:b/>
          <w:bCs/>
        </w:rPr>
        <w:t>7</w:t>
      </w:r>
    </w:p>
    <w:p w14:paraId="06674327" w14:textId="1603DCDF" w:rsidR="001B4EDD" w:rsidRPr="0058345F" w:rsidRDefault="001B4EDD" w:rsidP="001B4EDD">
      <w:pPr>
        <w:widowControl w:val="0"/>
        <w:autoSpaceDE w:val="0"/>
        <w:autoSpaceDN w:val="0"/>
        <w:adjustRightInd w:val="0"/>
        <w:rPr>
          <w:rFonts w:ascii="Cambria" w:hAnsi="Cambria" w:cs="Calibri"/>
          <w:noProof/>
        </w:rPr>
      </w:pPr>
      <w:r w:rsidRPr="0058345F">
        <w:rPr>
          <w:rFonts w:ascii="Cambria" w:eastAsia="Calibri" w:hAnsi="Cambria" w:cs="Calibri"/>
          <w:b/>
          <w:bCs/>
        </w:rPr>
        <w:fldChar w:fldCharType="begin" w:fldLock="1"/>
      </w:r>
      <w:r w:rsidRPr="0058345F">
        <w:rPr>
          <w:rFonts w:ascii="Cambria" w:eastAsia="Calibri" w:hAnsi="Cambria" w:cs="Calibri"/>
          <w:b/>
          <w:bCs/>
        </w:rPr>
        <w:instrText xml:space="preserve">ADDIN Mendeley Bibliography CSL_BIBLIOGRAPHY </w:instrText>
      </w:r>
      <w:r w:rsidRPr="0058345F">
        <w:rPr>
          <w:rFonts w:ascii="Cambria" w:eastAsia="Calibri" w:hAnsi="Cambria" w:cs="Calibri"/>
          <w:b/>
          <w:bCs/>
        </w:rPr>
        <w:fldChar w:fldCharType="separate"/>
      </w:r>
      <w:r w:rsidRPr="00F00935">
        <w:rPr>
          <w:rFonts w:ascii="Cambria" w:hAnsi="Cambria" w:cs="Calibri"/>
          <w:noProof/>
        </w:rPr>
        <w:t xml:space="preserve"> </w:t>
      </w:r>
    </w:p>
    <w:p w14:paraId="4287DF59" w14:textId="77777777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 xml:space="preserve">11. </w:t>
      </w:r>
      <w:r w:rsidRPr="0058345F">
        <w:rPr>
          <w:rFonts w:ascii="Cambria" w:hAnsi="Cambria" w:cs="Calibri"/>
          <w:noProof/>
        </w:rPr>
        <w:tab/>
        <w:t xml:space="preserve">Weil J, Weiland TJ, Lane H, et al. What’s in a name? A qualitative exploration of what is understood by “palliative care” in the emergency department. </w:t>
      </w:r>
      <w:r w:rsidRPr="0058345F">
        <w:rPr>
          <w:rFonts w:ascii="Cambria" w:hAnsi="Cambria" w:cs="Calibri"/>
          <w:i/>
          <w:iCs/>
          <w:noProof/>
        </w:rPr>
        <w:t>Palliat Med</w:t>
      </w:r>
      <w:r w:rsidRPr="0058345F">
        <w:rPr>
          <w:rFonts w:ascii="Cambria" w:hAnsi="Cambria" w:cs="Calibri"/>
          <w:noProof/>
        </w:rPr>
        <w:t>. 2015;29(4):293-301. doi:10.1177/0269216314560801</w:t>
      </w:r>
    </w:p>
    <w:p w14:paraId="71902B4D" w14:textId="77777777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 xml:space="preserve">12. </w:t>
      </w:r>
      <w:r w:rsidRPr="0058345F">
        <w:rPr>
          <w:rFonts w:ascii="Cambria" w:hAnsi="Cambria" w:cs="Calibri"/>
          <w:noProof/>
        </w:rPr>
        <w:tab/>
        <w:t xml:space="preserve">Fernández-Sola C, Cortés MMD, Hernández-Padilla JM, Torres CJA, Terrón JMM, Granero-Molina J. Defining dignity in end-of-life care in the emergency department. </w:t>
      </w:r>
      <w:r w:rsidRPr="0058345F">
        <w:rPr>
          <w:rFonts w:ascii="Cambria" w:hAnsi="Cambria" w:cs="Calibri"/>
          <w:i/>
          <w:iCs/>
          <w:noProof/>
        </w:rPr>
        <w:t>Nurs Ethics</w:t>
      </w:r>
      <w:r w:rsidRPr="0058345F">
        <w:rPr>
          <w:rFonts w:ascii="Cambria" w:hAnsi="Cambria" w:cs="Calibri"/>
          <w:noProof/>
        </w:rPr>
        <w:t>. 2017;24(1):20-32. doi:10.1177/0969733015604685</w:t>
      </w:r>
    </w:p>
    <w:p w14:paraId="44C6C7FA" w14:textId="46468621" w:rsidR="001B4EDD" w:rsidRPr="0058345F" w:rsidRDefault="001B4EDD" w:rsidP="0006776B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 xml:space="preserve">13. </w:t>
      </w:r>
      <w:r w:rsidRPr="0058345F">
        <w:rPr>
          <w:rFonts w:ascii="Cambria" w:hAnsi="Cambria" w:cs="Calibri"/>
          <w:noProof/>
        </w:rPr>
        <w:tab/>
        <w:t xml:space="preserve">Granero-Molina J, Díaz-Cortés M del M, Hernández-Padilla JM, García-Caro MP, Fernández-Sola C. Loss of Dignity in End-of-Life Care in the Emergency Department: A Phenomenological Study with Health Professionals. </w:t>
      </w:r>
      <w:r w:rsidRPr="0058345F">
        <w:rPr>
          <w:rFonts w:ascii="Cambria" w:hAnsi="Cambria" w:cs="Calibri"/>
          <w:i/>
          <w:iCs/>
          <w:noProof/>
        </w:rPr>
        <w:t>J Emerg Nurs</w:t>
      </w:r>
      <w:r w:rsidRPr="0058345F">
        <w:rPr>
          <w:rFonts w:ascii="Cambria" w:hAnsi="Cambria" w:cs="Calibri"/>
          <w:noProof/>
        </w:rPr>
        <w:t>. 2016;42(3):233-239. doi:10.1016/j.jen.2015.10.020</w:t>
      </w:r>
    </w:p>
    <w:p w14:paraId="18F2960B" w14:textId="4D014C77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1</w:t>
      </w:r>
      <w:r w:rsidR="0006776B">
        <w:rPr>
          <w:rFonts w:ascii="Cambria" w:hAnsi="Cambria" w:cs="Calibri"/>
          <w:noProof/>
        </w:rPr>
        <w:t>4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Downar J, Delaney JW, Hawryluck L, Kenny L. Guidelines for the withdrawal of life-sustaining measures. </w:t>
      </w:r>
      <w:r w:rsidRPr="0058345F">
        <w:rPr>
          <w:rFonts w:ascii="Cambria" w:hAnsi="Cambria" w:cs="Calibri"/>
          <w:i/>
          <w:iCs/>
          <w:noProof/>
        </w:rPr>
        <w:t>Intensive Care Med</w:t>
      </w:r>
      <w:r w:rsidRPr="0058345F">
        <w:rPr>
          <w:rFonts w:ascii="Cambria" w:hAnsi="Cambria" w:cs="Calibri"/>
          <w:noProof/>
        </w:rPr>
        <w:t>. 2016;42(6):1003-1017. doi:10.1007/s00134-016-4330-7</w:t>
      </w:r>
    </w:p>
    <w:p w14:paraId="2D72DDC4" w14:textId="20335B87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1</w:t>
      </w:r>
      <w:r w:rsidR="0006776B">
        <w:rPr>
          <w:rFonts w:ascii="Cambria" w:hAnsi="Cambria" w:cs="Calibri"/>
          <w:noProof/>
        </w:rPr>
        <w:t>5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Nelson JE, Puntillo KA, Pronovost PJ, et al. In their own words: Patients and families define high-quality palliative care in the intensive care unit. </w:t>
      </w:r>
      <w:r w:rsidRPr="0058345F">
        <w:rPr>
          <w:rFonts w:ascii="Cambria" w:hAnsi="Cambria" w:cs="Calibri"/>
          <w:i/>
          <w:iCs/>
          <w:noProof/>
        </w:rPr>
        <w:t>Crit Care Med</w:t>
      </w:r>
      <w:r w:rsidRPr="0058345F">
        <w:rPr>
          <w:rFonts w:ascii="Cambria" w:hAnsi="Cambria" w:cs="Calibri"/>
          <w:noProof/>
        </w:rPr>
        <w:t>. 2010;38(3):808-818. doi:10.1097/CCM.0b013e3181c5887c</w:t>
      </w:r>
    </w:p>
    <w:p w14:paraId="2AB283C4" w14:textId="71FADCD4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1</w:t>
      </w:r>
      <w:r w:rsidR="0006776B">
        <w:rPr>
          <w:rFonts w:ascii="Cambria" w:hAnsi="Cambria" w:cs="Calibri"/>
          <w:noProof/>
        </w:rPr>
        <w:t>6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Puntillo KA, Arai S, Cohen NH, et al. Symptoms experienced by intensive care unit patients at high risk of dying. </w:t>
      </w:r>
      <w:r w:rsidRPr="0058345F">
        <w:rPr>
          <w:rFonts w:ascii="Cambria" w:hAnsi="Cambria" w:cs="Calibri"/>
          <w:i/>
          <w:iCs/>
          <w:noProof/>
        </w:rPr>
        <w:t>Crit Care Med</w:t>
      </w:r>
      <w:r w:rsidRPr="0058345F">
        <w:rPr>
          <w:rFonts w:ascii="Cambria" w:hAnsi="Cambria" w:cs="Calibri"/>
          <w:noProof/>
        </w:rPr>
        <w:t>. 2010;38(11):2155-2160. doi:10.1097/CCM.0b013e3181f267ee</w:t>
      </w:r>
    </w:p>
    <w:p w14:paraId="1D75CEB2" w14:textId="75588A54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1</w:t>
      </w:r>
      <w:r w:rsidR="0006776B">
        <w:rPr>
          <w:rFonts w:ascii="Cambria" w:hAnsi="Cambria" w:cs="Calibri"/>
          <w:noProof/>
        </w:rPr>
        <w:t>7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Sessler CN, Gosnell MS, Grap MJ, et al. The Richmond Agitation-Sedation Scale: Validity and reliability in adult intensive care unit patients. </w:t>
      </w:r>
      <w:r w:rsidRPr="0058345F">
        <w:rPr>
          <w:rFonts w:ascii="Cambria" w:hAnsi="Cambria" w:cs="Calibri"/>
          <w:i/>
          <w:iCs/>
          <w:noProof/>
        </w:rPr>
        <w:t>Am J Respir Crit Care Med</w:t>
      </w:r>
      <w:r w:rsidRPr="0058345F">
        <w:rPr>
          <w:rFonts w:ascii="Cambria" w:hAnsi="Cambria" w:cs="Calibri"/>
          <w:noProof/>
        </w:rPr>
        <w:t>. 2002;166(10):1338-1344. doi:10.1164/rccm.2107138</w:t>
      </w:r>
    </w:p>
    <w:p w14:paraId="4B8749FF" w14:textId="372F5061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1</w:t>
      </w:r>
      <w:r w:rsidR="0006776B">
        <w:rPr>
          <w:rFonts w:ascii="Cambria" w:hAnsi="Cambria" w:cs="Calibri"/>
          <w:noProof/>
        </w:rPr>
        <w:t>8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Kanji S, MacPhee H, Singh A, et al. Validation of the Critical Care Pain Observation Tool in Critically Ill Patients With Delirium. </w:t>
      </w:r>
      <w:r w:rsidRPr="0058345F">
        <w:rPr>
          <w:rFonts w:ascii="Cambria" w:hAnsi="Cambria" w:cs="Calibri"/>
          <w:i/>
          <w:iCs/>
          <w:noProof/>
        </w:rPr>
        <w:t>Crit Care Med</w:t>
      </w:r>
      <w:r w:rsidRPr="0058345F">
        <w:rPr>
          <w:rFonts w:ascii="Cambria" w:hAnsi="Cambria" w:cs="Calibri"/>
          <w:noProof/>
        </w:rPr>
        <w:t>. 2016;44(5):943-947. doi:10.1097/CCM.0000000000001522</w:t>
      </w:r>
    </w:p>
    <w:p w14:paraId="202E927B" w14:textId="242E2D60" w:rsidR="001B4EDD" w:rsidRPr="0058345F" w:rsidRDefault="0006776B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>
        <w:rPr>
          <w:rFonts w:ascii="Cambria" w:hAnsi="Cambria" w:cs="Calibri"/>
          <w:noProof/>
        </w:rPr>
        <w:t>19</w:t>
      </w:r>
      <w:r w:rsidR="001B4EDD" w:rsidRPr="00F00935">
        <w:rPr>
          <w:rFonts w:ascii="Cambria" w:hAnsi="Cambria" w:cs="Calibri"/>
          <w:noProof/>
        </w:rPr>
        <w:t xml:space="preserve">. </w:t>
      </w:r>
      <w:r w:rsidR="001B4EDD" w:rsidRPr="00F00935">
        <w:rPr>
          <w:rFonts w:ascii="Cambria" w:hAnsi="Cambria" w:cs="Calibri"/>
          <w:noProof/>
        </w:rPr>
        <w:tab/>
        <w:t xml:space="preserve">Barr J, Fraser GL, Puntillo K, et al. </w:t>
      </w:r>
      <w:r w:rsidR="001B4EDD" w:rsidRPr="0058345F">
        <w:rPr>
          <w:rFonts w:ascii="Cambria" w:hAnsi="Cambria" w:cs="Calibri"/>
          <w:noProof/>
        </w:rPr>
        <w:t xml:space="preserve">Clinical Practice Guidelines for the Management of Pain, Agitation, and Delirium in Adult Patients in the Intensive Care Unit. </w:t>
      </w:r>
      <w:r w:rsidR="001B4EDD" w:rsidRPr="0058345F">
        <w:rPr>
          <w:rFonts w:ascii="Cambria" w:hAnsi="Cambria" w:cs="Calibri"/>
          <w:i/>
          <w:iCs/>
          <w:noProof/>
        </w:rPr>
        <w:t>Crit Care Med</w:t>
      </w:r>
      <w:r w:rsidR="001B4EDD" w:rsidRPr="0058345F">
        <w:rPr>
          <w:rFonts w:ascii="Cambria" w:hAnsi="Cambria" w:cs="Calibri"/>
          <w:noProof/>
        </w:rPr>
        <w:t>. 2013;41(1):278-280. doi:10.1097/CCM.0b013e3182783b72</w:t>
      </w:r>
    </w:p>
    <w:p w14:paraId="35B6402B" w14:textId="0011B11E" w:rsidR="001B4EDD" w:rsidRPr="0058345F" w:rsidRDefault="0006776B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>
        <w:rPr>
          <w:rFonts w:ascii="Cambria" w:hAnsi="Cambria" w:cs="Calibri"/>
          <w:noProof/>
        </w:rPr>
        <w:t>20</w:t>
      </w:r>
      <w:r w:rsidR="001B4EDD" w:rsidRPr="0058345F">
        <w:rPr>
          <w:rFonts w:ascii="Cambria" w:hAnsi="Cambria" w:cs="Calibri"/>
          <w:noProof/>
        </w:rPr>
        <w:t xml:space="preserve">. </w:t>
      </w:r>
      <w:r w:rsidR="001B4EDD" w:rsidRPr="0058345F">
        <w:rPr>
          <w:rFonts w:ascii="Cambria" w:hAnsi="Cambria" w:cs="Calibri"/>
          <w:noProof/>
        </w:rPr>
        <w:tab/>
        <w:t xml:space="preserve">Gillespie L, Raftery A-M. Nutrition in palliative and end-of-life care. </w:t>
      </w:r>
      <w:r w:rsidR="001B4EDD" w:rsidRPr="0058345F">
        <w:rPr>
          <w:rFonts w:ascii="Cambria" w:hAnsi="Cambria" w:cs="Calibri"/>
          <w:i/>
          <w:iCs/>
          <w:noProof/>
        </w:rPr>
        <w:t>Nutrition</w:t>
      </w:r>
      <w:r w:rsidR="001B4EDD" w:rsidRPr="0058345F">
        <w:rPr>
          <w:rFonts w:ascii="Cambria" w:hAnsi="Cambria" w:cs="Calibri"/>
          <w:noProof/>
        </w:rPr>
        <w:t>. 2014;6(5):380-386. doi:10.1007/s11377-011-0548-7</w:t>
      </w:r>
    </w:p>
    <w:p w14:paraId="2BC8700A" w14:textId="2B62B705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1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Baillie J, Anagnostou D, Sivell S, Godwin J Van, Byrne A, Nelson A. Symptom management, nutrition and hydration at end-of-life: a qualitative exploration of patients’ , carers’ and health professionals’ experiences and further research questions. </w:t>
      </w:r>
      <w:r w:rsidRPr="0058345F">
        <w:rPr>
          <w:rFonts w:ascii="Cambria" w:hAnsi="Cambria" w:cs="Calibri"/>
          <w:i/>
          <w:iCs/>
          <w:noProof/>
        </w:rPr>
        <w:t>BMC Palliat Care</w:t>
      </w:r>
      <w:r w:rsidRPr="0058345F">
        <w:rPr>
          <w:rFonts w:ascii="Cambria" w:hAnsi="Cambria" w:cs="Calibri"/>
          <w:noProof/>
        </w:rPr>
        <w:t>. 2018;17(60):1-13. doi:10.1186/s12904-018-0314-4</w:t>
      </w:r>
    </w:p>
    <w:p w14:paraId="437EEEDF" w14:textId="6D77CD90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2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National Institute for Health and Care Excellence. </w:t>
      </w:r>
      <w:r w:rsidRPr="0058345F">
        <w:rPr>
          <w:rFonts w:ascii="Cambria" w:hAnsi="Cambria" w:cs="Calibri"/>
          <w:i/>
          <w:iCs/>
          <w:noProof/>
        </w:rPr>
        <w:t>Care of Dying Adults in the Last Days of Life</w:t>
      </w:r>
      <w:r w:rsidRPr="0058345F">
        <w:rPr>
          <w:rFonts w:ascii="Cambria" w:hAnsi="Cambria" w:cs="Calibri"/>
          <w:noProof/>
        </w:rPr>
        <w:t>.; 2015.</w:t>
      </w:r>
    </w:p>
    <w:p w14:paraId="779EC689" w14:textId="2F06EA49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3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Galbraith S, Fagan P, Perkins P, Lynch A, Booth S. Does the Use of a Handheld Fan Improve Chronic Dyspnea? A Randomized, Controlled, Crossover Trial. </w:t>
      </w:r>
      <w:r w:rsidRPr="0058345F">
        <w:rPr>
          <w:rFonts w:ascii="Cambria" w:hAnsi="Cambria" w:cs="Calibri"/>
          <w:i/>
          <w:iCs/>
          <w:noProof/>
        </w:rPr>
        <w:t>J Pain Symptom Manage</w:t>
      </w:r>
      <w:r w:rsidRPr="0058345F">
        <w:rPr>
          <w:rFonts w:ascii="Cambria" w:hAnsi="Cambria" w:cs="Calibri"/>
          <w:noProof/>
        </w:rPr>
        <w:t>. 2010;39(5):831-838. doi:10.1016/j.jpainsymman.2009.09.024</w:t>
      </w:r>
    </w:p>
    <w:p w14:paraId="21337AB2" w14:textId="1871D105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4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Wee B, Hillier R. Interventions for noisy breathing in patients near to death. </w:t>
      </w:r>
      <w:r w:rsidRPr="0058345F">
        <w:rPr>
          <w:rFonts w:ascii="Cambria" w:hAnsi="Cambria" w:cs="Calibri"/>
          <w:i/>
          <w:iCs/>
          <w:noProof/>
        </w:rPr>
        <w:t>Cochrane Database Syst Rev</w:t>
      </w:r>
      <w:r w:rsidRPr="0058345F">
        <w:rPr>
          <w:rFonts w:ascii="Cambria" w:hAnsi="Cambria" w:cs="Calibri"/>
          <w:noProof/>
        </w:rPr>
        <w:t>. 2008;(1):1-3. doi:10.1002/14651858.CD005177.pub2</w:t>
      </w:r>
    </w:p>
    <w:p w14:paraId="4EF6BB21" w14:textId="155DD2EE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5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Network CC. </w:t>
      </w:r>
      <w:r w:rsidRPr="0058345F">
        <w:rPr>
          <w:rFonts w:ascii="Cambria" w:hAnsi="Cambria" w:cs="Calibri"/>
          <w:i/>
          <w:iCs/>
          <w:noProof/>
        </w:rPr>
        <w:t>Implantable Cardioverter Defibrillator Deactivation</w:t>
      </w:r>
      <w:r w:rsidRPr="0058345F">
        <w:rPr>
          <w:rFonts w:ascii="Cambria" w:hAnsi="Cambria" w:cs="Calibri"/>
          <w:noProof/>
        </w:rPr>
        <w:t>.; 2017. doi:10.1097/spc.0000000000000191</w:t>
      </w:r>
    </w:p>
    <w:p w14:paraId="6A75D13B" w14:textId="6418FEC7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6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Longo DL, Blinderman CD, Billings JA. Comfort Care for Patients Dying in the </w:t>
      </w:r>
      <w:r w:rsidRPr="0058345F">
        <w:rPr>
          <w:rFonts w:ascii="Cambria" w:hAnsi="Cambria" w:cs="Calibri"/>
          <w:noProof/>
        </w:rPr>
        <w:lastRenderedPageBreak/>
        <w:t xml:space="preserve">Hospital. </w:t>
      </w:r>
      <w:r w:rsidRPr="0058345F">
        <w:rPr>
          <w:rFonts w:ascii="Cambria" w:hAnsi="Cambria" w:cs="Calibri"/>
          <w:i/>
          <w:iCs/>
          <w:noProof/>
        </w:rPr>
        <w:t>N Engl J Med</w:t>
      </w:r>
      <w:r w:rsidRPr="0058345F">
        <w:rPr>
          <w:rFonts w:ascii="Cambria" w:hAnsi="Cambria" w:cs="Calibri"/>
          <w:noProof/>
        </w:rPr>
        <w:t>. 2015;373(26):2549-2561. doi:10.1056/NEJMra1411746</w:t>
      </w:r>
    </w:p>
    <w:p w14:paraId="44E8A205" w14:textId="5F001456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 w:cs="Calibri"/>
          <w:noProof/>
        </w:rPr>
      </w:pPr>
      <w:r w:rsidRPr="0058345F">
        <w:rPr>
          <w:rFonts w:ascii="Cambria" w:hAnsi="Cambria" w:cs="Calibri"/>
          <w:noProof/>
        </w:rPr>
        <w:t>2</w:t>
      </w:r>
      <w:r w:rsidR="0006776B">
        <w:rPr>
          <w:rFonts w:ascii="Cambria" w:hAnsi="Cambria" w:cs="Calibri"/>
          <w:noProof/>
        </w:rPr>
        <w:t>7</w:t>
      </w:r>
      <w:r w:rsidRPr="0058345F">
        <w:rPr>
          <w:rFonts w:ascii="Cambria" w:hAnsi="Cambria" w:cs="Calibri"/>
          <w:noProof/>
        </w:rPr>
        <w:t xml:space="preserve">. </w:t>
      </w:r>
      <w:r w:rsidRPr="0058345F">
        <w:rPr>
          <w:rFonts w:ascii="Cambria" w:hAnsi="Cambria" w:cs="Calibri"/>
          <w:noProof/>
        </w:rPr>
        <w:tab/>
        <w:t xml:space="preserve">Busse JW, Craigie S, Juurlink DN, et al. Guideline for opioid therapy and chronic noncancer pain. </w:t>
      </w:r>
      <w:r w:rsidRPr="0058345F">
        <w:rPr>
          <w:rFonts w:ascii="Cambria" w:hAnsi="Cambria" w:cs="Calibri"/>
          <w:i/>
          <w:iCs/>
          <w:noProof/>
        </w:rPr>
        <w:t>Can Med Assoc J</w:t>
      </w:r>
      <w:r w:rsidRPr="0058345F">
        <w:rPr>
          <w:rFonts w:ascii="Cambria" w:hAnsi="Cambria" w:cs="Calibri"/>
          <w:noProof/>
        </w:rPr>
        <w:t>. 2017;189(18):E659-E666. doi:10.1503/cmaj.170363</w:t>
      </w:r>
    </w:p>
    <w:p w14:paraId="2B9C6EA3" w14:textId="77777777" w:rsidR="001B4EDD" w:rsidRPr="0058345F" w:rsidRDefault="001B4EDD" w:rsidP="001B4EDD">
      <w:pPr>
        <w:widowControl w:val="0"/>
        <w:autoSpaceDE w:val="0"/>
        <w:autoSpaceDN w:val="0"/>
        <w:adjustRightInd w:val="0"/>
        <w:ind w:left="640" w:hanging="640"/>
        <w:rPr>
          <w:rFonts w:ascii="Cambria" w:hAnsi="Cambria"/>
        </w:rPr>
      </w:pPr>
      <w:r w:rsidRPr="0058345F">
        <w:rPr>
          <w:rFonts w:ascii="Cambria" w:eastAsia="Calibri" w:hAnsi="Cambria" w:cs="Calibri"/>
          <w:b/>
          <w:bCs/>
        </w:rPr>
        <w:fldChar w:fldCharType="end"/>
      </w:r>
    </w:p>
    <w:p w14:paraId="37A30260" w14:textId="77777777" w:rsidR="001B4EDD" w:rsidRDefault="001B4EDD"/>
    <w:sectPr w:rsidR="001B4EDD" w:rsidSect="00FD7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DD"/>
    <w:rsid w:val="0006776B"/>
    <w:rsid w:val="001B4EDD"/>
    <w:rsid w:val="0070143F"/>
    <w:rsid w:val="00F00935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FA765"/>
  <w15:chartTrackingRefBased/>
  <w15:docId w15:val="{85FA3B06-658E-0145-9178-A85DA9C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Hendin</dc:creator>
  <cp:keywords/>
  <dc:description/>
  <cp:lastModifiedBy>Ariel Hendin</cp:lastModifiedBy>
  <cp:revision>3</cp:revision>
  <dcterms:created xsi:type="dcterms:W3CDTF">2020-03-27T02:00:00Z</dcterms:created>
  <dcterms:modified xsi:type="dcterms:W3CDTF">2020-04-28T01:58:00Z</dcterms:modified>
</cp:coreProperties>
</file>