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3E" w:rsidRDefault="0058573E" w:rsidP="005857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720"/>
        <w:jc w:val="center"/>
        <w:rPr>
          <w:b/>
          <w:color w:val="000000"/>
          <w:u w:val="single"/>
        </w:rPr>
      </w:pPr>
      <w:r>
        <w:rPr>
          <w:b/>
          <w:u w:val="single"/>
        </w:rPr>
        <w:t>Article sur la</w:t>
      </w:r>
      <w:r>
        <w:rPr>
          <w:b/>
          <w:color w:val="000000"/>
          <w:u w:val="single"/>
        </w:rPr>
        <w:t xml:space="preserve"> position de </w:t>
      </w:r>
      <w:proofErr w:type="spellStart"/>
      <w:r>
        <w:rPr>
          <w:b/>
          <w:color w:val="000000"/>
          <w:u w:val="single"/>
        </w:rPr>
        <w:t>l’ACMU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concernant</w:t>
      </w:r>
      <w:proofErr w:type="spellEnd"/>
      <w:r>
        <w:rPr>
          <w:b/>
          <w:color w:val="000000"/>
          <w:u w:val="single"/>
        </w:rPr>
        <w:t xml:space="preserve"> la </w:t>
      </w:r>
      <w:proofErr w:type="spellStart"/>
      <w:r>
        <w:rPr>
          <w:b/>
          <w:color w:val="000000"/>
          <w:u w:val="single"/>
        </w:rPr>
        <w:t>préparation</w:t>
      </w:r>
      <w:proofErr w:type="spellEnd"/>
      <w:r>
        <w:rPr>
          <w:b/>
          <w:color w:val="000000"/>
          <w:u w:val="single"/>
        </w:rPr>
        <w:t xml:space="preserve"> aux catastrophes</w:t>
      </w:r>
    </w:p>
    <w:p w:rsidR="0058573E" w:rsidRDefault="0058573E" w:rsidP="005857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720"/>
        <w:rPr>
          <w:color w:val="000000"/>
        </w:rPr>
      </w:pPr>
    </w:p>
    <w:p w:rsidR="0058573E" w:rsidRDefault="0058573E" w:rsidP="005857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720"/>
        <w:rPr>
          <w:b/>
          <w:color w:val="366091"/>
        </w:rPr>
      </w:pPr>
      <w:proofErr w:type="spellStart"/>
      <w:r>
        <w:rPr>
          <w:b/>
          <w:color w:val="366091"/>
        </w:rPr>
        <w:t>Sommaire</w:t>
      </w:r>
      <w:proofErr w:type="spellEnd"/>
      <w:r>
        <w:rPr>
          <w:b/>
          <w:color w:val="366091"/>
        </w:rPr>
        <w:t xml:space="preserve"> </w:t>
      </w:r>
      <w:proofErr w:type="spellStart"/>
      <w:r>
        <w:rPr>
          <w:b/>
          <w:color w:val="366091"/>
        </w:rPr>
        <w:t>exécutif</w:t>
      </w:r>
      <w:proofErr w:type="spellEnd"/>
    </w:p>
    <w:p w:rsidR="0058573E" w:rsidRDefault="0058573E" w:rsidP="0058573E">
      <w:pPr>
        <w:rPr>
          <w:color w:val="000000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dépit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preuves</w:t>
      </w:r>
      <w:proofErr w:type="spellEnd"/>
      <w:r>
        <w:rPr>
          <w:color w:val="000000"/>
        </w:rPr>
        <w:t xml:space="preserve"> du contraire, la </w:t>
      </w:r>
      <w:proofErr w:type="spellStart"/>
      <w:r>
        <w:rPr>
          <w:color w:val="000000"/>
        </w:rPr>
        <w:t>plupart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autorités</w:t>
      </w:r>
      <w:proofErr w:type="spellEnd"/>
      <w:r>
        <w:rPr>
          <w:color w:val="000000"/>
        </w:rPr>
        <w:t xml:space="preserve"> au Canada </w:t>
      </w:r>
      <w:proofErr w:type="spellStart"/>
      <w:r>
        <w:rPr>
          <w:color w:val="000000"/>
        </w:rPr>
        <w:t>pensent</w:t>
      </w:r>
      <w:proofErr w:type="spellEnd"/>
      <w:r>
        <w:rPr>
          <w:color w:val="000000"/>
        </w:rPr>
        <w:t xml:space="preserve"> que la </w:t>
      </w:r>
      <w:proofErr w:type="spellStart"/>
      <w:r>
        <w:rPr>
          <w:color w:val="000000"/>
        </w:rPr>
        <w:t>préparation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matière de </w:t>
      </w:r>
      <w:proofErr w:type="spellStart"/>
      <w:r>
        <w:rPr>
          <w:color w:val="000000"/>
        </w:rPr>
        <w:t>soins</w:t>
      </w:r>
      <w:proofErr w:type="spellEnd"/>
      <w:r>
        <w:rPr>
          <w:color w:val="000000"/>
        </w:rPr>
        <w:t xml:space="preserve"> de santé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 de catastrophe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bien plus </w:t>
      </w:r>
      <w:proofErr w:type="spellStart"/>
      <w:r>
        <w:rPr>
          <w:color w:val="000000"/>
        </w:rPr>
        <w:t>développée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qu’elle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l’est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réalité</w:t>
      </w:r>
      <w:proofErr w:type="spellEnd"/>
      <w:r>
        <w:rPr>
          <w:color w:val="000000"/>
        </w:rPr>
        <w:t xml:space="preserve">. Dans les </w:t>
      </w:r>
      <w:proofErr w:type="spellStart"/>
      <w:r>
        <w:rPr>
          <w:color w:val="000000"/>
        </w:rPr>
        <w:t>faits</w:t>
      </w:r>
      <w:proofErr w:type="spellEnd"/>
      <w:r>
        <w:rPr>
          <w:color w:val="000000"/>
        </w:rPr>
        <w:t xml:space="preserve">, nous </w:t>
      </w:r>
      <w:proofErr w:type="spellStart"/>
      <w:r>
        <w:rPr>
          <w:color w:val="000000"/>
        </w:rPr>
        <w:t>demeurons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terriblement</w:t>
      </w:r>
      <w:proofErr w:type="spellEnd"/>
      <w:r>
        <w:rPr>
          <w:color w:val="000000"/>
        </w:rPr>
        <w:t xml:space="preserve"> mal </w:t>
      </w:r>
      <w:proofErr w:type="spellStart"/>
      <w:r>
        <w:rPr>
          <w:color w:val="000000"/>
        </w:rPr>
        <w:t>préparés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importe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évaluations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scientifiques</w:t>
      </w:r>
      <w:proofErr w:type="spellEnd"/>
      <w:r>
        <w:rPr>
          <w:color w:val="000000"/>
        </w:rPr>
        <w:t xml:space="preserve"> sur </w:t>
      </w:r>
      <w:proofErr w:type="spellStart"/>
      <w:r>
        <w:rPr>
          <w:color w:val="000000"/>
        </w:rPr>
        <w:t>l’état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préparation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existantes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dépassées</w:t>
      </w:r>
      <w:proofErr w:type="spellEnd"/>
      <w:r>
        <w:t xml:space="preserve">. Les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 xml:space="preserve"> et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</w:t>
      </w:r>
      <w:proofErr w:type="spellStart"/>
      <w:r>
        <w:t>entrepris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de </w:t>
      </w:r>
      <w:proofErr w:type="spellStart"/>
      <w:r>
        <w:t>l’état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catastrophe. </w:t>
      </w:r>
      <w:r>
        <w:rPr>
          <w:color w:val="000000"/>
        </w:rPr>
        <w:t xml:space="preserve">Les </w:t>
      </w:r>
      <w:proofErr w:type="spellStart"/>
      <w:r>
        <w:rPr>
          <w:color w:val="000000"/>
        </w:rPr>
        <w:t>gouvernements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échelons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mesurer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reconnaître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l’ampleur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lacunes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actuelles</w:t>
      </w:r>
      <w:proofErr w:type="spellEnd"/>
      <w:r>
        <w:rPr>
          <w:color w:val="000000"/>
        </w:rPr>
        <w:t xml:space="preserve"> et mobiliser </w:t>
      </w:r>
      <w:proofErr w:type="spellStart"/>
      <w:r>
        <w:rPr>
          <w:color w:val="000000"/>
        </w:rPr>
        <w:t>activement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groupes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soins</w:t>
      </w:r>
      <w:proofErr w:type="spellEnd"/>
      <w:r>
        <w:rPr>
          <w:color w:val="000000"/>
        </w:rPr>
        <w:t xml:space="preserve"> de santé de première </w:t>
      </w:r>
      <w:proofErr w:type="spellStart"/>
      <w:r>
        <w:rPr>
          <w:color w:val="000000"/>
        </w:rPr>
        <w:t>ligne</w:t>
      </w:r>
      <w:proofErr w:type="spellEnd"/>
      <w:r>
        <w:rPr>
          <w:color w:val="000000"/>
        </w:rPr>
        <w:t xml:space="preserve"> à les </w:t>
      </w:r>
      <w:proofErr w:type="spellStart"/>
      <w:r>
        <w:rPr>
          <w:color w:val="000000"/>
        </w:rPr>
        <w:t>combler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Autrement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souffrance</w:t>
      </w:r>
      <w:proofErr w:type="spellEnd"/>
      <w:r>
        <w:rPr>
          <w:color w:val="000000"/>
        </w:rPr>
        <w:t xml:space="preserve"> et les </w:t>
      </w:r>
      <w:proofErr w:type="spellStart"/>
      <w:r>
        <w:rPr>
          <w:color w:val="000000"/>
        </w:rPr>
        <w:t>pertes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nécessaires</w:t>
      </w:r>
      <w:proofErr w:type="spellEnd"/>
      <w:r>
        <w:rPr>
          <w:color w:val="000000"/>
        </w:rPr>
        <w:t xml:space="preserve"> qui </w:t>
      </w:r>
      <w:proofErr w:type="spellStart"/>
      <w:r>
        <w:rPr>
          <w:color w:val="000000"/>
        </w:rPr>
        <w:t>surviendront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difficiles</w:t>
      </w:r>
      <w:proofErr w:type="spellEnd"/>
      <w:r>
        <w:rPr>
          <w:color w:val="000000"/>
        </w:rPr>
        <w:t xml:space="preserve"> à justifier.</w:t>
      </w:r>
    </w:p>
    <w:p w:rsidR="0058573E" w:rsidRDefault="0058573E" w:rsidP="0058573E"/>
    <w:p w:rsidR="0058573E" w:rsidRDefault="0058573E" w:rsidP="0058573E">
      <w:pPr>
        <w:rPr>
          <w:b/>
          <w:color w:val="1155CC"/>
        </w:rPr>
      </w:pPr>
      <w:proofErr w:type="spellStart"/>
      <w:r>
        <w:rPr>
          <w:b/>
          <w:color w:val="1155CC"/>
        </w:rPr>
        <w:t>Liste</w:t>
      </w:r>
      <w:proofErr w:type="spellEnd"/>
      <w:r>
        <w:rPr>
          <w:b/>
          <w:color w:val="1155CC"/>
        </w:rPr>
        <w:t xml:space="preserve"> de </w:t>
      </w:r>
      <w:proofErr w:type="spellStart"/>
      <w:r>
        <w:rPr>
          <w:b/>
          <w:color w:val="1155CC"/>
        </w:rPr>
        <w:t>recommandations</w:t>
      </w:r>
      <w:proofErr w:type="spellEnd"/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établissements</w:t>
      </w:r>
      <w:proofErr w:type="spellEnd"/>
      <w:r>
        <w:t xml:space="preserve"> de santé (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hôpitaux</w:t>
      </w:r>
      <w:proofErr w:type="spellEnd"/>
      <w:r>
        <w:t xml:space="preserve"> et les </w:t>
      </w:r>
      <w:proofErr w:type="spellStart"/>
      <w:r>
        <w:t>établissements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longue durée) et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agences</w:t>
      </w:r>
      <w:proofErr w:type="spellEnd"/>
      <w:r>
        <w:t xml:space="preserve"> (</w:t>
      </w:r>
      <w:proofErr w:type="spellStart"/>
      <w:r>
        <w:t>dont</w:t>
      </w:r>
      <w:proofErr w:type="spellEnd"/>
      <w:r>
        <w:t xml:space="preserve"> la santé </w:t>
      </w:r>
      <w:proofErr w:type="spellStart"/>
      <w:r>
        <w:t>publique</w:t>
      </w:r>
      <w:proofErr w:type="spellEnd"/>
      <w:r>
        <w:t xml:space="preserve">, les </w:t>
      </w:r>
      <w:proofErr w:type="spellStart"/>
      <w:r>
        <w:t>milieux</w:t>
      </w:r>
      <w:proofErr w:type="spellEnd"/>
      <w:r>
        <w:t xml:space="preserve"> </w:t>
      </w:r>
      <w:proofErr w:type="spellStart"/>
      <w:r>
        <w:t>préhospitaliers</w:t>
      </w:r>
      <w:proofErr w:type="spellEnd"/>
      <w:r>
        <w:t xml:space="preserve">, le transport des patients et les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communautaire</w:t>
      </w:r>
      <w:proofErr w:type="spellEnd"/>
      <w:r>
        <w:t xml:space="preserve">)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, à divers </w:t>
      </w:r>
      <w:proofErr w:type="spellStart"/>
      <w:r>
        <w:t>degrés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aux catastrophes.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</w:rPr>
      </w:pPr>
      <w:r>
        <w:rPr>
          <w:color w:val="000000"/>
        </w:rPr>
        <w:t xml:space="preserve">Ce champ de </w:t>
      </w:r>
      <w:proofErr w:type="spellStart"/>
      <w:r>
        <w:rPr>
          <w:color w:val="000000"/>
        </w:rPr>
        <w:t>compétences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couvrir</w:t>
      </w:r>
      <w:proofErr w:type="spellEnd"/>
      <w:r>
        <w:rPr>
          <w:color w:val="000000"/>
        </w:rPr>
        <w:t xml:space="preserve">, entre </w:t>
      </w:r>
      <w:proofErr w:type="spellStart"/>
      <w:r>
        <w:rPr>
          <w:color w:val="000000"/>
        </w:rPr>
        <w:t>autres</w:t>
      </w:r>
      <w:proofErr w:type="spellEnd"/>
      <w:r>
        <w:rPr>
          <w:color w:val="000000"/>
        </w:rPr>
        <w:t xml:space="preserve">, les </w:t>
      </w:r>
      <w:proofErr w:type="spellStart"/>
      <w:r>
        <w:rPr>
          <w:color w:val="000000"/>
        </w:rPr>
        <w:t>sujets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suivants</w:t>
      </w:r>
      <w:proofErr w:type="spellEnd"/>
      <w:r>
        <w:t> :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  <w:rPr>
          <w:color w:val="000000"/>
        </w:rPr>
      </w:pPr>
      <w:proofErr w:type="spellStart"/>
      <w:r>
        <w:rPr>
          <w:color w:val="000000"/>
        </w:rPr>
        <w:t>système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commandement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d’incident</w:t>
      </w:r>
      <w:proofErr w:type="spellEnd"/>
      <w:r>
        <w:rPr>
          <w:color w:val="000000"/>
        </w:rP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  <w:rPr>
          <w:color w:val="000000"/>
        </w:rPr>
      </w:pPr>
      <w:r>
        <w:rPr>
          <w:color w:val="000000"/>
        </w:rPr>
        <w:t xml:space="preserve">triage;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  <w:rPr>
          <w:color w:val="000000"/>
        </w:rPr>
      </w:pPr>
      <w:proofErr w:type="spellStart"/>
      <w:r>
        <w:rPr>
          <w:color w:val="000000"/>
        </w:rPr>
        <w:t>événements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causant</w:t>
      </w:r>
      <w:proofErr w:type="spellEnd"/>
      <w:r>
        <w:rPr>
          <w:color w:val="000000"/>
        </w:rPr>
        <w:t xml:space="preserve"> beaucoup de </w:t>
      </w:r>
      <w:proofErr w:type="spellStart"/>
      <w:r>
        <w:rPr>
          <w:color w:val="000000"/>
        </w:rPr>
        <w:t>victimes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rassemblements</w:t>
      </w:r>
      <w:proofErr w:type="spellEnd"/>
      <w:r>
        <w:rPr>
          <w:color w:val="000000"/>
        </w:rPr>
        <w:t xml:space="preserve"> de masse;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  <w:rPr>
          <w:color w:val="000000"/>
        </w:rPr>
      </w:pPr>
      <w:r>
        <w:rPr>
          <w:color w:val="000000"/>
        </w:rPr>
        <w:t xml:space="preserve">matières </w:t>
      </w:r>
      <w:proofErr w:type="spellStart"/>
      <w:r>
        <w:rPr>
          <w:color w:val="000000"/>
        </w:rPr>
        <w:t>dangereuses</w:t>
      </w:r>
      <w:proofErr w:type="spellEnd"/>
      <w:r>
        <w:rPr>
          <w:color w:val="000000"/>
        </w:rP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  <w:rPr>
          <w:color w:val="000000"/>
        </w:rPr>
      </w:pPr>
      <w:proofErr w:type="spellStart"/>
      <w:r>
        <w:rPr>
          <w:color w:val="000000"/>
        </w:rPr>
        <w:t>terminologie</w:t>
      </w:r>
      <w:proofErr w:type="spellEnd"/>
      <w:r>
        <w:rPr>
          <w:color w:val="000000"/>
        </w:rPr>
        <w:t xml:space="preserve"> commune (</w:t>
      </w:r>
      <w:proofErr w:type="spellStart"/>
      <w:r>
        <w:rPr>
          <w:color w:val="000000"/>
        </w:rPr>
        <w:t>dont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connaissance</w:t>
      </w:r>
      <w:proofErr w:type="spellEnd"/>
      <w:r>
        <w:rPr>
          <w:color w:val="000000"/>
        </w:rPr>
        <w:t xml:space="preserve"> des notions </w:t>
      </w:r>
      <w:proofErr w:type="spellStart"/>
      <w:r>
        <w:rPr>
          <w:color w:val="000000"/>
        </w:rPr>
        <w:t>fondamentales</w:t>
      </w:r>
      <w:proofErr w:type="spellEnd"/>
      <w:r>
        <w:rPr>
          <w:color w:val="000000"/>
        </w:rPr>
        <w:t xml:space="preserve"> et des </w:t>
      </w:r>
      <w:proofErr w:type="spellStart"/>
      <w:r>
        <w:rPr>
          <w:color w:val="000000"/>
        </w:rPr>
        <w:t>procédures</w:t>
      </w:r>
      <w:proofErr w:type="spellEnd"/>
      <w:r>
        <w:rPr>
          <w:color w:val="000000"/>
        </w:rPr>
        <w:t xml:space="preserve"> relatives à la </w:t>
      </w:r>
      <w:proofErr w:type="spellStart"/>
      <w:r>
        <w:rPr>
          <w:color w:val="000000"/>
        </w:rPr>
        <w:t>biologie</w:t>
      </w:r>
      <w:proofErr w:type="spellEnd"/>
      <w:r>
        <w:rPr>
          <w:color w:val="000000"/>
        </w:rPr>
        <w:t xml:space="preserve">, à la </w:t>
      </w:r>
      <w:proofErr w:type="spellStart"/>
      <w:r>
        <w:rPr>
          <w:color w:val="000000"/>
        </w:rPr>
        <w:t>chimie</w:t>
      </w:r>
      <w:proofErr w:type="spellEnd"/>
      <w:r>
        <w:rPr>
          <w:color w:val="000000"/>
        </w:rPr>
        <w:t xml:space="preserve">, à la </w:t>
      </w:r>
      <w:proofErr w:type="spellStart"/>
      <w:r>
        <w:rPr>
          <w:color w:val="000000"/>
        </w:rPr>
        <w:t>radiologie</w:t>
      </w:r>
      <w:proofErr w:type="spellEnd"/>
      <w:r>
        <w:rPr>
          <w:color w:val="000000"/>
        </w:rPr>
        <w:t xml:space="preserve"> et aux </w:t>
      </w:r>
      <w:proofErr w:type="spellStart"/>
      <w:r>
        <w:rPr>
          <w:color w:val="000000"/>
        </w:rPr>
        <w:t>événements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nucléaires</w:t>
      </w:r>
      <w:proofErr w:type="spellEnd"/>
      <w:r>
        <w:rPr>
          <w:color w:val="000000"/>
        </w:rPr>
        <w:t xml:space="preserve">).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La planification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hautement</w:t>
      </w:r>
      <w:proofErr w:type="spellEnd"/>
      <w:r>
        <w:t xml:space="preserve"> </w:t>
      </w:r>
      <w:proofErr w:type="spellStart"/>
      <w:r>
        <w:t>conceptuelle</w:t>
      </w:r>
      <w:proofErr w:type="spellEnd"/>
      <w:r>
        <w:t xml:space="preserve">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tout </w:t>
      </w:r>
      <w:proofErr w:type="spellStart"/>
      <w:r>
        <w:t>risque</w:t>
      </w:r>
      <w:proofErr w:type="spellEnd"/>
      <w:r>
        <w:t xml:space="preserve">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échelons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de santé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intégrés</w:t>
      </w:r>
      <w:proofErr w:type="spellEnd"/>
      <w:r>
        <w:t xml:space="preserve"> à la planification.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À </w:t>
      </w:r>
      <w:proofErr w:type="spellStart"/>
      <w:r>
        <w:t>l’échelle</w:t>
      </w:r>
      <w:proofErr w:type="spellEnd"/>
      <w:r>
        <w:t xml:space="preserve"> des institutions, le </w:t>
      </w:r>
      <w:proofErr w:type="spellStart"/>
      <w:r>
        <w:t>schéma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 de gestion des </w:t>
      </w:r>
      <w:proofErr w:type="spellStart"/>
      <w:r>
        <w:t>urgences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modèle</w:t>
      </w:r>
      <w:proofErr w:type="spellEnd"/>
      <w:r>
        <w:t xml:space="preserve"> de travail </w:t>
      </w:r>
      <w:proofErr w:type="spellStart"/>
      <w:r>
        <w:t>en</w:t>
      </w:r>
      <w:proofErr w:type="spellEnd"/>
      <w:r>
        <w:t xml:space="preserve"> </w:t>
      </w:r>
      <w:proofErr w:type="spellStart"/>
      <w:r>
        <w:t>dyade</w:t>
      </w:r>
      <w:proofErr w:type="spellEnd"/>
      <w:r>
        <w:t xml:space="preserve"> </w:t>
      </w:r>
      <w:proofErr w:type="spellStart"/>
      <w:r>
        <w:t>comprenant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formation  et de </w:t>
      </w:r>
      <w:proofErr w:type="spellStart"/>
      <w:r>
        <w:t>l’expérience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gestion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d’urgences</w:t>
      </w:r>
      <w:proofErr w:type="spellEnd"/>
      <w:r>
        <w:t xml:space="preserve"> et un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dédié</w:t>
      </w:r>
      <w:proofErr w:type="spellEnd"/>
      <w:r>
        <w:t xml:space="preserve"> occupant le poste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. 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En</w:t>
      </w:r>
      <w:proofErr w:type="spellEnd"/>
      <w:r>
        <w:t xml:space="preserve"> plus de tout </w:t>
      </w:r>
      <w:proofErr w:type="spellStart"/>
      <w:r>
        <w:t>cela</w:t>
      </w:r>
      <w:proofErr w:type="spellEnd"/>
      <w:r>
        <w:t xml:space="preserve">, les institutions et les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préparer</w:t>
      </w:r>
      <w:proofErr w:type="spellEnd"/>
      <w:r>
        <w:t xml:space="preserve"> des plans :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dont</w:t>
      </w:r>
      <w:proofErr w:type="spellEnd"/>
      <w:r>
        <w:t xml:space="preserve"> la structure et le format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uniformes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la collaboration entre les installations locales et les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qu’entre</w:t>
      </w:r>
      <w:proofErr w:type="spellEnd"/>
      <w:r>
        <w:t xml:space="preserve"> les </w:t>
      </w:r>
      <w:proofErr w:type="spellStart"/>
      <w:r>
        <w:t>régions</w:t>
      </w:r>
      <w:proofErr w:type="spellEnd"/>
      <w:r>
        <w:t xml:space="preserve">, les provinces et les </w:t>
      </w:r>
      <w:proofErr w:type="spellStart"/>
      <w:r>
        <w:t>territoires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coordonnés</w:t>
      </w:r>
      <w:proofErr w:type="spellEnd"/>
      <w:r>
        <w:t xml:space="preserve"> avec les plans de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provinciaux</w:t>
      </w:r>
      <w:proofErr w:type="spellEnd"/>
      <w:r>
        <w:t xml:space="preserve">, </w:t>
      </w:r>
      <w:proofErr w:type="spellStart"/>
      <w:r>
        <w:t>territoriaux</w:t>
      </w:r>
      <w:proofErr w:type="spellEnd"/>
      <w:r>
        <w:t xml:space="preserve"> et </w:t>
      </w:r>
      <w:proofErr w:type="spellStart"/>
      <w:r>
        <w:t>fédéraux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qui </w:t>
      </w:r>
      <w:proofErr w:type="spellStart"/>
      <w:r>
        <w:t>comportent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structure de </w:t>
      </w:r>
      <w:proofErr w:type="spellStart"/>
      <w:r>
        <w:t>commandement</w:t>
      </w:r>
      <w:proofErr w:type="spellEnd"/>
      <w:r>
        <w:t xml:space="preserve"> et de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définie</w:t>
      </w:r>
      <w:proofErr w:type="spellEnd"/>
      <w:r>
        <w:t xml:space="preserve"> et </w:t>
      </w:r>
      <w:proofErr w:type="spellStart"/>
      <w:r>
        <w:t>fondée</w:t>
      </w:r>
      <w:proofErr w:type="spellEnd"/>
      <w:r>
        <w:t xml:space="preserve"> sur les </w:t>
      </w:r>
      <w:proofErr w:type="spellStart"/>
      <w:r>
        <w:t>principes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commandement</w:t>
      </w:r>
      <w:proofErr w:type="spellEnd"/>
      <w:r>
        <w:t xml:space="preserve"> </w:t>
      </w:r>
      <w:proofErr w:type="spellStart"/>
      <w:r>
        <w:t>d’interventions</w:t>
      </w:r>
      <w:proofErr w:type="spellEnd"/>
      <w:r>
        <w:t xml:space="preserve"> et qui </w:t>
      </w:r>
      <w:proofErr w:type="spellStart"/>
      <w:r>
        <w:t>est</w:t>
      </w:r>
      <w:proofErr w:type="spellEnd"/>
      <w:r>
        <w:t xml:space="preserve"> soutenu par un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opérationnel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lastRenderedPageBreak/>
        <w:t xml:space="preserve">simples et </w:t>
      </w:r>
      <w:proofErr w:type="spellStart"/>
      <w:r>
        <w:t>faciles</w:t>
      </w:r>
      <w:proofErr w:type="spellEnd"/>
      <w:r>
        <w:t xml:space="preserve"> à revoir </w:t>
      </w:r>
      <w:proofErr w:type="spellStart"/>
      <w:r>
        <w:t>rapidement</w:t>
      </w:r>
      <w:proofErr w:type="spellEnd"/>
      <w: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comportant</w:t>
      </w:r>
      <w:proofErr w:type="spellEnd"/>
      <w:r>
        <w:t xml:space="preserve"> des </w:t>
      </w:r>
      <w:proofErr w:type="spellStart"/>
      <w:r>
        <w:t>listes</w:t>
      </w:r>
      <w:proofErr w:type="spellEnd"/>
      <w:r>
        <w:t xml:space="preserve"> de </w:t>
      </w:r>
      <w:proofErr w:type="spellStart"/>
      <w:r>
        <w:t>vérification</w:t>
      </w:r>
      <w:proofErr w:type="spellEnd"/>
      <w:r>
        <w:t xml:space="preserve"> de </w:t>
      </w:r>
      <w:proofErr w:type="spellStart"/>
      <w:r>
        <w:t>tâches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, </w:t>
      </w:r>
      <w:proofErr w:type="spellStart"/>
      <w:r>
        <w:rPr>
          <w:color w:val="000000"/>
        </w:rPr>
        <w:t>soient</w:t>
      </w:r>
      <w:proofErr w:type="spellEnd"/>
      <w:r>
        <w:rPr>
          <w:color w:val="000000"/>
        </w:rPr>
        <w:t xml:space="preserve"> des</w:t>
      </w:r>
      <w:r>
        <w:t xml:space="preserve"> fiches résumé , qui </w:t>
      </w:r>
      <w:proofErr w:type="spellStart"/>
      <w:r>
        <w:t>permettent</w:t>
      </w:r>
      <w:proofErr w:type="spellEnd"/>
      <w:r>
        <w:t xml:space="preserve"> au personnel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accomplies</w:t>
      </w:r>
      <w:proofErr w:type="spellEnd"/>
      <w:r>
        <w:t xml:space="preserve"> et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d’intervention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fondés</w:t>
      </w:r>
      <w:proofErr w:type="spellEnd"/>
      <w:r>
        <w:t xml:space="preserve"> sur les </w:t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qui </w:t>
      </w:r>
      <w:proofErr w:type="spellStart"/>
      <w:r>
        <w:t>déterminent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locales et </w:t>
      </w:r>
      <w:proofErr w:type="spellStart"/>
      <w:r>
        <w:t>régionales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catastrophe, </w:t>
      </w:r>
      <w:proofErr w:type="spellStart"/>
      <w:r>
        <w:t>dont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, les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antipoisons</w:t>
      </w:r>
      <w:proofErr w:type="spellEnd"/>
      <w:r>
        <w:t xml:space="preserve">, les forces </w:t>
      </w:r>
      <w:proofErr w:type="spellStart"/>
      <w:r>
        <w:t>armées</w:t>
      </w:r>
      <w:proofErr w:type="spellEnd"/>
      <w:r>
        <w:t xml:space="preserve"> </w:t>
      </w:r>
      <w:proofErr w:type="spellStart"/>
      <w:r>
        <w:t>canadiennes</w:t>
      </w:r>
      <w:proofErr w:type="spellEnd"/>
      <w:r>
        <w:t xml:space="preserve">, les </w:t>
      </w:r>
      <w:proofErr w:type="spellStart"/>
      <w:r>
        <w:t>répartiteurs</w:t>
      </w:r>
      <w:proofErr w:type="spellEnd"/>
      <w:r>
        <w:t xml:space="preserve"> des SMU, les </w:t>
      </w:r>
      <w:proofErr w:type="spellStart"/>
      <w:r>
        <w:t>organismes</w:t>
      </w:r>
      <w:proofErr w:type="spellEnd"/>
      <w:r>
        <w:t xml:space="preserve"> de </w:t>
      </w:r>
      <w:proofErr w:type="spellStart"/>
      <w:r>
        <w:t>bénévolat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instituions</w:t>
      </w:r>
      <w:proofErr w:type="spellEnd"/>
      <w:r>
        <w:t>;</w:t>
      </w:r>
    </w:p>
    <w:p w:rsidR="0058573E" w:rsidRPr="00A353B2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sont</w:t>
      </w:r>
      <w:proofErr w:type="spellEnd"/>
      <w:r>
        <w:t xml:space="preserve"> mis à </w:t>
      </w:r>
      <w:proofErr w:type="spellStart"/>
      <w:r>
        <w:t>l’épreuve</w:t>
      </w:r>
      <w:proofErr w:type="spellEnd"/>
      <w:r>
        <w:t xml:space="preserve"> </w:t>
      </w:r>
      <w:proofErr w:type="spellStart"/>
      <w:r>
        <w:rPr>
          <w:color w:val="000000"/>
        </w:rPr>
        <w:t>annuellement</w:t>
      </w:r>
      <w:proofErr w:type="spellEnd"/>
      <w:r>
        <w:rPr>
          <w:color w:val="000000"/>
        </w:rPr>
        <w:t xml:space="preserve">  et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évalués</w:t>
      </w:r>
      <w:proofErr w:type="spellEnd"/>
      <w:r>
        <w:rPr>
          <w:color w:val="000000"/>
        </w:rPr>
        <w:t xml:space="preserve"> de manière </w:t>
      </w:r>
      <w:proofErr w:type="spellStart"/>
      <w:r>
        <w:rPr>
          <w:color w:val="000000"/>
        </w:rPr>
        <w:t>officielle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chaque</w:t>
      </w:r>
      <w:proofErr w:type="spellEnd"/>
      <w:r>
        <w:rPr>
          <w:color w:val="000000"/>
        </w:rPr>
        <w:t xml:space="preserve"> trois </w:t>
      </w:r>
      <w:proofErr w:type="spellStart"/>
      <w:r>
        <w:rPr>
          <w:color w:val="000000"/>
        </w:rPr>
        <w:t>ans</w:t>
      </w:r>
      <w:proofErr w:type="spellEnd"/>
      <w:r>
        <w:rPr>
          <w:color w:val="000000"/>
        </w:rP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rPr>
          <w:color w:val="000000"/>
        </w:rPr>
        <w:t>suivent</w:t>
      </w:r>
      <w:proofErr w:type="spellEnd"/>
      <w:r>
        <w:rPr>
          <w:color w:val="000000"/>
        </w:rPr>
        <w:t xml:space="preserve"> un format standard et </w:t>
      </w:r>
      <w:proofErr w:type="spellStart"/>
      <w:r>
        <w:rPr>
          <w:color w:val="000000"/>
        </w:rPr>
        <w:t>comprennent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éléments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permettant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interprétation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>
        <w:rPr>
          <w:color w:val="000000"/>
        </w:rPr>
        <w:t xml:space="preserve"> et </w:t>
      </w:r>
      <w:proofErr w:type="spellStart"/>
      <w:r>
        <w:t>une</w:t>
      </w:r>
      <w:proofErr w:type="spellEnd"/>
      <w:r>
        <w:t xml:space="preserve">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exécution</w:t>
      </w:r>
      <w:proofErr w:type="spellEnd"/>
      <w:r>
        <w:t xml:space="preserve"> commune </w:t>
      </w:r>
      <w:r>
        <w:rPr>
          <w:color w:val="000000"/>
        </w:rPr>
        <w:t xml:space="preserve">au 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 interprovincial. Le </w:t>
      </w:r>
      <w:proofErr w:type="spellStart"/>
      <w:r>
        <w:rPr>
          <w:color w:val="000000"/>
        </w:rPr>
        <w:t>soutien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gouvernement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fédéral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l’intérieur</w:t>
      </w:r>
      <w:proofErr w:type="spellEnd"/>
      <w:r>
        <w:rPr>
          <w:color w:val="000000"/>
        </w:rPr>
        <w:t xml:space="preserve"> du cadre de la </w:t>
      </w:r>
      <w:proofErr w:type="spellStart"/>
      <w:r>
        <w:rPr>
          <w:color w:val="000000"/>
        </w:rPr>
        <w:t>Loi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canadienne</w:t>
      </w:r>
      <w:proofErr w:type="spellEnd"/>
      <w:r>
        <w:rPr>
          <w:color w:val="000000"/>
        </w:rPr>
        <w:t xml:space="preserve"> sur la santé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essentiels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l’atteinte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interopérabilité</w:t>
      </w:r>
      <w:proofErr w:type="spellEnd"/>
      <w:r>
        <w:rPr>
          <w:color w:val="000000"/>
        </w:rPr>
        <w:t xml:space="preserve"> entre les provinces.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Un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accordé</w:t>
      </w:r>
      <w:proofErr w:type="spellEnd"/>
      <w:r>
        <w:t xml:space="preserve"> à </w:t>
      </w:r>
      <w:proofErr w:type="spellStart"/>
      <w:r>
        <w:t>l’éducation</w:t>
      </w:r>
      <w:proofErr w:type="spellEnd"/>
      <w:r>
        <w:t xml:space="preserve"> et à la formation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préparation</w:t>
      </w:r>
      <w:proofErr w:type="spellEnd"/>
      <w:r>
        <w:t xml:space="preserve"> aux catastrophes pour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et </w:t>
      </w:r>
      <w:proofErr w:type="spellStart"/>
      <w:r>
        <w:t>maintenues</w:t>
      </w:r>
      <w:proofErr w:type="spellEnd"/>
      <w:r>
        <w:t>.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Ces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validées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vérification</w:t>
      </w:r>
      <w:proofErr w:type="spellEnd"/>
      <w:r>
        <w:t xml:space="preserve"> </w:t>
      </w:r>
      <w:proofErr w:type="spellStart"/>
      <w:r>
        <w:t>cyclique</w:t>
      </w:r>
      <w:proofErr w:type="spellEnd"/>
      <w:r>
        <w:t xml:space="preserve"> </w:t>
      </w:r>
      <w:proofErr w:type="spellStart"/>
      <w:r>
        <w:t>systématique</w:t>
      </w:r>
      <w:proofErr w:type="spellEnd"/>
      <w:r>
        <w:t xml:space="preserve"> qui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intégrée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qu’élément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au sein du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La </w:t>
      </w:r>
      <w:proofErr w:type="spellStart"/>
      <w:r>
        <w:t>réponse</w:t>
      </w:r>
      <w:proofErr w:type="spellEnd"/>
      <w:r>
        <w:t xml:space="preserve"> aux catastrophes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 w:rsidRPr="007E0CD1">
        <w:t>pratique</w:t>
      </w:r>
      <w:proofErr w:type="spellEnd"/>
      <w:r w:rsidRPr="007E0CD1">
        <w:t xml:space="preserve"> </w:t>
      </w:r>
      <w:proofErr w:type="spellStart"/>
      <w:r w:rsidRPr="007E0CD1">
        <w:t>organisationnelle</w:t>
      </w:r>
      <w:proofErr w:type="spellEnd"/>
      <w:r w:rsidRPr="007E0CD1">
        <w:t xml:space="preserve"> </w:t>
      </w:r>
      <w:proofErr w:type="spellStart"/>
      <w:r w:rsidRPr="007E0CD1">
        <w:t>requise</w:t>
      </w:r>
      <w:proofErr w:type="spellEnd"/>
      <w:r w:rsidRPr="007E0CD1">
        <w:t xml:space="preserve"> (POR)</w:t>
      </w:r>
      <w:r>
        <w:t xml:space="preserve"> </w:t>
      </w:r>
      <w:proofErr w:type="spellStart"/>
      <w:r>
        <w:t>nécessaire</w:t>
      </w:r>
      <w:proofErr w:type="spellEnd"/>
      <w:r>
        <w:t xml:space="preserve"> à </w:t>
      </w:r>
      <w:proofErr w:type="spellStart"/>
      <w:r>
        <w:t>l’obtention</w:t>
      </w:r>
      <w:proofErr w:type="spellEnd"/>
      <w:r>
        <w:t xml:space="preserve"> de </w:t>
      </w:r>
      <w:proofErr w:type="spellStart"/>
      <w:r>
        <w:t>l’accréditation</w:t>
      </w:r>
      <w:proofErr w:type="spellEnd"/>
      <w:r>
        <w:t xml:space="preserve"> des </w:t>
      </w:r>
      <w:proofErr w:type="spellStart"/>
      <w:r>
        <w:t>établissements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santé. Plus </w:t>
      </w:r>
      <w:proofErr w:type="spellStart"/>
      <w:r>
        <w:t>particulièrement</w:t>
      </w:r>
      <w:proofErr w:type="spellEnd"/>
      <w:r>
        <w:t xml:space="preserve">, les </w:t>
      </w:r>
      <w:proofErr w:type="spellStart"/>
      <w:r>
        <w:t>établissements</w:t>
      </w:r>
      <w:proofErr w:type="spellEnd"/>
      <w:r>
        <w:t xml:space="preserve"> et les </w:t>
      </w:r>
      <w:proofErr w:type="spellStart"/>
      <w:r>
        <w:t>agences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accrédités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s’assurer</w:t>
      </w:r>
      <w:proofErr w:type="spellEnd"/>
      <w:r>
        <w:t xml:space="preserve"> que la </w:t>
      </w:r>
      <w:proofErr w:type="spellStart"/>
      <w:r>
        <w:t>préparation</w:t>
      </w:r>
      <w:proofErr w:type="spellEnd"/>
      <w:r>
        <w:t xml:space="preserve"> aux catastrophes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exigence </w:t>
      </w:r>
      <w:proofErr w:type="spellStart"/>
      <w:r>
        <w:t>d’agrément</w:t>
      </w:r>
      <w:proofErr w:type="spellEnd"/>
      <w:r>
        <w:t xml:space="preserve"> </w:t>
      </w:r>
      <w:proofErr w:type="spellStart"/>
      <w:r>
        <w:t>évaluée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normes</w:t>
      </w:r>
      <w:proofErr w:type="spellEnd"/>
      <w:r>
        <w:t xml:space="preserve"> précises, </w:t>
      </w:r>
      <w:proofErr w:type="spellStart"/>
      <w:r>
        <w:t>mesurables</w:t>
      </w:r>
      <w:proofErr w:type="spellEnd"/>
      <w:r>
        <w:t xml:space="preserve"> et </w:t>
      </w:r>
      <w:proofErr w:type="spellStart"/>
      <w:r>
        <w:t>scientifiquement</w:t>
      </w:r>
      <w:proofErr w:type="spellEnd"/>
      <w:r>
        <w:t xml:space="preserve"> </w:t>
      </w:r>
      <w:proofErr w:type="spellStart"/>
      <w:r>
        <w:t>fondées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La formation des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des </w:t>
      </w:r>
      <w:proofErr w:type="spellStart"/>
      <w:r>
        <w:t>exercices</w:t>
      </w:r>
      <w:proofErr w:type="spellEnd"/>
      <w:r>
        <w:t xml:space="preserve"> </w:t>
      </w:r>
      <w:proofErr w:type="spellStart"/>
      <w:r>
        <w:t>périodiques</w:t>
      </w:r>
      <w:proofErr w:type="spellEnd"/>
      <w:r>
        <w:t xml:space="preserve"> qui </w:t>
      </w:r>
      <w:proofErr w:type="spellStart"/>
      <w:r>
        <w:t>passent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revue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l’intervention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 et les </w:t>
      </w:r>
      <w:proofErr w:type="spellStart"/>
      <w:r>
        <w:t>évaluer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objective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favoriser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 </w:t>
      </w:r>
      <w:proofErr w:type="spellStart"/>
      <w:r>
        <w:t>amélioration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Tout </w:t>
      </w:r>
      <w:proofErr w:type="spellStart"/>
      <w:r>
        <w:t>programme</w:t>
      </w:r>
      <w:proofErr w:type="spellEnd"/>
      <w:r>
        <w:t xml:space="preserve"> de formation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la coordination des services et la </w:t>
      </w:r>
      <w:proofErr w:type="spellStart"/>
      <w:r>
        <w:t>conformité</w:t>
      </w:r>
      <w:proofErr w:type="spellEnd"/>
      <w:r>
        <w:t xml:space="preserve"> des plans de </w:t>
      </w:r>
      <w:proofErr w:type="spellStart"/>
      <w:r>
        <w:t>réponse</w:t>
      </w:r>
      <w:proofErr w:type="spellEnd"/>
      <w:r>
        <w:t xml:space="preserve"> aux </w:t>
      </w:r>
      <w:proofErr w:type="spellStart"/>
      <w:r>
        <w:t>désastres</w:t>
      </w:r>
      <w:proofErr w:type="spellEnd"/>
      <w:r>
        <w:t xml:space="preserve"> entre les </w:t>
      </w:r>
      <w:proofErr w:type="spellStart"/>
      <w:r>
        <w:t>fournisseurs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collectivité</w:t>
      </w:r>
      <w:proofErr w:type="spellEnd"/>
      <w:r>
        <w:t xml:space="preserve"> </w:t>
      </w:r>
      <w:proofErr w:type="spellStart"/>
      <w:r>
        <w:t>incluant</w:t>
      </w:r>
      <w:proofErr w:type="spellEnd"/>
      <w:r>
        <w:t xml:space="preserve"> les premiers </w:t>
      </w:r>
      <w:proofErr w:type="spellStart"/>
      <w:r>
        <w:t>répondants</w:t>
      </w:r>
      <w:proofErr w:type="spellEnd"/>
      <w:r>
        <w:t xml:space="preserve">, les pompiers, les </w:t>
      </w:r>
      <w:proofErr w:type="spellStart"/>
      <w:r>
        <w:t>policiers</w:t>
      </w:r>
      <w:proofErr w:type="spellEnd"/>
      <w:r>
        <w:t xml:space="preserve"> et les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 et locales qui </w:t>
      </w:r>
      <w:proofErr w:type="spellStart"/>
      <w:r>
        <w:t>prendront</w:t>
      </w:r>
      <w:proofErr w:type="spellEnd"/>
      <w:r>
        <w:t xml:space="preserve"> part aux interventions </w:t>
      </w:r>
      <w:proofErr w:type="spellStart"/>
      <w:r>
        <w:t>d’urgence</w:t>
      </w:r>
      <w:proofErr w:type="spellEnd"/>
      <w:r>
        <w:t xml:space="preserve"> sanitaire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la </w:t>
      </w:r>
      <w:proofErr w:type="spellStart"/>
      <w:r>
        <w:t>continuité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de santé à </w:t>
      </w:r>
      <w:proofErr w:type="spellStart"/>
      <w:r>
        <w:t>toute</w:t>
      </w:r>
      <w:proofErr w:type="spellEnd"/>
      <w:r>
        <w:t xml:space="preserve"> la population.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La planification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les plus </w:t>
      </w:r>
      <w:proofErr w:type="spellStart"/>
      <w:r>
        <w:t>vulnérables</w:t>
      </w:r>
      <w:proofErr w:type="spellEnd"/>
      <w:r>
        <w:t xml:space="preserve"> de la population, </w:t>
      </w:r>
      <w:proofErr w:type="spellStart"/>
      <w:r>
        <w:t>comme</w:t>
      </w:r>
      <w:proofErr w:type="spellEnd"/>
      <w:r>
        <w:t xml:space="preserve"> les enfants,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et les patients avec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particuliers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Dans </w:t>
      </w:r>
      <w:proofErr w:type="spellStart"/>
      <w:r>
        <w:t>chacune</w:t>
      </w:r>
      <w:proofErr w:type="spellEnd"/>
      <w:r>
        <w:t xml:space="preserve"> des </w:t>
      </w:r>
      <w:proofErr w:type="spellStart"/>
      <w:r>
        <w:t>juridictions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d’enseignement</w:t>
      </w:r>
      <w:proofErr w:type="spellEnd"/>
      <w:r>
        <w:t xml:space="preserve"> </w:t>
      </w:r>
      <w:proofErr w:type="spellStart"/>
      <w:r>
        <w:t>appelés</w:t>
      </w:r>
      <w:proofErr w:type="spellEnd"/>
      <w:r>
        <w:t xml:space="preserve"> à former le personnel qui </w:t>
      </w:r>
      <w:proofErr w:type="spellStart"/>
      <w:r>
        <w:t>interviendra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situation de catastrophe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et </w:t>
      </w:r>
      <w:proofErr w:type="spellStart"/>
      <w:r>
        <w:t>offrir</w:t>
      </w:r>
      <w:proofErr w:type="spellEnd"/>
      <w:r>
        <w:t xml:space="preserve"> des </w:t>
      </w:r>
      <w:proofErr w:type="spellStart"/>
      <w:r>
        <w:t>programmes</w:t>
      </w:r>
      <w:proofErr w:type="spellEnd"/>
      <w:r>
        <w:t xml:space="preserve"> de formation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réponses</w:t>
      </w:r>
      <w:proofErr w:type="spellEnd"/>
      <w:r>
        <w:t xml:space="preserve"> aux catastrophes.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Toute</w:t>
      </w:r>
      <w:proofErr w:type="spellEnd"/>
      <w:r>
        <w:t xml:space="preserve"> la formation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rPr>
          <w:rFonts w:asciiTheme="majorHAnsi" w:hAnsiTheme="majorHAnsi"/>
        </w:rPr>
        <w:t>préparation</w:t>
      </w:r>
      <w:proofErr w:type="spellEnd"/>
      <w:r>
        <w:rPr>
          <w:rFonts w:asciiTheme="majorHAnsi" w:hAnsiTheme="majorHAnsi"/>
        </w:rPr>
        <w:t xml:space="preserve"> aux catastrophes</w:t>
      </w:r>
      <w:r>
        <w:rPr>
          <w:rFonts w:ascii="Helvetica" w:hAnsi="Helvetica"/>
        </w:rPr>
        <w:t xml:space="preserve"> </w:t>
      </w:r>
      <w:r>
        <w:t xml:space="preserve">à </w:t>
      </w:r>
      <w:proofErr w:type="spellStart"/>
      <w:r>
        <w:t>l’échelle</w:t>
      </w:r>
      <w:proofErr w:type="spellEnd"/>
      <w:r>
        <w:t xml:space="preserve"> du Canada,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offerte</w:t>
      </w:r>
      <w:proofErr w:type="spellEnd"/>
      <w:r>
        <w:t xml:space="preserve"> par les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 xml:space="preserve">, </w:t>
      </w:r>
      <w:proofErr w:type="spellStart"/>
      <w:r>
        <w:t>territoriales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fédérales</w:t>
      </w:r>
      <w:proofErr w:type="spellEnd"/>
      <w:r>
        <w:t xml:space="preserve">,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> :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normalisées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l’évaluation</w:t>
      </w:r>
      <w:proofErr w:type="spellEnd"/>
      <w:r>
        <w:t xml:space="preserve"> du </w:t>
      </w:r>
      <w:proofErr w:type="spellStart"/>
      <w:r>
        <w:t>risque</w:t>
      </w:r>
      <w:proofErr w:type="spellEnd"/>
      <w:r>
        <w:t xml:space="preserve"> et du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 xml:space="preserve">, , la planification et la transmission </w:t>
      </w:r>
      <w:proofErr w:type="spellStart"/>
      <w:r>
        <w:t>d’information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lastRenderedPageBreak/>
        <w:t xml:space="preserve">des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normalisées</w:t>
      </w:r>
      <w:proofErr w:type="spellEnd"/>
      <w:r>
        <w:t xml:space="preserve"> sur </w:t>
      </w:r>
      <w:proofErr w:type="spellStart"/>
      <w:r>
        <w:t>lesquelles</w:t>
      </w:r>
      <w:proofErr w:type="spellEnd"/>
      <w:r>
        <w:t xml:space="preserve"> sera </w:t>
      </w:r>
      <w:proofErr w:type="spellStart"/>
      <w:r>
        <w:t>basée</w:t>
      </w:r>
      <w:proofErr w:type="spellEnd"/>
      <w:r>
        <w:t xml:space="preserve"> la planification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</w:t>
      </w:r>
      <w:proofErr w:type="spellStart"/>
      <w:r>
        <w:t>l’uniformité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aux catastrophes;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une</w:t>
      </w:r>
      <w:proofErr w:type="spellEnd"/>
      <w:r>
        <w:t xml:space="preserve"> structure </w:t>
      </w:r>
      <w:proofErr w:type="spellStart"/>
      <w:r>
        <w:t>normalisée</w:t>
      </w:r>
      <w:proofErr w:type="spellEnd"/>
      <w:r>
        <w:t xml:space="preserve"> et un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éducationnel</w:t>
      </w:r>
      <w:proofErr w:type="spellEnd"/>
      <w:r>
        <w:t xml:space="preserve"> de </w:t>
      </w:r>
      <w:proofErr w:type="spellStart"/>
      <w:r>
        <w:t>maintien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relatives  à la </w:t>
      </w:r>
      <w:proofErr w:type="spellStart"/>
      <w:r>
        <w:t>préparation</w:t>
      </w:r>
      <w:proofErr w:type="spellEnd"/>
      <w:r>
        <w:t xml:space="preserve"> aux catastrophes 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répondants</w:t>
      </w:r>
      <w:proofErr w:type="spellEnd"/>
      <w:r>
        <w:t xml:space="preserve"> et les </w:t>
      </w:r>
      <w:proofErr w:type="spellStart"/>
      <w:r>
        <w:t>fournisseurs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la </w:t>
      </w:r>
      <w:proofErr w:type="spellStart"/>
      <w:r>
        <w:t>précision</w:t>
      </w:r>
      <w:proofErr w:type="spellEnd"/>
      <w:r>
        <w:t xml:space="preserve"> sur la division de </w:t>
      </w:r>
      <w:proofErr w:type="spellStart"/>
      <w:r>
        <w:t>l’autorité</w:t>
      </w:r>
      <w:proofErr w:type="spellEnd"/>
      <w:r>
        <w:t xml:space="preserve"> entre les installations de </w:t>
      </w:r>
      <w:proofErr w:type="spellStart"/>
      <w:r>
        <w:t>soins</w:t>
      </w:r>
      <w:proofErr w:type="spellEnd"/>
      <w:r>
        <w:t xml:space="preserve"> de santé, les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, les </w:t>
      </w:r>
      <w:proofErr w:type="spellStart"/>
      <w:r>
        <w:t>ministères</w:t>
      </w:r>
      <w:proofErr w:type="spellEnd"/>
      <w:r>
        <w:t xml:space="preserve"> de la Santé, </w:t>
      </w:r>
      <w:proofErr w:type="spellStart"/>
      <w:r>
        <w:t>l’Agence</w:t>
      </w:r>
      <w:proofErr w:type="spellEnd"/>
      <w:r>
        <w:t xml:space="preserve"> de la santé </w:t>
      </w:r>
      <w:proofErr w:type="spellStart"/>
      <w:r>
        <w:t>publique</w:t>
      </w:r>
      <w:proofErr w:type="spellEnd"/>
      <w:r>
        <w:t xml:space="preserve"> du Canada et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fédérales</w:t>
      </w:r>
      <w:proofErr w:type="spellEnd"/>
      <w:r>
        <w:t xml:space="preserve"> et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la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gérer</w:t>
      </w:r>
      <w:proofErr w:type="spellEnd"/>
      <w:r>
        <w:t xml:space="preserve"> les communications, de diffuser </w:t>
      </w:r>
      <w:proofErr w:type="spellStart"/>
      <w:r>
        <w:t>l’information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aux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agenceset</w:t>
      </w:r>
      <w:proofErr w:type="spellEnd"/>
      <w:r>
        <w:t xml:space="preserve"> </w:t>
      </w:r>
      <w:proofErr w:type="spellStart"/>
      <w:r>
        <w:t>d’établir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de </w:t>
      </w:r>
      <w:proofErr w:type="spellStart"/>
      <w:r>
        <w:t>commandement</w:t>
      </w:r>
      <w:proofErr w:type="spellEnd"/>
      <w:r>
        <w:t xml:space="preserve"> entre les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hospitaliers</w:t>
      </w:r>
      <w:proofErr w:type="spellEnd"/>
      <w:r>
        <w:t xml:space="preserve"> et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santé, les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, les </w:t>
      </w:r>
      <w:proofErr w:type="spellStart"/>
      <w:r>
        <w:t>ministères</w:t>
      </w:r>
      <w:proofErr w:type="spellEnd"/>
      <w:r>
        <w:t xml:space="preserve"> de la Santé, </w:t>
      </w:r>
      <w:proofErr w:type="spellStart"/>
      <w:r>
        <w:t>l’Agence</w:t>
      </w:r>
      <w:proofErr w:type="spellEnd"/>
      <w:r>
        <w:t xml:space="preserve"> de la santé </w:t>
      </w:r>
      <w:proofErr w:type="spellStart"/>
      <w:r>
        <w:t>publique</w:t>
      </w:r>
      <w:proofErr w:type="spellEnd"/>
      <w:r>
        <w:t xml:space="preserve"> du Canada et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fédérales</w:t>
      </w:r>
      <w:proofErr w:type="spellEnd"/>
      <w:r>
        <w:t xml:space="preserve"> et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Afin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</w:t>
      </w:r>
      <w:proofErr w:type="spellStart"/>
      <w:r>
        <w:t>l’interopérabilité</w:t>
      </w:r>
      <w:proofErr w:type="spellEnd"/>
      <w:r>
        <w:t xml:space="preserve"> entre les </w:t>
      </w:r>
      <w:proofErr w:type="spellStart"/>
      <w:r>
        <w:t>régions</w:t>
      </w:r>
      <w:proofErr w:type="spellEnd"/>
      <w:r>
        <w:t xml:space="preserve"> et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 et pour que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au point </w:t>
      </w:r>
      <w:proofErr w:type="spellStart"/>
      <w:r>
        <w:t>précédent</w:t>
      </w:r>
      <w:proofErr w:type="spellEnd"/>
      <w:r>
        <w:t xml:space="preserve"> se </w:t>
      </w:r>
      <w:proofErr w:type="spellStart"/>
      <w:r>
        <w:t>réalisent</w:t>
      </w:r>
      <w:proofErr w:type="spellEnd"/>
      <w:r>
        <w:t xml:space="preserve">, le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collaboration avec les provinces et les </w:t>
      </w:r>
      <w:proofErr w:type="spellStart"/>
      <w:r>
        <w:t>territoires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offrir</w:t>
      </w:r>
      <w:proofErr w:type="spellEnd"/>
      <w:r>
        <w:t xml:space="preserve"> des </w:t>
      </w:r>
      <w:proofErr w:type="spellStart"/>
      <w:r>
        <w:t>outils</w:t>
      </w:r>
      <w:proofErr w:type="spellEnd"/>
      <w:r>
        <w:t xml:space="preserve"> de planification et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uniformes</w:t>
      </w:r>
      <w:proofErr w:type="spellEnd"/>
      <w:r>
        <w:t xml:space="preserve">. Le plan </w:t>
      </w:r>
      <w:proofErr w:type="spellStart"/>
      <w:r>
        <w:t>d’intervention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soins</w:t>
      </w:r>
      <w:proofErr w:type="spellEnd"/>
      <w:r>
        <w:t xml:space="preserve"> de santé du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idéalement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 :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un ensemble de concepts, de </w:t>
      </w:r>
      <w:proofErr w:type="spellStart"/>
      <w:r>
        <w:t>principes</w:t>
      </w:r>
      <w:proofErr w:type="spellEnd"/>
      <w:r>
        <w:t xml:space="preserve">, de </w:t>
      </w:r>
      <w:proofErr w:type="spellStart"/>
      <w:r>
        <w:t>termes</w:t>
      </w:r>
      <w:proofErr w:type="spellEnd"/>
      <w:r>
        <w:t xml:space="preserve"> et de technologies de base </w:t>
      </w:r>
      <w:proofErr w:type="spellStart"/>
      <w:r>
        <w:t>couvrant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commandement</w:t>
      </w:r>
      <w:proofErr w:type="spellEnd"/>
      <w:r>
        <w:t xml:space="preserve"> des interventions;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des </w:t>
      </w:r>
      <w:proofErr w:type="spellStart"/>
      <w:r>
        <w:t>systèmes</w:t>
      </w:r>
      <w:proofErr w:type="spellEnd"/>
      <w:r>
        <w:t xml:space="preserve"> de coordination </w:t>
      </w:r>
      <w:proofErr w:type="spellStart"/>
      <w:r>
        <w:t>interinstitutions</w:t>
      </w:r>
      <w:proofErr w:type="spellEnd"/>
      <w: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un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commandement</w:t>
      </w:r>
      <w:proofErr w:type="spellEnd"/>
      <w:r>
        <w:t xml:space="preserve"> </w:t>
      </w:r>
      <w:proofErr w:type="spellStart"/>
      <w:r>
        <w:t>unifié</w:t>
      </w:r>
      <w:proofErr w:type="spellEnd"/>
      <w: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une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de formation;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proofErr w:type="spellStart"/>
      <w:r>
        <w:t>l’identification</w:t>
      </w:r>
      <w:proofErr w:type="spellEnd"/>
      <w:r>
        <w:t xml:space="preserve"> et la gestion des </w:t>
      </w:r>
      <w:proofErr w:type="spellStart"/>
      <w:r>
        <w:t>ressources</w:t>
      </w:r>
      <w:proofErr w:type="spellEnd"/>
      <w:r>
        <w:t xml:space="preserve">; 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un </w:t>
      </w:r>
      <w:proofErr w:type="spellStart"/>
      <w:r>
        <w:t>processus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les certifications et qualifications </w:t>
      </w:r>
      <w:proofErr w:type="spellStart"/>
      <w:r>
        <w:t>requises</w:t>
      </w:r>
      <w:proofErr w:type="spellEnd"/>
      <w:r>
        <w:t>;</w:t>
      </w:r>
    </w:p>
    <w:p w:rsidR="0058573E" w:rsidRDefault="0058573E" w:rsidP="0058573E">
      <w:pPr>
        <w:widowControl/>
        <w:numPr>
          <w:ilvl w:val="1"/>
          <w:numId w:val="11"/>
        </w:numPr>
        <w:autoSpaceDE/>
        <w:autoSpaceDN/>
        <w:adjustRightInd/>
      </w:pPr>
      <w:r>
        <w:t xml:space="preserve">des </w:t>
      </w:r>
      <w:proofErr w:type="spellStart"/>
      <w:r>
        <w:t>stratégies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la </w:t>
      </w:r>
      <w:proofErr w:type="spellStart"/>
      <w:r>
        <w:t>collecte</w:t>
      </w:r>
      <w:proofErr w:type="spellEnd"/>
      <w:r>
        <w:t xml:space="preserve">, le </w:t>
      </w:r>
      <w:proofErr w:type="spellStart"/>
      <w:r>
        <w:t>suivi</w:t>
      </w:r>
      <w:proofErr w:type="spellEnd"/>
      <w:r>
        <w:t xml:space="preserve"> et la communication des </w:t>
      </w:r>
      <w:proofErr w:type="spellStart"/>
      <w:r>
        <w:t>renseignements</w:t>
      </w:r>
      <w:proofErr w:type="spellEnd"/>
      <w:r>
        <w:t xml:space="preserve"> et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l’incident</w:t>
      </w:r>
      <w:r>
        <w:rPr>
          <w:vertAlign w:val="superscript"/>
        </w:rPr>
        <w:t>19</w:t>
      </w:r>
      <w:r>
        <w:t xml:space="preserve">. </w:t>
      </w:r>
    </w:p>
    <w:p w:rsidR="0058573E" w:rsidRDefault="0058573E" w:rsidP="0058573E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>
        <w:t>Alors</w:t>
      </w:r>
      <w:proofErr w:type="spellEnd"/>
      <w:r>
        <w:t xml:space="preserve"> que la formation à </w:t>
      </w:r>
      <w:proofErr w:type="spellStart"/>
      <w:r>
        <w:t>l’échelle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, </w:t>
      </w:r>
      <w:proofErr w:type="spellStart"/>
      <w:r>
        <w:t>territoire</w:t>
      </w:r>
      <w:proofErr w:type="spellEnd"/>
      <w:r>
        <w:t xml:space="preserve"> et </w:t>
      </w:r>
      <w:proofErr w:type="spellStart"/>
      <w:r>
        <w:t>fédérale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aider les </w:t>
      </w:r>
      <w:proofErr w:type="spellStart"/>
      <w:r>
        <w:t>organisations</w:t>
      </w:r>
      <w:proofErr w:type="spellEnd"/>
      <w:r>
        <w:t xml:space="preserve"> à se </w:t>
      </w:r>
      <w:proofErr w:type="spellStart"/>
      <w:r>
        <w:t>décloisonner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les formations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l’importance</w:t>
      </w:r>
      <w:proofErr w:type="spellEnd"/>
      <w:r>
        <w:t xml:space="preserve"> du </w:t>
      </w:r>
      <w:proofErr w:type="spellStart"/>
      <w:r>
        <w:t>décloisonnement</w:t>
      </w:r>
      <w:proofErr w:type="spellEnd"/>
      <w:r>
        <w:t xml:space="preserve"> des « silos de communication » </w:t>
      </w:r>
      <w:r>
        <w:rPr>
          <w:u w:val="single"/>
        </w:rPr>
        <w:t>au sein</w:t>
      </w:r>
      <w:r>
        <w:t xml:space="preserve"> des </w:t>
      </w:r>
      <w:proofErr w:type="spellStart"/>
      <w:r>
        <w:t>établissements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santé.</w:t>
      </w:r>
    </w:p>
    <w:p w:rsidR="0058573E" w:rsidRPr="00FA5B1E" w:rsidRDefault="0058573E" w:rsidP="0058573E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</w:rPr>
      </w:pPr>
      <w:r>
        <w:rPr>
          <w:color w:val="000000"/>
        </w:rPr>
        <w:t xml:space="preserve">Une base de </w:t>
      </w:r>
      <w:proofErr w:type="spellStart"/>
      <w:r>
        <w:rPr>
          <w:color w:val="000000"/>
        </w:rPr>
        <w:t>données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nationale</w:t>
      </w:r>
      <w:proofErr w:type="spellEnd"/>
      <w:r>
        <w:rPr>
          <w:color w:val="000000"/>
        </w:rPr>
        <w:t xml:space="preserve"> commune de patients non </w:t>
      </w:r>
      <w:proofErr w:type="spellStart"/>
      <w:r>
        <w:rPr>
          <w:color w:val="000000"/>
        </w:rPr>
        <w:t>identifiables</w:t>
      </w:r>
      <w:proofErr w:type="spellEnd"/>
      <w:r>
        <w:rPr>
          <w:color w:val="000000"/>
        </w:rPr>
        <w:t xml:space="preserve">, qui </w:t>
      </w:r>
      <w:proofErr w:type="spellStart"/>
      <w:r>
        <w:rPr>
          <w:color w:val="000000"/>
        </w:rPr>
        <w:t>comporterait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idéalement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système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traçabilité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devrait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être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fournie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centres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soins</w:t>
      </w:r>
      <w:proofErr w:type="spellEnd"/>
      <w:r>
        <w:rPr>
          <w:color w:val="000000"/>
        </w:rPr>
        <w:t xml:space="preserve"> de santé dans le but </w:t>
      </w:r>
      <w:proofErr w:type="spellStart"/>
      <w:r>
        <w:rPr>
          <w:color w:val="000000"/>
        </w:rPr>
        <w:t>d’assurer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mesures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d’identification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efficaces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favoriser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réunification</w:t>
      </w:r>
      <w:proofErr w:type="spellEnd"/>
      <w:r>
        <w:rPr>
          <w:color w:val="000000"/>
        </w:rPr>
        <w:t xml:space="preserve"> des patients avec </w:t>
      </w:r>
      <w:proofErr w:type="spellStart"/>
      <w:r>
        <w:rPr>
          <w:color w:val="000000"/>
        </w:rPr>
        <w:t>leur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situation de catastrophe.</w:t>
      </w:r>
      <w:r>
        <w:t xml:space="preserve"> </w:t>
      </w:r>
    </w:p>
    <w:p w:rsidR="0058573E" w:rsidRDefault="0058573E" w:rsidP="0058573E">
      <w:pPr>
        <w:rPr>
          <w:color w:val="1155CC"/>
        </w:rPr>
      </w:pPr>
    </w:p>
    <w:p w:rsidR="0058573E" w:rsidRDefault="0058573E" w:rsidP="0058573E">
      <w:r>
        <w:rPr>
          <w:b/>
          <w:color w:val="366091"/>
        </w:rPr>
        <w:t>Résumé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La </w:t>
      </w:r>
      <w:proofErr w:type="spellStart"/>
      <w:r>
        <w:t>littérature</w:t>
      </w:r>
      <w:proofErr w:type="spellEnd"/>
      <w:r>
        <w:t xml:space="preserve"> </w:t>
      </w:r>
      <w:proofErr w:type="spellStart"/>
      <w:r>
        <w:t>médicale</w:t>
      </w:r>
      <w:proofErr w:type="spellEnd"/>
      <w:r>
        <w:t xml:space="preserve"> </w:t>
      </w:r>
      <w:proofErr w:type="spellStart"/>
      <w:r>
        <w:t>documentant</w:t>
      </w:r>
      <w:proofErr w:type="spellEnd"/>
      <w:r>
        <w:t xml:space="preserve"> le </w:t>
      </w:r>
      <w:proofErr w:type="spellStart"/>
      <w:r>
        <w:t>niveaude</w:t>
      </w:r>
      <w:proofErr w:type="spellEnd"/>
      <w:r>
        <w:t xml:space="preserve"> </w:t>
      </w:r>
      <w:proofErr w:type="spellStart"/>
      <w:r>
        <w:t>préparation</w:t>
      </w:r>
      <w:proofErr w:type="spellEnd"/>
      <w:r>
        <w:t xml:space="preserve"> aux catastrophes au Canada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récente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révèle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des </w:t>
      </w:r>
      <w:proofErr w:type="spellStart"/>
      <w:r>
        <w:t>lacunes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préparation</w:t>
      </w:r>
      <w:proofErr w:type="spellEnd"/>
      <w:r>
        <w:t xml:space="preserve"> des institutions </w:t>
      </w:r>
      <w:proofErr w:type="spellStart"/>
      <w:r>
        <w:t>canadiennes</w:t>
      </w:r>
      <w:proofErr w:type="spellEnd"/>
      <w:r>
        <w:t xml:space="preserve"> aux catastrophes </w:t>
      </w:r>
      <w:proofErr w:type="spellStart"/>
      <w:r>
        <w:t>sanitaires</w:t>
      </w:r>
      <w:proofErr w:type="spellEnd"/>
      <w:r>
        <w:t>.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Il </w:t>
      </w:r>
      <w:proofErr w:type="spellStart"/>
      <w:r>
        <w:t>n’existe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fédérale-provinciale</w:t>
      </w:r>
      <w:proofErr w:type="spellEnd"/>
      <w:r>
        <w:t xml:space="preserve"> et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du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 xml:space="preserve"> aux catastrophes à </w:t>
      </w:r>
      <w:proofErr w:type="spellStart"/>
      <w:r>
        <w:t>l’échelle</w:t>
      </w:r>
      <w:proofErr w:type="spellEnd"/>
      <w:r>
        <w:t xml:space="preserve"> des institutions et des premiers </w:t>
      </w:r>
      <w:proofErr w:type="spellStart"/>
      <w:r>
        <w:t>répondants</w:t>
      </w:r>
      <w:proofErr w:type="spellEnd"/>
      <w:r>
        <w:t xml:space="preserve">. 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r>
        <w:lastRenderedPageBreak/>
        <w:t xml:space="preserve">Les catastrophes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cause de </w:t>
      </w:r>
      <w:proofErr w:type="spellStart"/>
      <w:r>
        <w:t>morbidité</w:t>
      </w:r>
      <w:proofErr w:type="spellEnd"/>
      <w:r>
        <w:t xml:space="preserve"> et de </w:t>
      </w:r>
      <w:proofErr w:type="spellStart"/>
      <w:r>
        <w:t>mortalité</w:t>
      </w:r>
      <w:proofErr w:type="spellEnd"/>
      <w:r>
        <w:t xml:space="preserve"> au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que les maladies.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contrairement</w:t>
      </w:r>
      <w:proofErr w:type="spellEnd"/>
      <w:r>
        <w:t xml:space="preserve"> aux maladies,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n’existe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à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catastrophe. Et </w:t>
      </w:r>
      <w:proofErr w:type="spellStart"/>
      <w:r>
        <w:t>ceci</w:t>
      </w:r>
      <w:proofErr w:type="spellEnd"/>
      <w:r>
        <w:t xml:space="preserve">, malgré le fait que les </w:t>
      </w:r>
      <w:proofErr w:type="spellStart"/>
      <w:r>
        <w:t>processus</w:t>
      </w:r>
      <w:proofErr w:type="spellEnd"/>
      <w:r>
        <w:t xml:space="preserve"> à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d’intervention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 </w:t>
      </w:r>
      <w:proofErr w:type="spellStart"/>
      <w:r>
        <w:t>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bien </w:t>
      </w:r>
      <w:proofErr w:type="spellStart"/>
      <w:r>
        <w:t>définis</w:t>
      </w:r>
      <w:proofErr w:type="spellEnd"/>
      <w:r>
        <w:t xml:space="preserve"> et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au public. 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Dans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santé, les </w:t>
      </w:r>
      <w:proofErr w:type="spellStart"/>
      <w:r>
        <w:t>médecins,les</w:t>
      </w:r>
      <w:proofErr w:type="spellEnd"/>
      <w:r>
        <w:t xml:space="preserve"> </w:t>
      </w:r>
      <w:proofErr w:type="spellStart"/>
      <w:r>
        <w:t>infirmières</w:t>
      </w:r>
      <w:proofErr w:type="spellEnd"/>
      <w:r>
        <w:t xml:space="preserve"> et les </w:t>
      </w:r>
      <w:proofErr w:type="spellStart"/>
      <w:r>
        <w:t>infirmiers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collaboration avec les </w:t>
      </w:r>
      <w:proofErr w:type="spellStart"/>
      <w:r>
        <w:t>gestionnaires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 et les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pour </w:t>
      </w:r>
      <w:proofErr w:type="spellStart"/>
      <w:r>
        <w:t>amener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institutions à un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>.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claires</w:t>
      </w:r>
      <w:proofErr w:type="spellEnd"/>
      <w:r>
        <w:t xml:space="preserve"> à prendre pour </w:t>
      </w:r>
      <w:proofErr w:type="spellStart"/>
      <w:r>
        <w:t>combler</w:t>
      </w:r>
      <w:proofErr w:type="spellEnd"/>
      <w:r>
        <w:t xml:space="preserve"> les </w:t>
      </w:r>
      <w:proofErr w:type="spellStart"/>
      <w:r>
        <w:t>lacunes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 sanitaire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soulignées</w:t>
      </w:r>
      <w:proofErr w:type="spellEnd"/>
      <w:r>
        <w:t xml:space="preserve"> dans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>.</w:t>
      </w:r>
    </w:p>
    <w:p w:rsidR="0058573E" w:rsidRDefault="0058573E" w:rsidP="0058573E">
      <w:pPr>
        <w:widowControl/>
        <w:numPr>
          <w:ilvl w:val="0"/>
          <w:numId w:val="9"/>
        </w:numPr>
        <w:autoSpaceDE/>
        <w:autoSpaceDN/>
        <w:adjustRightInd/>
      </w:pPr>
      <w:proofErr w:type="spellStart"/>
      <w:r>
        <w:t>Faillir</w:t>
      </w:r>
      <w:proofErr w:type="spellEnd"/>
      <w:r>
        <w:t xml:space="preserve"> à </w:t>
      </w:r>
      <w:proofErr w:type="spellStart"/>
      <w:r>
        <w:t>aborder</w:t>
      </w:r>
      <w:proofErr w:type="spellEnd"/>
      <w:r>
        <w:t xml:space="preserve"> le </w:t>
      </w:r>
      <w:proofErr w:type="spellStart"/>
      <w:r>
        <w:t>problème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aux catastrophes </w:t>
      </w:r>
      <w:proofErr w:type="spellStart"/>
      <w:r>
        <w:t>sanitaires</w:t>
      </w:r>
      <w:proofErr w:type="spellEnd"/>
      <w:r>
        <w:t xml:space="preserve">, et </w:t>
      </w:r>
      <w:proofErr w:type="spellStart"/>
      <w:r>
        <w:t>ce</w:t>
      </w:r>
      <w:proofErr w:type="spellEnd"/>
      <w:r>
        <w:t xml:space="preserve">, à </w:t>
      </w:r>
      <w:proofErr w:type="spellStart"/>
      <w:r>
        <w:t>l’échelle</w:t>
      </w:r>
      <w:proofErr w:type="spellEnd"/>
      <w:r>
        <w:t xml:space="preserve"> </w:t>
      </w:r>
      <w:proofErr w:type="spellStart"/>
      <w:r>
        <w:t>institutionnelle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particulier, </w:t>
      </w:r>
      <w:proofErr w:type="spellStart"/>
      <w:r>
        <w:t>mènera</w:t>
      </w:r>
      <w:proofErr w:type="spellEnd"/>
      <w:r>
        <w:t xml:space="preserve"> à un </w:t>
      </w:r>
      <w:proofErr w:type="spellStart"/>
      <w:r>
        <w:t>accroissement</w:t>
      </w:r>
      <w:proofErr w:type="spellEnd"/>
      <w:r>
        <w:t xml:space="preserve"> de la </w:t>
      </w:r>
      <w:proofErr w:type="spellStart"/>
      <w:r>
        <w:t>morbidité</w:t>
      </w:r>
      <w:proofErr w:type="spellEnd"/>
      <w:r>
        <w:t xml:space="preserve"> et de la </w:t>
      </w:r>
      <w:proofErr w:type="spellStart"/>
      <w:r>
        <w:t>mortalité</w:t>
      </w:r>
      <w:proofErr w:type="spellEnd"/>
      <w:r>
        <w:t xml:space="preserve"> au sein de la population </w:t>
      </w:r>
      <w:proofErr w:type="spellStart"/>
      <w:r>
        <w:t>canadienne</w:t>
      </w:r>
      <w:proofErr w:type="spellEnd"/>
      <w:r>
        <w:t xml:space="preserve">. </w:t>
      </w:r>
    </w:p>
    <w:p w:rsidR="0058573E" w:rsidRDefault="0058573E" w:rsidP="0058573E">
      <w:pPr>
        <w:rPr>
          <w:b/>
          <w:color w:val="366091"/>
        </w:rPr>
      </w:pPr>
    </w:p>
    <w:p w:rsidR="0058573E" w:rsidRDefault="0058573E" w:rsidP="0058573E">
      <w:pPr>
        <w:rPr>
          <w:b/>
          <w:color w:val="366091"/>
        </w:rPr>
      </w:pPr>
      <w:proofErr w:type="spellStart"/>
      <w:r>
        <w:rPr>
          <w:b/>
          <w:color w:val="366091"/>
        </w:rPr>
        <w:t>Prochaines</w:t>
      </w:r>
      <w:proofErr w:type="spellEnd"/>
      <w:r>
        <w:rPr>
          <w:b/>
          <w:color w:val="366091"/>
        </w:rPr>
        <w:t xml:space="preserve"> </w:t>
      </w:r>
      <w:proofErr w:type="spellStart"/>
      <w:r>
        <w:rPr>
          <w:b/>
          <w:color w:val="366091"/>
        </w:rPr>
        <w:t>étapes</w:t>
      </w:r>
      <w:proofErr w:type="spellEnd"/>
    </w:p>
    <w:p w:rsidR="0058573E" w:rsidRDefault="0058573E" w:rsidP="0058573E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Nos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présentées</w:t>
      </w:r>
      <w:proofErr w:type="spellEnd"/>
      <w:r>
        <w:t xml:space="preserve"> </w:t>
      </w:r>
      <w:proofErr w:type="spellStart"/>
      <w:r>
        <w:t>publiquement</w:t>
      </w:r>
      <w:proofErr w:type="spellEnd"/>
      <w:r>
        <w:t xml:space="preserve"> au </w:t>
      </w:r>
      <w:proofErr w:type="spellStart"/>
      <w:r>
        <w:t>ministère</w:t>
      </w:r>
      <w:proofErr w:type="spellEnd"/>
      <w:r>
        <w:t xml:space="preserve"> de la Santé et de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à </w:t>
      </w:r>
      <w:proofErr w:type="spellStart"/>
      <w:r>
        <w:t>l’Agence</w:t>
      </w:r>
      <w:proofErr w:type="spellEnd"/>
      <w:r>
        <w:t xml:space="preserve"> de la santé </w:t>
      </w:r>
      <w:proofErr w:type="spellStart"/>
      <w:r>
        <w:t>publique</w:t>
      </w:r>
      <w:proofErr w:type="spellEnd"/>
      <w:r>
        <w:t xml:space="preserve">, à </w:t>
      </w:r>
      <w:proofErr w:type="spellStart"/>
      <w:r>
        <w:t>Agrément</w:t>
      </w:r>
      <w:proofErr w:type="spellEnd"/>
      <w:r>
        <w:t xml:space="preserve"> Canada et aux </w:t>
      </w:r>
      <w:proofErr w:type="spellStart"/>
      <w:r>
        <w:t>autorités</w:t>
      </w:r>
      <w:proofErr w:type="spellEnd"/>
      <w:r>
        <w:t xml:space="preserve"> de santé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 xml:space="preserve">, de santé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 xml:space="preserve"> et de gestion des </w:t>
      </w:r>
      <w:proofErr w:type="spellStart"/>
      <w:r>
        <w:t>urgences</w:t>
      </w:r>
      <w:proofErr w:type="spellEnd"/>
      <w:r>
        <w:t>.</w:t>
      </w:r>
    </w:p>
    <w:p w:rsidR="0058573E" w:rsidRDefault="0058573E" w:rsidP="0058573E">
      <w:pPr>
        <w:widowControl/>
        <w:numPr>
          <w:ilvl w:val="0"/>
          <w:numId w:val="10"/>
        </w:numPr>
        <w:autoSpaceDE/>
        <w:autoSpaceDN/>
        <w:adjustRightInd/>
      </w:pPr>
      <w:proofErr w:type="spellStart"/>
      <w:r>
        <w:t>En</w:t>
      </w:r>
      <w:proofErr w:type="spellEnd"/>
      <w:r>
        <w:t xml:space="preserve"> </w:t>
      </w:r>
      <w:proofErr w:type="spellStart"/>
      <w:r>
        <w:t>s’appuyant</w:t>
      </w:r>
      <w:proofErr w:type="spellEnd"/>
      <w:r>
        <w:t xml:space="preserve"> sur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, </w:t>
      </w:r>
      <w:proofErr w:type="spellStart"/>
      <w:r>
        <w:t>l’ACMU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et </w:t>
      </w:r>
      <w:proofErr w:type="spellStart"/>
      <w:r>
        <w:t>déployer</w:t>
      </w:r>
      <w:proofErr w:type="spellEnd"/>
      <w:r>
        <w:t xml:space="preserve"> un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offrant</w:t>
      </w:r>
      <w:proofErr w:type="spellEnd"/>
      <w:r>
        <w:t xml:space="preserve"> la formation et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établir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de base </w:t>
      </w:r>
      <w:proofErr w:type="spellStart"/>
      <w:r>
        <w:t>commun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agences</w:t>
      </w:r>
      <w:proofErr w:type="spellEnd"/>
      <w:r>
        <w:t xml:space="preserve"> et à tout le personnel </w:t>
      </w:r>
      <w:proofErr w:type="spellStart"/>
      <w:r>
        <w:t>médical</w:t>
      </w:r>
      <w:proofErr w:type="spellEnd"/>
      <w:r>
        <w:t xml:space="preserve"> de la première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d’accueil</w:t>
      </w:r>
      <w:proofErr w:type="spellEnd"/>
      <w:r>
        <w:t xml:space="preserve"> et les </w:t>
      </w:r>
      <w:proofErr w:type="spellStart"/>
      <w:r>
        <w:t>intervenants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catastrophe</w:t>
      </w:r>
    </w:p>
    <w:p w:rsidR="0058573E" w:rsidRDefault="0058573E" w:rsidP="0058573E">
      <w:pPr>
        <w:ind w:left="720"/>
      </w:pPr>
      <w:proofErr w:type="spellStart"/>
      <w:r>
        <w:t>En</w:t>
      </w:r>
      <w:proofErr w:type="spellEnd"/>
      <w:r>
        <w:t xml:space="preserve"> </w:t>
      </w:r>
      <w:proofErr w:type="spellStart"/>
      <w:r>
        <w:t>adressant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, </w:t>
      </w:r>
      <w:proofErr w:type="spellStart"/>
      <w:r>
        <w:t>l’ACMU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offrir</w:t>
      </w:r>
      <w:proofErr w:type="spellEnd"/>
      <w:r>
        <w:t xml:space="preserve"> son </w:t>
      </w:r>
      <w:proofErr w:type="spellStart"/>
      <w:r>
        <w:t>soutien</w:t>
      </w:r>
      <w:proofErr w:type="spellEnd"/>
      <w:r>
        <w:t xml:space="preserve"> aux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fédérales</w:t>
      </w:r>
      <w:proofErr w:type="spellEnd"/>
      <w:r>
        <w:t xml:space="preserve">, </w:t>
      </w:r>
      <w:proofErr w:type="spellStart"/>
      <w:r>
        <w:t>provinciales</w:t>
      </w:r>
      <w:proofErr w:type="spellEnd"/>
      <w:r>
        <w:t xml:space="preserve"> et </w:t>
      </w:r>
      <w:proofErr w:type="spellStart"/>
      <w:r>
        <w:t>territoriales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les </w:t>
      </w:r>
      <w:proofErr w:type="spellStart"/>
      <w:r>
        <w:t>aidant</w:t>
      </w:r>
      <w:proofErr w:type="spellEnd"/>
      <w:r>
        <w:t xml:space="preserve"> à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triennale</w:t>
      </w:r>
      <w:proofErr w:type="spellEnd"/>
      <w:r>
        <w:t xml:space="preserve"> du </w:t>
      </w:r>
      <w:proofErr w:type="spellStart"/>
      <w:r>
        <w:t>niveau</w:t>
      </w:r>
      <w:proofErr w:type="spellEnd"/>
      <w:r>
        <w:t xml:space="preserve"> </w:t>
      </w:r>
      <w:r w:rsidRPr="005A6A4E">
        <w:rPr>
          <w:rFonts w:asciiTheme="majorHAnsi" w:hAnsiTheme="majorHAnsi"/>
        </w:rPr>
        <w:t xml:space="preserve"> de</w:t>
      </w:r>
      <w:r w:rsidRPr="004271CA">
        <w:rPr>
          <w:rFonts w:asciiTheme="majorHAnsi" w:hAnsiTheme="majorHAnsi"/>
        </w:rPr>
        <w:t xml:space="preserve"> </w:t>
      </w:r>
      <w:proofErr w:type="spellStart"/>
      <w:r w:rsidRPr="004271CA">
        <w:rPr>
          <w:rFonts w:asciiTheme="majorHAnsi" w:hAnsiTheme="majorHAnsi"/>
        </w:rPr>
        <w:t>préparation</w:t>
      </w:r>
      <w:proofErr w:type="spellEnd"/>
      <w:r w:rsidRPr="00E4261E">
        <w:rPr>
          <w:rFonts w:asciiTheme="majorHAnsi" w:hAnsiTheme="majorHAnsi"/>
        </w:rPr>
        <w:t xml:space="preserve"> aux catastrophes</w:t>
      </w:r>
      <w:r w:rsidRPr="005A6A4E">
        <w:rPr>
          <w:rFonts w:asciiTheme="majorHAnsi" w:hAnsiTheme="majorHAnsi"/>
        </w:rPr>
        <w:t xml:space="preserve"> du personnel </w:t>
      </w:r>
      <w:proofErr w:type="spellStart"/>
      <w:r w:rsidRPr="005A6A4E">
        <w:rPr>
          <w:rFonts w:asciiTheme="majorHAnsi" w:hAnsiTheme="majorHAnsi"/>
        </w:rPr>
        <w:t>médical</w:t>
      </w:r>
      <w:proofErr w:type="spellEnd"/>
      <w:r w:rsidRPr="005A6A4E">
        <w:rPr>
          <w:rFonts w:asciiTheme="majorHAnsi" w:hAnsiTheme="majorHAnsi"/>
        </w:rPr>
        <w:t xml:space="preserve"> </w:t>
      </w:r>
      <w:proofErr w:type="spellStart"/>
      <w:r w:rsidRPr="005A6A4E">
        <w:rPr>
          <w:rFonts w:asciiTheme="majorHAnsi" w:hAnsiTheme="majorHAnsi"/>
        </w:rPr>
        <w:t>en</w:t>
      </w:r>
      <w:proofErr w:type="spellEnd"/>
      <w:r w:rsidRPr="005A6A4E">
        <w:rPr>
          <w:rFonts w:asciiTheme="majorHAnsi" w:hAnsiTheme="majorHAnsi"/>
        </w:rPr>
        <w:t xml:space="preserve"> première </w:t>
      </w:r>
      <w:proofErr w:type="spellStart"/>
      <w:r w:rsidRPr="005A6A4E">
        <w:rPr>
          <w:rFonts w:asciiTheme="majorHAnsi" w:hAnsiTheme="majorHAnsi"/>
        </w:rPr>
        <w:t>ligne</w:t>
      </w:r>
      <w:proofErr w:type="spellEnd"/>
      <w:r w:rsidRPr="005A6A4E">
        <w:rPr>
          <w:rFonts w:asciiTheme="majorHAnsi" w:hAnsiTheme="majorHAnsi"/>
        </w:rPr>
        <w:t xml:space="preserve"> </w:t>
      </w:r>
      <w:r>
        <w:t xml:space="preserve">à </w:t>
      </w:r>
      <w:proofErr w:type="spellStart"/>
      <w:r>
        <w:t>l’aide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méthodologie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quantifiables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publics. </w:t>
      </w:r>
    </w:p>
    <w:p w:rsidR="007C78BB" w:rsidRDefault="007C78BB" w:rsidP="007C78BB"/>
    <w:p w:rsidR="007C78BB" w:rsidRDefault="007C78BB" w:rsidP="007C78BB">
      <w:pPr>
        <w:ind w:right="-720"/>
        <w:rPr>
          <w:rFonts w:eastAsia="Calibri"/>
          <w:color w:val="000000"/>
          <w:u w:val="single"/>
          <w:lang w:val="en-CA"/>
        </w:rPr>
      </w:pPr>
      <w:proofErr w:type="spellStart"/>
      <w:r>
        <w:rPr>
          <w:color w:val="000000"/>
          <w:u w:val="single"/>
          <w:lang w:val="en-CA"/>
        </w:rPr>
        <w:t>Références</w:t>
      </w:r>
      <w:proofErr w:type="spellEnd"/>
    </w:p>
    <w:p w:rsidR="007C78BB" w:rsidRPr="007C78BB" w:rsidRDefault="007C78BB" w:rsidP="007C78BB">
      <w:pPr>
        <w:pStyle w:val="ListParagraph"/>
        <w:numPr>
          <w:ilvl w:val="0"/>
          <w:numId w:val="12"/>
        </w:numPr>
      </w:pPr>
      <w:r>
        <w:rPr>
          <w:color w:val="000000"/>
          <w:lang w:val="en-CA"/>
        </w:rPr>
        <w:t xml:space="preserve">Schultz CH, </w:t>
      </w:r>
      <w:proofErr w:type="spellStart"/>
      <w:r>
        <w:rPr>
          <w:color w:val="000000"/>
          <w:lang w:val="en-CA"/>
        </w:rPr>
        <w:t>Mothershead</w:t>
      </w:r>
      <w:proofErr w:type="spellEnd"/>
      <w:r>
        <w:rPr>
          <w:color w:val="000000"/>
          <w:lang w:val="en-CA"/>
        </w:rPr>
        <w:t xml:space="preserve"> JL et Field M. Bioterrorism preparedness. I: The emergency department and hospital. </w:t>
      </w:r>
      <w:proofErr w:type="spellStart"/>
      <w:r>
        <w:rPr>
          <w:color w:val="000000"/>
          <w:lang w:val="en-CA"/>
        </w:rPr>
        <w:t>Emerg</w:t>
      </w:r>
      <w:proofErr w:type="spellEnd"/>
      <w:r>
        <w:rPr>
          <w:color w:val="000000"/>
          <w:lang w:val="en-CA"/>
        </w:rPr>
        <w:t xml:space="preserve"> Med Clin North Am 2002;20:437-55.</w:t>
      </w:r>
    </w:p>
    <w:p w:rsidR="007C78BB" w:rsidRPr="007C78BB" w:rsidRDefault="007C78BB" w:rsidP="007C78BB">
      <w:pPr>
        <w:pStyle w:val="ListParagraph"/>
        <w:numPr>
          <w:ilvl w:val="0"/>
          <w:numId w:val="12"/>
        </w:numPr>
      </w:pPr>
      <w:proofErr w:type="spellStart"/>
      <w:r>
        <w:rPr>
          <w:color w:val="000000"/>
        </w:rPr>
        <w:t>Réseau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ministres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fédéraux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provinciaux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territoriaux</w:t>
      </w:r>
      <w:proofErr w:type="spellEnd"/>
      <w:r>
        <w:rPr>
          <w:color w:val="000000"/>
        </w:rPr>
        <w:t xml:space="preserve"> sur la planification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d’urgence</w:t>
      </w:r>
      <w:proofErr w:type="spellEnd"/>
      <w:r>
        <w:rPr>
          <w:color w:val="000000"/>
        </w:rPr>
        <w:t xml:space="preserve"> et intervention. Cadre national de gestion des situations </w:t>
      </w:r>
      <w:proofErr w:type="spellStart"/>
      <w:r>
        <w:rPr>
          <w:color w:val="000000"/>
        </w:rPr>
        <w:t>d’urgence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santé</w:t>
      </w:r>
    </w:p>
    <w:p w:rsidR="007C78BB" w:rsidRPr="007C78BB" w:rsidRDefault="007C78BB" w:rsidP="007C78BB">
      <w:pPr>
        <w:pStyle w:val="ListParagraph"/>
        <w:numPr>
          <w:ilvl w:val="0"/>
          <w:numId w:val="12"/>
        </w:numPr>
        <w:ind w:right="-720"/>
        <w:rPr>
          <w:rFonts w:eastAsia="Calibri"/>
          <w:color w:val="000000"/>
        </w:rPr>
      </w:pPr>
      <w:r w:rsidRPr="007C78BB">
        <w:rPr>
          <w:color w:val="000000"/>
        </w:rPr>
        <w:t xml:space="preserve">Christen H, Maniscalco P, Vickery A et Winslow F. An overview of incident management systems. </w:t>
      </w:r>
      <w:r w:rsidRPr="007C78BB">
        <w:rPr>
          <w:color w:val="000000"/>
          <w:lang w:val="en-CA"/>
        </w:rPr>
        <w:t xml:space="preserve">Perspectives on Preparedness Series. </w:t>
      </w:r>
      <w:proofErr w:type="spellStart"/>
      <w:r w:rsidRPr="007C78BB">
        <w:rPr>
          <w:color w:val="000000"/>
          <w:lang w:val="en-CA"/>
        </w:rPr>
        <w:t>Belfer</w:t>
      </w:r>
      <w:proofErr w:type="spellEnd"/>
      <w:r w:rsidRPr="007C78BB">
        <w:rPr>
          <w:color w:val="000000"/>
          <w:lang w:val="en-CA"/>
        </w:rPr>
        <w:t xml:space="preserve"> Center for Science and International Affairs, Harvard University; 2001. </w:t>
      </w:r>
      <w:r w:rsidRPr="007C78BB">
        <w:rPr>
          <w:color w:val="000000"/>
        </w:rPr>
        <w:t xml:space="preserve">Consultable à : </w:t>
      </w:r>
      <w:hyperlink r:id="rId7" w:history="1">
        <w:r w:rsidRPr="007C78BB">
          <w:rPr>
            <w:rStyle w:val="Hyperlink"/>
            <w:color w:val="000000"/>
          </w:rPr>
          <w:t>www.innovations.harvard.edu/showdoc.html?id=4915</w:t>
        </w:r>
      </w:hyperlink>
      <w:r w:rsidRPr="007C78BB">
        <w:rPr>
          <w:color w:val="000000"/>
        </w:rPr>
        <w:t xml:space="preserve"> (</w:t>
      </w:r>
      <w:proofErr w:type="spellStart"/>
      <w:r w:rsidRPr="007C78BB">
        <w:rPr>
          <w:color w:val="000000"/>
        </w:rPr>
        <w:t>consulté</w:t>
      </w:r>
      <w:proofErr w:type="spellEnd"/>
      <w:r w:rsidRPr="007C78BB">
        <w:rPr>
          <w:color w:val="000000"/>
        </w:rPr>
        <w:t xml:space="preserve"> le 5 </w:t>
      </w:r>
      <w:proofErr w:type="spellStart"/>
      <w:r w:rsidRPr="007C78BB">
        <w:rPr>
          <w:color w:val="000000"/>
        </w:rPr>
        <w:t>août</w:t>
      </w:r>
      <w:proofErr w:type="spellEnd"/>
      <w:r w:rsidRPr="007C78BB">
        <w:rPr>
          <w:color w:val="000000"/>
        </w:rPr>
        <w:t xml:space="preserve"> 2005). </w:t>
      </w:r>
    </w:p>
    <w:p w:rsidR="007C78BB" w:rsidRDefault="007C78BB" w:rsidP="007C78BB">
      <w:pPr>
        <w:pStyle w:val="ListParagraph"/>
        <w:numPr>
          <w:ilvl w:val="0"/>
          <w:numId w:val="12"/>
        </w:numPr>
      </w:pPr>
      <w:r>
        <w:rPr>
          <w:color w:val="000000"/>
          <w:lang w:val="en-CA"/>
        </w:rPr>
        <w:t xml:space="preserve">« Hospital Emergency Readiness Overview (HERO) Study » (résumé) Kollek D, </w:t>
      </w:r>
      <w:proofErr w:type="spellStart"/>
      <w:r>
        <w:rPr>
          <w:color w:val="000000"/>
          <w:lang w:val="en-CA"/>
        </w:rPr>
        <w:t>Cwinn</w:t>
      </w:r>
      <w:proofErr w:type="spellEnd"/>
      <w:r>
        <w:rPr>
          <w:color w:val="000000"/>
          <w:lang w:val="en-CA"/>
        </w:rPr>
        <w:t xml:space="preserve"> A.A. Prehospital &amp; Disaster Medicine, 2009;24:2.s50.</w:t>
      </w:r>
      <w:bookmarkStart w:id="0" w:name="_GoBack"/>
      <w:bookmarkEnd w:id="0"/>
    </w:p>
    <w:p w:rsidR="0058573E" w:rsidRDefault="0058573E" w:rsidP="0058573E"/>
    <w:p w:rsidR="00D825EC" w:rsidRPr="0058573E" w:rsidRDefault="00D825EC" w:rsidP="0058573E"/>
    <w:sectPr w:rsidR="00D825EC" w:rsidRPr="0058573E" w:rsidSect="000B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01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72" w:rsidRDefault="00360572" w:rsidP="000B5CBA">
      <w:r>
        <w:separator/>
      </w:r>
    </w:p>
  </w:endnote>
  <w:endnote w:type="continuationSeparator" w:id="0">
    <w:p w:rsidR="00360572" w:rsidRDefault="00360572" w:rsidP="000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E" w:rsidRDefault="00282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E" w:rsidRDefault="00282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E" w:rsidRDefault="00282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72" w:rsidRDefault="00360572" w:rsidP="000B5CBA">
      <w:r>
        <w:separator/>
      </w:r>
    </w:p>
  </w:footnote>
  <w:footnote w:type="continuationSeparator" w:id="0">
    <w:p w:rsidR="00360572" w:rsidRDefault="00360572" w:rsidP="000B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E" w:rsidRDefault="00282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BA" w:rsidRDefault="000B5CBA" w:rsidP="000B5CBA">
    <w:pPr>
      <w:pStyle w:val="Header"/>
      <w:ind w:left="-1440"/>
    </w:pPr>
    <w:r>
      <w:rPr>
        <w:noProof/>
        <w:lang w:val="en-CA" w:eastAsia="en-CA"/>
      </w:rPr>
      <w:drawing>
        <wp:inline distT="0" distB="0" distL="0" distR="0">
          <wp:extent cx="7823835" cy="1009427"/>
          <wp:effectExtent l="0" t="0" r="0" b="698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429_CAEP_Letterhead_Final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085" cy="10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E" w:rsidRDefault="00282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B21"/>
    <w:multiLevelType w:val="multilevel"/>
    <w:tmpl w:val="82A47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43D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A05340"/>
    <w:multiLevelType w:val="multilevel"/>
    <w:tmpl w:val="9C8AD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  <w:szCs w:val="20"/>
      </w:rPr>
    </w:lvl>
  </w:abstractNum>
  <w:abstractNum w:abstractNumId="3" w15:restartNumberingAfterBreak="0">
    <w:nsid w:val="2DA30829"/>
    <w:multiLevelType w:val="multilevel"/>
    <w:tmpl w:val="EFD2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50A5"/>
    <w:multiLevelType w:val="hybridMultilevel"/>
    <w:tmpl w:val="DE2A7B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787D"/>
    <w:multiLevelType w:val="multilevel"/>
    <w:tmpl w:val="6B226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CA2169"/>
    <w:multiLevelType w:val="multilevel"/>
    <w:tmpl w:val="81FE8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1D0"/>
    <w:multiLevelType w:val="multilevel"/>
    <w:tmpl w:val="821AB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BA"/>
    <w:rsid w:val="0001290A"/>
    <w:rsid w:val="00063AD3"/>
    <w:rsid w:val="00091082"/>
    <w:rsid w:val="000B4B4E"/>
    <w:rsid w:val="000B5CBA"/>
    <w:rsid w:val="0010505E"/>
    <w:rsid w:val="00225E8E"/>
    <w:rsid w:val="00244D3F"/>
    <w:rsid w:val="0028259E"/>
    <w:rsid w:val="00296D47"/>
    <w:rsid w:val="00360572"/>
    <w:rsid w:val="004E1BAD"/>
    <w:rsid w:val="0058573E"/>
    <w:rsid w:val="00620F0A"/>
    <w:rsid w:val="00625E7B"/>
    <w:rsid w:val="00674325"/>
    <w:rsid w:val="006E657E"/>
    <w:rsid w:val="007240CF"/>
    <w:rsid w:val="00755737"/>
    <w:rsid w:val="007B5E72"/>
    <w:rsid w:val="007C78BB"/>
    <w:rsid w:val="00840094"/>
    <w:rsid w:val="008E0896"/>
    <w:rsid w:val="00904038"/>
    <w:rsid w:val="0097166B"/>
    <w:rsid w:val="0097356E"/>
    <w:rsid w:val="009C6675"/>
    <w:rsid w:val="00A63CFC"/>
    <w:rsid w:val="00AD14A1"/>
    <w:rsid w:val="00B10BAC"/>
    <w:rsid w:val="00B344F0"/>
    <w:rsid w:val="00C363B4"/>
    <w:rsid w:val="00CF2A2A"/>
    <w:rsid w:val="00D35F2B"/>
    <w:rsid w:val="00D825EC"/>
    <w:rsid w:val="00EC6F1A"/>
    <w:rsid w:val="00F06C7B"/>
    <w:rsid w:val="00F7719B"/>
    <w:rsid w:val="00F82DB7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B8AE"/>
  <w15:docId w15:val="{81C2FEC7-7B1D-43C6-A0B6-0F183EEE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B5CB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5CBA"/>
  </w:style>
  <w:style w:type="paragraph" w:styleId="Footer">
    <w:name w:val="footer"/>
    <w:basedOn w:val="Normal"/>
    <w:link w:val="FooterChar"/>
    <w:uiPriority w:val="99"/>
    <w:unhideWhenUsed/>
    <w:rsid w:val="000B5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5CBA"/>
  </w:style>
  <w:style w:type="paragraph" w:customStyle="1" w:styleId="rtecenter">
    <w:name w:val="rtecenter"/>
    <w:basedOn w:val="Normal"/>
    <w:rsid w:val="000B5C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lang w:val="en-CA" w:eastAsia="en-CA"/>
    </w:rPr>
  </w:style>
  <w:style w:type="paragraph" w:styleId="NoSpacing">
    <w:name w:val="No Spacing"/>
    <w:uiPriority w:val="1"/>
    <w:qFormat/>
    <w:rsid w:val="00D35F2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D35F2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5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novations.harvard.edu/showdoc.html?id=4915%22%20\t%20%22_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Stanford</dc:creator>
  <cp:lastModifiedBy>Shanna Scarrow</cp:lastModifiedBy>
  <cp:revision>3</cp:revision>
  <cp:lastPrinted>2016-07-12T17:59:00Z</cp:lastPrinted>
  <dcterms:created xsi:type="dcterms:W3CDTF">2020-01-20T14:22:00Z</dcterms:created>
  <dcterms:modified xsi:type="dcterms:W3CDTF">2020-02-04T18:17:00Z</dcterms:modified>
</cp:coreProperties>
</file>