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B716" w14:textId="77777777" w:rsidR="00B8089A" w:rsidRPr="00EE54B4" w:rsidRDefault="00B8089A" w:rsidP="00B8089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99BBA89" w14:textId="0BDEF412" w:rsidR="00B8089A" w:rsidRPr="00EE54B4" w:rsidRDefault="00B8089A" w:rsidP="00B8089A">
      <w:pPr>
        <w:rPr>
          <w:rFonts w:ascii="Times New Roman" w:hAnsi="Times New Roman" w:cs="Times New Roman"/>
          <w:b/>
          <w:bCs/>
        </w:rPr>
      </w:pPr>
      <w:r w:rsidRPr="00EE54B4">
        <w:rPr>
          <w:rFonts w:ascii="Times New Roman" w:hAnsi="Times New Roman" w:cs="Times New Roman"/>
          <w:b/>
          <w:bCs/>
        </w:rPr>
        <w:t xml:space="preserve">Supplementary File </w:t>
      </w:r>
      <w:r w:rsidR="002308B1">
        <w:rPr>
          <w:rFonts w:ascii="Times New Roman" w:hAnsi="Times New Roman" w:cs="Times New Roman"/>
          <w:b/>
          <w:bCs/>
        </w:rPr>
        <w:t>4</w:t>
      </w:r>
      <w:r w:rsidRPr="00EE54B4">
        <w:rPr>
          <w:rFonts w:ascii="Times New Roman" w:hAnsi="Times New Roman" w:cs="Times New Roman"/>
          <w:b/>
          <w:bCs/>
        </w:rPr>
        <w:t>: Multivaria</w:t>
      </w:r>
      <w:r w:rsidR="005F0487">
        <w:rPr>
          <w:rFonts w:ascii="Times New Roman" w:hAnsi="Times New Roman" w:cs="Times New Roman"/>
          <w:b/>
          <w:bCs/>
        </w:rPr>
        <w:t>ble</w:t>
      </w:r>
      <w:r w:rsidRPr="00EE54B4">
        <w:rPr>
          <w:rFonts w:ascii="Times New Roman" w:hAnsi="Times New Roman" w:cs="Times New Roman"/>
          <w:b/>
          <w:bCs/>
        </w:rPr>
        <w:t xml:space="preserve"> analysis  </w:t>
      </w:r>
    </w:p>
    <w:p w14:paraId="564FD0D7" w14:textId="77777777" w:rsidR="00B8089A" w:rsidRPr="003C7AF0" w:rsidRDefault="00B8089A" w:rsidP="00B8089A">
      <w:pPr>
        <w:rPr>
          <w:rFonts w:ascii="Times New Roman" w:hAnsi="Times New Roman" w:cs="Times New Roman"/>
        </w:rPr>
      </w:pPr>
    </w:p>
    <w:p w14:paraId="25EAA430" w14:textId="0346181B" w:rsidR="005F0487" w:rsidRDefault="00B8089A" w:rsidP="00B80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Multivari</w:t>
      </w:r>
      <w:r w:rsidR="005F0487">
        <w:rPr>
          <w:rFonts w:ascii="Times New Roman" w:hAnsi="Times New Roman" w:cs="Times New Roman"/>
        </w:rPr>
        <w:t>able</w:t>
      </w:r>
      <w:r>
        <w:rPr>
          <w:rFonts w:ascii="Times New Roman" w:hAnsi="Times New Roman" w:cs="Times New Roman"/>
        </w:rPr>
        <w:t xml:space="preserve"> logistic regression was conducted to</w:t>
      </w:r>
      <w:r w:rsidR="005F0487">
        <w:rPr>
          <w:rFonts w:ascii="Times New Roman" w:hAnsi="Times New Roman" w:cs="Times New Roman"/>
        </w:rPr>
        <w:t xml:space="preserve"> identify variables associated with “probable” or “unclear somatization category assignment. </w:t>
      </w:r>
    </w:p>
    <w:p w14:paraId="4B9071CA" w14:textId="77777777" w:rsidR="005F0487" w:rsidRDefault="005F0487" w:rsidP="00B8089A">
      <w:pPr>
        <w:rPr>
          <w:rFonts w:ascii="Times New Roman" w:hAnsi="Times New Roman" w:cs="Times New Roman"/>
        </w:rPr>
      </w:pPr>
    </w:p>
    <w:p w14:paraId="1B517F91" w14:textId="13BF85E8" w:rsidR="00B8089A" w:rsidRDefault="005F0487" w:rsidP="00B80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variables were identified from the literature (see reference list below) as potentially related to somatization. We suspected these may contribute to clinician judgement of somatization classification. These variables include </w:t>
      </w:r>
      <w:r w:rsidR="00333E40">
        <w:rPr>
          <w:rFonts w:ascii="Times New Roman" w:hAnsi="Times New Roman" w:cs="Times New Roman"/>
        </w:rPr>
        <w:t xml:space="preserve">age (years), sex (male/female), symptom length (under 1-week, 1-week to 1-month, over 1-month), negative diagnostic test count (revealing no abnormalities), prior health care visit count (e.g., emergency department, primary care). Variables </w:t>
      </w:r>
      <w:r w:rsidR="00B8089A">
        <w:rPr>
          <w:rFonts w:ascii="Times New Roman" w:hAnsi="Times New Roman" w:cs="Times New Roman"/>
        </w:rPr>
        <w:t>were identified through the literature and empirical knowledge. The binary outcome variable of this analysis was operationalized as</w:t>
      </w:r>
      <w:r w:rsidR="00C927DB">
        <w:rPr>
          <w:rFonts w:ascii="Times New Roman" w:hAnsi="Times New Roman" w:cs="Times New Roman"/>
        </w:rPr>
        <w:t xml:space="preserve"> “somatization unlikely” (outcome absent) and </w:t>
      </w:r>
      <w:r w:rsidR="00B8089A">
        <w:rPr>
          <w:rFonts w:ascii="Times New Roman" w:hAnsi="Times New Roman" w:cs="Times New Roman"/>
        </w:rPr>
        <w:t>“somatization</w:t>
      </w:r>
      <w:r w:rsidR="0006510A">
        <w:rPr>
          <w:rFonts w:ascii="Times New Roman" w:hAnsi="Times New Roman" w:cs="Times New Roman"/>
        </w:rPr>
        <w:t xml:space="preserve"> </w:t>
      </w:r>
      <w:r w:rsidR="00C927DB">
        <w:rPr>
          <w:rFonts w:ascii="Times New Roman" w:hAnsi="Times New Roman" w:cs="Times New Roman"/>
        </w:rPr>
        <w:t>possible</w:t>
      </w:r>
      <w:r w:rsidR="0006510A">
        <w:rPr>
          <w:rFonts w:ascii="Times New Roman" w:hAnsi="Times New Roman" w:cs="Times New Roman"/>
        </w:rPr>
        <w:t xml:space="preserve"> or probable</w:t>
      </w:r>
      <w:r w:rsidR="00B8089A">
        <w:rPr>
          <w:rFonts w:ascii="Times New Roman" w:hAnsi="Times New Roman" w:cs="Times New Roman"/>
        </w:rPr>
        <w:t xml:space="preserve">” </w:t>
      </w:r>
      <w:r w:rsidR="00C927DB">
        <w:rPr>
          <w:rFonts w:ascii="Times New Roman" w:hAnsi="Times New Roman" w:cs="Times New Roman"/>
        </w:rPr>
        <w:t xml:space="preserve">(outcome present). </w:t>
      </w:r>
    </w:p>
    <w:p w14:paraId="209799D8" w14:textId="77777777" w:rsidR="00B8089A" w:rsidRDefault="00B8089A" w:rsidP="00B8089A">
      <w:pPr>
        <w:tabs>
          <w:tab w:val="left" w:pos="6960"/>
        </w:tabs>
        <w:rPr>
          <w:rFonts w:ascii="Times New Roman" w:hAnsi="Times New Roman" w:cs="Times New Roman"/>
        </w:rPr>
      </w:pPr>
    </w:p>
    <w:p w14:paraId="72F5C7D6" w14:textId="69F1544B" w:rsidR="00B8089A" w:rsidRDefault="00B8089A" w:rsidP="00B8089A">
      <w:pPr>
        <w:tabs>
          <w:tab w:val="left" w:pos="69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table below summarizes crude and adjusted odds ratios (with 95% confidence intervals) for </w:t>
      </w:r>
      <w:r w:rsidR="009C6934">
        <w:rPr>
          <w:rFonts w:ascii="Times New Roman" w:hAnsi="Times New Roman" w:cs="Times New Roman"/>
          <w:color w:val="000000" w:themeColor="text1"/>
        </w:rPr>
        <w:t>probable or unclear</w:t>
      </w:r>
      <w:r>
        <w:rPr>
          <w:rFonts w:ascii="Times New Roman" w:hAnsi="Times New Roman" w:cs="Times New Roman"/>
          <w:color w:val="000000" w:themeColor="text1"/>
        </w:rPr>
        <w:t xml:space="preserve"> somatization in relation to different patient</w:t>
      </w:r>
      <w:r w:rsidR="009C6934">
        <w:rPr>
          <w:rFonts w:ascii="Times New Roman" w:hAnsi="Times New Roman" w:cs="Times New Roman"/>
          <w:color w:val="000000" w:themeColor="text1"/>
        </w:rPr>
        <w:t xml:space="preserve"> and visit</w:t>
      </w:r>
      <w:r>
        <w:rPr>
          <w:rFonts w:ascii="Times New Roman" w:hAnsi="Times New Roman" w:cs="Times New Roman"/>
          <w:color w:val="000000" w:themeColor="text1"/>
        </w:rPr>
        <w:t xml:space="preserve"> characteristics.  </w:t>
      </w:r>
    </w:p>
    <w:p w14:paraId="6A3BBD40" w14:textId="77777777" w:rsidR="0020479F" w:rsidRDefault="0020479F" w:rsidP="00B8089A">
      <w:pPr>
        <w:tabs>
          <w:tab w:val="left" w:pos="6960"/>
        </w:tabs>
        <w:rPr>
          <w:rFonts w:ascii="Times New Roman" w:hAnsi="Times New Roman" w:cs="Times New Roman"/>
          <w:color w:val="000000" w:themeColor="text1"/>
        </w:rPr>
      </w:pPr>
    </w:p>
    <w:tbl>
      <w:tblPr>
        <w:tblStyle w:val="ListTable2"/>
        <w:tblW w:w="0" w:type="auto"/>
        <w:tblBorders>
          <w:top w:val="single" w:sz="4" w:space="0" w:color="000000" w:themeColor="text1"/>
          <w:bottom w:val="single" w:sz="4" w:space="0" w:color="000000" w:themeColor="tex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766"/>
        <w:gridCol w:w="2153"/>
        <w:gridCol w:w="2153"/>
      </w:tblGrid>
      <w:tr w:rsidR="0020479F" w:rsidRPr="003C7AF0" w14:paraId="56A7280C" w14:textId="77777777" w:rsidTr="00B12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95B4FD7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7F12AEC3" w14:textId="77777777" w:rsidR="0020479F" w:rsidRPr="007D7EF9" w:rsidRDefault="0020479F" w:rsidP="00B12915">
            <w:pPr>
              <w:tabs>
                <w:tab w:val="left" w:pos="6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D7EF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Covariate  </w:t>
            </w:r>
          </w:p>
        </w:tc>
        <w:tc>
          <w:tcPr>
            <w:tcW w:w="2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AC76FDF" w14:textId="77777777" w:rsidR="0020479F" w:rsidRPr="007D7EF9" w:rsidRDefault="0020479F" w:rsidP="00B12915">
            <w:pPr>
              <w:tabs>
                <w:tab w:val="left" w:pos="6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D7EF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Unadjusted </w:t>
            </w:r>
          </w:p>
        </w:tc>
        <w:tc>
          <w:tcPr>
            <w:tcW w:w="21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01B6966" w14:textId="77777777" w:rsidR="0020479F" w:rsidRPr="00EE54B4" w:rsidRDefault="0020479F" w:rsidP="00B12915">
            <w:pPr>
              <w:tabs>
                <w:tab w:val="left" w:pos="6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</w:pPr>
            <w:r w:rsidRPr="007D7EF9">
              <w:rPr>
                <w:rFonts w:ascii="Times New Roman" w:hAnsi="Times New Roman" w:cs="Times New Roman"/>
                <w:b w:val="0"/>
                <w:color w:val="000000" w:themeColor="text1"/>
              </w:rPr>
              <w:t>Adjusted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vertAlign w:val="superscript"/>
              </w:rPr>
              <w:t>a</w:t>
            </w:r>
          </w:p>
        </w:tc>
      </w:tr>
      <w:tr w:rsidR="0020479F" w:rsidRPr="003C7AF0" w14:paraId="3FE69CC6" w14:textId="77777777" w:rsidTr="00B1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5B844D3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69354524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 xml:space="preserve">Sex, female </w:t>
            </w:r>
          </w:p>
        </w:tc>
        <w:tc>
          <w:tcPr>
            <w:tcW w:w="215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3BAA64E6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0.91 (0.38-2.15)</w:t>
            </w:r>
          </w:p>
        </w:tc>
        <w:tc>
          <w:tcPr>
            <w:tcW w:w="2153" w:type="dxa"/>
            <w:tcBorders>
              <w:top w:val="single" w:sz="4" w:space="0" w:color="000000" w:themeColor="text1"/>
            </w:tcBorders>
            <w:shd w:val="clear" w:color="auto" w:fill="auto"/>
            <w:noWrap/>
            <w:hideMark/>
          </w:tcPr>
          <w:p w14:paraId="12ED97D6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0.89 (0.31-2.55)</w:t>
            </w:r>
          </w:p>
        </w:tc>
      </w:tr>
      <w:tr w:rsidR="0020479F" w:rsidRPr="003C7AF0" w14:paraId="7F376326" w14:textId="77777777" w:rsidTr="00B12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0D191BF8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1752A9E0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Age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594BB35E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1.09 (0.95-1.23)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482CF171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1.07 (0.91-1.26)</w:t>
            </w:r>
          </w:p>
        </w:tc>
      </w:tr>
      <w:tr w:rsidR="0020479F" w:rsidRPr="003C7AF0" w14:paraId="1DA27BBA" w14:textId="77777777" w:rsidTr="00B1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0AE3A69D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5A7B879C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 xml:space="preserve">Prior health care visits, yes 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500E5CD0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1.26 (0.46-3.49)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520B7C0A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0.40 (0.09-1.64)</w:t>
            </w:r>
          </w:p>
        </w:tc>
      </w:tr>
      <w:tr w:rsidR="0020479F" w:rsidRPr="003C7AF0" w14:paraId="1BA7408F" w14:textId="77777777" w:rsidTr="00B12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7D715E37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01386769" w14:textId="3580C65C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 xml:space="preserve">Symptom </w:t>
            </w:r>
            <w:r w:rsidR="002308B1">
              <w:rPr>
                <w:rFonts w:ascii="Times New Roman" w:hAnsi="Times New Roman" w:cs="Times New Roman"/>
                <w:color w:val="000000" w:themeColor="text1"/>
              </w:rPr>
              <w:t>duration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6BE3CB55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  <w:shd w:val="clear" w:color="auto" w:fill="auto"/>
            <w:noWrap/>
            <w:hideMark/>
          </w:tcPr>
          <w:p w14:paraId="1CFC71D2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79F" w:rsidRPr="003C7AF0" w14:paraId="75E7EA7C" w14:textId="77777777" w:rsidTr="00B1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7A647B6C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7BDFD764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&lt; 1-week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55570C97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Ref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078AE10A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Ref</w:t>
            </w:r>
          </w:p>
        </w:tc>
      </w:tr>
      <w:tr w:rsidR="0020479F" w:rsidRPr="003C7AF0" w14:paraId="75C88525" w14:textId="77777777" w:rsidTr="00B12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5D1B9D8B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0777B923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EE54B4">
              <w:rPr>
                <w:rFonts w:ascii="Times New Roman" w:hAnsi="Times New Roman" w:cs="Times New Roman"/>
                <w:color w:val="000000" w:themeColor="text1"/>
                <w:u w:val="single"/>
              </w:rPr>
              <w:t>&gt;</w:t>
            </w:r>
            <w:r>
              <w:rPr>
                <w:rFonts w:ascii="Times New Roman" w:hAnsi="Times New Roman" w:cs="Times New Roman"/>
                <w:color w:val="000000" w:themeColor="text1"/>
              </w:rPr>
              <w:t>1-week</w:t>
            </w:r>
            <w:r w:rsidRPr="003C7AF0">
              <w:rPr>
                <w:rFonts w:ascii="Times New Roman" w:hAnsi="Times New Roman" w:cs="Times New Roman"/>
                <w:color w:val="000000" w:themeColor="text1"/>
              </w:rPr>
              <w:t xml:space="preserve"> to </w:t>
            </w:r>
            <w:r w:rsidRPr="00EE54B4">
              <w:rPr>
                <w:rFonts w:ascii="Times New Roman" w:hAnsi="Times New Roman" w:cs="Times New Roman"/>
                <w:color w:val="000000" w:themeColor="text1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 w:themeColor="text1"/>
              </w:rPr>
              <w:t>1-month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17062CD0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2.15 (0.62-7.48)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62F1EAC5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1.68 (0.32-8.87)</w:t>
            </w:r>
          </w:p>
        </w:tc>
      </w:tr>
      <w:tr w:rsidR="0020479F" w:rsidRPr="003C7AF0" w14:paraId="15F33CAE" w14:textId="77777777" w:rsidTr="00B1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28A8C6C4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6DDE1D73" w14:textId="77777777" w:rsidR="0020479F" w:rsidRPr="00EE54B4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&gt; 1-month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7D1CB338" w14:textId="77777777" w:rsidR="0020479F" w:rsidRPr="007D7EF9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EF9">
              <w:rPr>
                <w:rFonts w:ascii="Times New Roman" w:hAnsi="Times New Roman" w:cs="Times New Roman"/>
                <w:b/>
                <w:color w:val="000000" w:themeColor="text1"/>
              </w:rPr>
              <w:t>6.00 (1.78-20.27)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511461A8" w14:textId="77777777" w:rsidR="0020479F" w:rsidRPr="007D7EF9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EF9">
              <w:rPr>
                <w:rFonts w:ascii="Times New Roman" w:hAnsi="Times New Roman" w:cs="Times New Roman"/>
                <w:b/>
                <w:color w:val="000000" w:themeColor="text1"/>
              </w:rPr>
              <w:t>10.46 (2.36-46.45)</w:t>
            </w:r>
          </w:p>
        </w:tc>
      </w:tr>
      <w:tr w:rsidR="0020479F" w:rsidRPr="003C7AF0" w14:paraId="6FA27782" w14:textId="77777777" w:rsidTr="00B12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2F6BA01A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4EE9C476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Number of diagnostic tests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7922B37D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3" w:type="dxa"/>
            <w:shd w:val="clear" w:color="auto" w:fill="auto"/>
            <w:noWrap/>
            <w:hideMark/>
          </w:tcPr>
          <w:p w14:paraId="434CAD55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79F" w:rsidRPr="003C7AF0" w14:paraId="17FC511A" w14:textId="77777777" w:rsidTr="00B1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46CFAA11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27BC2120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0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774F7F05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Ref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3FC8DE13" w14:textId="77777777" w:rsidR="0020479F" w:rsidRPr="003C7AF0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Ref</w:t>
            </w:r>
          </w:p>
        </w:tc>
      </w:tr>
      <w:tr w:rsidR="0020479F" w:rsidRPr="003C7AF0" w14:paraId="1990BC31" w14:textId="77777777" w:rsidTr="00B129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45C00FE3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742E4F34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1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2FA172A1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2.58 (0.80-8.30)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5FB76453" w14:textId="77777777" w:rsidR="0020479F" w:rsidRPr="003C7AF0" w:rsidRDefault="0020479F" w:rsidP="00B12915">
            <w:pPr>
              <w:tabs>
                <w:tab w:val="left" w:pos="6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C7AF0">
              <w:rPr>
                <w:rFonts w:ascii="Times New Roman" w:hAnsi="Times New Roman" w:cs="Times New Roman"/>
                <w:color w:val="000000" w:themeColor="text1"/>
              </w:rPr>
              <w:t>2.14 (0.59-7.71)</w:t>
            </w:r>
          </w:p>
        </w:tc>
      </w:tr>
      <w:tr w:rsidR="0020479F" w:rsidRPr="003C7AF0" w14:paraId="15E41474" w14:textId="77777777" w:rsidTr="00B1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shd w:val="clear" w:color="auto" w:fill="auto"/>
            <w:noWrap/>
            <w:hideMark/>
          </w:tcPr>
          <w:p w14:paraId="609056D3" w14:textId="77777777" w:rsidR="0020479F" w:rsidRPr="003C7AF0" w:rsidRDefault="0020479F" w:rsidP="00B12915">
            <w:pPr>
              <w:tabs>
                <w:tab w:val="left" w:pos="6960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766" w:type="dxa"/>
            <w:shd w:val="clear" w:color="auto" w:fill="auto"/>
            <w:noWrap/>
            <w:hideMark/>
          </w:tcPr>
          <w:p w14:paraId="1C5FD13E" w14:textId="77777777" w:rsidR="0020479F" w:rsidRPr="004A210D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21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</w:t>
            </w:r>
            <w:r w:rsidRPr="004A210D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&gt;</w:t>
            </w:r>
            <w:r w:rsidRPr="004A21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22EB0347" w14:textId="77777777" w:rsidR="0020479F" w:rsidRPr="007D7EF9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EF9">
              <w:rPr>
                <w:rFonts w:ascii="Times New Roman" w:hAnsi="Times New Roman" w:cs="Times New Roman"/>
                <w:b/>
                <w:color w:val="000000" w:themeColor="text1"/>
              </w:rPr>
              <w:t>16.69 (4.74-58.71)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14:paraId="2CE986C6" w14:textId="77777777" w:rsidR="0020479F" w:rsidRPr="007D7EF9" w:rsidRDefault="0020479F" w:rsidP="00B12915">
            <w:pPr>
              <w:tabs>
                <w:tab w:val="left" w:pos="6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7EF9">
              <w:rPr>
                <w:rFonts w:ascii="Times New Roman" w:hAnsi="Times New Roman" w:cs="Times New Roman"/>
                <w:b/>
                <w:color w:val="000000" w:themeColor="text1"/>
              </w:rPr>
              <w:t>20.94 (5.07-86.43)</w:t>
            </w:r>
          </w:p>
        </w:tc>
      </w:tr>
    </w:tbl>
    <w:p w14:paraId="28B291DD" w14:textId="53B7A94E" w:rsidR="00B8089A" w:rsidRPr="003C7AF0" w:rsidRDefault="00EE54B4" w:rsidP="00B8089A">
      <w:pPr>
        <w:tabs>
          <w:tab w:val="left" w:pos="6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 w:rsidR="00B8089A" w:rsidRPr="003C7AF0">
        <w:rPr>
          <w:rFonts w:ascii="Times New Roman" w:hAnsi="Times New Roman" w:cs="Times New Roman"/>
        </w:rPr>
        <w:t xml:space="preserve">Logistic regression analysis included all covariates listed in column 1 </w:t>
      </w:r>
    </w:p>
    <w:p w14:paraId="6592947D" w14:textId="77777777" w:rsidR="00B8089A" w:rsidRPr="003C7AF0" w:rsidRDefault="00B8089A" w:rsidP="00B8089A">
      <w:pPr>
        <w:rPr>
          <w:rFonts w:ascii="Times New Roman" w:hAnsi="Times New Roman" w:cs="Times New Roman"/>
        </w:rPr>
      </w:pPr>
    </w:p>
    <w:p w14:paraId="43576B02" w14:textId="77777777" w:rsidR="00B8089A" w:rsidRDefault="00B8089A" w:rsidP="00B8089A">
      <w:pPr>
        <w:rPr>
          <w:rFonts w:ascii="Times New Roman" w:hAnsi="Times New Roman" w:cs="Times New Roman"/>
        </w:rPr>
      </w:pPr>
    </w:p>
    <w:p w14:paraId="0BB0FF46" w14:textId="77777777" w:rsidR="00B8089A" w:rsidRDefault="00B8089A" w:rsidP="00B80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14:paraId="203DE837" w14:textId="77777777" w:rsidR="00B8089A" w:rsidRPr="00AE64D2" w:rsidRDefault="00B8089A" w:rsidP="00B8089A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ADDIN Mendeley Bibliography CSL_BIBLIOGRAPHY </w:instrText>
      </w:r>
      <w:r>
        <w:rPr>
          <w:rFonts w:ascii="Times New Roman" w:hAnsi="Times New Roman" w:cs="Times New Roman"/>
        </w:rPr>
        <w:fldChar w:fldCharType="separate"/>
      </w:r>
      <w:r w:rsidRPr="00AE64D2">
        <w:rPr>
          <w:rFonts w:ascii="Times New Roman" w:hAnsi="Times New Roman" w:cs="Times New Roman"/>
          <w:noProof/>
          <w:lang w:val="en-US"/>
        </w:rPr>
        <w:t xml:space="preserve">Beck JE. A developmental perspective on functional somatic symptoms. </w:t>
      </w:r>
      <w:r w:rsidRPr="00AE64D2">
        <w:rPr>
          <w:rFonts w:ascii="Times New Roman" w:hAnsi="Times New Roman" w:cs="Times New Roman"/>
          <w:i/>
          <w:iCs/>
          <w:noProof/>
          <w:lang w:val="en-US"/>
        </w:rPr>
        <w:t>J Pediatr Psychol</w:t>
      </w:r>
      <w:r w:rsidRPr="00AE64D2">
        <w:rPr>
          <w:rFonts w:ascii="Times New Roman" w:hAnsi="Times New Roman" w:cs="Times New Roman"/>
          <w:noProof/>
          <w:lang w:val="en-US"/>
        </w:rPr>
        <w:t>. 2008;33(5):547-562. doi:10.1093/jpepsy/jsm113</w:t>
      </w:r>
    </w:p>
    <w:p w14:paraId="020239E9" w14:textId="77777777" w:rsidR="00B8089A" w:rsidRPr="00AE64D2" w:rsidRDefault="00B8089A" w:rsidP="00B8089A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en-US"/>
        </w:rPr>
      </w:pPr>
      <w:r w:rsidRPr="00AE64D2">
        <w:rPr>
          <w:rFonts w:ascii="Times New Roman" w:hAnsi="Times New Roman" w:cs="Times New Roman"/>
          <w:noProof/>
          <w:lang w:val="en-US"/>
        </w:rPr>
        <w:t xml:space="preserve">Somatic Symptom and Related Disorders. In: </w:t>
      </w:r>
      <w:r w:rsidRPr="00AE64D2">
        <w:rPr>
          <w:rFonts w:ascii="Times New Roman" w:hAnsi="Times New Roman" w:cs="Times New Roman"/>
          <w:i/>
          <w:iCs/>
          <w:noProof/>
          <w:lang w:val="en-US"/>
        </w:rPr>
        <w:t>Diagnostic and Statistical Manual of Mental Disorders</w:t>
      </w:r>
      <w:r w:rsidRPr="00AE64D2">
        <w:rPr>
          <w:rFonts w:ascii="Times New Roman" w:hAnsi="Times New Roman" w:cs="Times New Roman"/>
          <w:noProof/>
          <w:lang w:val="en-US"/>
        </w:rPr>
        <w:t>. DSM Library. American Psychiatric Association; 2013. doi:10.1176/appi.books.9780890425596.dsm09</w:t>
      </w:r>
    </w:p>
    <w:p w14:paraId="2A744E67" w14:textId="77777777" w:rsidR="00B8089A" w:rsidRPr="00AE64D2" w:rsidRDefault="00B8089A" w:rsidP="00B8089A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  <w:r w:rsidRPr="00AE64D2">
        <w:rPr>
          <w:rFonts w:ascii="Times New Roman" w:hAnsi="Times New Roman" w:cs="Times New Roman"/>
          <w:noProof/>
          <w:lang w:val="en-US"/>
        </w:rPr>
        <w:t xml:space="preserve">Hatcher S, Arroll B. Assessment and management of medically unexplained symptoms. </w:t>
      </w:r>
      <w:r w:rsidRPr="00AE64D2">
        <w:rPr>
          <w:rFonts w:ascii="Times New Roman" w:hAnsi="Times New Roman" w:cs="Times New Roman"/>
          <w:i/>
          <w:iCs/>
          <w:noProof/>
          <w:lang w:val="en-US"/>
        </w:rPr>
        <w:t>BMJ</w:t>
      </w:r>
      <w:r w:rsidRPr="00AE64D2">
        <w:rPr>
          <w:rFonts w:ascii="Times New Roman" w:hAnsi="Times New Roman" w:cs="Times New Roman"/>
          <w:noProof/>
          <w:lang w:val="en-US"/>
        </w:rPr>
        <w:t>. 2008;336(7653):1124-1128. doi:10.1136/bmj.39554.592014.BE</w:t>
      </w:r>
    </w:p>
    <w:p w14:paraId="4AF08615" w14:textId="77777777" w:rsidR="00B8089A" w:rsidRDefault="00B8089A" w:rsidP="00B80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0854BB1C" w14:textId="77777777" w:rsidR="001006D8" w:rsidRDefault="001006D8"/>
    <w:sectPr w:rsidR="001006D8" w:rsidSect="00FF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9A"/>
    <w:rsid w:val="0006510A"/>
    <w:rsid w:val="001006D8"/>
    <w:rsid w:val="0020479F"/>
    <w:rsid w:val="002308B1"/>
    <w:rsid w:val="00333E40"/>
    <w:rsid w:val="00463619"/>
    <w:rsid w:val="004A210D"/>
    <w:rsid w:val="005117BF"/>
    <w:rsid w:val="005B7D06"/>
    <w:rsid w:val="005F0487"/>
    <w:rsid w:val="00603044"/>
    <w:rsid w:val="006F2921"/>
    <w:rsid w:val="0076618C"/>
    <w:rsid w:val="008F3C93"/>
    <w:rsid w:val="0092530A"/>
    <w:rsid w:val="009C6934"/>
    <w:rsid w:val="009D5E1A"/>
    <w:rsid w:val="009E11E4"/>
    <w:rsid w:val="00B02AAB"/>
    <w:rsid w:val="00B50534"/>
    <w:rsid w:val="00B8089A"/>
    <w:rsid w:val="00C927DB"/>
    <w:rsid w:val="00D26873"/>
    <w:rsid w:val="00E52F01"/>
    <w:rsid w:val="00EE54B4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A032"/>
  <w15:chartTrackingRefBased/>
  <w15:docId w15:val="{28990A5D-9B00-C043-8B9B-DA354E7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B808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04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Punit Virk</dc:creator>
  <cp:keywords/>
  <dc:description/>
  <cp:lastModifiedBy>CJEM</cp:lastModifiedBy>
  <cp:revision>2</cp:revision>
  <dcterms:created xsi:type="dcterms:W3CDTF">2019-11-12T16:25:00Z</dcterms:created>
  <dcterms:modified xsi:type="dcterms:W3CDTF">2019-11-12T16:25:00Z</dcterms:modified>
</cp:coreProperties>
</file>