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CFA2" w14:textId="77777777" w:rsidR="007A6B69" w:rsidRDefault="007A6B69" w:rsidP="007A6B69">
      <w:pPr>
        <w:rPr>
          <w:rFonts w:ascii="Times New Roman" w:hAnsi="Times New Roman"/>
          <w:b/>
          <w:sz w:val="24"/>
          <w:szCs w:val="24"/>
        </w:rPr>
      </w:pPr>
      <w:r w:rsidRPr="000104AC">
        <w:rPr>
          <w:rFonts w:ascii="Times New Roman" w:hAnsi="Times New Roman"/>
          <w:b/>
          <w:sz w:val="24"/>
          <w:szCs w:val="24"/>
        </w:rPr>
        <w:t>Appendix 1</w:t>
      </w:r>
      <w:r>
        <w:rPr>
          <w:rFonts w:ascii="Times New Roman" w:hAnsi="Times New Roman"/>
          <w:b/>
          <w:sz w:val="24"/>
          <w:szCs w:val="24"/>
        </w:rPr>
        <w:t>: Clinical Opiate Withdrawal Scale</w:t>
      </w:r>
    </w:p>
    <w:p w14:paraId="3B76715D" w14:textId="77777777" w:rsidR="007A6B69" w:rsidRDefault="007A6B69" w:rsidP="007A6B69">
      <w:pPr>
        <w:rPr>
          <w:rFonts w:ascii="Times New Roman" w:hAnsi="Times New Roman"/>
          <w:b/>
          <w:sz w:val="24"/>
          <w:szCs w:val="24"/>
        </w:rPr>
      </w:pPr>
    </w:p>
    <w:p w14:paraId="49E7CBC2" w14:textId="77777777" w:rsidR="007A6B69" w:rsidRDefault="007A6B69" w:rsidP="007A6B69">
      <w:pPr>
        <w:rPr>
          <w:rFonts w:ascii="Times New Roman" w:hAnsi="Times New Roman"/>
          <w:b/>
          <w:sz w:val="24"/>
          <w:szCs w:val="24"/>
        </w:rPr>
        <w:sectPr w:rsidR="007A6B69" w:rsidSect="007A6B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B1EE9">
        <w:rPr>
          <w:noProof/>
        </w:rPr>
        <w:pict w14:anchorId="18FDC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7.25pt;height:600.75pt;visibility:visible">
            <v:imagedata r:id="rId7" o:title=""/>
          </v:shape>
        </w:pict>
      </w:r>
    </w:p>
    <w:p w14:paraId="5C80BC8C" w14:textId="77777777" w:rsidR="007A6B69" w:rsidRDefault="007A6B69" w:rsidP="007A6B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Appendix 2: Treatment algorithm</w:t>
      </w:r>
    </w:p>
    <w:p w14:paraId="51CE365A" w14:textId="77777777" w:rsidR="007A6B69" w:rsidRDefault="007A6B69" w:rsidP="007A6B69">
      <w:pPr>
        <w:rPr>
          <w:rFonts w:ascii="Times New Roman" w:hAnsi="Times New Roman"/>
          <w:b/>
          <w:sz w:val="24"/>
          <w:szCs w:val="24"/>
        </w:rPr>
      </w:pPr>
    </w:p>
    <w:p w14:paraId="6F07FF52" w14:textId="77777777" w:rsidR="007A6B69" w:rsidRPr="00A64482" w:rsidRDefault="007A6B69" w:rsidP="007A6B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 w14:anchorId="5A25D090">
          <v:group id="_x0000_s1026" editas="orgchart" alt="" style="width:518.95pt;height:599.95pt;mso-position-horizontal-relative:char;mso-position-vertical-relative:line" coordorigin="1455,2372" coordsize="10379,11999">
            <o:lock v:ext="edit" aspectratio="t"/>
            <o:diagram v:ext="edit" dgmstyle="0" dgmscalex="188947" dgmscaley="156028" dgmfontsize="28" constrainbounds="0,0,0,0" autolayout="f">
              <o:relationtable v:ext="edit">
                <o:rel v:ext="edit" idsrc="#_s1032" iddest="#_s1032"/>
                <o:rel v:ext="edit" idsrc="#_s1033" iddest="#_s1032" idcntr="#_s1031"/>
                <o:rel v:ext="edit" idsrc="#_s1034" iddest="#_s1032" idcntr="#_s1030"/>
                <o:rel v:ext="edit" idsrc="#_s1035" iddest="#_s1032" idcntr="#_s1029"/>
                <o:rel v:ext="edit" idsrc="#_s1036" iddest="#_s1032" idcntr="#_s1028"/>
              </o:relationtable>
            </o:diagram>
            <v:shape id="_x0000_s1027" type="#_x0000_t75" style="position:absolute;left:1455;top:2372;width:10379;height:11999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1140;top:8906;width:8843;height:1;rotation:270" o:connectortype="elbow" adj="-13583,-1,-13583" strokeweight="2.25pt"/>
            <v:shape id="_s1029" o:spid="_x0000_s1029" type="#_x0000_t32" style="position:absolute;left:3838;top:6208;width:3448;height:1;rotation:270" o:connectortype="elbow" adj="-34837,-1,-34837" strokeweight="2.25pt"/>
            <v:shape id="_s1030" o:spid="_x0000_s1030" type="#_x0000_t32" style="position:absolute;left:4715;top:5331;width:1694;height:1;rotation:270" o:connectortype="elbow" adj="-70908,-1,-70908" strokeweight="2.25pt"/>
            <v:shape id="_s1031" o:spid="_x0000_s1031" type="#_x0000_t32" style="position:absolute;left:5439;top:4607;width:245;height:1;rotation:270" o:connectortype="elbow" adj="-490276,-1,-490276" strokeweight="2.25pt"/>
            <v:roundrect id="_s1032" o:spid="_x0000_s1032" style="position:absolute;left:1455;top:2372;width:8211;height:2113;v-text-anchor:middle" arcsize="10923f" o:dgmlayout="0" o:dgmnodekind="1" fillcolor="#cfcdcd">
              <v:textbox style="mso-next-textbox:#_s1032" inset="0,0,0,0">
                <w:txbxContent>
                  <w:p w14:paraId="7731386E" w14:textId="77777777" w:rsidR="007A6B69" w:rsidRPr="00936E98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Patients assessed for eligibility in the emergency department:</w:t>
                    </w:r>
                  </w:p>
                  <w:p w14:paraId="364EC2C8" w14:textId="77777777" w:rsidR="007A6B69" w:rsidRPr="00936E98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sz w:val="24"/>
                        <w:szCs w:val="24"/>
                      </w:rPr>
                      <w:t>Meets DSM-5 criteria for opioid use disorder</w:t>
                    </w:r>
                  </w:p>
                  <w:p w14:paraId="06933F03" w14:textId="77777777" w:rsidR="007A6B69" w:rsidRPr="00936E98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sz w:val="24"/>
                        <w:szCs w:val="24"/>
                      </w:rPr>
                      <w:t>In mild opioid withdrawal (Clinical Opiate Withdrawal Scale &gt; 5)</w:t>
                    </w:r>
                  </w:p>
                  <w:p w14:paraId="59E50D16" w14:textId="77777777" w:rsidR="007A6B69" w:rsidRPr="00936E98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sz w:val="24"/>
                        <w:szCs w:val="24"/>
                      </w:rPr>
                      <w:t>No opioid use in previous 12 hours</w:t>
                    </w:r>
                  </w:p>
                  <w:p w14:paraId="4333EB45" w14:textId="77777777" w:rsidR="007A6B69" w:rsidRPr="00936E98" w:rsidRDefault="007A6B69" w:rsidP="00936E9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sz w:val="24"/>
                        <w:szCs w:val="24"/>
                      </w:rPr>
                      <w:t>Not on methadone</w:t>
                    </w:r>
                  </w:p>
                  <w:p w14:paraId="39D58D95" w14:textId="77777777" w:rsidR="007A6B69" w:rsidRPr="00936E98" w:rsidRDefault="007A6B69" w:rsidP="00936E9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sz w:val="24"/>
                        <w:szCs w:val="24"/>
                      </w:rPr>
                      <w:t>Consents to receiving buprenorphine/naloxone treatment</w:t>
                    </w:r>
                  </w:p>
                </w:txbxContent>
              </v:textbox>
            </v:roundrect>
            <v:roundrect id="_s1033" o:spid="_x0000_s1033" style="position:absolute;left:1455;top:4730;width:8211;height:1288;v-text-anchor:middle" arcsize="10923f" o:dgmlayout="0" o:dgmnodekind="0" fillcolor="#cfcdcd">
              <v:textbox style="mso-next-textbox:#_s1033" inset="0,0,0,0">
                <w:txbxContent>
                  <w:p w14:paraId="7551FF6B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Initiate buprenorphine/naloxone in the emergency department:</w:t>
                    </w:r>
                  </w:p>
                  <w:p w14:paraId="65C094D8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Provide 2-4 mg sublingually </w:t>
                    </w:r>
                  </w:p>
                  <w:p w14:paraId="281B0EBE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Dose is witnessed by nurse to ensure medication has fully dissolved</w:t>
                    </w:r>
                  </w:p>
                  <w:p w14:paraId="3111548F" w14:textId="77777777" w:rsidR="007A6B69" w:rsidRDefault="007A6B69" w:rsidP="007A6B6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00E5BB02" w14:textId="77777777" w:rsidR="007A6B69" w:rsidRPr="00E51DAF" w:rsidRDefault="007A6B69" w:rsidP="007A6B6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s1034" o:spid="_x0000_s1034" style="position:absolute;left:1455;top:6179;width:8211;height:1407;v-text-anchor:middle" arcsize="10923f" o:dgmlayout="0" o:dgmnodekind="0" fillcolor="#cfcdcd">
              <v:textbox style="mso-next-textbox:#_s1034" inset="0,0,0,0">
                <w:txbxContent>
                  <w:p w14:paraId="31CF08F8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Reassess in 1</w:t>
                    </w:r>
                    <w:r w:rsidRPr="00E51DA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-2 hours using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the</w:t>
                    </w:r>
                    <w:r w:rsidRPr="00E51DA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Clinical Opiate Withdrawal Scale</w:t>
                    </w:r>
                  </w:p>
                  <w:p w14:paraId="6E97E4A0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If still in opioid withdrawal (Clinical Opiate Withdrawal Scale &gt; 5), administer another dose of buprenorphine/naloxone (2-4 mg sublingually)</w:t>
                    </w:r>
                  </w:p>
                  <w:p w14:paraId="542ABE1B" w14:textId="77777777" w:rsidR="007A6B69" w:rsidRPr="00892EE1" w:rsidRDefault="007A6B69" w:rsidP="007A6B6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EE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Maximum dose in emergency department: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8 mg SL</w:t>
                    </w:r>
                  </w:p>
                  <w:p w14:paraId="06CBEA4D" w14:textId="77777777" w:rsidR="007A6B69" w:rsidRPr="00E51DAF" w:rsidRDefault="007A6B69" w:rsidP="007A6B69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14:paraId="57E8534E" w14:textId="77777777" w:rsidR="007A6B69" w:rsidRPr="00892EE1" w:rsidRDefault="007A6B69" w:rsidP="007A6B69">
                    <w:pPr>
                      <w:jc w:val="center"/>
                      <w:rPr>
                        <w:sz w:val="51"/>
                      </w:rPr>
                    </w:pPr>
                  </w:p>
                </w:txbxContent>
              </v:textbox>
            </v:roundrect>
            <v:roundrect id="_s1035" o:spid="_x0000_s1035" style="position:absolute;left:1455;top:7933;width:8211;height:5062;v-text-anchor:middle" arcsize="10923f" o:dgmlayout="0" o:dgmnodekind="0" fillcolor="#cfcdcd">
              <v:textbox style="mso-next-textbox:#_s1035" inset="0,0,0,0">
                <w:txbxContent>
                  <w:p w14:paraId="0EB6E232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92EE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Discharge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from emergency department with:</w:t>
                    </w:r>
                  </w:p>
                  <w:p w14:paraId="19105695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Patient information package on opioid withdrawal symptoms, options for managing opioid withdrawal, contact information for clinics prescribing methadone and buprenorphine/naloxone, and information regarding outpatient case management programs</w:t>
                    </w:r>
                  </w:p>
                  <w:p w14:paraId="22D6515F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Patient instructed to go to rapid access addiction clinic the next morning to make an appointment (same day appointments available) and to receive next dose of buprenorphine/naloxone</w:t>
                    </w:r>
                  </w:p>
                  <w:p w14:paraId="12FC68AE" w14:textId="77777777" w:rsidR="007A6B69" w:rsidRPr="001137D4" w:rsidRDefault="007A6B69" w:rsidP="00936E98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78489367" w14:textId="77777777" w:rsidR="007A6B69" w:rsidRPr="00900F53" w:rsidRDefault="007A6B69" w:rsidP="00936E98">
                    <w:pPr>
                      <w:spacing w:after="0" w:line="240" w:lineRule="auto"/>
                      <w:ind w:left="72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Information faxed to community-based rapid access addiction clinic (RAAC) before discharge from the emergency department:</w:t>
                    </w:r>
                  </w:p>
                  <w:p w14:paraId="134BDF77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Prescription</w:t>
                    </w:r>
                    <w:r w:rsidRPr="00414B1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for up to 3 daily observed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doses of buprenorphine/naloxone to bridge patient until seen at RAAC</w:t>
                    </w:r>
                  </w:p>
                  <w:p w14:paraId="60C8943F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Request for pharmacy to provide take-home naloxone, including instructions for use</w:t>
                    </w:r>
                  </w:p>
                  <w:p w14:paraId="09EC21B0" w14:textId="77777777" w:rsidR="007A6B69" w:rsidRPr="00414B19" w:rsidRDefault="007A6B69" w:rsidP="007A6B6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Referral to RAAC for assessment and management</w:t>
                    </w:r>
                  </w:p>
                  <w:p w14:paraId="42D50686" w14:textId="77777777" w:rsidR="007A6B69" w:rsidRDefault="007A6B69" w:rsidP="007A6B6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01681541" w14:textId="77777777" w:rsidR="007A6B69" w:rsidRPr="00892EE1" w:rsidRDefault="007A6B69" w:rsidP="007A6B6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EE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oundrect>
            <v:roundrect id="_s1036" o:spid="_x0000_s1036" style="position:absolute;left:1455;top:13328;width:8211;height:586;v-text-anchor:middle" arcsize="10923f" o:dgmlayout="0" o:dgmnodekind="0" fillcolor="#cfcdcd">
              <v:textbox style="mso-next-textbox:#_s1036" inset="0,0,0,0">
                <w:txbxContent>
                  <w:p w14:paraId="652E02E8" w14:textId="77777777" w:rsidR="007A6B69" w:rsidRDefault="007A6B69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Patient attends RAAC appointment</w:t>
                    </w:r>
                  </w:p>
                  <w:p w14:paraId="31325A08" w14:textId="77777777" w:rsidR="007A6B69" w:rsidRPr="004130B1" w:rsidRDefault="007A6B69" w:rsidP="007A6B6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37" type="#_x0000_t104" style="position:absolute;left:9691;top:5099;width:2053;height:1718;rotation:17031497fd"/>
            <w10:wrap type="none"/>
            <w10:anchorlock/>
          </v:group>
        </w:pict>
      </w:r>
    </w:p>
    <w:p w14:paraId="20DAEAD2" w14:textId="77777777" w:rsidR="007A6B69" w:rsidRDefault="007A6B69" w:rsidP="007A6B69">
      <w:pPr>
        <w:rPr>
          <w:rFonts w:ascii="Times New Roman" w:hAnsi="Times New Roman"/>
          <w:sz w:val="24"/>
          <w:szCs w:val="24"/>
        </w:rPr>
        <w:sectPr w:rsidR="007A6B69" w:rsidSect="007A6B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6F41D9" w14:textId="77777777" w:rsidR="007A6B69" w:rsidRDefault="007A6B69" w:rsidP="007A6B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Appendix 3: Chart selection for review</w:t>
      </w:r>
    </w:p>
    <w:p w14:paraId="0C3DE738" w14:textId="77777777" w:rsidR="007A6B69" w:rsidRDefault="007A6B69" w:rsidP="007A6B69">
      <w:pPr>
        <w:rPr>
          <w:rFonts w:ascii="Times New Roman" w:hAnsi="Times New Roman"/>
          <w:b/>
          <w:sz w:val="24"/>
          <w:szCs w:val="24"/>
        </w:rPr>
      </w:pPr>
    </w:p>
    <w:bookmarkStart w:id="0" w:name="_GoBack"/>
    <w:p w14:paraId="7041A9DF" w14:textId="3FF77993" w:rsidR="007A6B69" w:rsidRPr="00544A7D" w:rsidRDefault="00936E98" w:rsidP="00544A7D">
      <w:pPr>
        <w:rPr>
          <w:rFonts w:ascii="Times New Roman" w:hAnsi="Times New Roman"/>
          <w:sz w:val="24"/>
          <w:szCs w:val="24"/>
        </w:rPr>
        <w:sectPr w:rsidR="007A6B69" w:rsidRPr="00544A7D" w:rsidSect="007A6B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</w:r>
      <w:r w:rsidR="00F64F2B">
        <w:rPr>
          <w:rFonts w:ascii="Times New Roman" w:hAnsi="Times New Roman"/>
          <w:sz w:val="24"/>
          <w:szCs w:val="24"/>
        </w:rPr>
        <w:pict w14:anchorId="0CED9E5F">
          <v:group id="_x0000_s1068" editas="orgchart" alt="" style="width:441.25pt;height:555.1pt;mso-position-horizontal-relative:char;mso-position-vertical-relative:line" coordorigin="1455,2368" coordsize="8825,11716">
            <o:lock v:ext="edit" aspectratio="t"/>
            <o:diagram v:ext="edit" dgmstyle="0" dgmscalex="267755" dgmscaley="404210" dgmfontsize="49" constrainbounds="0,0,0,0" autolayout="f">
              <o:relationtable v:ext="edit">
                <o:rel v:ext="edit" idsrc="#_s1073" iddest="#_s1073"/>
                <o:rel v:ext="edit" idsrc="#_s1074" iddest="#_s1073" idcntr="#_s1072"/>
                <o:rel v:ext="edit" idsrc="#_s1075" iddest="#_s1073" idcntr="#_s1071"/>
                <o:rel v:ext="edit" idsrc="#_s1076" iddest="#_s1073" idcntr="#_s1070"/>
              </o:relationtable>
            </o:diagram>
            <v:shape id="_x0000_s1069" type="#_x0000_t75" style="position:absolute;left:1455;top:2368;width:8825;height:11716" o:preferrelative="f">
              <v:fill o:detectmouseclick="t"/>
              <v:path o:extrusionok="t" o:connecttype="none"/>
              <o:lock v:ext="edit" text="t"/>
            </v:shape>
            <v:shape id="_s1070" o:spid="_x0000_s1070" type="#_x0000_t32" style="position:absolute;left:4714;top:4589;width:2310;height:1;rotation:270" o:connectortype="elbow" adj="-54870,-1,-54870" strokeweight="2.25pt"/>
            <v:shape id="_s1071" o:spid="_x0000_s1071" type="#_x0000_t32" style="position:absolute;left:5393;top:3910;width:951;height:1;rotation:270" o:connectortype="elbow" adj="-133279,-1,-133279" strokeweight="2.25pt"/>
            <v:shape id="_s1072" o:spid="_x0000_s1072" type="#_x0000_t32" style="position:absolute;left:5769;top:3534;width:202;height:4;rotation:270" o:connectortype="elbow" adj="-627469,-1,-627469" strokeweight="2.25pt"/>
            <v:roundrect id="_s1073" o:spid="_x0000_s1073" style="position:absolute;left:1455;top:2368;width:8825;height:1067;v-text-anchor:middle" arcsize="10923f" o:dgmlayout="0" o:dgmnodekind="1" fillcolor="#cfcdcd">
              <v:textbox style="mso-next-textbox:#_s1073" inset="0,0,0,0">
                <w:txbxContent>
                  <w:p w14:paraId="12E15E4F" w14:textId="77777777" w:rsidR="00936E98" w:rsidRPr="00A51AFC" w:rsidRDefault="00936E98" w:rsidP="00E36EBE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51A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Generated list of all emergency department patients triaged with presenting complaint of substance withdrawal between April 2017 – December 2017 at Lakeridge Health</w:t>
                    </w:r>
                  </w:p>
                </w:txbxContent>
              </v:textbox>
            </v:roundrect>
            <v:roundrect id="_s1074" o:spid="_x0000_s1074" style="position:absolute;left:1455;top:3637;width:8825;height:534;v-text-anchor:middle" arcsize="10923f" o:dgmlayout="0" o:dgmnodekind="0" fillcolor="#cfcdcd">
              <v:textbox style="mso-next-textbox:#_s1074" inset="0,0,0,0">
                <w:txbxContent>
                  <w:p w14:paraId="6AEBAE39" w14:textId="77777777" w:rsidR="00936E98" w:rsidRPr="00A51AFC" w:rsidRDefault="00936E98" w:rsidP="00725ED2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51A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Charts were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reviewed</w:t>
                    </w:r>
                    <w:r w:rsidRPr="00A51A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for patients presenting specifically in opioid withdrawal</w:t>
                    </w:r>
                  </w:p>
                </w:txbxContent>
              </v:textbox>
            </v:roundrect>
            <v:roundrect id="_s1075" o:spid="_x0000_s1075" style="position:absolute;left:1455;top:4386;width:8825;height:1134;v-text-anchor:middle" arcsize="10923f" o:dgmlayout="0" o:dgmnodekind="0" fillcolor="#cfcdcd">
              <v:textbox style="mso-next-textbox:#_s1075" inset="0,0,0,0">
                <w:txbxContent>
                  <w:p w14:paraId="6E87C361" w14:textId="77777777" w:rsidR="00936E98" w:rsidRPr="00936E98" w:rsidRDefault="00936E98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Charts were reviewed for patients offered education packages on opioid </w:t>
                    </w:r>
                  </w:p>
                  <w:p w14:paraId="695F580C" w14:textId="77777777" w:rsidR="00936E98" w:rsidRPr="00936E98" w:rsidRDefault="00936E98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withdrawal, treated with buprenorphine/naloxone in the emergency department, </w:t>
                    </w:r>
                  </w:p>
                  <w:p w14:paraId="09C1AF49" w14:textId="77777777" w:rsidR="00936E98" w:rsidRPr="00936E98" w:rsidRDefault="00936E98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and referred to the outpatient RAAC</w:t>
                    </w:r>
                  </w:p>
                  <w:p w14:paraId="666E3EB6" w14:textId="77777777" w:rsidR="00936E98" w:rsidRPr="00A51AFC" w:rsidRDefault="00936E98" w:rsidP="00A7615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s1076" o:spid="_x0000_s1076" style="position:absolute;left:1455;top:5745;width:8825;height:1260;v-text-anchor:middle" arcsize="10923f" o:dgmlayout="0" o:dgmnodekind="0" fillcolor="#cfcdcd">
              <v:textbox style="mso-next-textbox:#_s1076" inset="0,0,0,0">
                <w:txbxContent>
                  <w:p w14:paraId="2E68B8FD" w14:textId="596E8A0F" w:rsidR="00936E98" w:rsidRPr="00936E98" w:rsidRDefault="00936E98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Charts were reviewed for patients seen at the outpatient RAAC that </w:t>
                    </w:r>
                  </w:p>
                  <w:p w14:paraId="028D98D5" w14:textId="77777777" w:rsidR="00936E98" w:rsidRPr="00936E98" w:rsidRDefault="00936E98" w:rsidP="00936E9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were referred from the emergency department</w:t>
                    </w:r>
                  </w:p>
                  <w:p w14:paraId="0D2CCB78" w14:textId="77777777" w:rsidR="00936E98" w:rsidRPr="00936E98" w:rsidRDefault="00936E98" w:rsidP="00936E98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36E98">
                      <w:rPr>
                        <w:rFonts w:ascii="Times New Roman" w:hAnsi="Times New Roman"/>
                        <w:sz w:val="24"/>
                        <w:szCs w:val="24"/>
                      </w:rPr>
                      <w:t>Follow-up time and status at 6 months post-referral</w:t>
                    </w:r>
                  </w:p>
                </w:txbxContent>
              </v:textbox>
            </v:roundrect>
            <w10:wrap type="none"/>
            <w10:anchorlock/>
          </v:group>
        </w:pict>
      </w:r>
      <w:bookmarkEnd w:id="0"/>
    </w:p>
    <w:p w14:paraId="6DC53191" w14:textId="77777777" w:rsidR="007A6B69" w:rsidRDefault="007A6B69"/>
    <w:sectPr w:rsidR="007A6B69" w:rsidSect="007A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0EE1" w14:textId="77777777" w:rsidR="00E37A98" w:rsidRDefault="00E37A98">
      <w:pPr>
        <w:spacing w:after="0" w:line="240" w:lineRule="auto"/>
      </w:pPr>
      <w:r>
        <w:separator/>
      </w:r>
    </w:p>
  </w:endnote>
  <w:endnote w:type="continuationSeparator" w:id="0">
    <w:p w14:paraId="476F63EA" w14:textId="77777777" w:rsidR="00E37A98" w:rsidRDefault="00E3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0717" w14:textId="77777777" w:rsidR="00E37A98" w:rsidRDefault="00E37A98">
      <w:pPr>
        <w:spacing w:after="0" w:line="240" w:lineRule="auto"/>
      </w:pPr>
      <w:r>
        <w:separator/>
      </w:r>
    </w:p>
  </w:footnote>
  <w:footnote w:type="continuationSeparator" w:id="0">
    <w:p w14:paraId="6CE53823" w14:textId="77777777" w:rsidR="00E37A98" w:rsidRDefault="00E3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1C"/>
    <w:multiLevelType w:val="hybridMultilevel"/>
    <w:tmpl w:val="F948C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69"/>
    <w:rsid w:val="00032FAB"/>
    <w:rsid w:val="00544A7D"/>
    <w:rsid w:val="007A6B69"/>
    <w:rsid w:val="00936E98"/>
    <w:rsid w:val="00E34290"/>
    <w:rsid w:val="00E37A98"/>
    <w:rsid w:val="00F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s1031">
          <o:proxy start="" idref="#_s1033" connectloc="0"/>
          <o:proxy end="" idref="#_s1032" connectloc="2"/>
        </o:r>
        <o:r id="V:Rule2" type="connector" idref="#_s1030">
          <o:proxy start="" idref="#_s1034" connectloc="0"/>
          <o:proxy end="" idref="#_s1032" connectloc="2"/>
        </o:r>
        <o:r id="V:Rule3" type="connector" idref="#_s1029">
          <o:proxy start="" idref="#_s1035" connectloc="0"/>
          <o:proxy end="" idref="#_s1032" connectloc="2"/>
        </o:r>
        <o:r id="V:Rule4" type="connector" idref="#_s1028">
          <o:proxy start="" idref="#_s1036" connectloc="0"/>
          <o:proxy end="" idref="#_s1032" connectloc="2"/>
        </o:r>
        <o:r id="V:Rule5" type="connector" idref="#_s1072">
          <o:proxy start="" idref="#_s1074" connectloc="0"/>
          <o:proxy end="" idref="#_s1073" connectloc="2"/>
        </o:r>
        <o:r id="V:Rule6" type="connector" idref="#_s1071">
          <o:proxy start="" idref="#_s1075" connectloc="0"/>
          <o:proxy end="" idref="#_s1073" connectloc="2"/>
        </o:r>
        <o:r id="V:Rule7" type="connector" idref="#_s1070">
          <o:proxy start="" idref="#_s1076" connectloc="0"/>
          <o:proxy end="" idref="#_s1073" connectloc="2"/>
        </o:r>
      </o:rules>
    </o:shapelayout>
  </w:shapeDefaults>
  <w:decimalSymbol w:val="."/>
  <w:listSeparator w:val=","/>
  <w14:docId w14:val="72E70ECB"/>
  <w15:chartTrackingRefBased/>
  <w15:docId w15:val="{92928FD0-0DB0-48CA-AC60-7996672B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3</cp:revision>
  <dcterms:created xsi:type="dcterms:W3CDTF">2019-02-15T17:29:00Z</dcterms:created>
  <dcterms:modified xsi:type="dcterms:W3CDTF">2019-02-15T17:53:00Z</dcterms:modified>
</cp:coreProperties>
</file>