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8858" w14:textId="77777777" w:rsidR="009A15A1" w:rsidRPr="00B76077" w:rsidRDefault="009A15A1" w:rsidP="009A15A1">
      <w:pPr>
        <w:widowControl w:val="0"/>
        <w:spacing w:after="240" w:line="240" w:lineRule="auto"/>
        <w:contextualSpacing w:val="0"/>
        <w:outlineLvl w:val="0"/>
        <w:rPr>
          <w:rFonts w:ascii="Times New Roman" w:eastAsia="Calibri" w:hAnsi="Times New Roman" w:cs="Times New Roman"/>
          <w:b/>
          <w:sz w:val="24"/>
          <w:szCs w:val="24"/>
        </w:rPr>
      </w:pPr>
      <w:r w:rsidRPr="00B76077">
        <w:rPr>
          <w:rFonts w:ascii="Times New Roman" w:eastAsia="Calibri" w:hAnsi="Times New Roman" w:cs="Times New Roman"/>
          <w:b/>
          <w:sz w:val="24"/>
          <w:szCs w:val="24"/>
        </w:rPr>
        <w:t>Appendix 1 - Milestones within EPA 3.15 “Providing end-of-life care for a patient”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A15A1" w:rsidRPr="00B76077" w14:paraId="6B85BF8B" w14:textId="77777777" w:rsidTr="003C5379">
        <w:tc>
          <w:tcPr>
            <w:tcW w:w="9360" w:type="dxa"/>
            <w:shd w:val="clear" w:color="auto" w:fill="auto"/>
            <w:tcMar>
              <w:top w:w="100" w:type="dxa"/>
              <w:left w:w="100" w:type="dxa"/>
              <w:bottom w:w="100" w:type="dxa"/>
              <w:right w:w="100" w:type="dxa"/>
            </w:tcMar>
          </w:tcPr>
          <w:p w14:paraId="47FA61C6"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Recognize a patient who may benefit from palliative care intervention, initiate the intervention, and partner in providing care as needed.</w:t>
            </w:r>
          </w:p>
        </w:tc>
      </w:tr>
      <w:tr w:rsidR="009A15A1" w:rsidRPr="00B76077" w14:paraId="26CD2154" w14:textId="77777777" w:rsidTr="003C5379">
        <w:tc>
          <w:tcPr>
            <w:tcW w:w="9360" w:type="dxa"/>
            <w:shd w:val="clear" w:color="auto" w:fill="auto"/>
            <w:tcMar>
              <w:top w:w="100" w:type="dxa"/>
              <w:left w:w="100" w:type="dxa"/>
              <w:bottom w:w="100" w:type="dxa"/>
              <w:right w:w="100" w:type="dxa"/>
            </w:tcMar>
          </w:tcPr>
          <w:p w14:paraId="051236CE"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Communicate the patient’s prognosis, related uncertainty, and the differences between the goals of curative and palliative treatments to the patient and family clearly and compassionately.</w:t>
            </w:r>
          </w:p>
        </w:tc>
      </w:tr>
      <w:tr w:rsidR="009A15A1" w:rsidRPr="00B76077" w14:paraId="3E47D18E" w14:textId="77777777" w:rsidTr="003C5379">
        <w:tc>
          <w:tcPr>
            <w:tcW w:w="9360" w:type="dxa"/>
            <w:shd w:val="clear" w:color="auto" w:fill="auto"/>
            <w:tcMar>
              <w:top w:w="100" w:type="dxa"/>
              <w:left w:w="100" w:type="dxa"/>
              <w:bottom w:w="100" w:type="dxa"/>
              <w:right w:w="100" w:type="dxa"/>
            </w:tcMar>
          </w:tcPr>
          <w:p w14:paraId="2684589A"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Collaborate with the patient and their family to confirm goals of care and if not previously determined, assist the patient and family in defining goals of care, incorporating their values and appropriate medical options.</w:t>
            </w:r>
          </w:p>
        </w:tc>
      </w:tr>
      <w:tr w:rsidR="009A15A1" w:rsidRPr="00B76077" w14:paraId="60A0AE36" w14:textId="77777777" w:rsidTr="003C5379">
        <w:tc>
          <w:tcPr>
            <w:tcW w:w="9360" w:type="dxa"/>
            <w:shd w:val="clear" w:color="auto" w:fill="auto"/>
            <w:tcMar>
              <w:top w:w="100" w:type="dxa"/>
              <w:left w:w="100" w:type="dxa"/>
              <w:bottom w:w="100" w:type="dxa"/>
              <w:right w:w="100" w:type="dxa"/>
            </w:tcMar>
          </w:tcPr>
          <w:p w14:paraId="643F049C"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Document the patient’s goals of care in an accurate, complete, timely, and accessible manner.</w:t>
            </w:r>
          </w:p>
        </w:tc>
      </w:tr>
      <w:tr w:rsidR="009A15A1" w:rsidRPr="00B76077" w14:paraId="5E77A12A" w14:textId="77777777" w:rsidTr="003C5379">
        <w:tc>
          <w:tcPr>
            <w:tcW w:w="9360" w:type="dxa"/>
            <w:shd w:val="clear" w:color="auto" w:fill="auto"/>
            <w:tcMar>
              <w:top w:w="100" w:type="dxa"/>
              <w:left w:w="100" w:type="dxa"/>
              <w:bottom w:w="100" w:type="dxa"/>
              <w:right w:w="100" w:type="dxa"/>
            </w:tcMar>
          </w:tcPr>
          <w:p w14:paraId="0F4829C8"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Develop a consensus between the patient, family, and care providers regarding the care plan for the patient in the emergency department, including recognition and mediation of conflicts.</w:t>
            </w:r>
          </w:p>
        </w:tc>
      </w:tr>
      <w:tr w:rsidR="009A15A1" w:rsidRPr="00B76077" w14:paraId="69161F2B" w14:textId="77777777" w:rsidTr="003C5379">
        <w:tc>
          <w:tcPr>
            <w:tcW w:w="9360" w:type="dxa"/>
            <w:shd w:val="clear" w:color="auto" w:fill="auto"/>
            <w:tcMar>
              <w:top w:w="100" w:type="dxa"/>
              <w:left w:w="100" w:type="dxa"/>
              <w:bottom w:w="100" w:type="dxa"/>
              <w:right w:w="100" w:type="dxa"/>
            </w:tcMar>
          </w:tcPr>
          <w:p w14:paraId="2E6EBB59"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Perform an assessment of a patient’s decision-making capacity.</w:t>
            </w:r>
          </w:p>
        </w:tc>
      </w:tr>
      <w:tr w:rsidR="009A15A1" w:rsidRPr="00B76077" w14:paraId="4B0A826C" w14:textId="77777777" w:rsidTr="003C5379">
        <w:tc>
          <w:tcPr>
            <w:tcW w:w="9360" w:type="dxa"/>
            <w:shd w:val="clear" w:color="auto" w:fill="auto"/>
            <w:tcMar>
              <w:top w:w="100" w:type="dxa"/>
              <w:left w:w="100" w:type="dxa"/>
              <w:bottom w:w="100" w:type="dxa"/>
              <w:right w:w="100" w:type="dxa"/>
            </w:tcMar>
          </w:tcPr>
          <w:p w14:paraId="10B6ACA9"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Develop and implement management plans for control of pain.</w:t>
            </w:r>
          </w:p>
        </w:tc>
      </w:tr>
      <w:tr w:rsidR="009A15A1" w:rsidRPr="00B76077" w14:paraId="6D6E759E" w14:textId="77777777" w:rsidTr="003C5379">
        <w:tc>
          <w:tcPr>
            <w:tcW w:w="9360" w:type="dxa"/>
            <w:shd w:val="clear" w:color="auto" w:fill="auto"/>
            <w:tcMar>
              <w:top w:w="100" w:type="dxa"/>
              <w:left w:w="100" w:type="dxa"/>
              <w:bottom w:w="100" w:type="dxa"/>
              <w:right w:w="100" w:type="dxa"/>
            </w:tcMar>
          </w:tcPr>
          <w:p w14:paraId="6D3A3775"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Develop and implement management plans for non-pain symptom control.</w:t>
            </w:r>
          </w:p>
        </w:tc>
      </w:tr>
      <w:tr w:rsidR="009A15A1" w:rsidRPr="00B76077" w14:paraId="2A2EB37D" w14:textId="77777777" w:rsidTr="003C5379">
        <w:tc>
          <w:tcPr>
            <w:tcW w:w="9360" w:type="dxa"/>
            <w:shd w:val="clear" w:color="auto" w:fill="auto"/>
            <w:tcMar>
              <w:top w:w="100" w:type="dxa"/>
              <w:left w:w="100" w:type="dxa"/>
              <w:bottom w:w="100" w:type="dxa"/>
              <w:right w:w="100" w:type="dxa"/>
            </w:tcMar>
          </w:tcPr>
          <w:p w14:paraId="41A320D0"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Clearly and compassionately communicate the news of the patient’s death to their family.</w:t>
            </w:r>
          </w:p>
        </w:tc>
      </w:tr>
      <w:tr w:rsidR="009A15A1" w:rsidRPr="00B76077" w14:paraId="4B203930" w14:textId="77777777" w:rsidTr="003C5379">
        <w:tc>
          <w:tcPr>
            <w:tcW w:w="9360" w:type="dxa"/>
            <w:shd w:val="clear" w:color="auto" w:fill="auto"/>
            <w:tcMar>
              <w:top w:w="100" w:type="dxa"/>
              <w:left w:w="100" w:type="dxa"/>
              <w:bottom w:w="100" w:type="dxa"/>
              <w:right w:w="100" w:type="dxa"/>
            </w:tcMar>
          </w:tcPr>
          <w:p w14:paraId="5CA899C6" w14:textId="77777777" w:rsidR="009A15A1" w:rsidRPr="00B76077" w:rsidRDefault="009A15A1" w:rsidP="003C5379">
            <w:pPr>
              <w:widowControl w:val="0"/>
              <w:pBdr>
                <w:top w:val="nil"/>
                <w:left w:val="nil"/>
                <w:bottom w:val="nil"/>
                <w:right w:val="nil"/>
                <w:between w:val="nil"/>
              </w:pBdr>
              <w:spacing w:line="240" w:lineRule="auto"/>
              <w:contextualSpacing w:val="0"/>
              <w:rPr>
                <w:rFonts w:ascii="Times New Roman" w:eastAsia="Calibri" w:hAnsi="Times New Roman" w:cs="Times New Roman"/>
                <w:sz w:val="24"/>
                <w:szCs w:val="24"/>
              </w:rPr>
            </w:pPr>
            <w:r w:rsidRPr="00B76077">
              <w:rPr>
                <w:rFonts w:ascii="Times New Roman" w:eastAsia="Calibri" w:hAnsi="Times New Roman" w:cs="Times New Roman"/>
                <w:sz w:val="24"/>
                <w:szCs w:val="24"/>
              </w:rPr>
              <w:t>Provide resource support options for families in grief.</w:t>
            </w:r>
          </w:p>
        </w:tc>
      </w:tr>
    </w:tbl>
    <w:p w14:paraId="2E3ED4BC" w14:textId="77777777" w:rsidR="009A15A1" w:rsidRPr="00B76077" w:rsidRDefault="009A15A1" w:rsidP="009A15A1">
      <w:pPr>
        <w:widowControl w:val="0"/>
        <w:spacing w:after="240" w:line="240" w:lineRule="auto"/>
        <w:contextualSpacing w:val="0"/>
        <w:rPr>
          <w:rFonts w:ascii="Times New Roman" w:eastAsia="Calibri" w:hAnsi="Times New Roman" w:cs="Times New Roman"/>
          <w:b/>
          <w:sz w:val="24"/>
          <w:szCs w:val="24"/>
        </w:rPr>
      </w:pPr>
    </w:p>
    <w:p w14:paraId="3B73F229" w14:textId="77777777" w:rsidR="009A15A1" w:rsidRPr="00B76077" w:rsidRDefault="009A15A1" w:rsidP="009A15A1">
      <w:pPr>
        <w:widowControl w:val="0"/>
        <w:spacing w:after="240" w:line="240" w:lineRule="auto"/>
        <w:contextualSpacing w:val="0"/>
        <w:rPr>
          <w:rFonts w:ascii="Times New Roman" w:eastAsia="Calibri" w:hAnsi="Times New Roman" w:cs="Times New Roman"/>
          <w:b/>
          <w:sz w:val="24"/>
          <w:szCs w:val="24"/>
        </w:rPr>
      </w:pPr>
    </w:p>
    <w:p w14:paraId="6A1DDBC5" w14:textId="77777777" w:rsidR="009A15A1" w:rsidRPr="00B76077" w:rsidRDefault="009A15A1" w:rsidP="009A15A1">
      <w:pPr>
        <w:widowControl w:val="0"/>
        <w:spacing w:after="240" w:line="240" w:lineRule="auto"/>
        <w:contextualSpacing w:val="0"/>
        <w:rPr>
          <w:rFonts w:ascii="Times New Roman" w:eastAsia="Calibri" w:hAnsi="Times New Roman" w:cs="Times New Roman"/>
          <w:b/>
          <w:sz w:val="24"/>
          <w:szCs w:val="24"/>
        </w:rPr>
      </w:pPr>
    </w:p>
    <w:p w14:paraId="1684FC58" w14:textId="77777777" w:rsidR="009A15A1" w:rsidRPr="00B76077" w:rsidRDefault="009A15A1" w:rsidP="009A15A1">
      <w:pPr>
        <w:widowControl w:val="0"/>
        <w:spacing w:after="240" w:line="240" w:lineRule="auto"/>
        <w:contextualSpacing w:val="0"/>
        <w:rPr>
          <w:rFonts w:ascii="Times New Roman" w:eastAsia="Calibri" w:hAnsi="Times New Roman" w:cs="Times New Roman"/>
          <w:b/>
          <w:sz w:val="24"/>
          <w:szCs w:val="24"/>
        </w:rPr>
      </w:pPr>
    </w:p>
    <w:p w14:paraId="06D18567" w14:textId="77777777" w:rsidR="009A15A1" w:rsidRPr="00B76077" w:rsidRDefault="009A15A1" w:rsidP="009A15A1">
      <w:pPr>
        <w:widowControl w:val="0"/>
        <w:spacing w:after="240" w:line="240" w:lineRule="auto"/>
        <w:contextualSpacing w:val="0"/>
        <w:rPr>
          <w:rFonts w:ascii="Times New Roman" w:eastAsia="Calibri" w:hAnsi="Times New Roman" w:cs="Times New Roman"/>
          <w:b/>
          <w:sz w:val="24"/>
          <w:szCs w:val="24"/>
        </w:rPr>
      </w:pPr>
    </w:p>
    <w:p w14:paraId="7DA1B1D1" w14:textId="77777777" w:rsidR="00747EF4" w:rsidRDefault="009A15A1">
      <w:bookmarkStart w:id="0" w:name="_GoBack"/>
      <w:bookmarkEnd w:id="0"/>
    </w:p>
    <w:sectPr w:rsidR="00747EF4" w:rsidSect="006F78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A1"/>
    <w:rsid w:val="004C5445"/>
    <w:rsid w:val="006F7846"/>
    <w:rsid w:val="009A1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539528"/>
  <w15:chartTrackingRefBased/>
  <w15:docId w15:val="{B12060A3-B4F8-884F-A13D-9731842C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5A1"/>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Baylis</dc:creator>
  <cp:keywords/>
  <dc:description/>
  <cp:lastModifiedBy>Jared Baylis</cp:lastModifiedBy>
  <cp:revision>1</cp:revision>
  <dcterms:created xsi:type="dcterms:W3CDTF">2018-08-01T15:22:00Z</dcterms:created>
  <dcterms:modified xsi:type="dcterms:W3CDTF">2018-08-01T15:22:00Z</dcterms:modified>
</cp:coreProperties>
</file>