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F6" w:rsidRDefault="002D3BF6" w:rsidP="002D3BF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</w:t>
      </w:r>
    </w:p>
    <w:p w:rsidR="002D3BF6" w:rsidRPr="00D44B1A" w:rsidRDefault="002D3BF6" w:rsidP="002D3BF6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proofErr w:type="gramStart"/>
      <w:r w:rsidRPr="00D44B1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1</w:t>
      </w:r>
      <w:r w:rsidRPr="00D44B1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.</w:t>
      </w:r>
      <w:proofErr w:type="gramEnd"/>
      <w:r w:rsidRPr="00D44B1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Reliability and internal validity of scales used in the study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114"/>
        <w:gridCol w:w="3685"/>
        <w:gridCol w:w="1276"/>
        <w:gridCol w:w="2239"/>
      </w:tblGrid>
      <w:tr w:rsidR="002D3BF6" w:rsidRPr="00D44B1A" w:rsidTr="008E602C">
        <w:trPr>
          <w:trHeight w:val="1053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Symptoms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Scale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 w:rsidRPr="00D44B1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Cronbach</w:t>
            </w:r>
            <w:proofErr w:type="spellEnd"/>
            <w:r w:rsidRPr="00D44B1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 alpha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Remarks</w:t>
            </w:r>
          </w:p>
        </w:tc>
      </w:tr>
      <w:tr w:rsidR="002D3BF6" w:rsidRPr="00D44B1A" w:rsidTr="008E602C">
        <w:trPr>
          <w:trHeight w:val="511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Pain, eating difficulty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86378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Items from the </w:t>
            </w: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Mini-Suffering State Examination (MSSE) </w:t>
            </w:r>
            <w:r w:rsidRPr="00D44B1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</w:rPr>
              <w:t>(Ng et al., 2007)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highlight w:val="yellow"/>
              </w:rPr>
            </w:pPr>
            <w:proofErr w:type="spellStart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Cronbach</w:t>
            </w:r>
            <w:proofErr w:type="spellEnd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alpha was not calculated because individual items were used to measure these symptoms</w:t>
            </w:r>
          </w:p>
        </w:tc>
      </w:tr>
      <w:tr w:rsidR="002D3BF6" w:rsidRPr="00D44B1A" w:rsidTr="008E602C">
        <w:trPr>
          <w:trHeight w:val="1564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Appearance of discomfort, loss of spontaneous smile, signs of unhappiness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8637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Items from the </w:t>
            </w:r>
            <w:r w:rsidRPr="00D44B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Quality</w:t>
            </w:r>
            <w:r w:rsidRPr="00D44B1A">
              <w:rPr>
                <w:rFonts w:ascii="Times New Roman" w:hAnsi="Times New Roman" w:cs="Times New Roman"/>
                <w:color w:val="4F81BD" w:themeColor="accent1"/>
                <w:spacing w:val="-3"/>
                <w:sz w:val="24"/>
                <w:szCs w:val="24"/>
              </w:rPr>
              <w:t xml:space="preserve"> </w:t>
            </w:r>
            <w:r w:rsidRPr="00D44B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of</w:t>
            </w:r>
            <w:r w:rsidRPr="00D44B1A">
              <w:rPr>
                <w:rFonts w:ascii="Times New Roman" w:hAnsi="Times New Roman" w:cs="Times New Roman"/>
                <w:color w:val="4F81BD" w:themeColor="accent1"/>
                <w:spacing w:val="-2"/>
                <w:sz w:val="24"/>
                <w:szCs w:val="24"/>
              </w:rPr>
              <w:t xml:space="preserve"> </w:t>
            </w:r>
            <w:r w:rsidRPr="00D44B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Life</w:t>
            </w:r>
            <w:r w:rsidRPr="00D44B1A">
              <w:rPr>
                <w:rFonts w:ascii="Times New Roman" w:hAnsi="Times New Roman" w:cs="Times New Roman"/>
                <w:color w:val="4F81BD" w:themeColor="accent1"/>
                <w:spacing w:val="-2"/>
                <w:sz w:val="24"/>
                <w:szCs w:val="24"/>
              </w:rPr>
              <w:t xml:space="preserve"> </w:t>
            </w:r>
            <w:r w:rsidRPr="00D44B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in</w:t>
            </w:r>
            <w:r w:rsidRPr="00D44B1A">
              <w:rPr>
                <w:rFonts w:ascii="Times New Roman" w:hAnsi="Times New Roman" w:cs="Times New Roman"/>
                <w:color w:val="4F81BD" w:themeColor="accent1"/>
                <w:spacing w:val="-2"/>
                <w:sz w:val="24"/>
                <w:szCs w:val="24"/>
              </w:rPr>
              <w:t xml:space="preserve"> </w:t>
            </w:r>
            <w:r w:rsidRPr="00D44B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Late-Stage</w:t>
            </w:r>
            <w:r w:rsidRPr="00D44B1A">
              <w:rPr>
                <w:rFonts w:ascii="Times New Roman" w:hAnsi="Times New Roman" w:cs="Times New Roman"/>
                <w:color w:val="4F81BD" w:themeColor="accent1"/>
                <w:spacing w:val="-2"/>
                <w:sz w:val="24"/>
                <w:szCs w:val="24"/>
              </w:rPr>
              <w:t xml:space="preserve"> </w:t>
            </w:r>
            <w:r w:rsidRPr="00D44B1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Dementia (QUALID) </w:t>
            </w:r>
            <w:r w:rsidRPr="00D44B1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  <w:t>(Hum et al., 2020)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Cronbach</w:t>
            </w:r>
            <w:proofErr w:type="spellEnd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alpha was not calculated because individual items were used to measure these symptoms</w:t>
            </w:r>
          </w:p>
        </w:tc>
      </w:tr>
      <w:tr w:rsidR="002D3BF6" w:rsidRPr="00D44B1A" w:rsidTr="008E602C">
        <w:trPr>
          <w:trHeight w:val="1580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Pathological impairment, cognitive impairment, functional deficits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Bedford Alzheimer Nursing Severity Scale (BANS-S)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0.73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1037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Agitated behaviours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Cohen-Mansfield Agitation Inventory </w:t>
            </w:r>
            <w:r w:rsidRPr="00D44B1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</w:rPr>
              <w:t>(Wong &amp; Zelman, 2020)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0.82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527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Caregiver outcomes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511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Psychological distress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Hospital Anxiety and Depression </w:t>
            </w: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Scale </w:t>
            </w:r>
            <w:r w:rsidRPr="00D44B1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</w:rPr>
              <w:t>(Chan et al., 2018; Kang et al., 2020; Liang et al., 2016)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0.92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1053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Burden</w:t>
            </w:r>
          </w:p>
        </w:tc>
        <w:tc>
          <w:tcPr>
            <w:tcW w:w="3685" w:type="dxa"/>
            <w:vMerge w:val="restart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Caregiver Reaction Assessment Scale </w:t>
            </w:r>
            <w:r w:rsidRPr="00D44B1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</w:rPr>
              <w:t>(Malhotra et al., 2012)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0.90</w:t>
            </w:r>
          </w:p>
        </w:tc>
        <w:tc>
          <w:tcPr>
            <w:tcW w:w="2239" w:type="dxa"/>
            <w:vMerge w:val="restart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1053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Impact on health and schedule</w:t>
            </w:r>
          </w:p>
        </w:tc>
        <w:tc>
          <w:tcPr>
            <w:tcW w:w="3685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0.88</w:t>
            </w:r>
          </w:p>
        </w:tc>
        <w:tc>
          <w:tcPr>
            <w:tcW w:w="2239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1053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Impact on finance</w:t>
            </w:r>
          </w:p>
        </w:tc>
        <w:tc>
          <w:tcPr>
            <w:tcW w:w="3685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0.89</w:t>
            </w:r>
          </w:p>
        </w:tc>
        <w:tc>
          <w:tcPr>
            <w:tcW w:w="2239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1053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Lack of family support</w:t>
            </w:r>
          </w:p>
        </w:tc>
        <w:tc>
          <w:tcPr>
            <w:tcW w:w="3685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0.89</w:t>
            </w:r>
          </w:p>
        </w:tc>
        <w:tc>
          <w:tcPr>
            <w:tcW w:w="2239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</w:tc>
      </w:tr>
      <w:tr w:rsidR="002D3BF6" w:rsidRPr="00D44B1A" w:rsidTr="008E602C">
        <w:trPr>
          <w:trHeight w:val="1037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Anticipatory grief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Marwit</w:t>
            </w:r>
            <w:proofErr w:type="spellEnd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Meuser</w:t>
            </w:r>
            <w:proofErr w:type="spellEnd"/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Caregiver Grief Inventory-Short Form </w:t>
            </w:r>
            <w:r w:rsidRPr="00D44B1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</w:rPr>
              <w:t>(Liew, 2016)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0.91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1580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Satisfaction with care at the end-of-life in Dementia</w:t>
            </w:r>
          </w:p>
        </w:tc>
        <w:tc>
          <w:tcPr>
            <w:tcW w:w="3685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SWC-EOLD </w:t>
            </w:r>
            <w:r w:rsidRPr="00D44B1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</w:rPr>
              <w:t>(Tay et al., 2020)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0.78</w:t>
            </w:r>
          </w:p>
        </w:tc>
        <w:tc>
          <w:tcPr>
            <w:tcW w:w="2239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511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Coping</w:t>
            </w:r>
          </w:p>
        </w:tc>
        <w:tc>
          <w:tcPr>
            <w:tcW w:w="3685" w:type="dxa"/>
            <w:vMerge w:val="restart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Brief-COPE </w:t>
            </w:r>
            <w:r w:rsidRPr="00D44B1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</w:rPr>
              <w:t>(Lim et al., 2011; Yuan et al., 2021)</w:t>
            </w: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0.86</w:t>
            </w:r>
          </w:p>
        </w:tc>
        <w:tc>
          <w:tcPr>
            <w:tcW w:w="2239" w:type="dxa"/>
            <w:vMerge w:val="restart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511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Adaptive coping</w:t>
            </w:r>
          </w:p>
        </w:tc>
        <w:tc>
          <w:tcPr>
            <w:tcW w:w="3685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0.84</w:t>
            </w:r>
          </w:p>
        </w:tc>
        <w:tc>
          <w:tcPr>
            <w:tcW w:w="2239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2D3BF6" w:rsidRPr="00D44B1A" w:rsidTr="008E602C">
        <w:trPr>
          <w:trHeight w:val="511"/>
        </w:trPr>
        <w:tc>
          <w:tcPr>
            <w:tcW w:w="3114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Maladaptive coping</w:t>
            </w:r>
          </w:p>
        </w:tc>
        <w:tc>
          <w:tcPr>
            <w:tcW w:w="3685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44B1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0.79</w:t>
            </w:r>
          </w:p>
        </w:tc>
        <w:tc>
          <w:tcPr>
            <w:tcW w:w="2239" w:type="dxa"/>
            <w:vMerge/>
          </w:tcPr>
          <w:p w:rsidR="002D3BF6" w:rsidRPr="00D44B1A" w:rsidRDefault="002D3BF6" w:rsidP="008E602C">
            <w:pPr>
              <w:spacing w:line="48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</w:tbl>
    <w:p w:rsidR="002D3BF6" w:rsidRDefault="002D3BF6" w:rsidP="002D3BF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4B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3BF6" w:rsidRPr="003E5DCA" w:rsidRDefault="002D3BF6" w:rsidP="002D3BF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3E5DC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410A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en-US"/>
        </w:rPr>
        <w:t>2.</w:t>
      </w:r>
      <w:proofErr w:type="gramEnd"/>
      <w:r w:rsidRPr="003E5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Criteria to assess model fit for latent class analysis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849"/>
        <w:gridCol w:w="1849"/>
        <w:gridCol w:w="1964"/>
        <w:gridCol w:w="1601"/>
      </w:tblGrid>
      <w:tr w:rsidR="002D3BF6" w:rsidRPr="003E5DCA" w:rsidTr="008E602C">
        <w:tc>
          <w:tcPr>
            <w:tcW w:w="1753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AIC</w:t>
            </w:r>
          </w:p>
        </w:tc>
        <w:tc>
          <w:tcPr>
            <w:tcW w:w="1849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BIC</w:t>
            </w:r>
          </w:p>
        </w:tc>
        <w:tc>
          <w:tcPr>
            <w:tcW w:w="1964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Percentage change in BIC</w:t>
            </w:r>
          </w:p>
        </w:tc>
        <w:tc>
          <w:tcPr>
            <w:tcW w:w="1601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Entropy</w:t>
            </w:r>
          </w:p>
        </w:tc>
      </w:tr>
      <w:tr w:rsidR="002D3BF6" w:rsidRPr="003E5DCA" w:rsidTr="008E602C">
        <w:tc>
          <w:tcPr>
            <w:tcW w:w="1753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 class</w:t>
            </w:r>
          </w:p>
        </w:tc>
        <w:tc>
          <w:tcPr>
            <w:tcW w:w="1849" w:type="dxa"/>
          </w:tcPr>
          <w:p w:rsidR="002D3BF6" w:rsidRPr="002410A9" w:rsidRDefault="002D3BF6" w:rsidP="008E602C">
            <w:pPr>
              <w:spacing w:line="48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2410A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5545.78</w:t>
            </w:r>
          </w:p>
        </w:tc>
        <w:tc>
          <w:tcPr>
            <w:tcW w:w="1849" w:type="dxa"/>
          </w:tcPr>
          <w:p w:rsidR="002D3BF6" w:rsidRPr="002410A9" w:rsidRDefault="002D3BF6" w:rsidP="008E602C">
            <w:pPr>
              <w:spacing w:line="48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2410A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5640.15</w:t>
            </w:r>
          </w:p>
        </w:tc>
        <w:tc>
          <w:tcPr>
            <w:tcW w:w="1964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</w:tr>
      <w:tr w:rsidR="002D3BF6" w:rsidRPr="003E5DCA" w:rsidTr="008E602C">
        <w:tc>
          <w:tcPr>
            <w:tcW w:w="1753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D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class</w:t>
            </w:r>
          </w:p>
        </w:tc>
        <w:tc>
          <w:tcPr>
            <w:tcW w:w="1849" w:type="dxa"/>
          </w:tcPr>
          <w:p w:rsidR="002D3BF6" w:rsidRPr="002410A9" w:rsidRDefault="002D3BF6" w:rsidP="008E602C">
            <w:pPr>
              <w:spacing w:line="48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2410A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5441.54</w:t>
            </w:r>
          </w:p>
        </w:tc>
        <w:tc>
          <w:tcPr>
            <w:tcW w:w="1849" w:type="dxa"/>
          </w:tcPr>
          <w:p w:rsidR="002D3BF6" w:rsidRPr="002410A9" w:rsidRDefault="002D3BF6" w:rsidP="008E602C">
            <w:pPr>
              <w:spacing w:line="48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2410A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5583.11</w:t>
            </w:r>
          </w:p>
        </w:tc>
        <w:tc>
          <w:tcPr>
            <w:tcW w:w="1964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0A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-1.01</w:t>
            </w:r>
          </w:p>
        </w:tc>
        <w:tc>
          <w:tcPr>
            <w:tcW w:w="1601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0A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0.95</w:t>
            </w:r>
          </w:p>
        </w:tc>
      </w:tr>
      <w:tr w:rsidR="002D3BF6" w:rsidRPr="003E5DCA" w:rsidTr="008E602C">
        <w:tc>
          <w:tcPr>
            <w:tcW w:w="1753" w:type="dxa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 class</w:t>
            </w:r>
          </w:p>
        </w:tc>
        <w:tc>
          <w:tcPr>
            <w:tcW w:w="7263" w:type="dxa"/>
            <w:gridSpan w:val="4"/>
          </w:tcPr>
          <w:p w:rsidR="002D3BF6" w:rsidRPr="003E5DCA" w:rsidRDefault="002D3BF6" w:rsidP="008E6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0A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Convergence not achieved</w:t>
            </w:r>
          </w:p>
        </w:tc>
      </w:tr>
    </w:tbl>
    <w:p w:rsidR="006F5B8C" w:rsidRDefault="006F5B8C">
      <w:bookmarkStart w:id="0" w:name="_GoBack"/>
      <w:bookmarkEnd w:id="0"/>
    </w:p>
    <w:sectPr w:rsidR="006F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F6"/>
    <w:rsid w:val="002D3BF6"/>
    <w:rsid w:val="006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F6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F6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F6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F6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 Thandavarayan (Integra)</dc:creator>
  <cp:lastModifiedBy>Durga Thandavarayan (Integra)</cp:lastModifiedBy>
  <cp:revision>1</cp:revision>
  <dcterms:created xsi:type="dcterms:W3CDTF">2023-01-24T12:09:00Z</dcterms:created>
  <dcterms:modified xsi:type="dcterms:W3CDTF">2023-01-24T12:09:00Z</dcterms:modified>
</cp:coreProperties>
</file>