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83" w:rsidRPr="00CF0FF8" w:rsidRDefault="00E27983" w:rsidP="00E27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FF8">
        <w:rPr>
          <w:rFonts w:ascii="Times New Roman" w:hAnsi="Times New Roman" w:cs="Times New Roman"/>
          <w:b/>
          <w:sz w:val="24"/>
          <w:szCs w:val="24"/>
          <w:u w:val="single"/>
        </w:rPr>
        <w:t>Appendix A. The EOL workshop syllabus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40"/>
        <w:gridCol w:w="2410"/>
        <w:gridCol w:w="2830"/>
      </w:tblGrid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Course Module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Teaching method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Facilitators</w:t>
            </w:r>
          </w:p>
        </w:tc>
      </w:tr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1. 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Overview of palliative care/ end-of-life care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Lecture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Palliative physician</w:t>
            </w:r>
          </w:p>
        </w:tc>
      </w:tr>
      <w:tr w:rsidR="00E27983" w:rsidRPr="00CF0FF8" w:rsidTr="008414E7">
        <w:trPr>
          <w:trHeight w:val="1432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2. 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Pain &amp; symptom management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Lecture &amp; group sharing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Palliative physician, dietician, occupational therapist</w:t>
            </w:r>
          </w:p>
        </w:tc>
      </w:tr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3.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Communication &amp; role play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Role play 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Palliative physician</w:t>
            </w:r>
          </w:p>
        </w:tc>
      </w:tr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4. 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Final hours &amp; terminal discharge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Lecture &amp; video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Nurse clinician</w:t>
            </w:r>
          </w:p>
        </w:tc>
      </w:tr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5. 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Advance care planning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Lecture &amp; video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Nurse clinician</w:t>
            </w:r>
          </w:p>
        </w:tc>
      </w:tr>
      <w:tr w:rsidR="00E27983" w:rsidRPr="00CF0FF8" w:rsidTr="008414E7">
        <w:trPr>
          <w:trHeight w:val="948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6. 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Grief &amp; loss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Role play &amp; experiential learning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Medical social worker</w:t>
            </w:r>
          </w:p>
        </w:tc>
      </w:tr>
      <w:tr w:rsidR="00E27983" w:rsidRPr="00CF0FF8" w:rsidTr="008414E7">
        <w:trPr>
          <w:trHeight w:val="948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7.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Supportive Intervention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Role play &amp; experiential learning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Medical social worker</w:t>
            </w:r>
          </w:p>
        </w:tc>
      </w:tr>
      <w:tr w:rsidR="00E27983" w:rsidRPr="00CF0FF8" w:rsidTr="008414E7">
        <w:trPr>
          <w:trHeight w:val="463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8. 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Ethical issues in end-of-life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Case studies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Palliative physician</w:t>
            </w:r>
          </w:p>
        </w:tc>
      </w:tr>
      <w:tr w:rsidR="00E27983" w:rsidRPr="00CF0FF8" w:rsidTr="008414E7">
        <w:trPr>
          <w:trHeight w:val="948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9. 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Culture/ religion considerations at end-of-life 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 xml:space="preserve">Group discussion &amp; sharing 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Nurse clinician</w:t>
            </w:r>
          </w:p>
        </w:tc>
      </w:tr>
      <w:tr w:rsidR="00E27983" w:rsidRPr="00CF0FF8" w:rsidTr="008414E7">
        <w:trPr>
          <w:trHeight w:val="1432"/>
        </w:trPr>
        <w:tc>
          <w:tcPr>
            <w:tcW w:w="6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SG"/>
              </w:rPr>
              <w:t>10.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Practical issues &amp; considerations (subcutaneous cannulation/ syringe driver/ Continuous Ambulatory Delivery Device pump/ fentanyl patch)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Practical session</w:t>
            </w:r>
          </w:p>
        </w:tc>
        <w:tc>
          <w:tcPr>
            <w:tcW w:w="28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983" w:rsidRPr="00CF0FF8" w:rsidRDefault="00E27983" w:rsidP="008414E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SG"/>
              </w:rPr>
            </w:pPr>
            <w:r w:rsidRPr="00CF0F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SG"/>
              </w:rPr>
              <w:t>Pharmacist</w:t>
            </w:r>
          </w:p>
        </w:tc>
      </w:tr>
    </w:tbl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983" w:rsidRPr="00CF0FF8" w:rsidRDefault="00E27983" w:rsidP="00E27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B</w:t>
      </w:r>
      <w:r w:rsidRPr="00CF0FF8">
        <w:rPr>
          <w:rFonts w:ascii="Times New Roman" w:hAnsi="Times New Roman" w:cs="Times New Roman"/>
          <w:b/>
          <w:sz w:val="24"/>
          <w:szCs w:val="24"/>
          <w:u w:val="single"/>
        </w:rPr>
        <w:t>. The knowledge and the skills-based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6"/>
        <w:gridCol w:w="715"/>
        <w:gridCol w:w="801"/>
        <w:gridCol w:w="1144"/>
      </w:tblGrid>
      <w:tr w:rsidR="00E27983" w:rsidRPr="00CF0FF8" w:rsidTr="008414E7">
        <w:tc>
          <w:tcPr>
            <w:tcW w:w="9016" w:type="dxa"/>
            <w:gridSpan w:val="4"/>
          </w:tcPr>
          <w:p w:rsidR="00E27983" w:rsidRPr="00CF0FF8" w:rsidRDefault="00E27983" w:rsidP="00841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Understanding Palliative Care </w:t>
            </w:r>
            <w:r w:rsidRPr="00CF0FF8">
              <w:rPr>
                <w:rFonts w:ascii="Times New Roman" w:hAnsi="Times New Roman" w:cs="Times New Roman"/>
                <w:i/>
                <w:sz w:val="24"/>
                <w:szCs w:val="24"/>
              </w:rPr>
              <w:t>(Please circle the appropriate response)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Palliative care is appropriate only in situations where there is evidence of deterioration in the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patient’s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condition.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Morphine is the standard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opioid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used to compare the analgesic effect of other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opioids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The extent of the disease determines the degree of pain management.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Adjuvant therapies (drugs that are not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actually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analgesics) are important in managing pain.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It is crucial for family members to remain at the bedside until death occurs.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During the last days of life, the drowsiness secondary to the imbalance in blood potassium, sodium and chloride values may decrease the need for sedation.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Drug addiction is a major problem when morphine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is used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on a long-term basis for pain management.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Individuals who are taking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opioids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should also follow a bowel regimen.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The provision of palliative care requires emotional detachment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from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health care providers.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During the terminal phase of an illness, drugs that cause difficulty in breathing are appropriate for the treatment of severe breathlessness.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Men generally reconcile their grief more quickly than women.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The delivery of palliative care complements medical treatment.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The use of placebo (inactive drug or preparation) is appropriate in the treatment of some types of cancer pain.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In high doses, codeine causes more nausea/vomiting than morphine.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Suffering is the same as physical pain.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Pethidine is not an effective analgesic in control of chronic pain.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The high number </w:t>
            </w:r>
            <w:r w:rsidRPr="00CF0FF8">
              <w:rPr>
                <w:rFonts w:ascii="Times New Roman" w:hAnsi="Times New Roman" w:cs="Times New Roman"/>
                <w:noProof/>
                <w:sz w:val="24"/>
                <w:szCs w:val="24"/>
              </w:rPr>
              <w:t>of</w:t>
            </w: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 deaths in palliative care units inevitably results in burnout in health care professionals.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Clinical signs &amp; symptoms of chronic pain are different from those of acute pain.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It is easier to accept the loss of one who is distant than one who is beloved.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  <w:tr w:rsidR="00E27983" w:rsidRPr="00CF0FF8" w:rsidTr="008414E7">
        <w:tc>
          <w:tcPr>
            <w:tcW w:w="6356" w:type="dxa"/>
          </w:tcPr>
          <w:p w:rsidR="00E27983" w:rsidRPr="00CF0FF8" w:rsidRDefault="00E27983" w:rsidP="008414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The pain threshold is lower by anxiety or fatigue (i.e. more likely to feel pain). </w:t>
            </w:r>
          </w:p>
        </w:tc>
        <w:tc>
          <w:tcPr>
            <w:tcW w:w="715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801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144" w:type="dxa"/>
          </w:tcPr>
          <w:p w:rsidR="00E27983" w:rsidRPr="00CF0FF8" w:rsidRDefault="00E27983" w:rsidP="00841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F8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</w:tr>
    </w:tbl>
    <w:p w:rsidR="00E66DD5" w:rsidRDefault="00E66DD5">
      <w:bookmarkStart w:id="0" w:name="_GoBack"/>
      <w:bookmarkEnd w:id="0"/>
    </w:p>
    <w:sectPr w:rsidR="00E6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AD"/>
    <w:multiLevelType w:val="hybridMultilevel"/>
    <w:tmpl w:val="09A4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xNrYwNzQ1MTQ0MDBX0lEKTi0uzszPAykwrAUApDr6FiwAAAA="/>
  </w:docVars>
  <w:rsids>
    <w:rsidRoot w:val="00E27983"/>
    <w:rsid w:val="000D5FFC"/>
    <w:rsid w:val="00E27983"/>
    <w:rsid w:val="00E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C27ED-E86A-42F2-AA48-2F8B31FC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9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83"/>
    <w:pPr>
      <w:ind w:left="720"/>
      <w:contextualSpacing/>
    </w:pPr>
  </w:style>
  <w:style w:type="table" w:styleId="TableGrid">
    <w:name w:val="Table Grid"/>
    <w:basedOn w:val="TableNormal"/>
    <w:uiPriority w:val="59"/>
    <w:rsid w:val="00E279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Chin Yee (Rachel)</dc:creator>
  <cp:keywords/>
  <dc:description/>
  <cp:lastModifiedBy>Cheong Chin Yee (Rachel)</cp:lastModifiedBy>
  <cp:revision>1</cp:revision>
  <dcterms:created xsi:type="dcterms:W3CDTF">2019-05-04T08:57:00Z</dcterms:created>
  <dcterms:modified xsi:type="dcterms:W3CDTF">2019-05-04T08:58:00Z</dcterms:modified>
</cp:coreProperties>
</file>