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F312" w14:textId="088818D9" w:rsidR="00D35096" w:rsidRPr="002E38D8" w:rsidRDefault="00D35096" w:rsidP="002E38D8">
      <w:pPr>
        <w:pStyle w:val="Heading1"/>
      </w:pPr>
      <w:bookmarkStart w:id="0" w:name="_GoBack"/>
      <w:bookmarkEnd w:id="0"/>
      <w:r w:rsidRPr="002E38D8">
        <w:t xml:space="preserve">Appendix </w:t>
      </w:r>
      <w:r w:rsidR="002E38D8">
        <w:t>A.</w:t>
      </w:r>
      <w:r w:rsidRPr="002E38D8">
        <w:t xml:space="preserve">  The MSP Scenario tree</w:t>
      </w:r>
    </w:p>
    <w:p w14:paraId="57382820" w14:textId="01794900" w:rsidR="00D35096" w:rsidRDefault="00D35096" w:rsidP="00D35096">
      <w:pPr>
        <w:pStyle w:val="FirstParagraph"/>
        <w:rPr>
          <w:rFonts w:eastAsiaTheme="minorEastAsia"/>
        </w:rPr>
      </w:pPr>
      <w:r>
        <w:t xml:space="preserve">The root node of the scenario tree is denoted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. Let </w:t>
      </w:r>
      <m:oMath>
        <m:r>
          <m:rPr>
            <m:scr m:val="script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be the set of all nodes in the tree,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>
        <w:rPr>
          <w:rFonts w:eastAsiaTheme="minorEastAsia"/>
        </w:rPr>
        <w:t xml:space="preserve"> be the set of nodes at time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. For our retirement planning problem, time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is the first stage and retirement time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is the terminal stage. Thus,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lit/>
          </m:rP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contains the root node only,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>
        <w:rPr>
          <w:rFonts w:eastAsiaTheme="minorEastAsia"/>
        </w:rPr>
        <w:t xml:space="preserve"> is the set of leaf nodes, and </w:t>
      </w:r>
      <m:oMath>
        <m:r>
          <m:rPr>
            <m:scr m:val="script"/>
          </m:rPr>
          <w:rPr>
            <w:rFonts w:ascii="Cambria Math" w:hAnsi="Cambria Math"/>
          </w:rPr>
          <m:t>N=</m:t>
        </m:r>
        <m:nary>
          <m:naryPr>
            <m:chr m:val="⋃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0,T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nary>
      </m:oMath>
      <w:r>
        <w:rPr>
          <w:rFonts w:eastAsiaTheme="minorEastAsia"/>
        </w:rPr>
        <w:t xml:space="preserve">. The unconditional probability that a node,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occurs is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pr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>
        <w:rPr>
          <w:rFonts w:eastAsiaTheme="minorEastAsia"/>
        </w:rPr>
        <w:t xml:space="preserve"> and, clearly </w:t>
      </w:r>
      <m:oMath>
        <m:nary>
          <m:naryPr>
            <m:chr m:val="∑"/>
            <m:supHide m:val="1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sub>
          <m:sup>
            <m:ctrlPr>
              <w:rPr>
                <w:rFonts w:ascii="Cambria Math" w:hAnsi="Cambria Math"/>
              </w:rPr>
            </m:ctrlPr>
          </m:sup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pr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ctrlPr>
              <w:rPr>
                <w:rFonts w:ascii="Cambria Math" w:hAnsi="Cambria Math"/>
              </w:rPr>
            </m:ctrlPr>
          </m:e>
        </m:nary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. A node </w:t>
      </w:r>
      <m:oMath>
        <m:r>
          <w:rPr>
            <w:rFonts w:ascii="Cambria Math" w:eastAsiaTheme="minorEastAsia" w:hAnsi="Cambria Math"/>
          </w:rPr>
          <m:t>n</m:t>
        </m:r>
        <m:r>
          <m:rPr>
            <m:sty m:val="p"/>
          </m:rPr>
          <w:rPr>
            <w:rFonts w:ascii="Cambria Math" w:eastAsiaTheme="minorEastAsia" w:hAnsi="Cambria Math" w:hint="eastAsia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will branch off from a parent node, denoted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. A node </w:t>
      </w:r>
      <m:oMath>
        <m:r>
          <w:rPr>
            <w:rFonts w:ascii="Cambria Math" w:eastAsiaTheme="minorEastAsia" w:hAnsi="Cambria Math"/>
          </w:rPr>
          <m:t>n</m:t>
        </m:r>
        <m:r>
          <m:rPr>
            <m:sty m:val="p"/>
          </m:rPr>
          <w:rPr>
            <w:rFonts w:ascii="Cambria Math" w:eastAsiaTheme="minorEastAsia" w:hAnsi="Cambria Math"/>
          </w:rPr>
          <m:t>∉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>
        <w:rPr>
          <w:rFonts w:eastAsiaTheme="minorEastAsia"/>
        </w:rPr>
        <w:t xml:space="preserve"> will give rise to a set of children nodes, denoted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>.</w:t>
      </w:r>
    </w:p>
    <w:p w14:paraId="206845BE" w14:textId="77777777" w:rsidR="00D35096" w:rsidRPr="00C365AA" w:rsidRDefault="00D35096" w:rsidP="00D35096">
      <w:pPr>
        <w:pStyle w:val="FirstParagraph"/>
        <w:rPr>
          <w:rFonts w:cs="Times New Roman"/>
        </w:rPr>
      </w:pPr>
      <w:r>
        <w:t xml:space="preserve">In the operations research literature, scenario trees are generated using three main methods: scenario reduction, state aggregation and moment matching </w:t>
      </w:r>
      <w:r w:rsidRPr="00C365AA">
        <w:rPr>
          <w:rFonts w:cs="Times New Roman"/>
        </w:rPr>
        <w:t>(see Geyer</w:t>
      </w:r>
      <w:r>
        <w:rPr>
          <w:rFonts w:cs="Times New Roman"/>
        </w:rPr>
        <w:t xml:space="preserve"> et al., </w:t>
      </w:r>
      <w:r w:rsidRPr="00C365AA">
        <w:rPr>
          <w:rFonts w:cs="Times New Roman"/>
        </w:rPr>
        <w:t>2010)</w:t>
      </w:r>
      <w:r>
        <w:t xml:space="preserve">. We choose the moment matching method </w:t>
      </w:r>
      <w:r w:rsidRPr="00C365AA">
        <w:rPr>
          <w:rFonts w:cs="Times New Roman"/>
        </w:rPr>
        <w:t>(Høyland and Wallace</w:t>
      </w:r>
      <w:r>
        <w:rPr>
          <w:rFonts w:cs="Times New Roman"/>
        </w:rPr>
        <w:t xml:space="preserve">, </w:t>
      </w:r>
      <w:r w:rsidRPr="00C365AA">
        <w:rPr>
          <w:rFonts w:cs="Times New Roman"/>
        </w:rPr>
        <w:t>2001; Klaassen</w:t>
      </w:r>
      <w:r>
        <w:rPr>
          <w:rFonts w:cs="Times New Roman"/>
        </w:rPr>
        <w:t>,</w:t>
      </w:r>
      <w:r w:rsidRPr="00C365AA">
        <w:rPr>
          <w:rFonts w:cs="Times New Roman"/>
        </w:rPr>
        <w:t xml:space="preserve"> 2002) for generating scenario trees of accumulated equity returns and three Nelson-Siegel </w:t>
      </w:r>
      <w:r>
        <w:rPr>
          <w:rFonts w:cs="Times New Roman"/>
        </w:rPr>
        <w:t xml:space="preserve">model </w:t>
      </w:r>
      <w:r w:rsidRPr="00C365AA">
        <w:rPr>
          <w:rFonts w:cs="Times New Roman"/>
        </w:rPr>
        <w:t>parameters.</w:t>
      </w:r>
      <w:r>
        <w:rPr>
          <w:rFonts w:cs="Times New Roman"/>
        </w:rPr>
        <w:t xml:space="preserve"> The first-period sub-tree has outcomes corresponding to each child node in the set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 w:cs="Times New Roman"/>
        </w:rPr>
        <w:t>. The outcomes for the first period sub-tree are obtained by matching the first four moments of the distributions of state variables. For the second-period sub-trees, the conditional outcomes are obtained by matching the first four moments of the conditional distributions on outcomes of the first-period sub-tree. This procedure is executed sequentially for the third, fourth sub-trees and so on until the final-period sub-trees. By doing so, we ensure that all conditional distribution properties are fully matched throughout the multi-period scenario tree.</w:t>
      </w:r>
    </w:p>
    <w:p w14:paraId="5B485600" w14:textId="77777777" w:rsidR="00D35096" w:rsidRDefault="00D35096" w:rsidP="00D35096">
      <w:pPr>
        <w:pStyle w:val="BodyText"/>
        <w:rPr>
          <w:rFonts w:cs="Times New Roman"/>
        </w:rPr>
      </w:pPr>
      <w:r>
        <w:rPr>
          <w:rFonts w:cs="Times New Roman"/>
        </w:rPr>
        <w:t xml:space="preserve">The scenario tree that we construct in our multi-stage stochastic programming problem has six stages. The time interval between the stage is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t</m:t>
        </m:r>
      </m:oMath>
      <w:r>
        <w:rPr>
          <w:rFonts w:cs="Times New Roman"/>
        </w:rPr>
        <w:t xml:space="preserve">, so the stages occur at time </w:t>
      </w:r>
      <m:oMath>
        <m:r>
          <w:rPr>
            <w:rFonts w:ascii="Cambria Math" w:hAnsi="Cambria Math" w:cs="Times New Roman"/>
          </w:rPr>
          <m:t>0</m:t>
        </m:r>
      </m:oMath>
      <w:r>
        <w:rPr>
          <w:rFonts w:cs="Times New Roman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, </w:t>
      </w:r>
      <w:r>
        <w:rPr>
          <w:rFonts w:eastAsiaTheme="minorEastAsia" w:cs="Times New Roman"/>
        </w:rPr>
        <w:lastRenderedPageBreak/>
        <w:t xml:space="preserve">…, and </w:t>
      </w:r>
      <m:oMath>
        <m:r>
          <w:rPr>
            <w:rFonts w:ascii="Cambria Math" w:eastAsiaTheme="minorEastAsia" w:hAnsi="Cambria Math" w:cs="Times New Roman"/>
          </w:rPr>
          <m:t>T=5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. At each node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cs="Times New Roman"/>
        </w:rPr>
        <w:t xml:space="preserve">, we store the state variables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1,n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2,n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3,n</m:t>
                </m:r>
              </m:sub>
            </m:sSub>
          </m:e>
        </m:d>
      </m:oMath>
      <w:r>
        <w:rPr>
          <w:rFonts w:eastAsiaTheme="minorEastAsia" w:cs="Times New Roman"/>
        </w:rPr>
        <w:t xml:space="preserve"> employing the same notation as before except that we index by node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cs="Times New Roman"/>
        </w:rPr>
        <w:t xml:space="preserve"> rather than by time. Thus, if node </w:t>
      </w:r>
      <m:oMath>
        <m:r>
          <w:rPr>
            <w:rFonts w:ascii="Cambria Math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occurs at time </w:t>
      </w:r>
      <m:oMath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eastAsiaTheme="minorEastAsia" w:cs="Times New Roman"/>
        </w:rPr>
        <w:t xml:space="preserve"> denotes the equity log-return over a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-long time interval ending at time </w:t>
      </w:r>
      <m:oMath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 (Equation </w:t>
      </w:r>
      <w:r w:rsidRPr="00A31DBF">
        <w:rPr>
          <w:rFonts w:cs="Times New Roman"/>
        </w:rPr>
        <w:t>(</w:t>
      </w:r>
      <w:r>
        <w:rPr>
          <w:rFonts w:cs="Times New Roman"/>
          <w:noProof/>
        </w:rPr>
        <w:t>2</w:t>
      </w:r>
      <w:r w:rsidRPr="00A31DBF">
        <w:rPr>
          <w:rFonts w:cs="Times New Roman"/>
        </w:rPr>
        <w:t>)</w:t>
      </w:r>
      <w:r>
        <w:rPr>
          <w:rFonts w:eastAsiaTheme="minorEastAsia" w:cs="Times New Roman"/>
        </w:rPr>
        <w:t xml:space="preserve">);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eastAsiaTheme="minorEastAsia" w:cs="Times New Roman"/>
        </w:rPr>
        <w:t xml:space="preserve"> denotes equity log-return over a month ending at time </w:t>
      </w:r>
      <m:oMath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 (Equation </w:t>
      </w:r>
      <w:r w:rsidRPr="00620D8C">
        <w:rPr>
          <w:rFonts w:cs="Times New Roman"/>
        </w:rPr>
        <w:t>(</w:t>
      </w:r>
      <w:r>
        <w:rPr>
          <w:rFonts w:cs="Times New Roman"/>
          <w:noProof/>
        </w:rPr>
        <w:t>8</w:t>
      </w:r>
      <w:r w:rsidRPr="00620D8C">
        <w:rPr>
          <w:rFonts w:cs="Times New Roman"/>
        </w:rPr>
        <w:t>)</w:t>
      </w:r>
      <w:r>
        <w:rPr>
          <w:rFonts w:eastAsiaTheme="minorEastAsia" w:cs="Times New Roman"/>
        </w:rPr>
        <w:t xml:space="preserve">);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1,n</m:t>
            </m:r>
          </m:sub>
        </m:sSub>
      </m:oMath>
      <w:r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2,n</m:t>
            </m:r>
          </m:sub>
        </m:sSub>
      </m:oMath>
      <w:r>
        <w:rPr>
          <w:rFonts w:eastAsiaTheme="minorEastAsia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3,n</m:t>
            </m:r>
          </m:sub>
        </m:sSub>
      </m:oMath>
      <w:r>
        <w:rPr>
          <w:rFonts w:eastAsiaTheme="minorEastAsia" w:cs="Times New Roman"/>
        </w:rPr>
        <w:t xml:space="preserve"> denote the Nelson-Siegel model parameters at time </w:t>
      </w:r>
      <m:oMath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 (Equation </w:t>
      </w:r>
      <w:r w:rsidRPr="00620D8C">
        <w:rPr>
          <w:rFonts w:cs="Times New Roman"/>
        </w:rPr>
        <w:t>(</w:t>
      </w:r>
      <w:r>
        <w:rPr>
          <w:rFonts w:cs="Times New Roman"/>
          <w:noProof/>
        </w:rPr>
        <w:t>7</w:t>
      </w:r>
      <w:r w:rsidRPr="00620D8C">
        <w:rPr>
          <w:rFonts w:cs="Times New Roman"/>
        </w:rPr>
        <w:t>)</w:t>
      </w:r>
      <w:r>
        <w:rPr>
          <w:rFonts w:eastAsiaTheme="minorEastAsia" w:cs="Times New Roman"/>
        </w:rPr>
        <w:t xml:space="preserve">). At the root node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>
        <w:rPr>
          <w:rFonts w:eastAsiaTheme="minorEastAsia" w:cs="Times New Roman"/>
        </w:rPr>
        <w:t xml:space="preserve">, the initial state values are set to equal the unconditional expected means in </w:t>
      </w:r>
      <w:r>
        <w:t xml:space="preserve">Table </w:t>
      </w:r>
      <w:r>
        <w:rPr>
          <w:noProof/>
        </w:rPr>
        <w:t>3</w:t>
      </w:r>
      <w:r>
        <w:rPr>
          <w:rFonts w:eastAsiaTheme="minorEastAsia" w:cs="Times New Roman"/>
        </w:rPr>
        <w:t>. In the scenario tree, every non-terminal node branches off to six children nodes. Six outcomes are the minimum required to perfectly match the first four moments of the five state variables.</w:t>
      </w:r>
    </w:p>
    <w:p w14:paraId="01181EE3" w14:textId="5C7FF063" w:rsidR="00D35096" w:rsidRDefault="00D35096" w:rsidP="00D35096">
      <w:pPr>
        <w:pStyle w:val="BodyText"/>
        <w:rPr>
          <w:rFonts w:cs="Times New Roman"/>
        </w:rPr>
      </w:pPr>
      <w:r>
        <w:rPr>
          <w:rFonts w:cs="Times New Roman"/>
        </w:rPr>
        <w:t xml:space="preserve">Validating arbitrage opportunities among the financial assets (cash, bond and equity funds) is dealt with by using the two methods of </w:t>
      </w:r>
      <w:r w:rsidRPr="00C365AA">
        <w:rPr>
          <w:rFonts w:cs="Times New Roman"/>
        </w:rPr>
        <w:t>Klaassen</w:t>
      </w:r>
      <w:r>
        <w:rPr>
          <w:rFonts w:cs="Times New Roman"/>
        </w:rPr>
        <w:t xml:space="preserve"> (</w:t>
      </w:r>
      <w:r w:rsidRPr="00C365AA">
        <w:rPr>
          <w:rFonts w:cs="Times New Roman"/>
        </w:rPr>
        <w:t>2002</w:t>
      </w:r>
      <w:r>
        <w:rPr>
          <w:rFonts w:cs="Times New Roman"/>
        </w:rPr>
        <w:t xml:space="preserve">) for two arbitrage types </w:t>
      </w:r>
      <w:r w:rsidRPr="00CB1B21">
        <w:rPr>
          <w:rFonts w:cs="Times New Roman"/>
          <w:i/>
        </w:rPr>
        <w:t>ex-post</w:t>
      </w:r>
      <w:r>
        <w:rPr>
          <w:rFonts w:cs="Times New Roman"/>
        </w:rPr>
        <w:t xml:space="preserve"> and the method of Geyer et al. (2014) for no-arbitrage bounds </w:t>
      </w:r>
      <w:r w:rsidRPr="00CB1B21">
        <w:rPr>
          <w:rFonts w:cs="Times New Roman"/>
          <w:i/>
        </w:rPr>
        <w:t>ex-ante</w:t>
      </w:r>
      <w:r>
        <w:rPr>
          <w:rFonts w:cs="Times New Roman"/>
        </w:rPr>
        <w:t xml:space="preserve">. The detailed step procedures can be found in </w:t>
      </w:r>
      <w:r w:rsidRPr="00C365AA">
        <w:rPr>
          <w:rFonts w:cs="Times New Roman"/>
        </w:rPr>
        <w:t xml:space="preserve">Owadally </w:t>
      </w:r>
      <w:r>
        <w:rPr>
          <w:rFonts w:cs="Times New Roman"/>
        </w:rPr>
        <w:t xml:space="preserve">et al. </w:t>
      </w:r>
      <w:r w:rsidRPr="00C365AA">
        <w:rPr>
          <w:rFonts w:cs="Times New Roman"/>
        </w:rPr>
        <w:t>(20</w:t>
      </w:r>
      <w:r w:rsidR="00E55BEF">
        <w:rPr>
          <w:rFonts w:cs="Times New Roman"/>
        </w:rPr>
        <w:t>21</w:t>
      </w:r>
      <w:r w:rsidRPr="00C365AA">
        <w:rPr>
          <w:rFonts w:cs="Times New Roman"/>
        </w:rPr>
        <w:t>)</w:t>
      </w:r>
      <w:r>
        <w:rPr>
          <w:rFonts w:cs="Times New Roman"/>
        </w:rPr>
        <w:t>.</w:t>
      </w:r>
    </w:p>
    <w:p w14:paraId="156598A0" w14:textId="77777777" w:rsidR="00D35096" w:rsidRPr="00C365AA" w:rsidRDefault="00D35096" w:rsidP="00D35096">
      <w:pPr>
        <w:pStyle w:val="BodyText"/>
        <w:rPr>
          <w:rFonts w:cs="Times New Roman"/>
        </w:rPr>
      </w:pPr>
      <w:r>
        <w:rPr>
          <w:rFonts w:cs="Times New Roman"/>
        </w:rPr>
        <w:t xml:space="preserve">Since there are six child nodes for every non-terminal node and there are six stages (five periods) there are therefore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=7,776</m:t>
        </m:r>
      </m:oMath>
      <w:r>
        <w:rPr>
          <w:rFonts w:cs="Times New Roman"/>
        </w:rPr>
        <w:t xml:space="preserve"> scenarios and </w:t>
      </w:r>
      <m:oMath>
        <m:nary>
          <m:naryPr>
            <m:chr m:val="∑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j=0</m:t>
            </m:r>
            <m:ctrlPr>
              <w:rPr>
                <w:rFonts w:ascii="Cambria Math" w:hAnsi="Cambria Math" w:cs="Times New Roman"/>
                <w:i/>
              </w:rPr>
            </m:ctrlPr>
          </m:sub>
          <m:sup>
            <m:r>
              <w:rPr>
                <w:rFonts w:ascii="Cambria Math" w:hAnsi="Cambria Math" w:cs="Times New Roman"/>
              </w:rPr>
              <m:t>5</m:t>
            </m:r>
            <m:ctrlPr>
              <w:rPr>
                <w:rFonts w:ascii="Cambria Math" w:hAnsi="Cambria Math" w:cs="Times New Roman"/>
                <w:i/>
              </w:rPr>
            </m:ctrlP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j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e>
        </m:nary>
        <m:r>
          <w:rPr>
            <w:rFonts w:ascii="Cambria Math" w:hAnsi="Cambria Math" w:cs="Times New Roman"/>
          </w:rPr>
          <m:t>=9,331</m:t>
        </m:r>
      </m:oMath>
      <w:r>
        <w:rPr>
          <w:rFonts w:cs="Times New Roman"/>
        </w:rPr>
        <w:t xml:space="preserve"> nodes. To improve the stability of our results, we aggregate two independently-generated scenario trees, with identical root nodes, into one large scenario tree (see </w:t>
      </w:r>
      <w:r w:rsidRPr="00C365AA">
        <w:rPr>
          <w:rFonts w:cs="Times New Roman"/>
        </w:rPr>
        <w:t>Høyland and Wallace</w:t>
      </w:r>
      <w:r>
        <w:rPr>
          <w:rFonts w:cs="Times New Roman"/>
        </w:rPr>
        <w:t xml:space="preserve">, </w:t>
      </w:r>
      <w:r w:rsidRPr="00C365AA">
        <w:rPr>
          <w:rFonts w:cs="Times New Roman"/>
        </w:rPr>
        <w:t>2001</w:t>
      </w:r>
      <w:r>
        <w:rPr>
          <w:rFonts w:cs="Times New Roman"/>
        </w:rPr>
        <w:t>). This means that the total number of scenarios is 15,552 and the total number of nodes is 18,661.</w:t>
      </w:r>
      <w:r>
        <w:rPr>
          <w:rStyle w:val="FootnoteReference"/>
          <w:rFonts w:cs="Times New Roman"/>
        </w:rPr>
        <w:footnoteReference w:id="1"/>
      </w:r>
      <w:r>
        <w:rPr>
          <w:rFonts w:cs="Times New Roman"/>
        </w:rPr>
        <w:t xml:space="preserve"> </w:t>
      </w:r>
    </w:p>
    <w:p w14:paraId="759CE167" w14:textId="77777777" w:rsidR="00D35096" w:rsidRDefault="00D35096" w:rsidP="00D35096">
      <w:pPr>
        <w:pStyle w:val="BodyText"/>
        <w:rPr>
          <w:rFonts w:cs="Times New Roman"/>
        </w:rPr>
      </w:pPr>
      <w:r w:rsidRPr="00C365AA">
        <w:rPr>
          <w:rFonts w:cs="Times New Roman"/>
        </w:rPr>
        <w:lastRenderedPageBreak/>
        <w:t>From the generated outcomes on each node, the asset prices given in Equation</w:t>
      </w:r>
      <w:r>
        <w:rPr>
          <w:rFonts w:cs="Times New Roman"/>
        </w:rPr>
        <w:t xml:space="preserve">s </w:t>
      </w:r>
      <w:r w:rsidRPr="00A31DBF">
        <w:rPr>
          <w:rFonts w:cs="Times New Roman"/>
        </w:rPr>
        <w:t>(</w:t>
      </w:r>
      <w:r>
        <w:rPr>
          <w:rFonts w:cs="Times New Roman"/>
          <w:noProof/>
        </w:rPr>
        <w:t>2</w:t>
      </w:r>
      <w:r w:rsidRPr="00A31DBF">
        <w:rPr>
          <w:rFonts w:cs="Times New Roman"/>
        </w:rPr>
        <w:t>)</w:t>
      </w:r>
      <w:r>
        <w:rPr>
          <w:rFonts w:cs="Times New Roman"/>
        </w:rPr>
        <w:t xml:space="preserve"> t</w:t>
      </w:r>
      <w:r w:rsidRPr="00C365A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620D8C">
        <w:rPr>
          <w:rFonts w:cs="Times New Roman"/>
        </w:rPr>
        <w:t>(</w:t>
      </w:r>
      <w:r>
        <w:rPr>
          <w:rFonts w:cs="Times New Roman"/>
          <w:noProof/>
        </w:rPr>
        <w:t>5</w:t>
      </w:r>
      <w:r w:rsidRPr="00620D8C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C365AA">
        <w:rPr>
          <w:rFonts w:cs="Times New Roman"/>
        </w:rPr>
        <w:t xml:space="preserve">can be rewritten in a nodal form. </w:t>
      </w:r>
      <w:r>
        <w:rPr>
          <w:rFonts w:cs="Times New Roman"/>
        </w:rPr>
        <w:t xml:space="preserve">Recall that any node </w:t>
      </w:r>
      <m:oMath>
        <m:r>
          <w:rPr>
            <w:rFonts w:ascii="Cambria Math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in the scenario tree (except for the root node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>
        <w:rPr>
          <w:rFonts w:eastAsiaTheme="minorEastAsia" w:cs="Times New Roman"/>
        </w:rPr>
        <w:t xml:space="preserve">) branches off from a parent node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</m:sup>
        </m:sSup>
      </m:oMath>
      <w:r>
        <w:rPr>
          <w:rFonts w:eastAsiaTheme="minorEastAsia" w:cs="Times New Roman"/>
        </w:rPr>
        <w:t xml:space="preserve"> at the previous time stage. The asset price in </w:t>
      </w:r>
      <w:r w:rsidRPr="00C365AA">
        <w:rPr>
          <w:rFonts w:cs="Times New Roman"/>
        </w:rPr>
        <w:t>Equation</w:t>
      </w:r>
      <w:r>
        <w:rPr>
          <w:rFonts w:cs="Times New Roman"/>
        </w:rPr>
        <w:t xml:space="preserve"> </w:t>
      </w:r>
      <w:r w:rsidRPr="00A31DBF">
        <w:rPr>
          <w:rFonts w:cs="Times New Roman"/>
        </w:rPr>
        <w:t>(</w:t>
      </w:r>
      <w:r>
        <w:rPr>
          <w:rFonts w:cs="Times New Roman"/>
          <w:noProof/>
        </w:rPr>
        <w:t>2</w:t>
      </w:r>
      <w:r w:rsidRPr="00A31DBF">
        <w:rPr>
          <w:rFonts w:cs="Times New Roman"/>
        </w:rPr>
        <w:t>)</w:t>
      </w:r>
      <w:r>
        <w:rPr>
          <w:rFonts w:cs="Times New Roman"/>
        </w:rPr>
        <w:t xml:space="preserve">, </w:t>
      </w:r>
      <w:r w:rsidRPr="00C365AA">
        <w:rPr>
          <w:rFonts w:cs="Times New Roman"/>
        </w:rPr>
        <w:t xml:space="preserve">for example, is transformed into the nodal form simply by replacing </w:t>
      </w:r>
      <m:oMath>
        <m:r>
          <w:rPr>
            <w:rFonts w:ascii="Cambria Math" w:hAnsi="Cambria Math" w:cs="Times New Roman"/>
          </w:rPr>
          <m:t>t</m:t>
        </m:r>
      </m:oMath>
      <w:r w:rsidRPr="00C365AA">
        <w:rPr>
          <w:rFonts w:cs="Times New Roman"/>
        </w:rPr>
        <w:t xml:space="preserve"> with </w:t>
      </w:r>
      <m:oMath>
        <m:r>
          <w:rPr>
            <w:rFonts w:ascii="Cambria Math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t-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="Times New Roman"/>
        </w:rPr>
        <w:t xml:space="preserve"> with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</m:sup>
        </m:sSup>
      </m:oMath>
      <w:r>
        <w:rPr>
          <w:rFonts w:eastAsiaTheme="minorEastAsia" w:cs="Times New Roman"/>
        </w:rPr>
        <w:t xml:space="preserve"> as follows</w:t>
      </w:r>
      <w:r w:rsidRPr="00C365AA">
        <w:rPr>
          <w:rFonts w:cs="Times New Roman"/>
        </w:rPr>
        <w:t>:</w:t>
      </w:r>
    </w:p>
    <w:tbl>
      <w:tblPr>
        <w:tblStyle w:val="TableGrid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363"/>
        <w:gridCol w:w="718"/>
      </w:tblGrid>
      <w:tr w:rsidR="00D35096" w14:paraId="3442E6D5" w14:textId="77777777" w:rsidTr="00500E60">
        <w:trPr>
          <w:trHeight w:val="121"/>
        </w:trPr>
        <w:tc>
          <w:tcPr>
            <w:tcW w:w="284" w:type="dxa"/>
          </w:tcPr>
          <w:p w14:paraId="1E80295D" w14:textId="77777777" w:rsidR="00D35096" w:rsidRDefault="00D35096" w:rsidP="00500E60">
            <w:pPr>
              <w:pStyle w:val="BodyText"/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8363" w:type="dxa"/>
            <w:vAlign w:val="center"/>
          </w:tcPr>
          <w:p w14:paraId="35BF9719" w14:textId="77777777" w:rsidR="00D35096" w:rsidRPr="00620D8C" w:rsidRDefault="00FD7E92" w:rsidP="00500E60">
            <w:pPr>
              <w:pStyle w:val="BodyText"/>
              <w:jc w:val="center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i,n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i,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</m:sup>
                  </m:sSup>
                </m:sub>
              </m:sSub>
              <m:r>
                <w:rPr>
                  <w:rFonts w:ascii="Cambria Math" w:hAnsi="Cambria Math" w:cs="Times New Roman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exp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i,n</m:t>
                      </m:r>
                    </m:sub>
                  </m:sSub>
                </m:e>
              </m:d>
            </m:oMath>
            <w:r w:rsidR="00D35096">
              <w:rPr>
                <w:rFonts w:eastAsiaTheme="minorEastAsia" w:cs="Times New Roman"/>
              </w:rPr>
              <w:tab/>
              <w:t xml:space="preserve">for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 w:hint="eastAsia"/>
                </w:rPr>
                <m:t>∈</m:t>
              </m:r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∖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</m:oMath>
            <w:r w:rsidR="00D35096">
              <w:rPr>
                <w:rFonts w:eastAsiaTheme="minorEastAsia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 w:hint="eastAsia"/>
                </w:rPr>
                <m:t>∈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{</m:t>
              </m:r>
              <m:r>
                <w:rPr>
                  <w:rFonts w:ascii="Cambria Math" w:eastAsiaTheme="minorEastAsia" w:hAnsi="Cambria Math" w:cs="Times New Roman"/>
                </w:rPr>
                <m:t>C,B,E}</m:t>
              </m:r>
            </m:oMath>
            <w:r w:rsidR="00D35096">
              <w:rPr>
                <w:rFonts w:eastAsiaTheme="minorEastAsia" w:cs="Times New Roman"/>
              </w:rPr>
              <w:t>,</w:t>
            </w:r>
          </w:p>
        </w:tc>
        <w:tc>
          <w:tcPr>
            <w:tcW w:w="718" w:type="dxa"/>
            <w:vAlign w:val="center"/>
          </w:tcPr>
          <w:p w14:paraId="12146A69" w14:textId="77777777" w:rsidR="00D35096" w:rsidRPr="00620D8C" w:rsidRDefault="00D35096" w:rsidP="00500E60">
            <w:pPr>
              <w:pStyle w:val="BodyText"/>
              <w:spacing w:line="240" w:lineRule="auto"/>
              <w:ind w:right="480" w:firstLine="0"/>
              <w:rPr>
                <w:rFonts w:cs="Times New Roman"/>
              </w:rPr>
            </w:pPr>
          </w:p>
        </w:tc>
      </w:tr>
    </w:tbl>
    <w:p w14:paraId="6B207512" w14:textId="71BDC347" w:rsidR="00D35096" w:rsidRDefault="00D35096" w:rsidP="007C7775">
      <w:pPr>
        <w:pStyle w:val="BodyText"/>
        <w:spacing w:before="0" w:after="0" w:line="240" w:lineRule="auto"/>
        <w:ind w:firstLine="0"/>
        <w:rPr>
          <w:rFonts w:cs="Times New Roman"/>
        </w:rPr>
      </w:pPr>
      <w:r>
        <w:rPr>
          <w:rFonts w:cs="Times New Roman"/>
        </w:rPr>
        <w:t>w</w:t>
      </w:r>
      <w:r w:rsidRPr="00C365AA">
        <w:rPr>
          <w:rFonts w:cs="Times New Roman"/>
        </w:rPr>
        <w:t>here</w:t>
      </w:r>
      <w:r>
        <w:rPr>
          <w:rFonts w:eastAsiaTheme="minorEastAsia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cs="Times New Roman"/>
        </w:rPr>
        <w:t>.</w:t>
      </w:r>
      <w:r w:rsidRPr="00C365AA">
        <w:rPr>
          <w:rFonts w:cs="Times New Roman"/>
        </w:rPr>
        <w:t xml:space="preserve"> </w:t>
      </w:r>
      <w:r>
        <w:rPr>
          <w:rFonts w:cs="Times New Roman"/>
        </w:rPr>
        <w:t>Other pricing formulas are transformed in a similar way.</w:t>
      </w:r>
    </w:p>
    <w:p w14:paraId="1D38C042" w14:textId="77777777" w:rsidR="00136C93" w:rsidRDefault="00136C93" w:rsidP="007C7775">
      <w:pPr>
        <w:pStyle w:val="BodyText"/>
        <w:spacing w:before="0" w:after="0" w:line="240" w:lineRule="auto"/>
        <w:ind w:firstLine="0"/>
        <w:rPr>
          <w:rFonts w:cs="Times New Roman"/>
        </w:rPr>
        <w:sectPr w:rsidR="00136C93" w:rsidSect="00055535">
          <w:footerReference w:type="default" r:id="rId8"/>
          <w:pgSz w:w="11906" w:h="16838" w:code="9"/>
          <w:pgMar w:top="1440" w:right="1440" w:bottom="1440" w:left="1440" w:header="1440" w:footer="1440" w:gutter="0"/>
          <w:cols w:space="720"/>
          <w:docGrid w:linePitch="326"/>
        </w:sectPr>
      </w:pPr>
    </w:p>
    <w:p w14:paraId="18E095C5" w14:textId="77777777" w:rsidR="00136C93" w:rsidRDefault="00136C93" w:rsidP="00136C93">
      <w:pPr>
        <w:pStyle w:val="Heading1"/>
      </w:pPr>
      <w:r>
        <w:lastRenderedPageBreak/>
        <w:t>Appendix B</w:t>
      </w:r>
    </w:p>
    <w:p w14:paraId="7ADE547F" w14:textId="77777777" w:rsidR="00136C93" w:rsidRPr="0019285B" w:rsidRDefault="00136C93" w:rsidP="00136C93">
      <w:pPr>
        <w:pStyle w:val="BodyText"/>
        <w:jc w:val="center"/>
        <w:rPr>
          <w:i/>
        </w:rPr>
      </w:pPr>
      <w:r w:rsidRPr="0019285B">
        <w:rPr>
          <w:i/>
        </w:rPr>
        <w:t xml:space="preserve">Table </w:t>
      </w:r>
      <w:r>
        <w:rPr>
          <w:i/>
        </w:rPr>
        <w:t>B</w:t>
      </w:r>
      <w:r w:rsidRPr="0019285B">
        <w:rPr>
          <w:i/>
        </w:rPr>
        <w:t xml:space="preserve">.1. </w:t>
      </w:r>
      <w:r>
        <w:rPr>
          <w:i/>
        </w:rPr>
        <w:t xml:space="preserve">Average Stochastic Optimal Strategies (%) and Total Secured Retirement Income (£1,000 p.a.) </w:t>
      </w:r>
      <w:r>
        <w:rPr>
          <w:i/>
        </w:rPr>
        <w:br/>
        <w:t>with Various Risk Aversion (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rPr>
          <w:i/>
        </w:rPr>
        <w:t>), Time Preference (</w:t>
      </w:r>
      <m:oMath>
        <m:r>
          <m:rPr>
            <m:sty m:val="p"/>
          </m:rPr>
          <w:rPr>
            <w:rFonts w:ascii="Cambria Math" w:hAnsi="Cambria Math"/>
          </w:rPr>
          <m:t>ρ</m:t>
        </m:r>
      </m:oMath>
      <w:r>
        <w:rPr>
          <w:i/>
        </w:rPr>
        <w:t>), and Bequest Motive (</w:t>
      </w:r>
      <m:oMath>
        <m:r>
          <m:rPr>
            <m:sty m:val="p"/>
          </m:rPr>
          <w:rPr>
            <w:rFonts w:ascii="Cambria Math" w:hAnsi="Cambria Math"/>
          </w:rPr>
          <m:t>κ</m:t>
        </m:r>
      </m:oMath>
      <w:r>
        <w:rPr>
          <w:i/>
        </w:rPr>
        <w:t>) Parameters</w:t>
      </w:r>
    </w:p>
    <w:tbl>
      <w:tblPr>
        <w:tblStyle w:val="TableGrid"/>
        <w:tblW w:w="13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781"/>
        <w:gridCol w:w="782"/>
        <w:gridCol w:w="782"/>
        <w:gridCol w:w="783"/>
        <w:gridCol w:w="243"/>
        <w:gridCol w:w="781"/>
        <w:gridCol w:w="788"/>
        <w:gridCol w:w="788"/>
        <w:gridCol w:w="788"/>
        <w:gridCol w:w="244"/>
        <w:gridCol w:w="788"/>
        <w:gridCol w:w="788"/>
        <w:gridCol w:w="788"/>
        <w:gridCol w:w="788"/>
        <w:gridCol w:w="255"/>
        <w:gridCol w:w="788"/>
        <w:gridCol w:w="788"/>
        <w:gridCol w:w="788"/>
        <w:gridCol w:w="794"/>
      </w:tblGrid>
      <w:tr w:rsidR="00136C93" w:rsidRPr="006E2915" w14:paraId="7845CDDA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5C733D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DC29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1.0,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66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7FD8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1.0,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2915" w14:paraId="23950395" w14:textId="77777777" w:rsidTr="00BA6B4F">
        <w:tc>
          <w:tcPr>
            <w:tcW w:w="603" w:type="dxa"/>
            <w:vMerge/>
            <w:tcBorders>
              <w:left w:val="nil"/>
              <w:right w:val="nil"/>
            </w:tcBorders>
            <w:vAlign w:val="center"/>
          </w:tcPr>
          <w:p w14:paraId="28F70BAC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7997B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7CEE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9A89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974C07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9078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700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DCB8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:rsidRPr="006E2915" w14:paraId="4CC21E8C" w14:textId="77777777" w:rsidTr="00BA6B4F">
        <w:tc>
          <w:tcPr>
            <w:tcW w:w="6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B73E4D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DDB46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1FB54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37267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88555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FBA4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AA5E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C102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44B3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716F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A17BC5E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2516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A4599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CBC40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EA988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AAEC9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0098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B0000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BC60F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A00E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2915" w14:paraId="10E38AAC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ABF58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B6EA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1EFA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75.60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325B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24.40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C89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DE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8D8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73B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217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B9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6C7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04FE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5CF0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75.79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4C4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24.21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10F0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A293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B896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41D2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E184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6833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</w:tr>
      <w:tr w:rsidR="00136C93" w:rsidRPr="006E2915" w14:paraId="4592451E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9EB3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E95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9.94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B80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55.88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E6C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31.80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E1B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14A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349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3F1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9AE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C2C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25.38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EF8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1364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9.89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0D4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57.83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26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31.85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D27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B3D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F0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330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AD9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08B7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0.02</w:t>
            </w:r>
          </w:p>
        </w:tc>
      </w:tr>
      <w:tr w:rsidR="00136C93" w:rsidRPr="006E2915" w14:paraId="17FFC61D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26C4A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04F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12.46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2B8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44.17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9B3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40.44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47B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2.93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478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44E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2.61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847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C3F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97C5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119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961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12.78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CDD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45.70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D1B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41.02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775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AD0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F72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840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E97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9F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0.01</w:t>
            </w:r>
          </w:p>
        </w:tc>
      </w:tr>
      <w:tr w:rsidR="00136C93" w:rsidRPr="006E2915" w14:paraId="76972787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F703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41BE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849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48.58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D8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33.60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F96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0299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8BC4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3.26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E17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5AA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247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23.32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B4E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ED9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14.59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6E4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50.79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5FC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34.16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21F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13C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DB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939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668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8FF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0.03</w:t>
            </w:r>
          </w:p>
        </w:tc>
      </w:tr>
      <w:tr w:rsidR="00136C93" w:rsidRPr="006E2915" w14:paraId="0567306B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6679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F05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10.80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54C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33.74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373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32.79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47B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22.68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38A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649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17.94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D8D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1CA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21D5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67.02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6BC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6A5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16.21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87E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43.89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DCA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35.41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82F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4.49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CDF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4CC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3.52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87B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843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76B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23.18</w:t>
            </w:r>
          </w:p>
        </w:tc>
      </w:tr>
      <w:tr w:rsidR="00136C93" w:rsidRPr="006E2915" w14:paraId="0F1E8C15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920BB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9980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AF6B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7121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CABE8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BB0B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5F56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84.48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4435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42.07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9238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74.31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586C2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155.72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F6C3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816A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920C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BBA5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8E7C8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0E2B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7228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84.19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4AC4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41.23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0DBD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73.54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F3AC5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158.47</w:t>
            </w:r>
          </w:p>
        </w:tc>
      </w:tr>
      <w:tr w:rsidR="00136C93" w:rsidRPr="006E34D9" w14:paraId="69593458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0C67D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B807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3.0,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A4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78C2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3.0,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34D9" w14:paraId="36540B11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A154C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FCBB8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713C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EB38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C9192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6DD5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F602D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88AD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5F221A90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9494A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D8BFA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FC579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769A7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D1C6F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B66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A4C7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30EF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144D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AA74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540FB7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C749A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20666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C315A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E094F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7FDB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CD2B6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C4E50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4FD6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9FD9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2E562C3D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1F3A2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683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6E2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82.06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B891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17.94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726BB7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F310C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ED7C43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8F399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A2086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289B5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EDBA56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6447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15.27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DDC2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67.74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3AA3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16.99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60F5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6829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DF2B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43D8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A2E7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5D98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</w:tr>
      <w:tr w:rsidR="00136C93" w:rsidRPr="006E34D9" w14:paraId="1E087AA1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FC19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A33200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10.37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6616BC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53.41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271E34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24.42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628F70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11.80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C99B86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043769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7.58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728994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B8C20C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9D1D26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48.03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180782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8F453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14.38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B602EC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60.76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EF0DE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24.86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4F5956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C70C67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7A925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24D7F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2903A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7D8FF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</w:tr>
      <w:tr w:rsidR="00136C93" w:rsidRPr="006E34D9" w14:paraId="62D0F266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370C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E2DA8E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16.94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B605E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34.45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0C5FA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24.94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7BE7E7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23.67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207155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CA909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16.19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A19862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3BCDA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15.55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4E1AF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55.67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C6D93F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2D2CFA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20.57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7476B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52.95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AF9E29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26.48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761AC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0EE74C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701BA8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5D792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FE8CA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671D0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</w:tr>
      <w:tr w:rsidR="00136C93" w:rsidRPr="006E34D9" w14:paraId="503B2425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2BFE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D4693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11.69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BD4664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33.46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E65683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19.67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35C1AC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35.18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F7C872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75ADAB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24.81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853A4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199E8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24.43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6E411C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59.25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68B3D5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BBF21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18.66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442A6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58.91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91AE85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22.43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510DC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88B5F6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D76B2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36794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8D6948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0D81D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</w:tr>
      <w:tr w:rsidR="00136C93" w:rsidRPr="006E34D9" w14:paraId="576C0AC0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6FD8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lastRenderedPageBreak/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5D612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8.28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F63D02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22.24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336607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16.04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81F49F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53.44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3662E7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0CCD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40.33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98E3C0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2.21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A0B02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40.45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93BFE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76.35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2370AE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A9A95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23.11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BD33B2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48.50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1908C3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20.73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15F5C3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7.66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262769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66C3DF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191448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FDEFA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E02EB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18.06</w:t>
            </w:r>
          </w:p>
        </w:tc>
      </w:tr>
      <w:tr w:rsidR="00136C93" w:rsidRPr="006E34D9" w14:paraId="7E6E726D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5487B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A83A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955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74E3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001EC" w14:textId="77777777" w:rsidR="00136C93" w:rsidRPr="00A00B50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A00B50">
              <w:rPr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9D3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92E3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78.95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E4CC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50.89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4E1A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71.35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1E908" w14:textId="77777777" w:rsidR="00136C93" w:rsidRPr="00A00B50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A00B50">
              <w:rPr>
                <w:w w:val="80"/>
              </w:rPr>
              <w:t>130.96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D39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403A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F54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7F1D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6D79E" w14:textId="77777777" w:rsidR="00136C93" w:rsidRPr="00A00B50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A00B50">
              <w:rPr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ABFE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11C9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78.81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C47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47.15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1F1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60142C">
              <w:t>71.44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73A0" w14:textId="77777777" w:rsidR="00136C93" w:rsidRPr="00A00B50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A00B50">
              <w:rPr>
                <w:w w:val="80"/>
              </w:rPr>
              <w:t>134.22</w:t>
            </w:r>
          </w:p>
        </w:tc>
      </w:tr>
      <w:tr w:rsidR="00136C93" w:rsidRPr="006E34D9" w14:paraId="1FE82562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8AD5D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FCD0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5.0,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9CA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C5A7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5.0,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34D9" w14:paraId="231AB886" w14:textId="77777777" w:rsidTr="00BA6B4F"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EE61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BC78C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043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4F72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4AAC98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2B7D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53342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4AAD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505F1035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5ABEB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13BE6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3C51D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DCC37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03C4A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5A25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2046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FB59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72BE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C8EB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9BF319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9E026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8D204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DD6D8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7EBD1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987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C5B3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3E6C1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86688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26951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08668568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D9B8A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4F89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286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83.09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DE44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12.93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BA18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3.98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FBBA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F2E8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1.69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85BF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1.69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DD12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1.69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E844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1.69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A5D5B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578B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58.82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5FD0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32.34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792A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8.84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236F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24AF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8F6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1FA6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0F97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0451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</w:tr>
      <w:tr w:rsidR="00136C93" w:rsidRPr="006E34D9" w14:paraId="4BD06B2F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8D4B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F15E0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10.97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EB0D59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48.81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0FF9BC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16.85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90941B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23.37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2C05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D99DB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13.06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842AE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6ECD5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10.08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C7576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41.10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97095A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2A314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34.97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B2977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47.45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697C2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17.57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CBFE4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FE64F5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7EB83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6ECAC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665631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96874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</w:tr>
      <w:tr w:rsidR="00136C93" w:rsidRPr="006E34D9" w14:paraId="1FC892C6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D35A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234DF0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15.56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15D571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28.55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4E268F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15.79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CE0B4C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40.10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383035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24E9E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24.70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2E9BC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2.06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1A551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24.10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73F379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48.65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F4536D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5671E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27.50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5DB9C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54.75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AC42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17.75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18BD84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CF5679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9434D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BB26D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BCDFC1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4DE7F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</w:tr>
      <w:tr w:rsidR="00136C93" w:rsidRPr="006E34D9" w14:paraId="58A19767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7791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FED40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9.29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A1844F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26.40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019A0D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12.87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23B9F3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51.44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4589FC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F787F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34.10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127EF5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10.79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14AF1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34.60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88D2BA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53.32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AD108B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047A31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21.57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4901C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63.51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6D4EC6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14.92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7E1A7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CA020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BD76C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4818F4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623D0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CB41A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</w:tr>
      <w:tr w:rsidR="00136C93" w:rsidRPr="006E34D9" w14:paraId="4173A911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230F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35FCBB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6.96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17207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17.66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B447DA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10.57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D9500A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64.81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847CFA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5F7101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46.47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311FF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21.08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A3355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46.17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D4348A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77.22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94782B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76E81F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26.14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7CD89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49.62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8EF0D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13.84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3BAB1A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10.40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3E91C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6AB8D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7.15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42B3A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F2DE8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7.53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4F476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15.77</w:t>
            </w:r>
          </w:p>
        </w:tc>
      </w:tr>
      <w:tr w:rsidR="00136C93" w:rsidRPr="006E34D9" w14:paraId="45181F11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9B8D0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3A98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C639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5316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53A4D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A55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CB61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74.20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2EC6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53.14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B1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68.60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BE1B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114.30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EDEF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D46D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338B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2939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44DDC" w14:textId="77777777" w:rsidR="00136C93" w:rsidRPr="00312E13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312E13">
              <w:rPr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BDAA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FD12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72.19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847A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46.17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25E4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202008">
              <w:t>67.83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7F753" w14:textId="77777777" w:rsidR="00136C93" w:rsidRPr="00312E13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312E13">
              <w:rPr>
                <w:w w:val="80"/>
              </w:rPr>
              <w:t>111.82</w:t>
            </w:r>
          </w:p>
        </w:tc>
      </w:tr>
      <w:tr w:rsidR="00136C93" w:rsidRPr="006E34D9" w14:paraId="4C8AE6F7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CA904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CD01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8.0,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350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3A8A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8.0,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=0.02,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34D9" w14:paraId="5EA2F489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B5DB6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6C9A3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246B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06FF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B33BA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3697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F24D0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0F77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06E33617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C1738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384F4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054AA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CD74D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C5AC6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3217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6B8C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B842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8DE0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A73F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24F476F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4477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6676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A1669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AB03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7AB7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9BA84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51BF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EAD8C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48D0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2746A302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9EBD16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8DFB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4.28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A55F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73.39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0448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6.59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12B6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15.74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A279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EAA2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6.69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22DE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6.69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6BB7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6.69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1F2C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35BE8D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07D3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77.67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14DD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16.84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3682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5.49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E709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2FA7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FB9B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47F7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E38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96A0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</w:tr>
      <w:tr w:rsidR="00136C93" w:rsidRPr="006E34D9" w14:paraId="28F5B6CC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4A3C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74B6B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11.75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D9258E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48.45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26A833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8.41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B37DBC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31.40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F60C4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41A3C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16.01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B342A8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4F9FA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17.07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ADCA2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27.19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E30076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98520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66.39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8FDA6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23.89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ABB08B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9.72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4A708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6CCDF2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C991C9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EB267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2ECFD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E8183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</w:tr>
      <w:tr w:rsidR="00136C93" w:rsidRPr="006E34D9" w14:paraId="0A9D3214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2683A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157B2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13.40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02220D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28.03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853CA1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9.95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17D1F2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48.62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2242C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569FF6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27.95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77E41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14.13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761FB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29.17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6ACB09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42.29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A0042C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0F0B5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54.13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733A97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35.67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F8A9A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10.20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91FFD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D113C4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941D00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D64F6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B1A28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B4C2A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</w:tr>
      <w:tr w:rsidR="00136C93" w:rsidRPr="006E34D9" w14:paraId="4979ECFD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EAD4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BB9E6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8.62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3B7E77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24.15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138E18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8.51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E30012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58.73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2A8452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71ADC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36.78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0257A0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21.07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C62B6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36.79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57B0D9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52.94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CC4797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875E6B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29.04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20AB6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60.93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5CA61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B5BF2F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84627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EC34C5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53C9B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A6F63B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50B69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</w:tr>
      <w:tr w:rsidR="00136C93" w:rsidRPr="006E34D9" w14:paraId="46745812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84D8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E4631A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5EABB3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15.66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91C082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7.25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3710F8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70.29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36DFF6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DEB8C8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47.52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079D6E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30.21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37266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46.98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7CA05D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67.37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4E74E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E68D9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31.49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D1C58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48.69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92807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9.17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8571B3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10.65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BBD97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932EF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7E313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33099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047E7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14.28</w:t>
            </w:r>
          </w:p>
        </w:tc>
      </w:tr>
      <w:tr w:rsidR="00136C93" w:rsidRPr="006E34D9" w14:paraId="5CB2BF18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39742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AE5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256A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24C5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3DA9" w14:textId="77777777" w:rsidR="00136C93" w:rsidRPr="00675B15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675B15">
              <w:rPr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53BA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D9B6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69.33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B6C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53.94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792C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65.98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731B1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325CCC">
              <w:t>94.95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A12C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EBD4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0F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4E2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EC966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1189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9E83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62.10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F8EF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41.93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01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59.30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7646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25CCC">
              <w:t>91.41</w:t>
            </w:r>
          </w:p>
        </w:tc>
      </w:tr>
      <w:tr w:rsidR="00136C93" w:rsidRPr="006E34D9" w14:paraId="339819A9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9DE19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A51E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1.0,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=0.04,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3F4A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ED68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1.0,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=0.04,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34D9" w14:paraId="60CFC5F7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D3977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2789A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974D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49EE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721816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E12B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8D0456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35B3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50215341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A8546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7A186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C7C61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C61E3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43AB4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CBAF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DA30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4E3D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693B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CB12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88647A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74A2C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573E4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BE00D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F0D9E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A376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C137A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41DD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997F2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70CC3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51171F5E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3CA38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1858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BAAC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75.61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3C3B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24.39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78C5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F7E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CD0D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41E2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5561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3C83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FB460A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D114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C19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75.79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730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24.21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B927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F68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8A1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5B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1443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39D5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</w:tr>
      <w:tr w:rsidR="00136C93" w:rsidRPr="006E34D9" w14:paraId="04A10664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336F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lastRenderedPageBreak/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19124C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9.94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3DD9D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56.20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7DBC3C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31.80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4F1C67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2.06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A5786A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AD613E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C57CB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4DB05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F723D2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20.64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CA0518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63FAB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9.92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95F61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58.19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0E2E9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31.83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61D273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776988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C6B00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5B40A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7CD01A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C5C84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</w:tr>
      <w:tr w:rsidR="00136C93" w:rsidRPr="006E34D9" w14:paraId="67792E17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DF9A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54F66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C7DB6F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44.57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DE2057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40.55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2F976B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2.38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74CDA7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A6615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43277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4D9E2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CB81DA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12.66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E57267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06BEBB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12.95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3F8E3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45.93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3EFA8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41.04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1D83E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5A08C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0F047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2C45F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84052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C71B8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</w:tr>
      <w:tr w:rsidR="00136C93" w:rsidRPr="006E34D9" w14:paraId="3AD39BF0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0CFC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00F73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14.18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18C06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49.25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9973C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33.69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DFB5CA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2.88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F1E57D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1BF55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A10E6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B398C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F81B8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17.48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345B83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B9784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14.71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A47917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51.01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A41DA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34.21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1127BF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29921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D61F0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71ED0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9EB49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83655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</w:tr>
      <w:tr w:rsidR="00136C93" w:rsidRPr="006E34D9" w14:paraId="030041DF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1E27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1BA17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11.26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40D861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34.82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5DE7EA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33.16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3AE3D3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20.77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E6E36D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3A15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16.37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4713E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D35FE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512283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63.67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49D618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B4586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16.95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B1579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44.90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7B123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35.60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762B8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2.55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6FF32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D0836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2.01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24DC48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C79858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034F2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16.00</w:t>
            </w:r>
          </w:p>
        </w:tc>
      </w:tr>
      <w:tr w:rsidR="00136C93" w:rsidRPr="006E34D9" w14:paraId="01154404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BAC34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A167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C05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B1BF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07E8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5313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DCDF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84.47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656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42.05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6172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74.30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415BA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156.19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26E7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59D2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AE90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9FDF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1D44F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CF2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955E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84.12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1066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41.15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CA4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B04634">
              <w:t>73.45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FE15C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158.84</w:t>
            </w:r>
          </w:p>
        </w:tc>
      </w:tr>
      <w:tr w:rsidR="00136C93" w:rsidRPr="006E34D9" w14:paraId="02013D86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F0CC5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9A7B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γ= 3.0, ρ=0.04, κ=2.0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363F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EEC6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γ= 3.0, ρ=0.04, κ=10.0</m:t>
                </m:r>
              </m:oMath>
            </m:oMathPara>
          </w:p>
        </w:tc>
      </w:tr>
      <w:tr w:rsidR="00136C93" w:rsidRPr="006E34D9" w14:paraId="64C949D8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1FBB9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2AAF8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5D6DB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07A4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CF02A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4AD5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89B783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FAF0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04E0E9C7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2E22D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B91BE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3051B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7C9E8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7225BC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98EBE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5D11D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400F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56C0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F1FA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DA62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C2BFC42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964DE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F59EA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9217F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7225BC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70DE1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C5D9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000A9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64F2E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84DE2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0BD74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4B4E0052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53A94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E7446">
              <w:rPr>
                <w:rFonts w:cs="Times New Roman"/>
                <w:w w:val="9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51DF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AD97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82.05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6143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17.95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3166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ED6F1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8A28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AF3B1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ACC0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301B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829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D512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21.15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ED44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62.33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3825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16.52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BFA7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40C7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FAA7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A902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855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2E23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</w:tr>
      <w:tr w:rsidR="00136C93" w:rsidRPr="006E34D9" w14:paraId="256C9F29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329E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E7446">
              <w:rPr>
                <w:rFonts w:cs="Times New Roman"/>
                <w:w w:val="9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8F4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10.41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1D6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54.21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5E4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24.42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6DF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10.95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7258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71D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E13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8C3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115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44.81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441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641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15.73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03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59.63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6156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24.64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633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E0C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B59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3B6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6DE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D0DF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</w:tr>
      <w:tr w:rsidR="00136C93" w:rsidRPr="006E34D9" w14:paraId="00084EFF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9BD2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E7446">
              <w:rPr>
                <w:rFonts w:cs="Times New Roman"/>
                <w:w w:val="9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9C6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28D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35.50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5DC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4C5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22.29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8B49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35A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15.23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221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48D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14.44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25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52.03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F4C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B2C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20.84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899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52.62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EF2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26.54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727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B59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44F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373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BBA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CA5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</w:tr>
      <w:tr w:rsidR="00136C93" w:rsidRPr="006E34D9" w14:paraId="18F16BA3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2DC1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E7446">
              <w:rPr>
                <w:rFonts w:cs="Times New Roman"/>
                <w:w w:val="9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29E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03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34.42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8AF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19.88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7C1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33.70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98AE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126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23.74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759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3E6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22.72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FA3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55.27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B85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0A8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18.77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276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58.74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4B8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22.49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461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EE9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279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897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C01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1ED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</w:tr>
      <w:tr w:rsidR="00136C93" w:rsidRPr="006E34D9" w14:paraId="5D7A2A6E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08E9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E7446">
              <w:rPr>
                <w:rFonts w:cs="Times New Roman"/>
                <w:w w:val="9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8B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8.58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DC6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22.83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168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16.26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FBB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52.33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4B95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3AA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39.49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FE9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890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39.80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A48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74.65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524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D4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23.84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D6B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49.49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ED9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20.83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96A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5.84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266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273C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4.32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EAD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FC4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A57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14.77</w:t>
            </w:r>
          </w:p>
        </w:tc>
      </w:tr>
      <w:tr w:rsidR="00136C93" w:rsidRPr="006E34D9" w14:paraId="6AA90948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AAF41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E7446">
              <w:rPr>
                <w:rFonts w:cs="Times New Roman"/>
                <w:w w:val="9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21CA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28D9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F6A1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50A8E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2D782" w14:textId="77777777" w:rsidR="00136C93" w:rsidRPr="00CE7446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25B9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79.02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1512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32B2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71.39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B0C73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131.60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961B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7277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2B71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778B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E4877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EC41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65FE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78.62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B0DA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46.99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83BA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>
              <w:rPr>
                <w:color w:val="000000"/>
              </w:rPr>
              <w:t>71.36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54A1C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color w:val="000000"/>
                <w:w w:val="80"/>
              </w:rPr>
              <w:t>133.90</w:t>
            </w:r>
          </w:p>
        </w:tc>
      </w:tr>
      <w:tr w:rsidR="00136C93" w:rsidRPr="006E34D9" w14:paraId="08294EE1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60BC2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</w:t>
            </w:r>
            <w:r w:rsidRPr="00612B04">
              <w:rPr>
                <w:rFonts w:cs="Times New Roman"/>
                <w:w w:val="90"/>
              </w:rPr>
              <w:t>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E144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5.0,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=0.04,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DAD8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61E6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5.0,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=0.04,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34D9" w14:paraId="35302AC6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3D213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EEF8D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8ED7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A777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3A5375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9DAA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5630C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A22A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51CECCB9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5BA23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279C6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68F74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A059E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66C3E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6B4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84EA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E22C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9ECE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289C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5AC56B0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644AD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5772B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969AF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86033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F67A8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87DC8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E554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A1C6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030DA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2DE12A69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0B186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70CC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17FB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85.04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C5D8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12.95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CCEA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2.01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1730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6A58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887D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09A4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C493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BE1F40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BDF6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60.42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7307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30.76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C07C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8.81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3F58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EFC6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5FCD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0D25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31DF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160F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</w:tr>
      <w:tr w:rsidR="00136C93" w:rsidRPr="006E34D9" w14:paraId="5BCED2BD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D9B5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AC0CD3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11.62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18EB13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50.94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A31883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16.69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94260E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20.76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28CFC2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5B2236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11.78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E05324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67DF4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9.00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ECC9C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38.52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E06D41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02E0D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38.08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78E00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44.66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36C49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17.26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214F4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4EABF5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BB4C1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61EB8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95CC0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BFDEB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</w:tr>
      <w:tr w:rsidR="00136C93" w:rsidRPr="006E34D9" w14:paraId="19FD2136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7D78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B153D9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16.10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E95B6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29.91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B64F83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15.86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B93B98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38.14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D41AF4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ED65C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23.55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670F6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1.59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C61F5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22.77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ADD07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46.25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322EFA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50705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29.54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F3C7C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52.63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43D9E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17.83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B0B978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C13F1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E9DDA1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C3F5B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B7A15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B5514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</w:tr>
      <w:tr w:rsidR="00136C93" w:rsidRPr="006E34D9" w14:paraId="3DB03BA3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FE278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CFE4D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9.64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8BF93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27.24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9E52B8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13.04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7C3540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50.08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B7C3C2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81D992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33.19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2899BA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10.25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26174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33.86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572FE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52.54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FD54AC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A234A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22.04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CB5A7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62.91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595E1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15.05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87C802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4D87E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62743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10512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05CE0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BD0D3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</w:tr>
      <w:tr w:rsidR="00136C93" w:rsidRPr="006E34D9" w14:paraId="2E827EC2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BB73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DFFF7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7.19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C579BF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18.10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08487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10.68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0D124B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64.03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279993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F83AB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45.94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6F21CA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20.76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4140A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45.56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F5928F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76.80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A84983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BCF665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26.94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E960FF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50.50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DEE5F9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13.90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CD662A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8.66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92592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72525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5.90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0CE413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A8410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495C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13.56</w:t>
            </w:r>
          </w:p>
        </w:tc>
      </w:tr>
      <w:tr w:rsidR="00136C93" w:rsidRPr="006E34D9" w14:paraId="54F188BB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5AA4C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0CF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4192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6797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F7558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8F0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F1A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74.28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1864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52.97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34F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68.67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3075D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114.84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E1D6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CF1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452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1DD2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E2844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7F4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EF16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71.93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ED1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45.62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82C3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667BC">
              <w:t>67.55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4A959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111.84</w:t>
            </w:r>
          </w:p>
        </w:tc>
      </w:tr>
      <w:tr w:rsidR="00136C93" w:rsidRPr="006E34D9" w14:paraId="0827FC46" w14:textId="77777777" w:rsidTr="00BA6B4F"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76020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Age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F7E9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8.0,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=0.04,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.0</m:t>
                </m:r>
              </m:oMath>
            </m:oMathPara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783C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8245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γ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 8.0,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ρ</m:t>
                </m:r>
                <m:r>
                  <w:rPr>
                    <w:rFonts w:ascii="Cambria Math" w:hAnsi="Cambria Math" w:cs="Times New Roman"/>
                    <w:w w:val="90"/>
                  </w:rPr>
                  <m:t xml:space="preserve">=0.04,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w w:val="90"/>
                  </w:rPr>
                  <m:t>κ</m:t>
                </m:r>
                <m:r>
                  <w:rPr>
                    <w:rFonts w:ascii="Cambria Math" w:hAnsi="Cambria Math" w:cs="Times New Roman"/>
                    <w:w w:val="90"/>
                  </w:rPr>
                  <m:t>=10.0</m:t>
                </m:r>
              </m:oMath>
            </m:oMathPara>
          </w:p>
        </w:tc>
      </w:tr>
      <w:tr w:rsidR="00136C93" w:rsidRPr="006E34D9" w14:paraId="425436EE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5BFE8" w14:textId="77777777" w:rsidR="00136C93" w:rsidRPr="006E2915" w:rsidRDefault="00136C93" w:rsidP="00BA6B4F">
            <w:pPr>
              <w:pStyle w:val="BodyText"/>
              <w:spacing w:before="0"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FDCC7" w14:textId="77777777" w:rsidR="00136C93" w:rsidRPr="006E495D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5B2A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3BFB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0DE531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5F55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495D">
              <w:rPr>
                <w:rFonts w:cs="Times New Roman"/>
                <w:w w:val="90"/>
              </w:rPr>
              <w:t>Avg. Stochastic Optimal Strategy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0F01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800D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Total Secured Retirement Income</w:t>
            </w:r>
          </w:p>
        </w:tc>
      </w:tr>
      <w:tr w:rsidR="00136C93" w14:paraId="3C8BC18E" w14:textId="77777777" w:rsidTr="00BA6B4F"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C1C9C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24AF0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1B0DB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A88F8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8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5498B" w14:textId="77777777" w:rsidR="00136C93" w:rsidRPr="00C10E37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color w:val="000000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31CD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6E2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4423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C6F8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F4F1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209A596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20D96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Cash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FFFC7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C10E37">
              <w:rPr>
                <w:rFonts w:cs="Times New Roman"/>
                <w:w w:val="90"/>
              </w:rPr>
              <w:t>Bond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415F6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100A3B">
              <w:rPr>
                <w:rFonts w:cs="Times New Roman"/>
                <w:w w:val="80"/>
              </w:rPr>
              <w:t>Equity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B5FB4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397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018C5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Avg.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2FA2F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 w:rsidRPr="006E34D9">
              <w:rPr>
                <w:rFonts w:cs="Times New Roman"/>
                <w:w w:val="90"/>
              </w:rPr>
              <w:t>5th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4B4E4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50th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C642C" w14:textId="77777777" w:rsidR="00136C93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95th</w:t>
            </w:r>
          </w:p>
        </w:tc>
      </w:tr>
      <w:tr w:rsidR="00136C93" w:rsidRPr="006E34D9" w14:paraId="405CEC8E" w14:textId="77777777" w:rsidTr="00BA6B4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D28B2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F12C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5.07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0152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77.29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8C0E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6.04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E27D3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11.60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AC0C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D80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4.93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6BC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4.93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2302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4.93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D0C4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4.93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7CBB7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778C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77.93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0324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16.56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556B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5.51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C4F32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70B4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9768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4953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D7B6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50EF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</w:tr>
      <w:tr w:rsidR="00136C93" w:rsidRPr="006E34D9" w14:paraId="4061C4FB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BEBF6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C8172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12.62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72E1F3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51.17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F717E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7.89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FFE254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28.33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3E8B2C4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11ED5D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14.58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6FF056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4.93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8022C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15.75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EC22AA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25.08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9EA42D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1348F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67.06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DE1EB5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23.20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F0D4AE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9.74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FE8C7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5F1B8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AEE3C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6520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A8850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0469F6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</w:tr>
      <w:tr w:rsidR="00136C93" w:rsidRPr="006E34D9" w14:paraId="48736AF8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9705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D84596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13.92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65D1C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29.08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22DB3A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9.96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E52113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47.04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D6C4FD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F40B10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27.02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D4D21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12.97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8C366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28.45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113330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41.37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E5A3B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C7415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57.08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22323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32.69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7ED6E1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10.22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A5BA8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2F1BA2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E7EBC8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13BC3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328924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8070C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</w:tr>
      <w:tr w:rsidR="00136C93" w:rsidRPr="006E34D9" w14:paraId="227B1EC3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936C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8B35C38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8.91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3E59CD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24.81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BEF5C5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8.55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AE73E3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57.73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44B826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D7686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36.11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5CC813E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19.62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871B3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36.26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2BD1D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52.23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1DFC2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60005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31.31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1FB14E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58.65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5EAED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365AF9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0F078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9FC82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CEC71A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B9142C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47D32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0.01</w:t>
            </w:r>
          </w:p>
        </w:tc>
      </w:tr>
      <w:tr w:rsidR="00136C93" w:rsidRPr="006E34D9" w14:paraId="23D77560" w14:textId="77777777" w:rsidTr="00BA6B4F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D1CA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18200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90963D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15.94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E06DC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7.28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1DFB63F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69.82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E5F51A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9CC2114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47.17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71DC9A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29.87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CE70F2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46.77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CFED39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66.67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1CC808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6C305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32.25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88076D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49.22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91977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9.20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6BC8C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9.33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50173D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C71119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5.56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6E7B2D0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1C3C16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DEB521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13.08</w:t>
            </w:r>
          </w:p>
        </w:tc>
      </w:tr>
      <w:tr w:rsidR="00136C93" w:rsidRPr="006E34D9" w14:paraId="2A41C755" w14:textId="77777777" w:rsidTr="00BA6B4F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EBB2B" w14:textId="77777777" w:rsidR="00136C93" w:rsidRPr="006E2915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</w:rPr>
            </w:pPr>
            <w:r w:rsidRPr="006E2915">
              <w:rPr>
                <w:rFonts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F2B8C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68C46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0415A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8176C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7827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50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0A11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69.29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D1667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53.69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13A4B" w14:textId="77777777" w:rsidR="00136C93" w:rsidRPr="00C014BD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65.98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63705" w14:textId="77777777" w:rsidR="00136C93" w:rsidRPr="00100A3B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31493C">
              <w:t>94.69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9AAA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5DCAE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FE8A3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7E7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D9A57" w14:textId="77777777" w:rsidR="00136C93" w:rsidRPr="004000E4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80"/>
              </w:rPr>
            </w:pPr>
            <w:r w:rsidRPr="004000E4">
              <w:rPr>
                <w:w w:val="80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6CB07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7BA0F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61.78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CE95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41.62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6EACB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58.94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3E38" w14:textId="77777777" w:rsidR="00136C93" w:rsidRPr="006E34D9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w w:val="90"/>
              </w:rPr>
            </w:pPr>
            <w:r w:rsidRPr="0031493C">
              <w:t>91.26</w:t>
            </w:r>
          </w:p>
        </w:tc>
      </w:tr>
    </w:tbl>
    <w:p w14:paraId="3888CB51" w14:textId="77777777" w:rsidR="00136C93" w:rsidRPr="004265EC" w:rsidRDefault="00136C93" w:rsidP="00136C93">
      <w:pPr>
        <w:pStyle w:val="BodyText"/>
        <w:spacing w:line="240" w:lineRule="auto"/>
        <w:ind w:firstLine="0"/>
        <w:rPr>
          <w:sz w:val="20"/>
          <w:szCs w:val="20"/>
        </w:rPr>
      </w:pPr>
      <w:r w:rsidRPr="004265EC">
        <w:rPr>
          <w:sz w:val="20"/>
          <w:szCs w:val="20"/>
        </w:rPr>
        <w:t>Note: Upfront and selling fees are 0.0% for the cash fund and 0.5% for the bond and equity funds. Expense loadings on annuities are 3.0%. Management fees are ignored.</w:t>
      </w:r>
    </w:p>
    <w:p w14:paraId="72ECA82E" w14:textId="77777777" w:rsidR="00136C93" w:rsidRPr="004265EC" w:rsidRDefault="00136C93" w:rsidP="00136C93">
      <w:pPr>
        <w:pStyle w:val="BodyText"/>
        <w:spacing w:line="240" w:lineRule="auto"/>
        <w:ind w:firstLine="0"/>
        <w:rPr>
          <w:sz w:val="20"/>
          <w:szCs w:val="20"/>
        </w:rPr>
      </w:pPr>
      <w:r w:rsidRPr="004265EC">
        <w:rPr>
          <w:sz w:val="20"/>
          <w:szCs w:val="20"/>
        </w:rPr>
        <w:t>Source: Author’s Calculation</w:t>
      </w:r>
    </w:p>
    <w:p w14:paraId="7BFCF108" w14:textId="77777777" w:rsidR="00136C93" w:rsidRDefault="00136C93" w:rsidP="00136C93">
      <w:pPr>
        <w:spacing w:after="200" w:line="240" w:lineRule="auto"/>
        <w:rPr>
          <w:i/>
        </w:rPr>
      </w:pPr>
      <w:bookmarkStart w:id="1" w:name="_Ref526346508"/>
      <w:r>
        <w:br w:type="page"/>
      </w:r>
    </w:p>
    <w:p w14:paraId="31B7B7B8" w14:textId="77777777" w:rsidR="00136C93" w:rsidRDefault="00136C93" w:rsidP="00136C93">
      <w:pPr>
        <w:pStyle w:val="Caption"/>
        <w:keepNext/>
        <w:jc w:val="center"/>
      </w:pPr>
      <w:r>
        <w:lastRenderedPageBreak/>
        <w:t>Table</w:t>
      </w:r>
      <w:bookmarkEnd w:id="1"/>
      <w:r>
        <w:rPr>
          <w:noProof/>
        </w:rPr>
        <w:t xml:space="preserve"> B.2</w:t>
      </w:r>
      <w:r>
        <w:t>. Monte Carlo Simulation Results (£1,000 p.a.) with different risk aversion and fee structures</w:t>
      </w:r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47"/>
        <w:gridCol w:w="922"/>
        <w:gridCol w:w="923"/>
        <w:gridCol w:w="922"/>
        <w:gridCol w:w="923"/>
        <w:gridCol w:w="922"/>
        <w:gridCol w:w="923"/>
        <w:gridCol w:w="923"/>
      </w:tblGrid>
      <w:tr w:rsidR="00136C93" w:rsidRPr="007E3576" w14:paraId="57E24626" w14:textId="77777777" w:rsidTr="00BA6B4F">
        <w:trPr>
          <w:trHeight w:val="65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D267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γ</m:t>
              </m:r>
            </m:oMath>
            <w:r>
              <w:rPr>
                <w:rFonts w:cs="Times New Roman"/>
                <w:sz w:val="20"/>
                <w:szCs w:val="20"/>
              </w:rPr>
              <w:t>, Fee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79AFA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78A6">
              <w:rPr>
                <w:rFonts w:cs="Times New Roman"/>
                <w:sz w:val="20"/>
                <w:szCs w:val="20"/>
              </w:rPr>
              <w:t>Strategy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12F7B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78A6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7402C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78A6">
              <w:rPr>
                <w:rFonts w:cs="Times New Roman"/>
                <w:sz w:val="20"/>
                <w:szCs w:val="20"/>
              </w:rPr>
              <w:t>StdDev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5C48F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w w:val="90"/>
                <w:sz w:val="20"/>
                <w:szCs w:val="20"/>
              </w:rPr>
            </w:pPr>
            <w:r w:rsidRPr="005F78A6">
              <w:rPr>
                <w:rFonts w:cs="Times New Roman"/>
                <w:w w:val="90"/>
                <w:sz w:val="20"/>
                <w:szCs w:val="20"/>
              </w:rPr>
              <w:t>Mean</w:t>
            </w:r>
            <w:r w:rsidRPr="005F78A6">
              <w:rPr>
                <w:rFonts w:cs="Times New Roman"/>
                <w:w w:val="90"/>
                <w:sz w:val="20"/>
                <w:szCs w:val="20"/>
              </w:rPr>
              <w:br/>
              <w:t>/StdDev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2689B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5th Pctl.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3E729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50th Pctl.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7FC77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95th Pctl.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D42A2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78A6">
              <w:rPr>
                <w:rFonts w:cs="Times New Roman"/>
                <w:sz w:val="20"/>
                <w:szCs w:val="20"/>
              </w:rPr>
              <w:t>CE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136C93" w:rsidRPr="007E3576" w14:paraId="33A14869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FF0A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5F78A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F74C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581288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55.2354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6FD928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14.3625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8E9F3D7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3.8458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23C79E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36.5790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51DD4A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52.8877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4750CE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w w:val="90"/>
                <w:sz w:val="20"/>
                <w:szCs w:val="20"/>
              </w:rPr>
              <w:t>81.8111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97DA14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53.5514</w:t>
            </w:r>
          </w:p>
        </w:tc>
      </w:tr>
      <w:tr w:rsidR="00136C93" w:rsidRPr="007E3576" w14:paraId="412F9E57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A448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24A9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713E33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54.0105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1015BF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14.9657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C3254D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3.6090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1EEBAB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34.7661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E7CDD7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51.4905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748C47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w w:val="90"/>
                <w:sz w:val="20"/>
                <w:szCs w:val="20"/>
              </w:rPr>
              <w:t>81.7533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DA5155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52.1548</w:t>
            </w:r>
          </w:p>
        </w:tc>
      </w:tr>
      <w:tr w:rsidR="00136C93" w:rsidRPr="007E3576" w14:paraId="230198FE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483F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6E29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518C32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56.6303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202B79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28.8644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D49C3F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1.9619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1EED53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24.8626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276383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49.9473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C58117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w w:val="90"/>
                <w:sz w:val="20"/>
                <w:szCs w:val="20"/>
              </w:rPr>
              <w:t>110.7636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9A1E60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50.8668</w:t>
            </w:r>
          </w:p>
        </w:tc>
      </w:tr>
      <w:tr w:rsidR="00136C93" w:rsidRPr="007E3576" w14:paraId="5D505B40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F571FF1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C7127F6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C16BFD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50.9162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C9784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25.6795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186DA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1.9828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734419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22.5801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C428A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45.0195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25935E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w w:val="90"/>
                <w:sz w:val="20"/>
                <w:szCs w:val="20"/>
              </w:rPr>
              <w:t>98.9467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75126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sz w:val="20"/>
                <w:szCs w:val="20"/>
              </w:rPr>
              <w:t>45.8338</w:t>
            </w:r>
          </w:p>
        </w:tc>
      </w:tr>
      <w:tr w:rsidR="00136C93" w:rsidRPr="007E3576" w14:paraId="7224B80E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91EB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5F78A6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56583B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E53F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8BE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56.1819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444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9.9666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5C4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5.6370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A20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42.2370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DF4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54.9670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18BF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74.2333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5EC7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53.7750</w:t>
            </w:r>
          </w:p>
        </w:tc>
      </w:tr>
      <w:tr w:rsidR="00136C93" w:rsidRPr="007E3576" w14:paraId="72919324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E108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B1C5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E9F7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52.8627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799D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10.5864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5237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4.9934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A68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38.3043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6A6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51.4654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E2E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72.1647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CBC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50.0278</w:t>
            </w:r>
          </w:p>
        </w:tc>
      </w:tr>
      <w:tr w:rsidR="00136C93" w:rsidRPr="007E3576" w14:paraId="5C64AA27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C3F6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A62F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2F8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56.6303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B28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28.8644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4AB9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1.9619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D0E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24.8626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940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49.9473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7D0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110.7636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3D0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41.9321</w:t>
            </w:r>
          </w:p>
        </w:tc>
      </w:tr>
      <w:tr w:rsidR="00136C93" w:rsidRPr="007E3576" w14:paraId="4360EBDF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082FF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E2888" w14:textId="77777777" w:rsidR="00136C93" w:rsidRPr="0056583B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5D69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50.9162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5B84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25.6795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AF41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1.9828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261E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22.5801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2D56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45.0195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28FC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98.9467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20B8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37.9330</w:t>
            </w:r>
          </w:p>
        </w:tc>
      </w:tr>
      <w:tr w:rsidR="00136C93" w:rsidRPr="007E3576" w14:paraId="0E1BB36B" w14:textId="77777777" w:rsidTr="00BA6B4F">
        <w:trPr>
          <w:jc w:val="center"/>
        </w:trPr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8459BD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5F78A6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5C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17821B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8B1E2D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57.1334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B57190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7.9538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7682F1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7.1831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2E3171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45.5161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CFA8F3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56.3952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3564A5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71.2707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06DC49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54.5818</w:t>
            </w:r>
          </w:p>
        </w:tc>
      </w:tr>
      <w:tr w:rsidR="00136C93" w:rsidRPr="007E3576" w14:paraId="404FC2BD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CC30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C3B3F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9ADF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52.0478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9A8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8.2361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C11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6.3195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7FC67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40.1720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B09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51.2051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75E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66.8108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5732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49.0862</w:t>
            </w:r>
          </w:p>
        </w:tc>
      </w:tr>
      <w:tr w:rsidR="00136C93" w:rsidRPr="007E3576" w14:paraId="590E84B5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942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624DC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0E87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56.6303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B6D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28.8644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CE0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1.9619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57B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24.8626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FA12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49.9473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472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110.7636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1EDD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35.4050</w:t>
            </w:r>
          </w:p>
        </w:tc>
      </w:tr>
      <w:tr w:rsidR="00136C93" w:rsidRPr="007E3576" w14:paraId="46312374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D05FCA8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9BA77E6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196753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50.9162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41C985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25.6795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80C88F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1.9828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3EF12E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22.5801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5B59B2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45.0195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30D586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98.9467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205DE6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32.1310</w:t>
            </w:r>
          </w:p>
        </w:tc>
      </w:tr>
      <w:tr w:rsidR="00136C93" w:rsidRPr="007E3576" w14:paraId="113EA51C" w14:textId="77777777" w:rsidTr="00BA6B4F">
        <w:trPr>
          <w:jc w:val="center"/>
        </w:trPr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629E86A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5F78A6"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1D5CA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0C60B16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8A4505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58.1401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2ABE5E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6.0280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7A00BA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9.6450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1EC417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49.2704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F9746D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57.6070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986A30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68.8223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D29A22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55.8784</w:t>
            </w:r>
          </w:p>
        </w:tc>
      </w:tr>
      <w:tr w:rsidR="00136C93" w:rsidRPr="007E3576" w14:paraId="299216B7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EF13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85D1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7B9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51.3565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3EF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6.8259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988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7.5238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C83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41.1714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990D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50.8061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37F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63.4013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74E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48.0088</w:t>
            </w:r>
          </w:p>
        </w:tc>
      </w:tr>
      <w:tr w:rsidR="00136C93" w:rsidRPr="007E3576" w14:paraId="18237EE5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3EEC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D8C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F32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56.6303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129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28.8644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A811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1.9619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69BA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24.8626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494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49.9473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E336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110.7636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71E5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28.4282</w:t>
            </w:r>
          </w:p>
        </w:tc>
      </w:tr>
      <w:tr w:rsidR="00136C93" w:rsidRPr="007E3576" w14:paraId="7F3DCFF6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4C7CCC4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007502D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39B811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50.9162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FB38E9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25.6795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6731FA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1.9828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9917AB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22.5801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D1CC76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45.0195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41B3C0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98.9467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3DA781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25.8880</w:t>
            </w:r>
          </w:p>
        </w:tc>
      </w:tr>
      <w:tr w:rsidR="00136C93" w:rsidRPr="007E3576" w14:paraId="3F905152" w14:textId="77777777" w:rsidTr="00BA6B4F">
        <w:trPr>
          <w:jc w:val="center"/>
        </w:trPr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16006C2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(3,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1D5C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BEFF3A7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F6329D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55.8462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A489F5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9.7047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F162AC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5.7545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07390B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42.2138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C82E14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54.6927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409D1E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73.4043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7C6C56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53.5415</w:t>
            </w:r>
          </w:p>
        </w:tc>
      </w:tr>
      <w:tr w:rsidR="00136C93" w:rsidRPr="007E3576" w14:paraId="11B7ECAB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7A27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E8F6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E11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52.2352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D9E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10.2227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C67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5.1097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BAE2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38.1173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C9A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50.9105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B14A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70.8437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5465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49.5485</w:t>
            </w:r>
          </w:p>
        </w:tc>
      </w:tr>
      <w:tr w:rsidR="00136C93" w:rsidRPr="007E3576" w14:paraId="3E41A071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222E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122E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955E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55.9526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0C3F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28.4682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1CF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1.9654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FC57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24.5905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54B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49.3711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084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109.3376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28C6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41.4596</w:t>
            </w:r>
          </w:p>
        </w:tc>
      </w:tr>
      <w:tr w:rsidR="00136C93" w:rsidRPr="007E3576" w14:paraId="11B87BEE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6B4D209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1EA8BF3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E07934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50.5617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3AB3A1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25.4659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ADFFF2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1.9855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E4D99D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22.4375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212EEC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44.7213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B5EE17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98.1971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1FC93A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37.6860</w:t>
            </w:r>
          </w:p>
        </w:tc>
      </w:tr>
      <w:tr w:rsidR="00136C93" w:rsidRPr="007E3576" w14:paraId="6886E55B" w14:textId="77777777" w:rsidTr="00BA6B4F">
        <w:trPr>
          <w:jc w:val="center"/>
        </w:trPr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D771746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(3,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III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CC4D304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5DFFA3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55.1213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C8F384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9.7612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D6E87B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5.6470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459000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41.4591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562B4C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53.9340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6BE24E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72.7986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799F63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52.7673</w:t>
            </w:r>
          </w:p>
        </w:tc>
      </w:tr>
      <w:tr w:rsidR="00136C93" w:rsidRPr="007E3576" w14:paraId="4CDE6C9A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C461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7B6D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EFBA9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51.8558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94DE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10.3848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342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4.9934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42D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37.5747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120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50.4851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4103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70.7902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E7D6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49.0749</w:t>
            </w:r>
          </w:p>
        </w:tc>
      </w:tr>
      <w:tr w:rsidR="00136C93" w:rsidRPr="007E3576" w14:paraId="27E35C48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3E0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2C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A6F2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55.5516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AB5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28.3146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504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1.9619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3AB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24.3890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66C7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48.9959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DA7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108.6538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1443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41.1334</w:t>
            </w:r>
          </w:p>
        </w:tc>
      </w:tr>
      <w:tr w:rsidR="00136C93" w:rsidRPr="007E3576" w14:paraId="2FDAF84A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8580F9F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55C1BF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9A94DA2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49.9463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F14329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25.1903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4E4C21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1.9828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6F7997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22.1500</w:t>
            </w:r>
          </w:p>
        </w:tc>
        <w:tc>
          <w:tcPr>
            <w:tcW w:w="92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3C8513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44.1620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6E067A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97.0620</w:t>
            </w:r>
          </w:p>
        </w:tc>
        <w:tc>
          <w:tcPr>
            <w:tcW w:w="92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9F6104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37.2105</w:t>
            </w:r>
          </w:p>
        </w:tc>
      </w:tr>
      <w:tr w:rsidR="00136C93" w:rsidRPr="007E3576" w14:paraId="2E03866A" w14:textId="77777777" w:rsidTr="00BA6B4F">
        <w:trPr>
          <w:jc w:val="center"/>
        </w:trPr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E7404D2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(3,</w:t>
            </w:r>
            <w:r w:rsidRPr="00956C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56C5A">
              <w:rPr>
                <w:rFonts w:cs="Times New Roman"/>
                <w:color w:val="000000"/>
                <w:sz w:val="20"/>
                <w:szCs w:val="20"/>
              </w:rPr>
              <w:t>IV</w:t>
            </w:r>
            <w:r w:rsidRPr="001D5C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3E9F99B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 xml:space="preserve">New Glide Path (DA) 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21978F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54.7926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642646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9.5040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C12F15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5.7652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DC1048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41.4375</w:t>
            </w:r>
          </w:p>
        </w:tc>
        <w:tc>
          <w:tcPr>
            <w:tcW w:w="9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0D8515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53.6653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5B45DD4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71.9870</w:t>
            </w:r>
          </w:p>
        </w:tc>
        <w:tc>
          <w:tcPr>
            <w:tcW w:w="9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38059D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52.5389</w:t>
            </w:r>
          </w:p>
        </w:tc>
      </w:tr>
      <w:tr w:rsidR="00136C93" w:rsidRPr="007E3576" w14:paraId="33B83AD2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6D4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C4F5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>
              <w:rPr>
                <w:rFonts w:cs="Times New Roman"/>
                <w:color w:val="000000"/>
                <w:w w:val="80"/>
                <w:sz w:val="20"/>
                <w:szCs w:val="20"/>
              </w:rPr>
              <w:t>New Glide Path (IA)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E37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51.2402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0F3E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10.0280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BFD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5.1097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D6B3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37.3913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4AB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49.9408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6FC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69.4943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E82A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48.6047</w:t>
            </w:r>
          </w:p>
        </w:tc>
      </w:tr>
      <w:tr w:rsidR="00136C93" w:rsidRPr="007E3576" w14:paraId="75BFF437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6088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1DDD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(Equity-to-Bond)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AD0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54.8869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EE96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27.9260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ED2CC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1.9654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9C1E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24.1221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1E85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48.4307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ADE1F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107.2550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0B8D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40.6699</w:t>
            </w:r>
          </w:p>
        </w:tc>
      </w:tr>
      <w:tr w:rsidR="00136C93" w:rsidRPr="007E3576" w14:paraId="22FF2FE7" w14:textId="77777777" w:rsidTr="00BA6B4F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8D392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96FF7" w14:textId="77777777" w:rsidR="00136C93" w:rsidRPr="005F78A6" w:rsidRDefault="00136C93" w:rsidP="00BA6B4F">
            <w:pPr>
              <w:pStyle w:val="BodyText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56583B">
              <w:rPr>
                <w:rFonts w:cs="Times New Roman"/>
                <w:color w:val="000000"/>
                <w:w w:val="80"/>
                <w:sz w:val="20"/>
                <w:szCs w:val="20"/>
              </w:rPr>
              <w:t>Glide Path (Equity-to-Cash)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92E18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49.5986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46F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24.9809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1D330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1.9855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C7A1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22.0101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A5A9B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43.8695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2D475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9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w w:val="90"/>
                <w:sz w:val="20"/>
                <w:szCs w:val="20"/>
              </w:rPr>
              <w:t>96.3267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D78C7" w14:textId="77777777" w:rsidR="00136C93" w:rsidRPr="00391872" w:rsidRDefault="00136C93" w:rsidP="00BA6B4F">
            <w:pPr>
              <w:pStyle w:val="BodyText"/>
              <w:spacing w:before="0" w:after="0" w:line="276" w:lineRule="auto"/>
              <w:ind w:firstLine="0"/>
              <w:jc w:val="right"/>
              <w:rPr>
                <w:rFonts w:cs="Times New Roman"/>
                <w:color w:val="000000"/>
                <w:w w:val="80"/>
                <w:sz w:val="20"/>
                <w:szCs w:val="20"/>
              </w:rPr>
            </w:pPr>
            <w:r w:rsidRPr="00391872">
              <w:rPr>
                <w:rFonts w:cs="Times New Roman"/>
                <w:color w:val="000000"/>
                <w:sz w:val="20"/>
                <w:szCs w:val="20"/>
              </w:rPr>
              <w:t>36.9682</w:t>
            </w:r>
          </w:p>
        </w:tc>
      </w:tr>
    </w:tbl>
    <w:p w14:paraId="32DD80F1" w14:textId="77777777" w:rsidR="00136C93" w:rsidRDefault="00136C93" w:rsidP="00136C93">
      <w:pPr>
        <w:spacing w:after="200" w:line="240" w:lineRule="auto"/>
        <w:rPr>
          <w:rFonts w:cs="Times New Roman"/>
          <w:sz w:val="20"/>
          <w:szCs w:val="20"/>
          <w:vertAlign w:val="superscript"/>
        </w:rPr>
      </w:pPr>
    </w:p>
    <w:p w14:paraId="76A87716" w14:textId="77777777" w:rsidR="00136C93" w:rsidRPr="00AB5EF7" w:rsidRDefault="00136C93" w:rsidP="00136C93">
      <w:pPr>
        <w:spacing w:after="20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a</w:t>
      </w:r>
      <w:r w:rsidRPr="00AB5EF7">
        <w:rPr>
          <w:rFonts w:cs="Times New Roman"/>
          <w:sz w:val="20"/>
          <w:szCs w:val="20"/>
          <w:vertAlign w:val="superscript"/>
        </w:rPr>
        <w:t xml:space="preserve"> </w:t>
      </w:r>
      <w:r w:rsidRPr="00AB5EF7">
        <w:rPr>
          <w:rFonts w:cs="Times New Roman"/>
          <w:sz w:val="20"/>
          <w:szCs w:val="20"/>
        </w:rPr>
        <w:t>Fee structure labelling refers to Table 6.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  <w:vertAlign w:val="superscript"/>
        </w:rPr>
        <w:t>b</w:t>
      </w:r>
      <w:r w:rsidRPr="00AB5EF7">
        <w:rPr>
          <w:rFonts w:cs="Times New Roman"/>
          <w:sz w:val="20"/>
          <w:szCs w:val="20"/>
          <w:vertAlign w:val="superscript"/>
        </w:rPr>
        <w:t xml:space="preserve"> </w:t>
      </w:r>
      <w:r w:rsidRPr="00AB5EF7">
        <w:rPr>
          <w:rFonts w:cs="Times New Roman"/>
          <w:sz w:val="20"/>
          <w:szCs w:val="20"/>
        </w:rPr>
        <w:t xml:space="preserve">Certainty equivalent values to the expected utility of total secured retirement income at retirement is achieved by solving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A,T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=CE</m:t>
        </m:r>
      </m:oMath>
      <w:r w:rsidRPr="00AB5EF7">
        <w:rPr>
          <w:rFonts w:cs="Times New Roman"/>
          <w:sz w:val="20"/>
          <w:szCs w:val="20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ρ</m:t>
        </m:r>
      </m:oMath>
      <w:r w:rsidRPr="00AB5EF7">
        <w:rPr>
          <w:rFonts w:cs="Times New Roman"/>
          <w:sz w:val="20"/>
          <w:szCs w:val="20"/>
        </w:rPr>
        <w:t xml:space="preserve"> is ignored.</w:t>
      </w:r>
    </w:p>
    <w:p w14:paraId="37ED8985" w14:textId="77777777" w:rsidR="00136C93" w:rsidRPr="00AB5EF7" w:rsidRDefault="00136C93" w:rsidP="00136C93">
      <w:pPr>
        <w:pStyle w:val="BodyText"/>
        <w:spacing w:line="240" w:lineRule="auto"/>
        <w:ind w:firstLine="0"/>
        <w:rPr>
          <w:rFonts w:cs="Times New Roman"/>
          <w:sz w:val="20"/>
          <w:szCs w:val="20"/>
        </w:rPr>
      </w:pPr>
      <w:r w:rsidRPr="00AB5EF7">
        <w:rPr>
          <w:rFonts w:cs="Times New Roman"/>
          <w:sz w:val="20"/>
          <w:szCs w:val="20"/>
        </w:rPr>
        <w:t>Note:</w:t>
      </w:r>
      <w:r>
        <w:rPr>
          <w:rFonts w:cs="Times New Roman"/>
          <w:sz w:val="20"/>
          <w:szCs w:val="20"/>
        </w:rPr>
        <w:t xml:space="preserve"> </w:t>
      </w:r>
      <w:r w:rsidRPr="00AB5EF7">
        <w:rPr>
          <w:rFonts w:cs="Times New Roman"/>
          <w:sz w:val="20"/>
          <w:szCs w:val="20"/>
        </w:rPr>
        <w:t xml:space="preserve">For the upper panel, time preference, and bequest coefficients are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ρ</m:t>
        </m:r>
        <m:r>
          <w:rPr>
            <w:rFonts w:ascii="Cambria Math" w:hAnsi="Cambria Math" w:cs="Times New Roman"/>
            <w:sz w:val="20"/>
            <w:szCs w:val="20"/>
          </w:rPr>
          <m:t>=0.0</m:t>
        </m:r>
      </m:oMath>
      <w:r w:rsidRPr="00AB5EF7">
        <w:rPr>
          <w:rFonts w:cs="Times New Roman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κ</m:t>
        </m:r>
        <m:r>
          <w:rPr>
            <w:rFonts w:ascii="Cambria Math" w:hAnsi="Cambria Math" w:cs="Times New Roman"/>
            <w:sz w:val="20"/>
            <w:szCs w:val="20"/>
          </w:rPr>
          <m:t>=0.0</m:t>
        </m:r>
      </m:oMath>
      <w:r w:rsidRPr="00AB5EF7">
        <w:rPr>
          <w:rFonts w:cs="Times New Roman"/>
          <w:sz w:val="20"/>
          <w:szCs w:val="20"/>
        </w:rPr>
        <w:t xml:space="preserve"> respectively. Upfront and selling fees are 0.0% for the cash fund and 0.5% for the bond and equity funds. Expense loadings on annuities are 3.0%. Management fees are ignored. For the lower panel, constant risk aversion, time preference, and bequest coefficients are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γ</m:t>
        </m:r>
        <m:r>
          <w:rPr>
            <w:rFonts w:ascii="Cambria Math" w:hAnsi="Cambria Math" w:cs="Times New Roman"/>
            <w:sz w:val="20"/>
            <w:szCs w:val="20"/>
          </w:rPr>
          <m:t>=3.0</m:t>
        </m:r>
      </m:oMath>
      <w:r w:rsidRPr="00AB5EF7">
        <w:rPr>
          <w:rFonts w:cs="Times New Roman"/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ρ</m:t>
        </m:r>
        <m:r>
          <w:rPr>
            <w:rFonts w:ascii="Cambria Math" w:hAnsi="Cambria Math" w:cs="Times New Roman"/>
            <w:sz w:val="20"/>
            <w:szCs w:val="20"/>
          </w:rPr>
          <m:t>=0.0</m:t>
        </m:r>
      </m:oMath>
      <w:r w:rsidRPr="00AB5EF7">
        <w:rPr>
          <w:rFonts w:cs="Times New Roman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κ</m:t>
        </m:r>
        <m:r>
          <w:rPr>
            <w:rFonts w:ascii="Cambria Math" w:hAnsi="Cambria Math" w:cs="Times New Roman"/>
            <w:sz w:val="20"/>
            <w:szCs w:val="20"/>
          </w:rPr>
          <m:t>=0.0</m:t>
        </m:r>
      </m:oMath>
      <w:r w:rsidRPr="00AB5EF7">
        <w:rPr>
          <w:rFonts w:cs="Times New Roman"/>
          <w:sz w:val="20"/>
          <w:szCs w:val="20"/>
        </w:rPr>
        <w:t xml:space="preserve"> respectively.</w:t>
      </w:r>
    </w:p>
    <w:p w14:paraId="01885228" w14:textId="3D56DE3A" w:rsidR="00136C93" w:rsidRDefault="00136C93" w:rsidP="000671C4">
      <w:pPr>
        <w:pStyle w:val="BodyText"/>
        <w:spacing w:line="240" w:lineRule="auto"/>
        <w:ind w:firstLine="0"/>
        <w:rPr>
          <w:rFonts w:cs="Times New Roman"/>
        </w:rPr>
      </w:pPr>
      <w:r w:rsidRPr="00AB5EF7">
        <w:rPr>
          <w:rFonts w:cs="Times New Roman"/>
          <w:sz w:val="20"/>
          <w:szCs w:val="20"/>
        </w:rPr>
        <w:t>Source: Author’s calculations.</w:t>
      </w:r>
    </w:p>
    <w:p w14:paraId="5CF9D068" w14:textId="77777777" w:rsidR="000671C4" w:rsidRDefault="000671C4" w:rsidP="000671C4">
      <w:pPr>
        <w:pStyle w:val="BodyText"/>
        <w:spacing w:line="240" w:lineRule="auto"/>
        <w:ind w:firstLine="0"/>
        <w:rPr>
          <w:rFonts w:cs="Times New Roman"/>
          <w:sz w:val="20"/>
          <w:szCs w:val="20"/>
        </w:rPr>
        <w:sectPr w:rsidR="000671C4" w:rsidSect="006E34D9">
          <w:footerReference w:type="default" r:id="rId9"/>
          <w:pgSz w:w="16838" w:h="11906" w:orient="landscape" w:code="9"/>
          <w:pgMar w:top="1440" w:right="1440" w:bottom="1440" w:left="1440" w:header="1440" w:footer="1440" w:gutter="0"/>
          <w:cols w:space="720"/>
          <w:docGrid w:linePitch="326"/>
        </w:sectPr>
      </w:pPr>
    </w:p>
    <w:p w14:paraId="10FCB70D" w14:textId="77777777" w:rsidR="00836DE0" w:rsidRPr="00592B2C" w:rsidRDefault="00836DE0" w:rsidP="00836DE0">
      <w:pPr>
        <w:pStyle w:val="Heading1"/>
        <w:rPr>
          <w:color w:val="FF0000"/>
        </w:rPr>
      </w:pPr>
      <w:r w:rsidRPr="00592B2C">
        <w:rPr>
          <w:color w:val="FF0000"/>
        </w:rPr>
        <w:lastRenderedPageBreak/>
        <w:t>References</w:t>
      </w:r>
    </w:p>
    <w:p w14:paraId="41DCAEBD" w14:textId="77777777" w:rsidR="001D688F" w:rsidRPr="00592B2C" w:rsidRDefault="001D688F" w:rsidP="001D688F">
      <w:pPr>
        <w:pStyle w:val="Bibliography"/>
        <w:rPr>
          <w:rFonts w:cs="Times New Roman"/>
          <w:color w:val="FF0000"/>
        </w:rPr>
      </w:pPr>
      <w:r w:rsidRPr="00592B2C">
        <w:rPr>
          <w:rFonts w:cs="Times New Roman"/>
          <w:color w:val="FF0000"/>
        </w:rPr>
        <w:t xml:space="preserve">Geyer, Alois, Michael Hanke, and Alex Weissensteiner. (2010). “No-Arbitrage Conditions, Scenario Trees, and Multi-Asset Financial Optimization.” </w:t>
      </w:r>
      <w:r w:rsidRPr="00592B2C">
        <w:rPr>
          <w:rFonts w:cs="Times New Roman"/>
          <w:i/>
          <w:color w:val="FF0000"/>
        </w:rPr>
        <w:t>European Journal of Operational Research</w:t>
      </w:r>
      <w:r w:rsidRPr="00592B2C">
        <w:rPr>
          <w:rFonts w:cs="Times New Roman"/>
          <w:color w:val="FF0000"/>
        </w:rPr>
        <w:t xml:space="preserve"> 206 (3): 609–13.</w:t>
      </w:r>
    </w:p>
    <w:p w14:paraId="16500F54" w14:textId="77777777" w:rsidR="001D688F" w:rsidRPr="00592B2C" w:rsidRDefault="001D688F" w:rsidP="001D688F">
      <w:pPr>
        <w:pStyle w:val="Bibliography"/>
        <w:rPr>
          <w:rFonts w:cs="Times New Roman"/>
          <w:color w:val="FF0000"/>
        </w:rPr>
      </w:pPr>
      <w:r w:rsidRPr="00592B2C">
        <w:rPr>
          <w:rFonts w:cs="Times New Roman"/>
          <w:color w:val="FF0000"/>
        </w:rPr>
        <w:t xml:space="preserve">Geyer, Alois, Michael Hanke, and Alex Weissensteiner. (2014). “No-arbitrage bounds for financial scenarios.” </w:t>
      </w:r>
      <w:r w:rsidRPr="00592B2C">
        <w:rPr>
          <w:rFonts w:cs="Times New Roman"/>
          <w:i/>
          <w:color w:val="FF0000"/>
        </w:rPr>
        <w:t>European Journal of Operational Research</w:t>
      </w:r>
      <w:r w:rsidRPr="00592B2C">
        <w:rPr>
          <w:rFonts w:cs="Times New Roman"/>
          <w:color w:val="FF0000"/>
        </w:rPr>
        <w:t xml:space="preserve"> 236 (2): 657–663.</w:t>
      </w:r>
    </w:p>
    <w:p w14:paraId="5AB64E20" w14:textId="77777777" w:rsidR="001D688F" w:rsidRPr="00592B2C" w:rsidRDefault="001D688F" w:rsidP="001D688F">
      <w:pPr>
        <w:pStyle w:val="Bibliography"/>
        <w:rPr>
          <w:rFonts w:cs="Times New Roman"/>
          <w:color w:val="FF0000"/>
        </w:rPr>
      </w:pPr>
      <w:r w:rsidRPr="00592B2C">
        <w:rPr>
          <w:rFonts w:cs="Times New Roman"/>
          <w:color w:val="FF0000"/>
        </w:rPr>
        <w:t xml:space="preserve">Høyland, Kjetil and Stein W. Wallace. (2001). “Generating Scenario Trees for Multistage Decision Problems.” </w:t>
      </w:r>
      <w:r w:rsidRPr="00592B2C">
        <w:rPr>
          <w:rFonts w:cs="Times New Roman"/>
          <w:i/>
          <w:color w:val="FF0000"/>
        </w:rPr>
        <w:t>Management Science</w:t>
      </w:r>
      <w:r w:rsidRPr="00592B2C">
        <w:rPr>
          <w:rFonts w:cs="Times New Roman"/>
          <w:color w:val="FF0000"/>
        </w:rPr>
        <w:t xml:space="preserve"> 47 (2): 295–307.</w:t>
      </w:r>
    </w:p>
    <w:p w14:paraId="73F8EED2" w14:textId="77777777" w:rsidR="001D688F" w:rsidRPr="00592B2C" w:rsidRDefault="001D688F" w:rsidP="001D688F">
      <w:pPr>
        <w:pStyle w:val="Bibliography"/>
        <w:rPr>
          <w:rFonts w:cs="Times New Roman"/>
          <w:color w:val="FF0000"/>
        </w:rPr>
      </w:pPr>
      <w:r w:rsidRPr="00592B2C">
        <w:rPr>
          <w:rFonts w:cs="Times New Roman"/>
          <w:color w:val="FF0000"/>
        </w:rPr>
        <w:t xml:space="preserve">Klaassen, Pieter. (2002). “Comment on "Generating Scenario Trees for Multistage Decision Problems".” </w:t>
      </w:r>
      <w:r w:rsidRPr="00592B2C">
        <w:rPr>
          <w:rFonts w:cs="Times New Roman"/>
          <w:i/>
          <w:color w:val="FF0000"/>
        </w:rPr>
        <w:t>Management Science</w:t>
      </w:r>
      <w:r w:rsidRPr="00592B2C">
        <w:rPr>
          <w:rFonts w:cs="Times New Roman"/>
          <w:color w:val="FF0000"/>
        </w:rPr>
        <w:t xml:space="preserve"> 48 (11): 1512–6.</w:t>
      </w:r>
    </w:p>
    <w:p w14:paraId="6B351303" w14:textId="77777777" w:rsidR="0011778C" w:rsidRPr="00592B2C" w:rsidRDefault="0011778C" w:rsidP="0011778C">
      <w:pPr>
        <w:pStyle w:val="Bibliography"/>
        <w:rPr>
          <w:rFonts w:cs="Times New Roman"/>
          <w:color w:val="FF0000"/>
        </w:rPr>
      </w:pPr>
      <w:r w:rsidRPr="00592B2C">
        <w:rPr>
          <w:rFonts w:cs="Times New Roman"/>
          <w:color w:val="FF0000"/>
        </w:rPr>
        <w:t xml:space="preserve">Owadally, Iqbal, Chul Jang, and Andrew Clare. (2021). “Optimal investment for a retirement plan with deferred annuities.” </w:t>
      </w:r>
      <w:r w:rsidRPr="00592B2C">
        <w:rPr>
          <w:rFonts w:cs="Times New Roman"/>
          <w:i/>
          <w:color w:val="FF0000"/>
        </w:rPr>
        <w:t>Insurance: Mathematics and Economics</w:t>
      </w:r>
      <w:r w:rsidRPr="00592B2C">
        <w:rPr>
          <w:rFonts w:cs="Times New Roman"/>
          <w:color w:val="FF0000"/>
        </w:rPr>
        <w:t xml:space="preserve"> 98 (1): 51–62.</w:t>
      </w:r>
    </w:p>
    <w:p w14:paraId="48982239" w14:textId="4E5CE63F" w:rsidR="000671C4" w:rsidRPr="000671C4" w:rsidRDefault="000671C4" w:rsidP="000671C4">
      <w:pPr>
        <w:pStyle w:val="BodyText"/>
        <w:spacing w:line="240" w:lineRule="auto"/>
        <w:ind w:firstLine="0"/>
        <w:rPr>
          <w:rFonts w:cs="Times New Roman"/>
          <w:sz w:val="20"/>
          <w:szCs w:val="20"/>
        </w:rPr>
      </w:pPr>
    </w:p>
    <w:sectPr w:rsidR="000671C4" w:rsidRPr="000671C4" w:rsidSect="000671C4">
      <w:pgSz w:w="11906" w:h="16838" w:code="9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2818" w14:textId="77777777" w:rsidR="00FD7E92" w:rsidRDefault="00FD7E92">
      <w:pPr>
        <w:spacing w:after="0"/>
      </w:pPr>
      <w:r>
        <w:separator/>
      </w:r>
    </w:p>
  </w:endnote>
  <w:endnote w:type="continuationSeparator" w:id="0">
    <w:p w14:paraId="117B7B36" w14:textId="77777777" w:rsidR="00FD7E92" w:rsidRDefault="00FD7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55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BEA7F" w14:textId="524C4C04" w:rsidR="00500E60" w:rsidRPr="00F2315B" w:rsidRDefault="00500E60">
        <w:pPr>
          <w:pStyle w:val="Footer"/>
          <w:jc w:val="center"/>
        </w:pPr>
        <w:r w:rsidRPr="008E14F0">
          <w:fldChar w:fldCharType="begin"/>
        </w:r>
        <w:r w:rsidRPr="00F2315B">
          <w:instrText xml:space="preserve"> PAGE   \* MERGEFORMAT </w:instrText>
        </w:r>
        <w:r w:rsidRPr="008E14F0">
          <w:fldChar w:fldCharType="separate"/>
        </w:r>
        <w:r w:rsidR="00B47024">
          <w:rPr>
            <w:noProof/>
          </w:rPr>
          <w:t>3</w:t>
        </w:r>
        <w:r w:rsidRPr="008E14F0">
          <w:rPr>
            <w:noProof/>
          </w:rPr>
          <w:fldChar w:fldCharType="end"/>
        </w:r>
      </w:p>
    </w:sdtContent>
  </w:sdt>
  <w:p w14:paraId="61095AE0" w14:textId="77777777" w:rsidR="00500E60" w:rsidRDefault="00500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48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389F0" w14:textId="34DB7ED5" w:rsidR="00491240" w:rsidRPr="00F2315B" w:rsidRDefault="001379BC">
        <w:pPr>
          <w:pStyle w:val="Footer"/>
          <w:jc w:val="center"/>
        </w:pPr>
        <w:r w:rsidRPr="008E14F0">
          <w:fldChar w:fldCharType="begin"/>
        </w:r>
        <w:r w:rsidRPr="00F2315B">
          <w:instrText xml:space="preserve"> PAGE   \* MERGEFORMAT </w:instrText>
        </w:r>
        <w:r w:rsidRPr="008E14F0">
          <w:fldChar w:fldCharType="separate"/>
        </w:r>
        <w:r w:rsidR="00B47024">
          <w:rPr>
            <w:noProof/>
          </w:rPr>
          <w:t>5</w:t>
        </w:r>
        <w:r w:rsidRPr="008E14F0">
          <w:rPr>
            <w:noProof/>
          </w:rPr>
          <w:fldChar w:fldCharType="end"/>
        </w:r>
      </w:p>
    </w:sdtContent>
  </w:sdt>
  <w:p w14:paraId="536F8D1C" w14:textId="77777777" w:rsidR="00491240" w:rsidRDefault="00FD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2380" w14:textId="77777777" w:rsidR="00FD7E92" w:rsidRDefault="00FD7E92">
      <w:r>
        <w:separator/>
      </w:r>
    </w:p>
  </w:footnote>
  <w:footnote w:type="continuationSeparator" w:id="0">
    <w:p w14:paraId="26953842" w14:textId="77777777" w:rsidR="00FD7E92" w:rsidRDefault="00FD7E92">
      <w:r>
        <w:continuationSeparator/>
      </w:r>
    </w:p>
  </w:footnote>
  <w:footnote w:id="1">
    <w:p w14:paraId="23CC1576" w14:textId="77777777" w:rsidR="00500E60" w:rsidRPr="00F81777" w:rsidRDefault="00500E60" w:rsidP="00D35096">
      <w:pPr>
        <w:pStyle w:val="FootnoteText"/>
        <w:spacing w:line="240" w:lineRule="auto"/>
        <w:jc w:val="both"/>
        <w:rPr>
          <w:lang w:val="en-GB"/>
        </w:rPr>
      </w:pPr>
      <w:r w:rsidRPr="00F81777">
        <w:rPr>
          <w:rStyle w:val="FootnoteReference"/>
        </w:rPr>
        <w:footnoteRef/>
      </w:r>
      <w:r w:rsidRPr="00F81777">
        <w:t xml:space="preserve"> </w:t>
      </w:r>
      <w:r w:rsidRPr="00F81777">
        <w:rPr>
          <w:rFonts w:cs="Times New Roman"/>
        </w:rPr>
        <w:t xml:space="preserve">Generating each scenario takes about 20 minutes with Matlab by using a parallel loop </w:t>
      </w:r>
      <w:r w:rsidRPr="00F81777">
        <w:rPr>
          <w:rFonts w:cs="Times New Roman"/>
          <w:i/>
        </w:rPr>
        <w:t>parfor</w:t>
      </w:r>
      <w:r w:rsidRPr="00F81777">
        <w:rPr>
          <w:rFonts w:cs="Times New Roman"/>
        </w:rPr>
        <w:t xml:space="preserve"> on a HP desktop computer with Intel CPU i7-7700 3.60 Ghz and 32 Gbyte memory.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D2DE"/>
    <w:multiLevelType w:val="multilevel"/>
    <w:tmpl w:val="B030CB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1CF2F0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3E9D4F7A"/>
    <w:multiLevelType w:val="hybridMultilevel"/>
    <w:tmpl w:val="4328D62E"/>
    <w:lvl w:ilvl="0" w:tplc="0226C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NDS3NLUwNTIxMDRS0lEKTi0uzszPAykwqQUASsZmYCwAAAA="/>
  </w:docVars>
  <w:rsids>
    <w:rsidRoot w:val="00590D07"/>
    <w:rsid w:val="00000444"/>
    <w:rsid w:val="00000C60"/>
    <w:rsid w:val="00001348"/>
    <w:rsid w:val="00001D4C"/>
    <w:rsid w:val="00001E12"/>
    <w:rsid w:val="00002012"/>
    <w:rsid w:val="00002162"/>
    <w:rsid w:val="0000283E"/>
    <w:rsid w:val="00004E51"/>
    <w:rsid w:val="0000505A"/>
    <w:rsid w:val="00005676"/>
    <w:rsid w:val="00005CC8"/>
    <w:rsid w:val="00006893"/>
    <w:rsid w:val="00006AA7"/>
    <w:rsid w:val="00006E9F"/>
    <w:rsid w:val="00010966"/>
    <w:rsid w:val="0001110A"/>
    <w:rsid w:val="00011C8B"/>
    <w:rsid w:val="000129B9"/>
    <w:rsid w:val="000134B1"/>
    <w:rsid w:val="00014DDA"/>
    <w:rsid w:val="000151E8"/>
    <w:rsid w:val="000166CC"/>
    <w:rsid w:val="000202BC"/>
    <w:rsid w:val="000207BB"/>
    <w:rsid w:val="0002141E"/>
    <w:rsid w:val="00021DA6"/>
    <w:rsid w:val="00021DF2"/>
    <w:rsid w:val="00022914"/>
    <w:rsid w:val="00022ADD"/>
    <w:rsid w:val="00023ECA"/>
    <w:rsid w:val="00024EC0"/>
    <w:rsid w:val="0002501C"/>
    <w:rsid w:val="000276F2"/>
    <w:rsid w:val="000309D3"/>
    <w:rsid w:val="00032B38"/>
    <w:rsid w:val="00035374"/>
    <w:rsid w:val="0003565E"/>
    <w:rsid w:val="0003698E"/>
    <w:rsid w:val="00036CBD"/>
    <w:rsid w:val="00037317"/>
    <w:rsid w:val="00037AEA"/>
    <w:rsid w:val="0004011E"/>
    <w:rsid w:val="000404A9"/>
    <w:rsid w:val="00041182"/>
    <w:rsid w:val="000414A4"/>
    <w:rsid w:val="000424A4"/>
    <w:rsid w:val="00042C18"/>
    <w:rsid w:val="00043326"/>
    <w:rsid w:val="0004428C"/>
    <w:rsid w:val="00045112"/>
    <w:rsid w:val="00045541"/>
    <w:rsid w:val="0004557F"/>
    <w:rsid w:val="00045B0B"/>
    <w:rsid w:val="00045BF2"/>
    <w:rsid w:val="00046FD1"/>
    <w:rsid w:val="00050157"/>
    <w:rsid w:val="000502FC"/>
    <w:rsid w:val="000510A5"/>
    <w:rsid w:val="0005193B"/>
    <w:rsid w:val="00052E59"/>
    <w:rsid w:val="000538B2"/>
    <w:rsid w:val="00055535"/>
    <w:rsid w:val="00055D40"/>
    <w:rsid w:val="000578BD"/>
    <w:rsid w:val="00061CD1"/>
    <w:rsid w:val="000643CB"/>
    <w:rsid w:val="00065D28"/>
    <w:rsid w:val="00066062"/>
    <w:rsid w:val="000671C4"/>
    <w:rsid w:val="0006731D"/>
    <w:rsid w:val="00070047"/>
    <w:rsid w:val="00070EE5"/>
    <w:rsid w:val="000719F9"/>
    <w:rsid w:val="00071EC1"/>
    <w:rsid w:val="00072B63"/>
    <w:rsid w:val="00073B64"/>
    <w:rsid w:val="00076781"/>
    <w:rsid w:val="00076A42"/>
    <w:rsid w:val="000770D9"/>
    <w:rsid w:val="0008060B"/>
    <w:rsid w:val="0008136A"/>
    <w:rsid w:val="0008210D"/>
    <w:rsid w:val="00083492"/>
    <w:rsid w:val="00085DF0"/>
    <w:rsid w:val="00090178"/>
    <w:rsid w:val="000901B1"/>
    <w:rsid w:val="00090758"/>
    <w:rsid w:val="00091B2C"/>
    <w:rsid w:val="000926DA"/>
    <w:rsid w:val="000934DA"/>
    <w:rsid w:val="00093B7E"/>
    <w:rsid w:val="000953B5"/>
    <w:rsid w:val="00095A0F"/>
    <w:rsid w:val="000A0BB3"/>
    <w:rsid w:val="000A12B2"/>
    <w:rsid w:val="000A1563"/>
    <w:rsid w:val="000A158F"/>
    <w:rsid w:val="000A2F9C"/>
    <w:rsid w:val="000A351E"/>
    <w:rsid w:val="000A433D"/>
    <w:rsid w:val="000A60FE"/>
    <w:rsid w:val="000A753A"/>
    <w:rsid w:val="000A7F0F"/>
    <w:rsid w:val="000B0084"/>
    <w:rsid w:val="000B00E0"/>
    <w:rsid w:val="000B0461"/>
    <w:rsid w:val="000B1A0F"/>
    <w:rsid w:val="000B3118"/>
    <w:rsid w:val="000B321C"/>
    <w:rsid w:val="000B3782"/>
    <w:rsid w:val="000B4441"/>
    <w:rsid w:val="000B6106"/>
    <w:rsid w:val="000B780C"/>
    <w:rsid w:val="000B7A7B"/>
    <w:rsid w:val="000C1F1D"/>
    <w:rsid w:val="000C29C2"/>
    <w:rsid w:val="000C2D17"/>
    <w:rsid w:val="000C2DB2"/>
    <w:rsid w:val="000C341D"/>
    <w:rsid w:val="000C3E80"/>
    <w:rsid w:val="000C4419"/>
    <w:rsid w:val="000C4894"/>
    <w:rsid w:val="000C50EC"/>
    <w:rsid w:val="000C5FC2"/>
    <w:rsid w:val="000C67EA"/>
    <w:rsid w:val="000C697B"/>
    <w:rsid w:val="000C7278"/>
    <w:rsid w:val="000C78FC"/>
    <w:rsid w:val="000C7BD8"/>
    <w:rsid w:val="000D037C"/>
    <w:rsid w:val="000D0837"/>
    <w:rsid w:val="000D1CC2"/>
    <w:rsid w:val="000D3098"/>
    <w:rsid w:val="000D3898"/>
    <w:rsid w:val="000D39A8"/>
    <w:rsid w:val="000D41A6"/>
    <w:rsid w:val="000D575F"/>
    <w:rsid w:val="000D733F"/>
    <w:rsid w:val="000D7717"/>
    <w:rsid w:val="000E4EF5"/>
    <w:rsid w:val="000E7003"/>
    <w:rsid w:val="000E7429"/>
    <w:rsid w:val="000F281A"/>
    <w:rsid w:val="000F302D"/>
    <w:rsid w:val="000F34B4"/>
    <w:rsid w:val="000F3E91"/>
    <w:rsid w:val="000F5ED1"/>
    <w:rsid w:val="000F6772"/>
    <w:rsid w:val="001034AA"/>
    <w:rsid w:val="00104570"/>
    <w:rsid w:val="00104907"/>
    <w:rsid w:val="0010551A"/>
    <w:rsid w:val="00105F93"/>
    <w:rsid w:val="00107A87"/>
    <w:rsid w:val="00107FBC"/>
    <w:rsid w:val="00110102"/>
    <w:rsid w:val="0011052C"/>
    <w:rsid w:val="00111F18"/>
    <w:rsid w:val="00112B54"/>
    <w:rsid w:val="00112D19"/>
    <w:rsid w:val="00115837"/>
    <w:rsid w:val="001174E6"/>
    <w:rsid w:val="0011778C"/>
    <w:rsid w:val="001205A7"/>
    <w:rsid w:val="00122899"/>
    <w:rsid w:val="001228C5"/>
    <w:rsid w:val="00123162"/>
    <w:rsid w:val="00123EC3"/>
    <w:rsid w:val="001242A6"/>
    <w:rsid w:val="00124F35"/>
    <w:rsid w:val="00127736"/>
    <w:rsid w:val="001300BF"/>
    <w:rsid w:val="00131186"/>
    <w:rsid w:val="00131984"/>
    <w:rsid w:val="00133A4E"/>
    <w:rsid w:val="001342BA"/>
    <w:rsid w:val="00134CA8"/>
    <w:rsid w:val="00136C7F"/>
    <w:rsid w:val="00136C93"/>
    <w:rsid w:val="00136D4E"/>
    <w:rsid w:val="00137093"/>
    <w:rsid w:val="001379BC"/>
    <w:rsid w:val="00140115"/>
    <w:rsid w:val="00142CB5"/>
    <w:rsid w:val="001448D5"/>
    <w:rsid w:val="00145C53"/>
    <w:rsid w:val="0014605A"/>
    <w:rsid w:val="00147690"/>
    <w:rsid w:val="001501BB"/>
    <w:rsid w:val="001516D3"/>
    <w:rsid w:val="001527DD"/>
    <w:rsid w:val="001545F8"/>
    <w:rsid w:val="00155282"/>
    <w:rsid w:val="001567A9"/>
    <w:rsid w:val="00163412"/>
    <w:rsid w:val="001634FE"/>
    <w:rsid w:val="00163B84"/>
    <w:rsid w:val="0016582F"/>
    <w:rsid w:val="0016599B"/>
    <w:rsid w:val="00166A60"/>
    <w:rsid w:val="00166AD2"/>
    <w:rsid w:val="00170F42"/>
    <w:rsid w:val="001712DD"/>
    <w:rsid w:val="00173855"/>
    <w:rsid w:val="00173D3E"/>
    <w:rsid w:val="00174372"/>
    <w:rsid w:val="00177597"/>
    <w:rsid w:val="001807E3"/>
    <w:rsid w:val="001810B7"/>
    <w:rsid w:val="00183EFE"/>
    <w:rsid w:val="001845D8"/>
    <w:rsid w:val="00185E63"/>
    <w:rsid w:val="00186769"/>
    <w:rsid w:val="0019285B"/>
    <w:rsid w:val="00192E96"/>
    <w:rsid w:val="00196E8D"/>
    <w:rsid w:val="001A10BA"/>
    <w:rsid w:val="001A20D0"/>
    <w:rsid w:val="001A3D99"/>
    <w:rsid w:val="001A4650"/>
    <w:rsid w:val="001A54FB"/>
    <w:rsid w:val="001A5B9D"/>
    <w:rsid w:val="001A5CBD"/>
    <w:rsid w:val="001A6A32"/>
    <w:rsid w:val="001B2B2D"/>
    <w:rsid w:val="001B5EF1"/>
    <w:rsid w:val="001B783F"/>
    <w:rsid w:val="001C0256"/>
    <w:rsid w:val="001C0B5D"/>
    <w:rsid w:val="001C15FC"/>
    <w:rsid w:val="001C225A"/>
    <w:rsid w:val="001C249E"/>
    <w:rsid w:val="001C2A2F"/>
    <w:rsid w:val="001C329F"/>
    <w:rsid w:val="001C3A78"/>
    <w:rsid w:val="001C53FB"/>
    <w:rsid w:val="001C5591"/>
    <w:rsid w:val="001C6036"/>
    <w:rsid w:val="001C7554"/>
    <w:rsid w:val="001C7CB4"/>
    <w:rsid w:val="001D241D"/>
    <w:rsid w:val="001D26D7"/>
    <w:rsid w:val="001D29F3"/>
    <w:rsid w:val="001D3EF0"/>
    <w:rsid w:val="001D4867"/>
    <w:rsid w:val="001D493C"/>
    <w:rsid w:val="001D5796"/>
    <w:rsid w:val="001D5CA1"/>
    <w:rsid w:val="001D688F"/>
    <w:rsid w:val="001D7102"/>
    <w:rsid w:val="001D75AA"/>
    <w:rsid w:val="001D798F"/>
    <w:rsid w:val="001D7E0B"/>
    <w:rsid w:val="001E00E5"/>
    <w:rsid w:val="001E1140"/>
    <w:rsid w:val="001E271A"/>
    <w:rsid w:val="001E27FF"/>
    <w:rsid w:val="001E3FD8"/>
    <w:rsid w:val="001E46E0"/>
    <w:rsid w:val="001E4711"/>
    <w:rsid w:val="001E6312"/>
    <w:rsid w:val="001E676C"/>
    <w:rsid w:val="001E76AD"/>
    <w:rsid w:val="001E7C17"/>
    <w:rsid w:val="001F183A"/>
    <w:rsid w:val="001F252B"/>
    <w:rsid w:val="001F25D8"/>
    <w:rsid w:val="001F2FEE"/>
    <w:rsid w:val="001F3181"/>
    <w:rsid w:val="001F3393"/>
    <w:rsid w:val="001F3535"/>
    <w:rsid w:val="001F4465"/>
    <w:rsid w:val="001F4996"/>
    <w:rsid w:val="001F5AF7"/>
    <w:rsid w:val="001F5B4D"/>
    <w:rsid w:val="001F731D"/>
    <w:rsid w:val="00200856"/>
    <w:rsid w:val="002027BA"/>
    <w:rsid w:val="002032D4"/>
    <w:rsid w:val="002047E3"/>
    <w:rsid w:val="00205F57"/>
    <w:rsid w:val="00206A1E"/>
    <w:rsid w:val="00206B6C"/>
    <w:rsid w:val="0020757B"/>
    <w:rsid w:val="0021049D"/>
    <w:rsid w:val="00210AF9"/>
    <w:rsid w:val="00211BB7"/>
    <w:rsid w:val="002135BA"/>
    <w:rsid w:val="00213BA7"/>
    <w:rsid w:val="00214135"/>
    <w:rsid w:val="00214F63"/>
    <w:rsid w:val="002152CE"/>
    <w:rsid w:val="00215B30"/>
    <w:rsid w:val="00216078"/>
    <w:rsid w:val="00216A26"/>
    <w:rsid w:val="002208D9"/>
    <w:rsid w:val="002209A3"/>
    <w:rsid w:val="00221AB4"/>
    <w:rsid w:val="002221E3"/>
    <w:rsid w:val="00222D19"/>
    <w:rsid w:val="002244A3"/>
    <w:rsid w:val="002270B8"/>
    <w:rsid w:val="002331B7"/>
    <w:rsid w:val="00233A17"/>
    <w:rsid w:val="00233F7A"/>
    <w:rsid w:val="00236305"/>
    <w:rsid w:val="00236C4C"/>
    <w:rsid w:val="002370D9"/>
    <w:rsid w:val="002372F6"/>
    <w:rsid w:val="00237F08"/>
    <w:rsid w:val="00242909"/>
    <w:rsid w:val="00242DE9"/>
    <w:rsid w:val="00245358"/>
    <w:rsid w:val="00247306"/>
    <w:rsid w:val="002505FE"/>
    <w:rsid w:val="00250D92"/>
    <w:rsid w:val="00251464"/>
    <w:rsid w:val="00251C9F"/>
    <w:rsid w:val="002531FD"/>
    <w:rsid w:val="002546F3"/>
    <w:rsid w:val="00257185"/>
    <w:rsid w:val="002601C0"/>
    <w:rsid w:val="00260738"/>
    <w:rsid w:val="00262259"/>
    <w:rsid w:val="002631E5"/>
    <w:rsid w:val="0026344E"/>
    <w:rsid w:val="0026432B"/>
    <w:rsid w:val="00264963"/>
    <w:rsid w:val="00264F0F"/>
    <w:rsid w:val="00265FB5"/>
    <w:rsid w:val="002662A7"/>
    <w:rsid w:val="00266DA5"/>
    <w:rsid w:val="00267CD2"/>
    <w:rsid w:val="00270092"/>
    <w:rsid w:val="00272289"/>
    <w:rsid w:val="00273CC5"/>
    <w:rsid w:val="0027444F"/>
    <w:rsid w:val="0027478E"/>
    <w:rsid w:val="00274955"/>
    <w:rsid w:val="00274F8C"/>
    <w:rsid w:val="00275B5B"/>
    <w:rsid w:val="00275BD6"/>
    <w:rsid w:val="0027774C"/>
    <w:rsid w:val="002809B6"/>
    <w:rsid w:val="0028340A"/>
    <w:rsid w:val="00283E78"/>
    <w:rsid w:val="002845E2"/>
    <w:rsid w:val="0028485B"/>
    <w:rsid w:val="00285208"/>
    <w:rsid w:val="002864C3"/>
    <w:rsid w:val="0028673A"/>
    <w:rsid w:val="00286C7B"/>
    <w:rsid w:val="00286E88"/>
    <w:rsid w:val="00291A48"/>
    <w:rsid w:val="00291EED"/>
    <w:rsid w:val="002922FF"/>
    <w:rsid w:val="00292D98"/>
    <w:rsid w:val="00294050"/>
    <w:rsid w:val="00294134"/>
    <w:rsid w:val="002949B7"/>
    <w:rsid w:val="00295504"/>
    <w:rsid w:val="00295B17"/>
    <w:rsid w:val="002960A7"/>
    <w:rsid w:val="0029662F"/>
    <w:rsid w:val="002977D7"/>
    <w:rsid w:val="002978F4"/>
    <w:rsid w:val="002A01A3"/>
    <w:rsid w:val="002A092B"/>
    <w:rsid w:val="002A266C"/>
    <w:rsid w:val="002A2C47"/>
    <w:rsid w:val="002A2D35"/>
    <w:rsid w:val="002A435F"/>
    <w:rsid w:val="002A45D5"/>
    <w:rsid w:val="002A4C58"/>
    <w:rsid w:val="002A4DC8"/>
    <w:rsid w:val="002A601D"/>
    <w:rsid w:val="002A708D"/>
    <w:rsid w:val="002A7CBD"/>
    <w:rsid w:val="002B036A"/>
    <w:rsid w:val="002B160D"/>
    <w:rsid w:val="002B1BD7"/>
    <w:rsid w:val="002B20B7"/>
    <w:rsid w:val="002B2CBB"/>
    <w:rsid w:val="002B4C5D"/>
    <w:rsid w:val="002B6F62"/>
    <w:rsid w:val="002C055F"/>
    <w:rsid w:val="002C0D37"/>
    <w:rsid w:val="002C170B"/>
    <w:rsid w:val="002C2622"/>
    <w:rsid w:val="002C2770"/>
    <w:rsid w:val="002C2B02"/>
    <w:rsid w:val="002C2C94"/>
    <w:rsid w:val="002C54D2"/>
    <w:rsid w:val="002C5686"/>
    <w:rsid w:val="002C57AC"/>
    <w:rsid w:val="002C5C5C"/>
    <w:rsid w:val="002C6E2B"/>
    <w:rsid w:val="002D21C3"/>
    <w:rsid w:val="002D323D"/>
    <w:rsid w:val="002D3504"/>
    <w:rsid w:val="002D4CF6"/>
    <w:rsid w:val="002D4E83"/>
    <w:rsid w:val="002D517E"/>
    <w:rsid w:val="002D57C8"/>
    <w:rsid w:val="002D69D1"/>
    <w:rsid w:val="002D6F33"/>
    <w:rsid w:val="002D7921"/>
    <w:rsid w:val="002E0122"/>
    <w:rsid w:val="002E22DF"/>
    <w:rsid w:val="002E30A3"/>
    <w:rsid w:val="002E3488"/>
    <w:rsid w:val="002E38D8"/>
    <w:rsid w:val="002E5B23"/>
    <w:rsid w:val="002E6F48"/>
    <w:rsid w:val="002E7A10"/>
    <w:rsid w:val="002F0523"/>
    <w:rsid w:val="002F198E"/>
    <w:rsid w:val="002F1E9A"/>
    <w:rsid w:val="002F39B7"/>
    <w:rsid w:val="002F4F6D"/>
    <w:rsid w:val="002F50AD"/>
    <w:rsid w:val="002F553F"/>
    <w:rsid w:val="002F5C7D"/>
    <w:rsid w:val="002F633C"/>
    <w:rsid w:val="00300095"/>
    <w:rsid w:val="0030175F"/>
    <w:rsid w:val="00301954"/>
    <w:rsid w:val="00302900"/>
    <w:rsid w:val="003033F2"/>
    <w:rsid w:val="003039A6"/>
    <w:rsid w:val="00303AB6"/>
    <w:rsid w:val="00303DB8"/>
    <w:rsid w:val="00306D95"/>
    <w:rsid w:val="003071AE"/>
    <w:rsid w:val="0030765A"/>
    <w:rsid w:val="00311C08"/>
    <w:rsid w:val="0031210D"/>
    <w:rsid w:val="00312760"/>
    <w:rsid w:val="00312E98"/>
    <w:rsid w:val="00313930"/>
    <w:rsid w:val="00313AD9"/>
    <w:rsid w:val="0032016F"/>
    <w:rsid w:val="00322D22"/>
    <w:rsid w:val="003235B6"/>
    <w:rsid w:val="0032385C"/>
    <w:rsid w:val="00323D29"/>
    <w:rsid w:val="0032432A"/>
    <w:rsid w:val="00325C90"/>
    <w:rsid w:val="00326031"/>
    <w:rsid w:val="00327895"/>
    <w:rsid w:val="00327FDA"/>
    <w:rsid w:val="0033086C"/>
    <w:rsid w:val="00331522"/>
    <w:rsid w:val="00332BA4"/>
    <w:rsid w:val="003335CB"/>
    <w:rsid w:val="003338B5"/>
    <w:rsid w:val="00333A4B"/>
    <w:rsid w:val="0033423B"/>
    <w:rsid w:val="003342EE"/>
    <w:rsid w:val="003367C1"/>
    <w:rsid w:val="00340517"/>
    <w:rsid w:val="00342AF9"/>
    <w:rsid w:val="00343C44"/>
    <w:rsid w:val="00343F71"/>
    <w:rsid w:val="003445AC"/>
    <w:rsid w:val="00344E02"/>
    <w:rsid w:val="00347959"/>
    <w:rsid w:val="00350E47"/>
    <w:rsid w:val="003518D0"/>
    <w:rsid w:val="00351B47"/>
    <w:rsid w:val="0035208D"/>
    <w:rsid w:val="00352D41"/>
    <w:rsid w:val="00353269"/>
    <w:rsid w:val="003546DD"/>
    <w:rsid w:val="00354956"/>
    <w:rsid w:val="00354C08"/>
    <w:rsid w:val="00355059"/>
    <w:rsid w:val="003557EC"/>
    <w:rsid w:val="00356683"/>
    <w:rsid w:val="0035749C"/>
    <w:rsid w:val="003600FF"/>
    <w:rsid w:val="00360757"/>
    <w:rsid w:val="00361980"/>
    <w:rsid w:val="003619D6"/>
    <w:rsid w:val="00361B3B"/>
    <w:rsid w:val="0036357A"/>
    <w:rsid w:val="003638D3"/>
    <w:rsid w:val="00365D89"/>
    <w:rsid w:val="00366528"/>
    <w:rsid w:val="00372956"/>
    <w:rsid w:val="003729C4"/>
    <w:rsid w:val="003730FD"/>
    <w:rsid w:val="00373255"/>
    <w:rsid w:val="00374559"/>
    <w:rsid w:val="003758E5"/>
    <w:rsid w:val="00375D28"/>
    <w:rsid w:val="00380D86"/>
    <w:rsid w:val="0038193B"/>
    <w:rsid w:val="00381A6C"/>
    <w:rsid w:val="00381ED9"/>
    <w:rsid w:val="00382C49"/>
    <w:rsid w:val="0038314E"/>
    <w:rsid w:val="00383B6A"/>
    <w:rsid w:val="00384DC7"/>
    <w:rsid w:val="00385B63"/>
    <w:rsid w:val="00386DB7"/>
    <w:rsid w:val="00387D29"/>
    <w:rsid w:val="00387F89"/>
    <w:rsid w:val="00393245"/>
    <w:rsid w:val="0039415C"/>
    <w:rsid w:val="003944DA"/>
    <w:rsid w:val="003946A9"/>
    <w:rsid w:val="00394A1E"/>
    <w:rsid w:val="003965D7"/>
    <w:rsid w:val="003979ED"/>
    <w:rsid w:val="003A0DAF"/>
    <w:rsid w:val="003A1FE8"/>
    <w:rsid w:val="003A2119"/>
    <w:rsid w:val="003A2711"/>
    <w:rsid w:val="003A4179"/>
    <w:rsid w:val="003A5410"/>
    <w:rsid w:val="003A56F4"/>
    <w:rsid w:val="003A5B13"/>
    <w:rsid w:val="003A5EA3"/>
    <w:rsid w:val="003A6275"/>
    <w:rsid w:val="003A7407"/>
    <w:rsid w:val="003B1C53"/>
    <w:rsid w:val="003B2EF6"/>
    <w:rsid w:val="003B3612"/>
    <w:rsid w:val="003B5822"/>
    <w:rsid w:val="003B58AB"/>
    <w:rsid w:val="003B6D1B"/>
    <w:rsid w:val="003B76D9"/>
    <w:rsid w:val="003C2B46"/>
    <w:rsid w:val="003C39C1"/>
    <w:rsid w:val="003C4639"/>
    <w:rsid w:val="003C57A2"/>
    <w:rsid w:val="003C5BA6"/>
    <w:rsid w:val="003D15EC"/>
    <w:rsid w:val="003D3CB7"/>
    <w:rsid w:val="003D47AE"/>
    <w:rsid w:val="003E04DD"/>
    <w:rsid w:val="003E0CCA"/>
    <w:rsid w:val="003E2B5B"/>
    <w:rsid w:val="003E351F"/>
    <w:rsid w:val="003E51F0"/>
    <w:rsid w:val="003E731B"/>
    <w:rsid w:val="003F0A51"/>
    <w:rsid w:val="003F0ADD"/>
    <w:rsid w:val="003F28AD"/>
    <w:rsid w:val="003F2A52"/>
    <w:rsid w:val="003F2B0F"/>
    <w:rsid w:val="003F3C50"/>
    <w:rsid w:val="003F47F6"/>
    <w:rsid w:val="003F4975"/>
    <w:rsid w:val="003F4CC0"/>
    <w:rsid w:val="003F4E60"/>
    <w:rsid w:val="003F6683"/>
    <w:rsid w:val="003F6C4F"/>
    <w:rsid w:val="003F7398"/>
    <w:rsid w:val="004002BD"/>
    <w:rsid w:val="004006DC"/>
    <w:rsid w:val="00400C1C"/>
    <w:rsid w:val="00401453"/>
    <w:rsid w:val="00402339"/>
    <w:rsid w:val="00402E5D"/>
    <w:rsid w:val="004034AA"/>
    <w:rsid w:val="0040363A"/>
    <w:rsid w:val="00403A59"/>
    <w:rsid w:val="00404D23"/>
    <w:rsid w:val="00406705"/>
    <w:rsid w:val="00410478"/>
    <w:rsid w:val="004109A6"/>
    <w:rsid w:val="00411029"/>
    <w:rsid w:val="004149F2"/>
    <w:rsid w:val="00414EFF"/>
    <w:rsid w:val="00416A5F"/>
    <w:rsid w:val="00421823"/>
    <w:rsid w:val="00421B1E"/>
    <w:rsid w:val="00421BD9"/>
    <w:rsid w:val="004229AA"/>
    <w:rsid w:val="004229E8"/>
    <w:rsid w:val="004259BE"/>
    <w:rsid w:val="0042718A"/>
    <w:rsid w:val="0043047B"/>
    <w:rsid w:val="004317E3"/>
    <w:rsid w:val="0043259D"/>
    <w:rsid w:val="00432BE9"/>
    <w:rsid w:val="00432C60"/>
    <w:rsid w:val="00432CA7"/>
    <w:rsid w:val="00434B0A"/>
    <w:rsid w:val="00434BEF"/>
    <w:rsid w:val="004359E8"/>
    <w:rsid w:val="00435A27"/>
    <w:rsid w:val="0044097E"/>
    <w:rsid w:val="00442355"/>
    <w:rsid w:val="004448D0"/>
    <w:rsid w:val="00445BF3"/>
    <w:rsid w:val="00446D1A"/>
    <w:rsid w:val="00447BDE"/>
    <w:rsid w:val="00454BE0"/>
    <w:rsid w:val="00461215"/>
    <w:rsid w:val="004635EE"/>
    <w:rsid w:val="004636DB"/>
    <w:rsid w:val="00463C6C"/>
    <w:rsid w:val="004640C8"/>
    <w:rsid w:val="0046450C"/>
    <w:rsid w:val="004646EE"/>
    <w:rsid w:val="004657DB"/>
    <w:rsid w:val="004661AB"/>
    <w:rsid w:val="0046622D"/>
    <w:rsid w:val="00466E9B"/>
    <w:rsid w:val="00467729"/>
    <w:rsid w:val="00470160"/>
    <w:rsid w:val="004704FA"/>
    <w:rsid w:val="004707AF"/>
    <w:rsid w:val="004716B8"/>
    <w:rsid w:val="00472A0D"/>
    <w:rsid w:val="00473153"/>
    <w:rsid w:val="00473A1A"/>
    <w:rsid w:val="00473EA0"/>
    <w:rsid w:val="00474DE2"/>
    <w:rsid w:val="00475040"/>
    <w:rsid w:val="00475BD0"/>
    <w:rsid w:val="004769E8"/>
    <w:rsid w:val="00476E68"/>
    <w:rsid w:val="0047753B"/>
    <w:rsid w:val="00480561"/>
    <w:rsid w:val="004809FE"/>
    <w:rsid w:val="004816B5"/>
    <w:rsid w:val="00482CCE"/>
    <w:rsid w:val="00483E39"/>
    <w:rsid w:val="00484334"/>
    <w:rsid w:val="004843F9"/>
    <w:rsid w:val="004855F8"/>
    <w:rsid w:val="004857F3"/>
    <w:rsid w:val="00486348"/>
    <w:rsid w:val="00490249"/>
    <w:rsid w:val="00491DFC"/>
    <w:rsid w:val="00491E3B"/>
    <w:rsid w:val="0049389E"/>
    <w:rsid w:val="00493CA1"/>
    <w:rsid w:val="00493F07"/>
    <w:rsid w:val="004941D7"/>
    <w:rsid w:val="00495EC5"/>
    <w:rsid w:val="004963CF"/>
    <w:rsid w:val="004965C4"/>
    <w:rsid w:val="004A3942"/>
    <w:rsid w:val="004A4063"/>
    <w:rsid w:val="004A56BA"/>
    <w:rsid w:val="004A6D1B"/>
    <w:rsid w:val="004A7508"/>
    <w:rsid w:val="004A75A3"/>
    <w:rsid w:val="004A78CB"/>
    <w:rsid w:val="004A7EA8"/>
    <w:rsid w:val="004B1DB9"/>
    <w:rsid w:val="004B3F07"/>
    <w:rsid w:val="004B4E96"/>
    <w:rsid w:val="004B5BD0"/>
    <w:rsid w:val="004B5C50"/>
    <w:rsid w:val="004B671A"/>
    <w:rsid w:val="004C0632"/>
    <w:rsid w:val="004C1AA2"/>
    <w:rsid w:val="004C26B4"/>
    <w:rsid w:val="004C6B26"/>
    <w:rsid w:val="004C7112"/>
    <w:rsid w:val="004D1AEE"/>
    <w:rsid w:val="004D539A"/>
    <w:rsid w:val="004D5D58"/>
    <w:rsid w:val="004D6722"/>
    <w:rsid w:val="004D6C0B"/>
    <w:rsid w:val="004D7C64"/>
    <w:rsid w:val="004E070B"/>
    <w:rsid w:val="004E09AF"/>
    <w:rsid w:val="004E0C72"/>
    <w:rsid w:val="004E13E9"/>
    <w:rsid w:val="004E15EA"/>
    <w:rsid w:val="004E2849"/>
    <w:rsid w:val="004E29B3"/>
    <w:rsid w:val="004E2BAC"/>
    <w:rsid w:val="004E2E80"/>
    <w:rsid w:val="004E4668"/>
    <w:rsid w:val="004E4773"/>
    <w:rsid w:val="004E5C02"/>
    <w:rsid w:val="004F24C1"/>
    <w:rsid w:val="004F26C7"/>
    <w:rsid w:val="004F2F8B"/>
    <w:rsid w:val="004F38D7"/>
    <w:rsid w:val="004F3EDE"/>
    <w:rsid w:val="004F5B99"/>
    <w:rsid w:val="004F7CF6"/>
    <w:rsid w:val="00500184"/>
    <w:rsid w:val="00500E60"/>
    <w:rsid w:val="00501632"/>
    <w:rsid w:val="005016F1"/>
    <w:rsid w:val="00502EE1"/>
    <w:rsid w:val="00505869"/>
    <w:rsid w:val="00506C20"/>
    <w:rsid w:val="00507026"/>
    <w:rsid w:val="00511669"/>
    <w:rsid w:val="00511C8A"/>
    <w:rsid w:val="00511FAB"/>
    <w:rsid w:val="00512342"/>
    <w:rsid w:val="00512F63"/>
    <w:rsid w:val="00513FD3"/>
    <w:rsid w:val="0051408B"/>
    <w:rsid w:val="0051521C"/>
    <w:rsid w:val="0051638C"/>
    <w:rsid w:val="00517106"/>
    <w:rsid w:val="00520AAA"/>
    <w:rsid w:val="00520D0D"/>
    <w:rsid w:val="00521704"/>
    <w:rsid w:val="00521A8A"/>
    <w:rsid w:val="00521E48"/>
    <w:rsid w:val="00524785"/>
    <w:rsid w:val="00524C6B"/>
    <w:rsid w:val="005258F8"/>
    <w:rsid w:val="00526352"/>
    <w:rsid w:val="00526547"/>
    <w:rsid w:val="00527986"/>
    <w:rsid w:val="00530631"/>
    <w:rsid w:val="005318D7"/>
    <w:rsid w:val="00533891"/>
    <w:rsid w:val="00533B27"/>
    <w:rsid w:val="005350B6"/>
    <w:rsid w:val="00535215"/>
    <w:rsid w:val="00537EAA"/>
    <w:rsid w:val="005407A5"/>
    <w:rsid w:val="00540FAE"/>
    <w:rsid w:val="005414EF"/>
    <w:rsid w:val="00542BD2"/>
    <w:rsid w:val="00542C91"/>
    <w:rsid w:val="00545965"/>
    <w:rsid w:val="00545AD4"/>
    <w:rsid w:val="00547CA8"/>
    <w:rsid w:val="005502F9"/>
    <w:rsid w:val="005508AC"/>
    <w:rsid w:val="005508F3"/>
    <w:rsid w:val="005511F0"/>
    <w:rsid w:val="0055230A"/>
    <w:rsid w:val="00552885"/>
    <w:rsid w:val="00552960"/>
    <w:rsid w:val="00553173"/>
    <w:rsid w:val="00553299"/>
    <w:rsid w:val="00553AA3"/>
    <w:rsid w:val="00553C9E"/>
    <w:rsid w:val="0055445E"/>
    <w:rsid w:val="00554B5F"/>
    <w:rsid w:val="00554C67"/>
    <w:rsid w:val="00554F47"/>
    <w:rsid w:val="00556D7D"/>
    <w:rsid w:val="005574C9"/>
    <w:rsid w:val="00557679"/>
    <w:rsid w:val="00562F2A"/>
    <w:rsid w:val="00563ED2"/>
    <w:rsid w:val="00564318"/>
    <w:rsid w:val="0056433E"/>
    <w:rsid w:val="00564DC2"/>
    <w:rsid w:val="00564E65"/>
    <w:rsid w:val="00566A4E"/>
    <w:rsid w:val="00566B95"/>
    <w:rsid w:val="00567117"/>
    <w:rsid w:val="00570DA4"/>
    <w:rsid w:val="0057117D"/>
    <w:rsid w:val="00571505"/>
    <w:rsid w:val="0057177F"/>
    <w:rsid w:val="00574A87"/>
    <w:rsid w:val="00575070"/>
    <w:rsid w:val="00575B55"/>
    <w:rsid w:val="005809CB"/>
    <w:rsid w:val="00581494"/>
    <w:rsid w:val="00583A15"/>
    <w:rsid w:val="00583ADD"/>
    <w:rsid w:val="00585EBF"/>
    <w:rsid w:val="005877AC"/>
    <w:rsid w:val="00587A49"/>
    <w:rsid w:val="00590D07"/>
    <w:rsid w:val="00592B2C"/>
    <w:rsid w:val="005961F1"/>
    <w:rsid w:val="005962A9"/>
    <w:rsid w:val="005966FA"/>
    <w:rsid w:val="00597037"/>
    <w:rsid w:val="005979AA"/>
    <w:rsid w:val="00597DB9"/>
    <w:rsid w:val="00597DF3"/>
    <w:rsid w:val="005A01B9"/>
    <w:rsid w:val="005A0EB8"/>
    <w:rsid w:val="005A1330"/>
    <w:rsid w:val="005A2220"/>
    <w:rsid w:val="005A2317"/>
    <w:rsid w:val="005A4A04"/>
    <w:rsid w:val="005A526D"/>
    <w:rsid w:val="005A654A"/>
    <w:rsid w:val="005A7816"/>
    <w:rsid w:val="005B0BE8"/>
    <w:rsid w:val="005B15B8"/>
    <w:rsid w:val="005B1E06"/>
    <w:rsid w:val="005B1F0A"/>
    <w:rsid w:val="005B35BF"/>
    <w:rsid w:val="005B3964"/>
    <w:rsid w:val="005B646D"/>
    <w:rsid w:val="005B66C0"/>
    <w:rsid w:val="005B6F53"/>
    <w:rsid w:val="005C044D"/>
    <w:rsid w:val="005C0496"/>
    <w:rsid w:val="005C0BAB"/>
    <w:rsid w:val="005C261A"/>
    <w:rsid w:val="005C3423"/>
    <w:rsid w:val="005C408C"/>
    <w:rsid w:val="005C555A"/>
    <w:rsid w:val="005C563C"/>
    <w:rsid w:val="005C6E96"/>
    <w:rsid w:val="005D0930"/>
    <w:rsid w:val="005D1644"/>
    <w:rsid w:val="005D1A15"/>
    <w:rsid w:val="005D23FE"/>
    <w:rsid w:val="005D2812"/>
    <w:rsid w:val="005D37D0"/>
    <w:rsid w:val="005D43F8"/>
    <w:rsid w:val="005D48AA"/>
    <w:rsid w:val="005D5B05"/>
    <w:rsid w:val="005D6000"/>
    <w:rsid w:val="005D66F6"/>
    <w:rsid w:val="005D672A"/>
    <w:rsid w:val="005D7F47"/>
    <w:rsid w:val="005E0707"/>
    <w:rsid w:val="005E1B09"/>
    <w:rsid w:val="005E644D"/>
    <w:rsid w:val="005E758A"/>
    <w:rsid w:val="005E7D03"/>
    <w:rsid w:val="005F0194"/>
    <w:rsid w:val="005F0BA7"/>
    <w:rsid w:val="005F249C"/>
    <w:rsid w:val="005F2BA2"/>
    <w:rsid w:val="005F30C9"/>
    <w:rsid w:val="005F3CFA"/>
    <w:rsid w:val="005F54C7"/>
    <w:rsid w:val="005F575C"/>
    <w:rsid w:val="005F7C9D"/>
    <w:rsid w:val="006001DC"/>
    <w:rsid w:val="00600345"/>
    <w:rsid w:val="00601284"/>
    <w:rsid w:val="00602AA6"/>
    <w:rsid w:val="006030E5"/>
    <w:rsid w:val="006032B0"/>
    <w:rsid w:val="00603E0C"/>
    <w:rsid w:val="00605007"/>
    <w:rsid w:val="006050D5"/>
    <w:rsid w:val="006059CD"/>
    <w:rsid w:val="00606A85"/>
    <w:rsid w:val="00612FE8"/>
    <w:rsid w:val="006146B2"/>
    <w:rsid w:val="00614BCC"/>
    <w:rsid w:val="00616EE0"/>
    <w:rsid w:val="00617618"/>
    <w:rsid w:val="006206E6"/>
    <w:rsid w:val="00620D8C"/>
    <w:rsid w:val="00621964"/>
    <w:rsid w:val="00623490"/>
    <w:rsid w:val="00624449"/>
    <w:rsid w:val="006252C9"/>
    <w:rsid w:val="00632C7E"/>
    <w:rsid w:val="0063304C"/>
    <w:rsid w:val="006330C5"/>
    <w:rsid w:val="00633E76"/>
    <w:rsid w:val="0063677A"/>
    <w:rsid w:val="00637FBE"/>
    <w:rsid w:val="00640321"/>
    <w:rsid w:val="00640830"/>
    <w:rsid w:val="0064093E"/>
    <w:rsid w:val="006411F2"/>
    <w:rsid w:val="00641ABC"/>
    <w:rsid w:val="006449F6"/>
    <w:rsid w:val="00646D77"/>
    <w:rsid w:val="00650A06"/>
    <w:rsid w:val="00650C31"/>
    <w:rsid w:val="00651A34"/>
    <w:rsid w:val="00652CA8"/>
    <w:rsid w:val="006530EA"/>
    <w:rsid w:val="0065561E"/>
    <w:rsid w:val="00657B1D"/>
    <w:rsid w:val="00657E75"/>
    <w:rsid w:val="00661D31"/>
    <w:rsid w:val="006624B9"/>
    <w:rsid w:val="006626BD"/>
    <w:rsid w:val="006643B5"/>
    <w:rsid w:val="00665DB9"/>
    <w:rsid w:val="00666A01"/>
    <w:rsid w:val="00666EDC"/>
    <w:rsid w:val="006670C0"/>
    <w:rsid w:val="00667B7B"/>
    <w:rsid w:val="00670E36"/>
    <w:rsid w:val="00670F0B"/>
    <w:rsid w:val="00673BF7"/>
    <w:rsid w:val="00675DBE"/>
    <w:rsid w:val="00677243"/>
    <w:rsid w:val="00677F3A"/>
    <w:rsid w:val="00677F7E"/>
    <w:rsid w:val="00677F94"/>
    <w:rsid w:val="00682A9D"/>
    <w:rsid w:val="00682CAC"/>
    <w:rsid w:val="00683DC2"/>
    <w:rsid w:val="00684513"/>
    <w:rsid w:val="0068651D"/>
    <w:rsid w:val="0068665C"/>
    <w:rsid w:val="00691428"/>
    <w:rsid w:val="006919FD"/>
    <w:rsid w:val="00692445"/>
    <w:rsid w:val="00692977"/>
    <w:rsid w:val="006937CC"/>
    <w:rsid w:val="006950D0"/>
    <w:rsid w:val="00696F54"/>
    <w:rsid w:val="006972CB"/>
    <w:rsid w:val="006A0347"/>
    <w:rsid w:val="006A03A9"/>
    <w:rsid w:val="006A03D3"/>
    <w:rsid w:val="006A0505"/>
    <w:rsid w:val="006A10F0"/>
    <w:rsid w:val="006A1A9E"/>
    <w:rsid w:val="006A38B6"/>
    <w:rsid w:val="006A3DE4"/>
    <w:rsid w:val="006A4147"/>
    <w:rsid w:val="006A4D3D"/>
    <w:rsid w:val="006A4DCA"/>
    <w:rsid w:val="006A6141"/>
    <w:rsid w:val="006A6961"/>
    <w:rsid w:val="006B0A1B"/>
    <w:rsid w:val="006B263C"/>
    <w:rsid w:val="006B336F"/>
    <w:rsid w:val="006B3681"/>
    <w:rsid w:val="006B3AC3"/>
    <w:rsid w:val="006B3BBA"/>
    <w:rsid w:val="006B745E"/>
    <w:rsid w:val="006C0CB8"/>
    <w:rsid w:val="006C14CD"/>
    <w:rsid w:val="006C477E"/>
    <w:rsid w:val="006C481D"/>
    <w:rsid w:val="006C5573"/>
    <w:rsid w:val="006C62D8"/>
    <w:rsid w:val="006C62F5"/>
    <w:rsid w:val="006D0FE3"/>
    <w:rsid w:val="006D1016"/>
    <w:rsid w:val="006D3390"/>
    <w:rsid w:val="006D45C8"/>
    <w:rsid w:val="006E02E0"/>
    <w:rsid w:val="006E2915"/>
    <w:rsid w:val="006E442D"/>
    <w:rsid w:val="006E49EB"/>
    <w:rsid w:val="006E596D"/>
    <w:rsid w:val="006E61B6"/>
    <w:rsid w:val="006E70A6"/>
    <w:rsid w:val="006F0E13"/>
    <w:rsid w:val="006F1946"/>
    <w:rsid w:val="006F3D1C"/>
    <w:rsid w:val="006F5136"/>
    <w:rsid w:val="006F7A8B"/>
    <w:rsid w:val="007026CE"/>
    <w:rsid w:val="00703807"/>
    <w:rsid w:val="007042FD"/>
    <w:rsid w:val="00704EE7"/>
    <w:rsid w:val="007059CE"/>
    <w:rsid w:val="00705B37"/>
    <w:rsid w:val="00705EF7"/>
    <w:rsid w:val="00705FDD"/>
    <w:rsid w:val="007062D7"/>
    <w:rsid w:val="007066BA"/>
    <w:rsid w:val="00707D17"/>
    <w:rsid w:val="007103C5"/>
    <w:rsid w:val="007114B8"/>
    <w:rsid w:val="00712238"/>
    <w:rsid w:val="00713ED5"/>
    <w:rsid w:val="0071478E"/>
    <w:rsid w:val="00715B24"/>
    <w:rsid w:val="0071619E"/>
    <w:rsid w:val="0071715C"/>
    <w:rsid w:val="00717611"/>
    <w:rsid w:val="007177FD"/>
    <w:rsid w:val="007222B4"/>
    <w:rsid w:val="00722C46"/>
    <w:rsid w:val="007236B9"/>
    <w:rsid w:val="00723B7F"/>
    <w:rsid w:val="00724252"/>
    <w:rsid w:val="0072444A"/>
    <w:rsid w:val="00724EAC"/>
    <w:rsid w:val="00725097"/>
    <w:rsid w:val="00725724"/>
    <w:rsid w:val="007258BD"/>
    <w:rsid w:val="00725AC4"/>
    <w:rsid w:val="00726A7C"/>
    <w:rsid w:val="0073068F"/>
    <w:rsid w:val="00730859"/>
    <w:rsid w:val="00730D24"/>
    <w:rsid w:val="007311AA"/>
    <w:rsid w:val="0073370C"/>
    <w:rsid w:val="007340FE"/>
    <w:rsid w:val="007344EE"/>
    <w:rsid w:val="007369F0"/>
    <w:rsid w:val="007370CB"/>
    <w:rsid w:val="007374A6"/>
    <w:rsid w:val="00737A4A"/>
    <w:rsid w:val="00737BDB"/>
    <w:rsid w:val="0074118A"/>
    <w:rsid w:val="007424A0"/>
    <w:rsid w:val="00744BC7"/>
    <w:rsid w:val="00745160"/>
    <w:rsid w:val="00746449"/>
    <w:rsid w:val="00746E6F"/>
    <w:rsid w:val="00747382"/>
    <w:rsid w:val="00747D7C"/>
    <w:rsid w:val="007507A9"/>
    <w:rsid w:val="00750E5B"/>
    <w:rsid w:val="00752687"/>
    <w:rsid w:val="00753FA3"/>
    <w:rsid w:val="007548F9"/>
    <w:rsid w:val="00755467"/>
    <w:rsid w:val="007556BD"/>
    <w:rsid w:val="007563A0"/>
    <w:rsid w:val="00756F09"/>
    <w:rsid w:val="007578BE"/>
    <w:rsid w:val="0076122E"/>
    <w:rsid w:val="00761657"/>
    <w:rsid w:val="00761BDC"/>
    <w:rsid w:val="00762774"/>
    <w:rsid w:val="00762990"/>
    <w:rsid w:val="00762EB4"/>
    <w:rsid w:val="00763BA7"/>
    <w:rsid w:val="007645B3"/>
    <w:rsid w:val="00764914"/>
    <w:rsid w:val="0076696A"/>
    <w:rsid w:val="00766CF1"/>
    <w:rsid w:val="007673A4"/>
    <w:rsid w:val="00770908"/>
    <w:rsid w:val="00770C7A"/>
    <w:rsid w:val="007710B5"/>
    <w:rsid w:val="00771EC1"/>
    <w:rsid w:val="007723F2"/>
    <w:rsid w:val="00776B13"/>
    <w:rsid w:val="00780B0F"/>
    <w:rsid w:val="0078164E"/>
    <w:rsid w:val="007816C7"/>
    <w:rsid w:val="00781FA5"/>
    <w:rsid w:val="00781FB6"/>
    <w:rsid w:val="00782DAE"/>
    <w:rsid w:val="00783AE2"/>
    <w:rsid w:val="00784D58"/>
    <w:rsid w:val="00785BDF"/>
    <w:rsid w:val="00785DF2"/>
    <w:rsid w:val="007867B5"/>
    <w:rsid w:val="007871EF"/>
    <w:rsid w:val="0078746B"/>
    <w:rsid w:val="0078747D"/>
    <w:rsid w:val="00787C07"/>
    <w:rsid w:val="007900BF"/>
    <w:rsid w:val="0079401A"/>
    <w:rsid w:val="0079622C"/>
    <w:rsid w:val="00796AB3"/>
    <w:rsid w:val="007A068B"/>
    <w:rsid w:val="007A085D"/>
    <w:rsid w:val="007A27F8"/>
    <w:rsid w:val="007A2CB3"/>
    <w:rsid w:val="007A52B8"/>
    <w:rsid w:val="007A7F80"/>
    <w:rsid w:val="007B00BE"/>
    <w:rsid w:val="007B0527"/>
    <w:rsid w:val="007B09A9"/>
    <w:rsid w:val="007B0A84"/>
    <w:rsid w:val="007B18CD"/>
    <w:rsid w:val="007B4333"/>
    <w:rsid w:val="007B4947"/>
    <w:rsid w:val="007B4EE1"/>
    <w:rsid w:val="007B5513"/>
    <w:rsid w:val="007B660B"/>
    <w:rsid w:val="007B6959"/>
    <w:rsid w:val="007C0DE8"/>
    <w:rsid w:val="007C195E"/>
    <w:rsid w:val="007C1CC8"/>
    <w:rsid w:val="007C2A37"/>
    <w:rsid w:val="007C3121"/>
    <w:rsid w:val="007C3F36"/>
    <w:rsid w:val="007C417D"/>
    <w:rsid w:val="007C5583"/>
    <w:rsid w:val="007C599D"/>
    <w:rsid w:val="007C59DC"/>
    <w:rsid w:val="007C7259"/>
    <w:rsid w:val="007C7775"/>
    <w:rsid w:val="007C7B01"/>
    <w:rsid w:val="007C7D3C"/>
    <w:rsid w:val="007D0C8F"/>
    <w:rsid w:val="007D2081"/>
    <w:rsid w:val="007D261A"/>
    <w:rsid w:val="007D3C2B"/>
    <w:rsid w:val="007D4350"/>
    <w:rsid w:val="007D5F8D"/>
    <w:rsid w:val="007D6AB0"/>
    <w:rsid w:val="007D7B13"/>
    <w:rsid w:val="007E054E"/>
    <w:rsid w:val="007E24C3"/>
    <w:rsid w:val="007E3576"/>
    <w:rsid w:val="007E37B0"/>
    <w:rsid w:val="007E3A6C"/>
    <w:rsid w:val="007E5E5F"/>
    <w:rsid w:val="007E781A"/>
    <w:rsid w:val="007F06C7"/>
    <w:rsid w:val="007F0A8B"/>
    <w:rsid w:val="007F14CA"/>
    <w:rsid w:val="007F4473"/>
    <w:rsid w:val="007F4BB4"/>
    <w:rsid w:val="007F4D32"/>
    <w:rsid w:val="007F4DEB"/>
    <w:rsid w:val="007F5365"/>
    <w:rsid w:val="007F6732"/>
    <w:rsid w:val="007F714D"/>
    <w:rsid w:val="008016EB"/>
    <w:rsid w:val="0080191C"/>
    <w:rsid w:val="00802FBF"/>
    <w:rsid w:val="008034D5"/>
    <w:rsid w:val="0080413F"/>
    <w:rsid w:val="0080638A"/>
    <w:rsid w:val="008069C4"/>
    <w:rsid w:val="00810E52"/>
    <w:rsid w:val="00810EE7"/>
    <w:rsid w:val="0081106F"/>
    <w:rsid w:val="00813A5F"/>
    <w:rsid w:val="00814D85"/>
    <w:rsid w:val="00816FE1"/>
    <w:rsid w:val="00820083"/>
    <w:rsid w:val="0082232A"/>
    <w:rsid w:val="008232F6"/>
    <w:rsid w:val="0082374D"/>
    <w:rsid w:val="008255C6"/>
    <w:rsid w:val="008266FE"/>
    <w:rsid w:val="00830150"/>
    <w:rsid w:val="008302DD"/>
    <w:rsid w:val="00830C3C"/>
    <w:rsid w:val="00832D5D"/>
    <w:rsid w:val="008334DF"/>
    <w:rsid w:val="00835757"/>
    <w:rsid w:val="00836DE0"/>
    <w:rsid w:val="00840B13"/>
    <w:rsid w:val="008455BF"/>
    <w:rsid w:val="00847401"/>
    <w:rsid w:val="00851656"/>
    <w:rsid w:val="00855783"/>
    <w:rsid w:val="00856103"/>
    <w:rsid w:val="00860A18"/>
    <w:rsid w:val="008613D3"/>
    <w:rsid w:val="00862C62"/>
    <w:rsid w:val="00863E5D"/>
    <w:rsid w:val="00863FDC"/>
    <w:rsid w:val="008710A4"/>
    <w:rsid w:val="008735F7"/>
    <w:rsid w:val="008745AC"/>
    <w:rsid w:val="00875206"/>
    <w:rsid w:val="00877709"/>
    <w:rsid w:val="00880616"/>
    <w:rsid w:val="008809DF"/>
    <w:rsid w:val="00881789"/>
    <w:rsid w:val="0088207B"/>
    <w:rsid w:val="00884FE8"/>
    <w:rsid w:val="0088555D"/>
    <w:rsid w:val="008859BB"/>
    <w:rsid w:val="00886DF7"/>
    <w:rsid w:val="00887BE1"/>
    <w:rsid w:val="008904F1"/>
    <w:rsid w:val="00890F30"/>
    <w:rsid w:val="00891A86"/>
    <w:rsid w:val="00892BAF"/>
    <w:rsid w:val="0089380F"/>
    <w:rsid w:val="008965E2"/>
    <w:rsid w:val="008965EF"/>
    <w:rsid w:val="00897497"/>
    <w:rsid w:val="008A0BC7"/>
    <w:rsid w:val="008A3802"/>
    <w:rsid w:val="008A4379"/>
    <w:rsid w:val="008A7C87"/>
    <w:rsid w:val="008B1800"/>
    <w:rsid w:val="008B20C5"/>
    <w:rsid w:val="008B22DC"/>
    <w:rsid w:val="008B34E9"/>
    <w:rsid w:val="008B614F"/>
    <w:rsid w:val="008B6BFB"/>
    <w:rsid w:val="008B772B"/>
    <w:rsid w:val="008C06F1"/>
    <w:rsid w:val="008C0983"/>
    <w:rsid w:val="008C1ABC"/>
    <w:rsid w:val="008C1F6A"/>
    <w:rsid w:val="008C1F8A"/>
    <w:rsid w:val="008C2A33"/>
    <w:rsid w:val="008C3249"/>
    <w:rsid w:val="008C34DF"/>
    <w:rsid w:val="008C3921"/>
    <w:rsid w:val="008C3C2E"/>
    <w:rsid w:val="008C41B2"/>
    <w:rsid w:val="008C4686"/>
    <w:rsid w:val="008C56D7"/>
    <w:rsid w:val="008C5B5D"/>
    <w:rsid w:val="008C5E17"/>
    <w:rsid w:val="008C6C2A"/>
    <w:rsid w:val="008C75B3"/>
    <w:rsid w:val="008D01FB"/>
    <w:rsid w:val="008D045A"/>
    <w:rsid w:val="008D15C4"/>
    <w:rsid w:val="008D1DEC"/>
    <w:rsid w:val="008D233A"/>
    <w:rsid w:val="008D3B01"/>
    <w:rsid w:val="008D6030"/>
    <w:rsid w:val="008D6863"/>
    <w:rsid w:val="008E13CA"/>
    <w:rsid w:val="008E14F0"/>
    <w:rsid w:val="008E342C"/>
    <w:rsid w:val="008E3776"/>
    <w:rsid w:val="008E42D2"/>
    <w:rsid w:val="008E456C"/>
    <w:rsid w:val="008E5085"/>
    <w:rsid w:val="008E5A17"/>
    <w:rsid w:val="008F092E"/>
    <w:rsid w:val="008F0B7C"/>
    <w:rsid w:val="008F0C5D"/>
    <w:rsid w:val="008F1075"/>
    <w:rsid w:val="008F12E8"/>
    <w:rsid w:val="008F1CB4"/>
    <w:rsid w:val="008F1FBD"/>
    <w:rsid w:val="008F2EB5"/>
    <w:rsid w:val="008F41A8"/>
    <w:rsid w:val="008F6897"/>
    <w:rsid w:val="00900A3D"/>
    <w:rsid w:val="00900F12"/>
    <w:rsid w:val="00901BAF"/>
    <w:rsid w:val="00902F18"/>
    <w:rsid w:val="00903E16"/>
    <w:rsid w:val="009044B9"/>
    <w:rsid w:val="00904923"/>
    <w:rsid w:val="00904A27"/>
    <w:rsid w:val="00904F55"/>
    <w:rsid w:val="009074FD"/>
    <w:rsid w:val="0090754E"/>
    <w:rsid w:val="00907C61"/>
    <w:rsid w:val="009108E7"/>
    <w:rsid w:val="00911C5B"/>
    <w:rsid w:val="009141DB"/>
    <w:rsid w:val="0091425E"/>
    <w:rsid w:val="009149CB"/>
    <w:rsid w:val="0091515A"/>
    <w:rsid w:val="009167B8"/>
    <w:rsid w:val="009227AB"/>
    <w:rsid w:val="00922DC5"/>
    <w:rsid w:val="009232AD"/>
    <w:rsid w:val="00925976"/>
    <w:rsid w:val="00925ADB"/>
    <w:rsid w:val="0092717D"/>
    <w:rsid w:val="00932341"/>
    <w:rsid w:val="0093479E"/>
    <w:rsid w:val="00934BEC"/>
    <w:rsid w:val="00934F42"/>
    <w:rsid w:val="00936135"/>
    <w:rsid w:val="0093682A"/>
    <w:rsid w:val="00940C17"/>
    <w:rsid w:val="009413AB"/>
    <w:rsid w:val="00942695"/>
    <w:rsid w:val="00942800"/>
    <w:rsid w:val="0094334B"/>
    <w:rsid w:val="0094374F"/>
    <w:rsid w:val="009437E3"/>
    <w:rsid w:val="00943C31"/>
    <w:rsid w:val="00943E12"/>
    <w:rsid w:val="00945CF1"/>
    <w:rsid w:val="00946326"/>
    <w:rsid w:val="00947909"/>
    <w:rsid w:val="00952C0D"/>
    <w:rsid w:val="0095339F"/>
    <w:rsid w:val="0095486F"/>
    <w:rsid w:val="00955401"/>
    <w:rsid w:val="0095607C"/>
    <w:rsid w:val="0095666F"/>
    <w:rsid w:val="00956C5A"/>
    <w:rsid w:val="00956C9D"/>
    <w:rsid w:val="00957208"/>
    <w:rsid w:val="00960EA3"/>
    <w:rsid w:val="00961069"/>
    <w:rsid w:val="0096367E"/>
    <w:rsid w:val="00963B94"/>
    <w:rsid w:val="00965848"/>
    <w:rsid w:val="00966068"/>
    <w:rsid w:val="00970E10"/>
    <w:rsid w:val="009723C6"/>
    <w:rsid w:val="0097246B"/>
    <w:rsid w:val="00977752"/>
    <w:rsid w:val="00977E81"/>
    <w:rsid w:val="00980E04"/>
    <w:rsid w:val="009815FB"/>
    <w:rsid w:val="00981AD3"/>
    <w:rsid w:val="00982297"/>
    <w:rsid w:val="00982B74"/>
    <w:rsid w:val="009830B6"/>
    <w:rsid w:val="0098349B"/>
    <w:rsid w:val="00983916"/>
    <w:rsid w:val="009847CD"/>
    <w:rsid w:val="009873C9"/>
    <w:rsid w:val="00991457"/>
    <w:rsid w:val="009918CB"/>
    <w:rsid w:val="00991962"/>
    <w:rsid w:val="0099362D"/>
    <w:rsid w:val="00995B8E"/>
    <w:rsid w:val="00995F5E"/>
    <w:rsid w:val="00996821"/>
    <w:rsid w:val="00996DD2"/>
    <w:rsid w:val="0099763E"/>
    <w:rsid w:val="009A10F1"/>
    <w:rsid w:val="009A7572"/>
    <w:rsid w:val="009A76C0"/>
    <w:rsid w:val="009B04F9"/>
    <w:rsid w:val="009B0B9D"/>
    <w:rsid w:val="009B2395"/>
    <w:rsid w:val="009B2898"/>
    <w:rsid w:val="009B3200"/>
    <w:rsid w:val="009B35E8"/>
    <w:rsid w:val="009B5E00"/>
    <w:rsid w:val="009B6827"/>
    <w:rsid w:val="009B6D93"/>
    <w:rsid w:val="009B7BA5"/>
    <w:rsid w:val="009B7C66"/>
    <w:rsid w:val="009C0A7E"/>
    <w:rsid w:val="009C12AB"/>
    <w:rsid w:val="009C452F"/>
    <w:rsid w:val="009C60DE"/>
    <w:rsid w:val="009D1419"/>
    <w:rsid w:val="009D151A"/>
    <w:rsid w:val="009D24CE"/>
    <w:rsid w:val="009D30ED"/>
    <w:rsid w:val="009D3480"/>
    <w:rsid w:val="009D5838"/>
    <w:rsid w:val="009D70A0"/>
    <w:rsid w:val="009D7534"/>
    <w:rsid w:val="009E089C"/>
    <w:rsid w:val="009E0945"/>
    <w:rsid w:val="009E3BDC"/>
    <w:rsid w:val="009E4C79"/>
    <w:rsid w:val="009E4EF7"/>
    <w:rsid w:val="009E6AC2"/>
    <w:rsid w:val="009E6EA5"/>
    <w:rsid w:val="009F0654"/>
    <w:rsid w:val="009F1C4E"/>
    <w:rsid w:val="009F1F5F"/>
    <w:rsid w:val="009F2417"/>
    <w:rsid w:val="009F2E6A"/>
    <w:rsid w:val="009F506F"/>
    <w:rsid w:val="009F57DA"/>
    <w:rsid w:val="009F5C73"/>
    <w:rsid w:val="009F62C9"/>
    <w:rsid w:val="009F6EB4"/>
    <w:rsid w:val="009F71D8"/>
    <w:rsid w:val="009F79EB"/>
    <w:rsid w:val="009F7DB0"/>
    <w:rsid w:val="00A00928"/>
    <w:rsid w:val="00A0296C"/>
    <w:rsid w:val="00A03BC9"/>
    <w:rsid w:val="00A041D9"/>
    <w:rsid w:val="00A06C28"/>
    <w:rsid w:val="00A10FCE"/>
    <w:rsid w:val="00A1297C"/>
    <w:rsid w:val="00A13BBA"/>
    <w:rsid w:val="00A15595"/>
    <w:rsid w:val="00A16215"/>
    <w:rsid w:val="00A207B3"/>
    <w:rsid w:val="00A20D07"/>
    <w:rsid w:val="00A216B3"/>
    <w:rsid w:val="00A217CA"/>
    <w:rsid w:val="00A21EE9"/>
    <w:rsid w:val="00A21F31"/>
    <w:rsid w:val="00A253B0"/>
    <w:rsid w:val="00A2593A"/>
    <w:rsid w:val="00A266ED"/>
    <w:rsid w:val="00A277A4"/>
    <w:rsid w:val="00A3034F"/>
    <w:rsid w:val="00A3108C"/>
    <w:rsid w:val="00A31DBF"/>
    <w:rsid w:val="00A32238"/>
    <w:rsid w:val="00A32F89"/>
    <w:rsid w:val="00A34A32"/>
    <w:rsid w:val="00A34FE5"/>
    <w:rsid w:val="00A351F4"/>
    <w:rsid w:val="00A3554A"/>
    <w:rsid w:val="00A35994"/>
    <w:rsid w:val="00A37290"/>
    <w:rsid w:val="00A40EAF"/>
    <w:rsid w:val="00A43BCD"/>
    <w:rsid w:val="00A45178"/>
    <w:rsid w:val="00A455C4"/>
    <w:rsid w:val="00A45722"/>
    <w:rsid w:val="00A45B66"/>
    <w:rsid w:val="00A45F7D"/>
    <w:rsid w:val="00A4623F"/>
    <w:rsid w:val="00A466B2"/>
    <w:rsid w:val="00A47E54"/>
    <w:rsid w:val="00A50B84"/>
    <w:rsid w:val="00A53BE5"/>
    <w:rsid w:val="00A53E47"/>
    <w:rsid w:val="00A5408D"/>
    <w:rsid w:val="00A57EFB"/>
    <w:rsid w:val="00A61076"/>
    <w:rsid w:val="00A61A9B"/>
    <w:rsid w:val="00A621DC"/>
    <w:rsid w:val="00A63C77"/>
    <w:rsid w:val="00A64DDF"/>
    <w:rsid w:val="00A66249"/>
    <w:rsid w:val="00A70B11"/>
    <w:rsid w:val="00A70B91"/>
    <w:rsid w:val="00A70CA6"/>
    <w:rsid w:val="00A720E9"/>
    <w:rsid w:val="00A72C66"/>
    <w:rsid w:val="00A7385E"/>
    <w:rsid w:val="00A742B6"/>
    <w:rsid w:val="00A76812"/>
    <w:rsid w:val="00A805C8"/>
    <w:rsid w:val="00A8093D"/>
    <w:rsid w:val="00A80E0C"/>
    <w:rsid w:val="00A811EA"/>
    <w:rsid w:val="00A82B15"/>
    <w:rsid w:val="00A844B1"/>
    <w:rsid w:val="00A84B32"/>
    <w:rsid w:val="00A8543A"/>
    <w:rsid w:val="00A86231"/>
    <w:rsid w:val="00A86BDA"/>
    <w:rsid w:val="00A87196"/>
    <w:rsid w:val="00A90A98"/>
    <w:rsid w:val="00A918A2"/>
    <w:rsid w:val="00A923B7"/>
    <w:rsid w:val="00A92700"/>
    <w:rsid w:val="00A93C1C"/>
    <w:rsid w:val="00A94DBB"/>
    <w:rsid w:val="00A94E4A"/>
    <w:rsid w:val="00A95B6A"/>
    <w:rsid w:val="00AA1367"/>
    <w:rsid w:val="00AA1C3E"/>
    <w:rsid w:val="00AA2037"/>
    <w:rsid w:val="00AA2A44"/>
    <w:rsid w:val="00AA377F"/>
    <w:rsid w:val="00AA3CDB"/>
    <w:rsid w:val="00AA4CF5"/>
    <w:rsid w:val="00AA62C7"/>
    <w:rsid w:val="00AA6E8D"/>
    <w:rsid w:val="00AB0491"/>
    <w:rsid w:val="00AB0795"/>
    <w:rsid w:val="00AB365D"/>
    <w:rsid w:val="00AB4058"/>
    <w:rsid w:val="00AB428D"/>
    <w:rsid w:val="00AB61C7"/>
    <w:rsid w:val="00AC01B7"/>
    <w:rsid w:val="00AC1FE3"/>
    <w:rsid w:val="00AC2B50"/>
    <w:rsid w:val="00AC31B3"/>
    <w:rsid w:val="00AC46B8"/>
    <w:rsid w:val="00AC50E9"/>
    <w:rsid w:val="00AC5482"/>
    <w:rsid w:val="00AC54CF"/>
    <w:rsid w:val="00AC61C9"/>
    <w:rsid w:val="00AC64D7"/>
    <w:rsid w:val="00AC7B71"/>
    <w:rsid w:val="00AD0D06"/>
    <w:rsid w:val="00AD0FFF"/>
    <w:rsid w:val="00AD22F6"/>
    <w:rsid w:val="00AD3912"/>
    <w:rsid w:val="00AD555A"/>
    <w:rsid w:val="00AD6B11"/>
    <w:rsid w:val="00AE2F7E"/>
    <w:rsid w:val="00AE39CF"/>
    <w:rsid w:val="00AE421A"/>
    <w:rsid w:val="00AE4363"/>
    <w:rsid w:val="00AE6FC1"/>
    <w:rsid w:val="00AF13E3"/>
    <w:rsid w:val="00AF168A"/>
    <w:rsid w:val="00AF5282"/>
    <w:rsid w:val="00AF53B2"/>
    <w:rsid w:val="00AF5E71"/>
    <w:rsid w:val="00AF71D4"/>
    <w:rsid w:val="00AF74A3"/>
    <w:rsid w:val="00AF759C"/>
    <w:rsid w:val="00B0095B"/>
    <w:rsid w:val="00B01C4C"/>
    <w:rsid w:val="00B03019"/>
    <w:rsid w:val="00B03062"/>
    <w:rsid w:val="00B03FB2"/>
    <w:rsid w:val="00B0493C"/>
    <w:rsid w:val="00B067A7"/>
    <w:rsid w:val="00B06A90"/>
    <w:rsid w:val="00B06AB0"/>
    <w:rsid w:val="00B1240C"/>
    <w:rsid w:val="00B124B2"/>
    <w:rsid w:val="00B124C2"/>
    <w:rsid w:val="00B14719"/>
    <w:rsid w:val="00B15584"/>
    <w:rsid w:val="00B17823"/>
    <w:rsid w:val="00B22565"/>
    <w:rsid w:val="00B23136"/>
    <w:rsid w:val="00B26E4E"/>
    <w:rsid w:val="00B279D1"/>
    <w:rsid w:val="00B301F3"/>
    <w:rsid w:val="00B31C68"/>
    <w:rsid w:val="00B32B04"/>
    <w:rsid w:val="00B35396"/>
    <w:rsid w:val="00B366E8"/>
    <w:rsid w:val="00B368ED"/>
    <w:rsid w:val="00B40EB5"/>
    <w:rsid w:val="00B41317"/>
    <w:rsid w:val="00B41BC7"/>
    <w:rsid w:val="00B41F6F"/>
    <w:rsid w:val="00B4210A"/>
    <w:rsid w:val="00B44DC5"/>
    <w:rsid w:val="00B459ED"/>
    <w:rsid w:val="00B460A8"/>
    <w:rsid w:val="00B46511"/>
    <w:rsid w:val="00B47024"/>
    <w:rsid w:val="00B47FDC"/>
    <w:rsid w:val="00B508F5"/>
    <w:rsid w:val="00B50C56"/>
    <w:rsid w:val="00B5179D"/>
    <w:rsid w:val="00B51851"/>
    <w:rsid w:val="00B51E28"/>
    <w:rsid w:val="00B52361"/>
    <w:rsid w:val="00B5294E"/>
    <w:rsid w:val="00B53A12"/>
    <w:rsid w:val="00B54CB8"/>
    <w:rsid w:val="00B54CD9"/>
    <w:rsid w:val="00B56E4F"/>
    <w:rsid w:val="00B575BD"/>
    <w:rsid w:val="00B57FAC"/>
    <w:rsid w:val="00B60047"/>
    <w:rsid w:val="00B6052A"/>
    <w:rsid w:val="00B62EFA"/>
    <w:rsid w:val="00B63151"/>
    <w:rsid w:val="00B64771"/>
    <w:rsid w:val="00B657CA"/>
    <w:rsid w:val="00B65D9F"/>
    <w:rsid w:val="00B701BE"/>
    <w:rsid w:val="00B71D5C"/>
    <w:rsid w:val="00B71E3D"/>
    <w:rsid w:val="00B77B8B"/>
    <w:rsid w:val="00B77D43"/>
    <w:rsid w:val="00B77FCD"/>
    <w:rsid w:val="00B805E8"/>
    <w:rsid w:val="00B80A38"/>
    <w:rsid w:val="00B81890"/>
    <w:rsid w:val="00B82464"/>
    <w:rsid w:val="00B82F90"/>
    <w:rsid w:val="00B84188"/>
    <w:rsid w:val="00B84FB7"/>
    <w:rsid w:val="00B859CF"/>
    <w:rsid w:val="00B86B75"/>
    <w:rsid w:val="00B87FA1"/>
    <w:rsid w:val="00B90BC6"/>
    <w:rsid w:val="00B919DC"/>
    <w:rsid w:val="00B94B9C"/>
    <w:rsid w:val="00B95345"/>
    <w:rsid w:val="00B95963"/>
    <w:rsid w:val="00B963F8"/>
    <w:rsid w:val="00B9750E"/>
    <w:rsid w:val="00B97BDE"/>
    <w:rsid w:val="00BA0C49"/>
    <w:rsid w:val="00BA2804"/>
    <w:rsid w:val="00BA3EB5"/>
    <w:rsid w:val="00BA4FF8"/>
    <w:rsid w:val="00BA5824"/>
    <w:rsid w:val="00BA5AE9"/>
    <w:rsid w:val="00BA64A3"/>
    <w:rsid w:val="00BB0CBF"/>
    <w:rsid w:val="00BB3163"/>
    <w:rsid w:val="00BB3A00"/>
    <w:rsid w:val="00BB44C2"/>
    <w:rsid w:val="00BB4C1F"/>
    <w:rsid w:val="00BB4CB2"/>
    <w:rsid w:val="00BB6DA9"/>
    <w:rsid w:val="00BB7231"/>
    <w:rsid w:val="00BB7549"/>
    <w:rsid w:val="00BC27E3"/>
    <w:rsid w:val="00BC3C0C"/>
    <w:rsid w:val="00BC48D5"/>
    <w:rsid w:val="00BC5168"/>
    <w:rsid w:val="00BC53E6"/>
    <w:rsid w:val="00BC6338"/>
    <w:rsid w:val="00BC64CC"/>
    <w:rsid w:val="00BC7B3B"/>
    <w:rsid w:val="00BD54F8"/>
    <w:rsid w:val="00BD5B54"/>
    <w:rsid w:val="00BD72A4"/>
    <w:rsid w:val="00BE1710"/>
    <w:rsid w:val="00BE3224"/>
    <w:rsid w:val="00BE77F5"/>
    <w:rsid w:val="00BE7D76"/>
    <w:rsid w:val="00BF0287"/>
    <w:rsid w:val="00BF2151"/>
    <w:rsid w:val="00BF2F16"/>
    <w:rsid w:val="00BF3B80"/>
    <w:rsid w:val="00BF47B2"/>
    <w:rsid w:val="00BF4A3F"/>
    <w:rsid w:val="00BF6B05"/>
    <w:rsid w:val="00BF7535"/>
    <w:rsid w:val="00C014BD"/>
    <w:rsid w:val="00C01801"/>
    <w:rsid w:val="00C02D92"/>
    <w:rsid w:val="00C0353E"/>
    <w:rsid w:val="00C03F74"/>
    <w:rsid w:val="00C043DA"/>
    <w:rsid w:val="00C05910"/>
    <w:rsid w:val="00C059FB"/>
    <w:rsid w:val="00C05B4D"/>
    <w:rsid w:val="00C05D64"/>
    <w:rsid w:val="00C06BD5"/>
    <w:rsid w:val="00C10550"/>
    <w:rsid w:val="00C10E37"/>
    <w:rsid w:val="00C1107C"/>
    <w:rsid w:val="00C1224C"/>
    <w:rsid w:val="00C136BB"/>
    <w:rsid w:val="00C14EED"/>
    <w:rsid w:val="00C16011"/>
    <w:rsid w:val="00C16280"/>
    <w:rsid w:val="00C169A6"/>
    <w:rsid w:val="00C2007D"/>
    <w:rsid w:val="00C23E4D"/>
    <w:rsid w:val="00C25AEB"/>
    <w:rsid w:val="00C26522"/>
    <w:rsid w:val="00C303C4"/>
    <w:rsid w:val="00C33A59"/>
    <w:rsid w:val="00C342FB"/>
    <w:rsid w:val="00C34706"/>
    <w:rsid w:val="00C34853"/>
    <w:rsid w:val="00C36279"/>
    <w:rsid w:val="00C365AA"/>
    <w:rsid w:val="00C376A9"/>
    <w:rsid w:val="00C4180D"/>
    <w:rsid w:val="00C4243E"/>
    <w:rsid w:val="00C4395F"/>
    <w:rsid w:val="00C43E4B"/>
    <w:rsid w:val="00C43F8C"/>
    <w:rsid w:val="00C448A2"/>
    <w:rsid w:val="00C44A8F"/>
    <w:rsid w:val="00C47878"/>
    <w:rsid w:val="00C5267C"/>
    <w:rsid w:val="00C52714"/>
    <w:rsid w:val="00C52C90"/>
    <w:rsid w:val="00C53416"/>
    <w:rsid w:val="00C53724"/>
    <w:rsid w:val="00C546E9"/>
    <w:rsid w:val="00C560A0"/>
    <w:rsid w:val="00C56BBF"/>
    <w:rsid w:val="00C60560"/>
    <w:rsid w:val="00C61DAE"/>
    <w:rsid w:val="00C62436"/>
    <w:rsid w:val="00C6319D"/>
    <w:rsid w:val="00C64D46"/>
    <w:rsid w:val="00C66FEA"/>
    <w:rsid w:val="00C67C5C"/>
    <w:rsid w:val="00C67E63"/>
    <w:rsid w:val="00C70190"/>
    <w:rsid w:val="00C7512F"/>
    <w:rsid w:val="00C756B4"/>
    <w:rsid w:val="00C767D6"/>
    <w:rsid w:val="00C76FC7"/>
    <w:rsid w:val="00C8168A"/>
    <w:rsid w:val="00C82E94"/>
    <w:rsid w:val="00C839E8"/>
    <w:rsid w:val="00C85F32"/>
    <w:rsid w:val="00C867E3"/>
    <w:rsid w:val="00C903C8"/>
    <w:rsid w:val="00C912B5"/>
    <w:rsid w:val="00C931AF"/>
    <w:rsid w:val="00C93E8E"/>
    <w:rsid w:val="00C93EE1"/>
    <w:rsid w:val="00C95853"/>
    <w:rsid w:val="00C9746B"/>
    <w:rsid w:val="00C975F0"/>
    <w:rsid w:val="00C97BA7"/>
    <w:rsid w:val="00CA10DE"/>
    <w:rsid w:val="00CA11DE"/>
    <w:rsid w:val="00CA149F"/>
    <w:rsid w:val="00CA218D"/>
    <w:rsid w:val="00CA3794"/>
    <w:rsid w:val="00CA3B7C"/>
    <w:rsid w:val="00CA40E1"/>
    <w:rsid w:val="00CA58C5"/>
    <w:rsid w:val="00CA6212"/>
    <w:rsid w:val="00CA7ED0"/>
    <w:rsid w:val="00CB03A5"/>
    <w:rsid w:val="00CB1539"/>
    <w:rsid w:val="00CB1B21"/>
    <w:rsid w:val="00CB271B"/>
    <w:rsid w:val="00CB4BE5"/>
    <w:rsid w:val="00CB5BCF"/>
    <w:rsid w:val="00CB5EA1"/>
    <w:rsid w:val="00CB6311"/>
    <w:rsid w:val="00CB6745"/>
    <w:rsid w:val="00CB683B"/>
    <w:rsid w:val="00CB6E4D"/>
    <w:rsid w:val="00CB7188"/>
    <w:rsid w:val="00CB794A"/>
    <w:rsid w:val="00CC0541"/>
    <w:rsid w:val="00CC224E"/>
    <w:rsid w:val="00CC4676"/>
    <w:rsid w:val="00CC4B91"/>
    <w:rsid w:val="00CC5EC5"/>
    <w:rsid w:val="00CC647A"/>
    <w:rsid w:val="00CC6762"/>
    <w:rsid w:val="00CD38D4"/>
    <w:rsid w:val="00CD432C"/>
    <w:rsid w:val="00CD46D9"/>
    <w:rsid w:val="00CD6DC3"/>
    <w:rsid w:val="00CD7A22"/>
    <w:rsid w:val="00CD7F22"/>
    <w:rsid w:val="00CE01A5"/>
    <w:rsid w:val="00CE0688"/>
    <w:rsid w:val="00CE21C4"/>
    <w:rsid w:val="00CE24B2"/>
    <w:rsid w:val="00CE4102"/>
    <w:rsid w:val="00CE7830"/>
    <w:rsid w:val="00CE7D44"/>
    <w:rsid w:val="00CF083D"/>
    <w:rsid w:val="00CF1325"/>
    <w:rsid w:val="00CF1579"/>
    <w:rsid w:val="00CF1652"/>
    <w:rsid w:val="00CF36EE"/>
    <w:rsid w:val="00CF5130"/>
    <w:rsid w:val="00CF5398"/>
    <w:rsid w:val="00CF6108"/>
    <w:rsid w:val="00CF6884"/>
    <w:rsid w:val="00CF7697"/>
    <w:rsid w:val="00D01730"/>
    <w:rsid w:val="00D02936"/>
    <w:rsid w:val="00D030D4"/>
    <w:rsid w:val="00D065A0"/>
    <w:rsid w:val="00D10AA2"/>
    <w:rsid w:val="00D113D4"/>
    <w:rsid w:val="00D1287E"/>
    <w:rsid w:val="00D12978"/>
    <w:rsid w:val="00D148C1"/>
    <w:rsid w:val="00D14ECA"/>
    <w:rsid w:val="00D153E7"/>
    <w:rsid w:val="00D1693B"/>
    <w:rsid w:val="00D17330"/>
    <w:rsid w:val="00D17CF4"/>
    <w:rsid w:val="00D22497"/>
    <w:rsid w:val="00D22E5F"/>
    <w:rsid w:val="00D23686"/>
    <w:rsid w:val="00D24DB4"/>
    <w:rsid w:val="00D24FEE"/>
    <w:rsid w:val="00D25B90"/>
    <w:rsid w:val="00D26044"/>
    <w:rsid w:val="00D274A6"/>
    <w:rsid w:val="00D3396F"/>
    <w:rsid w:val="00D34146"/>
    <w:rsid w:val="00D35096"/>
    <w:rsid w:val="00D3775F"/>
    <w:rsid w:val="00D3787C"/>
    <w:rsid w:val="00D4092F"/>
    <w:rsid w:val="00D40C1E"/>
    <w:rsid w:val="00D4229C"/>
    <w:rsid w:val="00D42C3C"/>
    <w:rsid w:val="00D43C11"/>
    <w:rsid w:val="00D4569D"/>
    <w:rsid w:val="00D50291"/>
    <w:rsid w:val="00D507A2"/>
    <w:rsid w:val="00D508C7"/>
    <w:rsid w:val="00D5192F"/>
    <w:rsid w:val="00D55855"/>
    <w:rsid w:val="00D56B30"/>
    <w:rsid w:val="00D60290"/>
    <w:rsid w:val="00D60F2D"/>
    <w:rsid w:val="00D61A54"/>
    <w:rsid w:val="00D62595"/>
    <w:rsid w:val="00D6491D"/>
    <w:rsid w:val="00D64C5B"/>
    <w:rsid w:val="00D664F7"/>
    <w:rsid w:val="00D66513"/>
    <w:rsid w:val="00D67A04"/>
    <w:rsid w:val="00D67A0C"/>
    <w:rsid w:val="00D67C3A"/>
    <w:rsid w:val="00D713E0"/>
    <w:rsid w:val="00D71485"/>
    <w:rsid w:val="00D739B9"/>
    <w:rsid w:val="00D75E70"/>
    <w:rsid w:val="00D80DB7"/>
    <w:rsid w:val="00D8156B"/>
    <w:rsid w:val="00D81C46"/>
    <w:rsid w:val="00D85575"/>
    <w:rsid w:val="00D856AB"/>
    <w:rsid w:val="00D86472"/>
    <w:rsid w:val="00D87ABF"/>
    <w:rsid w:val="00D87BCB"/>
    <w:rsid w:val="00D87C97"/>
    <w:rsid w:val="00D9108D"/>
    <w:rsid w:val="00D9183C"/>
    <w:rsid w:val="00D91E63"/>
    <w:rsid w:val="00D937DA"/>
    <w:rsid w:val="00D93B86"/>
    <w:rsid w:val="00D94949"/>
    <w:rsid w:val="00D94F1E"/>
    <w:rsid w:val="00D95F7C"/>
    <w:rsid w:val="00D97E99"/>
    <w:rsid w:val="00DA0BC8"/>
    <w:rsid w:val="00DA1A45"/>
    <w:rsid w:val="00DA273D"/>
    <w:rsid w:val="00DA3020"/>
    <w:rsid w:val="00DA3751"/>
    <w:rsid w:val="00DA37D3"/>
    <w:rsid w:val="00DA39C1"/>
    <w:rsid w:val="00DA47F3"/>
    <w:rsid w:val="00DA54CB"/>
    <w:rsid w:val="00DA68A2"/>
    <w:rsid w:val="00DA7388"/>
    <w:rsid w:val="00DA7D54"/>
    <w:rsid w:val="00DB0794"/>
    <w:rsid w:val="00DB2B91"/>
    <w:rsid w:val="00DB32AB"/>
    <w:rsid w:val="00DB4BD7"/>
    <w:rsid w:val="00DB56F1"/>
    <w:rsid w:val="00DB6699"/>
    <w:rsid w:val="00DB6E54"/>
    <w:rsid w:val="00DB75FE"/>
    <w:rsid w:val="00DC2045"/>
    <w:rsid w:val="00DC2240"/>
    <w:rsid w:val="00DC234D"/>
    <w:rsid w:val="00DC428B"/>
    <w:rsid w:val="00DC49AB"/>
    <w:rsid w:val="00DC6DB3"/>
    <w:rsid w:val="00DC7720"/>
    <w:rsid w:val="00DC77E6"/>
    <w:rsid w:val="00DD2244"/>
    <w:rsid w:val="00DD3DF7"/>
    <w:rsid w:val="00DD4DFF"/>
    <w:rsid w:val="00DD6CC2"/>
    <w:rsid w:val="00DD6FD0"/>
    <w:rsid w:val="00DE03C5"/>
    <w:rsid w:val="00DE0FF9"/>
    <w:rsid w:val="00DE11BD"/>
    <w:rsid w:val="00DE2332"/>
    <w:rsid w:val="00DE51AE"/>
    <w:rsid w:val="00DE5A9B"/>
    <w:rsid w:val="00DE5B3C"/>
    <w:rsid w:val="00DE6954"/>
    <w:rsid w:val="00DF03BB"/>
    <w:rsid w:val="00DF0EF8"/>
    <w:rsid w:val="00DF1E3C"/>
    <w:rsid w:val="00DF251A"/>
    <w:rsid w:val="00DF27CA"/>
    <w:rsid w:val="00DF490C"/>
    <w:rsid w:val="00DF6E13"/>
    <w:rsid w:val="00DF725F"/>
    <w:rsid w:val="00DF7DB6"/>
    <w:rsid w:val="00E00F59"/>
    <w:rsid w:val="00E013D1"/>
    <w:rsid w:val="00E01A1C"/>
    <w:rsid w:val="00E01EEB"/>
    <w:rsid w:val="00E02A61"/>
    <w:rsid w:val="00E0411C"/>
    <w:rsid w:val="00E05020"/>
    <w:rsid w:val="00E0678F"/>
    <w:rsid w:val="00E07854"/>
    <w:rsid w:val="00E13DEC"/>
    <w:rsid w:val="00E15090"/>
    <w:rsid w:val="00E159FF"/>
    <w:rsid w:val="00E16087"/>
    <w:rsid w:val="00E16483"/>
    <w:rsid w:val="00E17915"/>
    <w:rsid w:val="00E20C27"/>
    <w:rsid w:val="00E20EAB"/>
    <w:rsid w:val="00E21508"/>
    <w:rsid w:val="00E21812"/>
    <w:rsid w:val="00E246FA"/>
    <w:rsid w:val="00E24801"/>
    <w:rsid w:val="00E26E24"/>
    <w:rsid w:val="00E27330"/>
    <w:rsid w:val="00E27370"/>
    <w:rsid w:val="00E30A17"/>
    <w:rsid w:val="00E315A3"/>
    <w:rsid w:val="00E31678"/>
    <w:rsid w:val="00E31A41"/>
    <w:rsid w:val="00E31B19"/>
    <w:rsid w:val="00E3270A"/>
    <w:rsid w:val="00E3357A"/>
    <w:rsid w:val="00E33BE7"/>
    <w:rsid w:val="00E34BCF"/>
    <w:rsid w:val="00E360FE"/>
    <w:rsid w:val="00E373B3"/>
    <w:rsid w:val="00E37A3C"/>
    <w:rsid w:val="00E42902"/>
    <w:rsid w:val="00E42C14"/>
    <w:rsid w:val="00E4474A"/>
    <w:rsid w:val="00E44873"/>
    <w:rsid w:val="00E44B61"/>
    <w:rsid w:val="00E46819"/>
    <w:rsid w:val="00E47C8D"/>
    <w:rsid w:val="00E47EC9"/>
    <w:rsid w:val="00E5020B"/>
    <w:rsid w:val="00E50C4B"/>
    <w:rsid w:val="00E52748"/>
    <w:rsid w:val="00E52E09"/>
    <w:rsid w:val="00E53E78"/>
    <w:rsid w:val="00E547E7"/>
    <w:rsid w:val="00E559A7"/>
    <w:rsid w:val="00E55AC8"/>
    <w:rsid w:val="00E55BEF"/>
    <w:rsid w:val="00E568C4"/>
    <w:rsid w:val="00E57075"/>
    <w:rsid w:val="00E60188"/>
    <w:rsid w:val="00E602F2"/>
    <w:rsid w:val="00E60701"/>
    <w:rsid w:val="00E60A65"/>
    <w:rsid w:val="00E613DF"/>
    <w:rsid w:val="00E61A8B"/>
    <w:rsid w:val="00E6263C"/>
    <w:rsid w:val="00E62F25"/>
    <w:rsid w:val="00E64E25"/>
    <w:rsid w:val="00E6511B"/>
    <w:rsid w:val="00E66A2F"/>
    <w:rsid w:val="00E71E86"/>
    <w:rsid w:val="00E73AF0"/>
    <w:rsid w:val="00E73E0E"/>
    <w:rsid w:val="00E73E2F"/>
    <w:rsid w:val="00E7728A"/>
    <w:rsid w:val="00E779DF"/>
    <w:rsid w:val="00E80820"/>
    <w:rsid w:val="00E81AFF"/>
    <w:rsid w:val="00E82827"/>
    <w:rsid w:val="00E83E3D"/>
    <w:rsid w:val="00E846C4"/>
    <w:rsid w:val="00E85321"/>
    <w:rsid w:val="00E85DB0"/>
    <w:rsid w:val="00E86399"/>
    <w:rsid w:val="00E86E4C"/>
    <w:rsid w:val="00E87863"/>
    <w:rsid w:val="00E92BBD"/>
    <w:rsid w:val="00E92F2A"/>
    <w:rsid w:val="00E96838"/>
    <w:rsid w:val="00E972E3"/>
    <w:rsid w:val="00EA009B"/>
    <w:rsid w:val="00EA0B01"/>
    <w:rsid w:val="00EA0CDA"/>
    <w:rsid w:val="00EA14DA"/>
    <w:rsid w:val="00EA178A"/>
    <w:rsid w:val="00EA3515"/>
    <w:rsid w:val="00EA5040"/>
    <w:rsid w:val="00EA529D"/>
    <w:rsid w:val="00EA5965"/>
    <w:rsid w:val="00EA5AA2"/>
    <w:rsid w:val="00EA6172"/>
    <w:rsid w:val="00EA7769"/>
    <w:rsid w:val="00EB14DA"/>
    <w:rsid w:val="00EB1CC9"/>
    <w:rsid w:val="00EB1D8E"/>
    <w:rsid w:val="00EB4025"/>
    <w:rsid w:val="00EB5CCB"/>
    <w:rsid w:val="00EB64C9"/>
    <w:rsid w:val="00EB785F"/>
    <w:rsid w:val="00EC012D"/>
    <w:rsid w:val="00EC0ED4"/>
    <w:rsid w:val="00EC189D"/>
    <w:rsid w:val="00EC2616"/>
    <w:rsid w:val="00EC264F"/>
    <w:rsid w:val="00EC4DF3"/>
    <w:rsid w:val="00EC5DE9"/>
    <w:rsid w:val="00EC6C5A"/>
    <w:rsid w:val="00EC76B6"/>
    <w:rsid w:val="00ED1467"/>
    <w:rsid w:val="00ED2838"/>
    <w:rsid w:val="00ED55DC"/>
    <w:rsid w:val="00ED62C6"/>
    <w:rsid w:val="00ED7AD4"/>
    <w:rsid w:val="00ED7EB1"/>
    <w:rsid w:val="00ED7FEF"/>
    <w:rsid w:val="00EE145E"/>
    <w:rsid w:val="00EE1E4D"/>
    <w:rsid w:val="00EE21C0"/>
    <w:rsid w:val="00EE496F"/>
    <w:rsid w:val="00EE5271"/>
    <w:rsid w:val="00EE55FB"/>
    <w:rsid w:val="00EE6485"/>
    <w:rsid w:val="00EE67F7"/>
    <w:rsid w:val="00EE7215"/>
    <w:rsid w:val="00EF0F04"/>
    <w:rsid w:val="00EF1571"/>
    <w:rsid w:val="00EF173E"/>
    <w:rsid w:val="00EF2E9E"/>
    <w:rsid w:val="00EF306B"/>
    <w:rsid w:val="00EF608A"/>
    <w:rsid w:val="00EF6319"/>
    <w:rsid w:val="00EF703E"/>
    <w:rsid w:val="00EF7A91"/>
    <w:rsid w:val="00EF7B00"/>
    <w:rsid w:val="00F03E11"/>
    <w:rsid w:val="00F0696F"/>
    <w:rsid w:val="00F06FA5"/>
    <w:rsid w:val="00F075AF"/>
    <w:rsid w:val="00F07BDD"/>
    <w:rsid w:val="00F07D1C"/>
    <w:rsid w:val="00F1113B"/>
    <w:rsid w:val="00F12AD2"/>
    <w:rsid w:val="00F12B03"/>
    <w:rsid w:val="00F136F1"/>
    <w:rsid w:val="00F1428C"/>
    <w:rsid w:val="00F158D5"/>
    <w:rsid w:val="00F17179"/>
    <w:rsid w:val="00F211CD"/>
    <w:rsid w:val="00F2256F"/>
    <w:rsid w:val="00F22EEA"/>
    <w:rsid w:val="00F22FB7"/>
    <w:rsid w:val="00F2315B"/>
    <w:rsid w:val="00F23B99"/>
    <w:rsid w:val="00F2538C"/>
    <w:rsid w:val="00F261FE"/>
    <w:rsid w:val="00F2666D"/>
    <w:rsid w:val="00F271D9"/>
    <w:rsid w:val="00F27DD9"/>
    <w:rsid w:val="00F27FD6"/>
    <w:rsid w:val="00F27FF9"/>
    <w:rsid w:val="00F30CF0"/>
    <w:rsid w:val="00F31E10"/>
    <w:rsid w:val="00F33794"/>
    <w:rsid w:val="00F33FD2"/>
    <w:rsid w:val="00F34CDC"/>
    <w:rsid w:val="00F35B27"/>
    <w:rsid w:val="00F364AD"/>
    <w:rsid w:val="00F3680B"/>
    <w:rsid w:val="00F36B8D"/>
    <w:rsid w:val="00F40AA2"/>
    <w:rsid w:val="00F40E8B"/>
    <w:rsid w:val="00F44004"/>
    <w:rsid w:val="00F4482D"/>
    <w:rsid w:val="00F4506B"/>
    <w:rsid w:val="00F459D0"/>
    <w:rsid w:val="00F47BD5"/>
    <w:rsid w:val="00F47D42"/>
    <w:rsid w:val="00F50B6E"/>
    <w:rsid w:val="00F50CAF"/>
    <w:rsid w:val="00F518B3"/>
    <w:rsid w:val="00F52251"/>
    <w:rsid w:val="00F5403B"/>
    <w:rsid w:val="00F54849"/>
    <w:rsid w:val="00F54F9D"/>
    <w:rsid w:val="00F569CA"/>
    <w:rsid w:val="00F57EDD"/>
    <w:rsid w:val="00F57FA1"/>
    <w:rsid w:val="00F618C8"/>
    <w:rsid w:val="00F63219"/>
    <w:rsid w:val="00F63C9E"/>
    <w:rsid w:val="00F64F08"/>
    <w:rsid w:val="00F655C1"/>
    <w:rsid w:val="00F65863"/>
    <w:rsid w:val="00F70F67"/>
    <w:rsid w:val="00F72853"/>
    <w:rsid w:val="00F730BD"/>
    <w:rsid w:val="00F73223"/>
    <w:rsid w:val="00F75617"/>
    <w:rsid w:val="00F75B26"/>
    <w:rsid w:val="00F75C70"/>
    <w:rsid w:val="00F76E04"/>
    <w:rsid w:val="00F7755E"/>
    <w:rsid w:val="00F776BA"/>
    <w:rsid w:val="00F80175"/>
    <w:rsid w:val="00F80F1F"/>
    <w:rsid w:val="00F81777"/>
    <w:rsid w:val="00F82645"/>
    <w:rsid w:val="00F83C70"/>
    <w:rsid w:val="00F85225"/>
    <w:rsid w:val="00F8552E"/>
    <w:rsid w:val="00F8555C"/>
    <w:rsid w:val="00F859EA"/>
    <w:rsid w:val="00F866AE"/>
    <w:rsid w:val="00F872F9"/>
    <w:rsid w:val="00F87D3D"/>
    <w:rsid w:val="00F9132D"/>
    <w:rsid w:val="00F96803"/>
    <w:rsid w:val="00F96E4C"/>
    <w:rsid w:val="00F96EC4"/>
    <w:rsid w:val="00F972FB"/>
    <w:rsid w:val="00F97964"/>
    <w:rsid w:val="00FA1C12"/>
    <w:rsid w:val="00FA48F2"/>
    <w:rsid w:val="00FA5120"/>
    <w:rsid w:val="00FA5EC3"/>
    <w:rsid w:val="00FA7965"/>
    <w:rsid w:val="00FA7F0A"/>
    <w:rsid w:val="00FB01DC"/>
    <w:rsid w:val="00FB0318"/>
    <w:rsid w:val="00FB4505"/>
    <w:rsid w:val="00FB50F2"/>
    <w:rsid w:val="00FB516A"/>
    <w:rsid w:val="00FB5426"/>
    <w:rsid w:val="00FB65D6"/>
    <w:rsid w:val="00FB6D08"/>
    <w:rsid w:val="00FB75EE"/>
    <w:rsid w:val="00FB76D9"/>
    <w:rsid w:val="00FB7EF9"/>
    <w:rsid w:val="00FC0592"/>
    <w:rsid w:val="00FC06E3"/>
    <w:rsid w:val="00FC118C"/>
    <w:rsid w:val="00FC1290"/>
    <w:rsid w:val="00FC1451"/>
    <w:rsid w:val="00FC155B"/>
    <w:rsid w:val="00FC2123"/>
    <w:rsid w:val="00FC522A"/>
    <w:rsid w:val="00FC6610"/>
    <w:rsid w:val="00FC69EA"/>
    <w:rsid w:val="00FC7275"/>
    <w:rsid w:val="00FD05B2"/>
    <w:rsid w:val="00FD28A6"/>
    <w:rsid w:val="00FD4B8D"/>
    <w:rsid w:val="00FD543E"/>
    <w:rsid w:val="00FD54B1"/>
    <w:rsid w:val="00FD6F4F"/>
    <w:rsid w:val="00FD7248"/>
    <w:rsid w:val="00FD7E92"/>
    <w:rsid w:val="00FE0034"/>
    <w:rsid w:val="00FE0228"/>
    <w:rsid w:val="00FE13BF"/>
    <w:rsid w:val="00FE35E6"/>
    <w:rsid w:val="00FE5280"/>
    <w:rsid w:val="00FE56D7"/>
    <w:rsid w:val="00FE6E80"/>
    <w:rsid w:val="00FE762D"/>
    <w:rsid w:val="00FF0ADC"/>
    <w:rsid w:val="00FF1DCF"/>
    <w:rsid w:val="00FF2421"/>
    <w:rsid w:val="00FF29AC"/>
    <w:rsid w:val="00FF3153"/>
    <w:rsid w:val="00FF4677"/>
    <w:rsid w:val="00FF6E9E"/>
    <w:rsid w:val="00FF7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976B"/>
  <w15:docId w15:val="{06A83000-A161-46E7-803C-ED56EBA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8B"/>
    <w:pPr>
      <w:spacing w:after="80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BodyText"/>
    <w:uiPriority w:val="9"/>
    <w:qFormat/>
    <w:rsid w:val="009437E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E61A8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A86BD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00BE"/>
    <w:pPr>
      <w:spacing w:before="180" w:after="180"/>
      <w:ind w:firstLine="720"/>
      <w:jc w:val="both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461215"/>
    <w:pPr>
      <w:keepNext/>
      <w:keepLines/>
      <w:spacing w:before="480" w:after="240"/>
      <w:jc w:val="center"/>
    </w:pPr>
    <w:rPr>
      <w:rFonts w:eastAsiaTheme="majorEastAsia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461215"/>
    <w:pPr>
      <w:keepNext/>
      <w:keepLines/>
      <w:jc w:val="center"/>
    </w:pPr>
    <w:rPr>
      <w:rFonts w:ascii="Times New Roman" w:hAnsi="Times New Roman"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7B00BE"/>
    <w:pPr>
      <w:keepNext/>
      <w:keepLines/>
      <w:spacing w:before="300" w:after="300"/>
      <w:jc w:val="both"/>
    </w:pPr>
    <w:rPr>
      <w:szCs w:val="20"/>
    </w:rPr>
  </w:style>
  <w:style w:type="paragraph" w:styleId="Bibliography">
    <w:name w:val="Bibliography"/>
    <w:basedOn w:val="Normal"/>
    <w:qFormat/>
    <w:rsid w:val="009437E3"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A86BDA"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CommentReference">
    <w:name w:val="annotation reference"/>
    <w:basedOn w:val="DefaultParagraphFont"/>
    <w:semiHidden/>
    <w:unhideWhenUsed/>
    <w:rsid w:val="005F30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F30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30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FD05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E5C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E5C02"/>
  </w:style>
  <w:style w:type="paragraph" w:styleId="Footer">
    <w:name w:val="footer"/>
    <w:basedOn w:val="Normal"/>
    <w:link w:val="FooterChar"/>
    <w:uiPriority w:val="99"/>
    <w:unhideWhenUsed/>
    <w:rsid w:val="004E5C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02"/>
  </w:style>
  <w:style w:type="character" w:styleId="PlaceholderText">
    <w:name w:val="Placeholder Text"/>
    <w:basedOn w:val="DefaultParagraphFont"/>
    <w:semiHidden/>
    <w:rsid w:val="00771EC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83C"/>
    <w:rPr>
      <w:color w:val="605E5C"/>
      <w:shd w:val="clear" w:color="auto" w:fill="E1DFDD"/>
    </w:rPr>
  </w:style>
  <w:style w:type="table" w:styleId="TableGrid">
    <w:name w:val="Table Grid"/>
    <w:basedOn w:val="TableNormal"/>
    <w:rsid w:val="00620D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B00BE"/>
    <w:rPr>
      <w:rFonts w:ascii="Times New Roman" w:hAnsi="Times New Roman"/>
    </w:rPr>
  </w:style>
  <w:style w:type="paragraph" w:styleId="Revision">
    <w:name w:val="Revision"/>
    <w:hidden/>
    <w:semiHidden/>
    <w:rsid w:val="003F6683"/>
    <w:pPr>
      <w:spacing w:after="0"/>
    </w:pPr>
    <w:rPr>
      <w:rFonts w:ascii="Times New Roman" w:hAnsi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2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3BC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57ED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CF07-7521-4CF6-89F4-D24E29E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Glide paths for a retirement plan when deferred annuities are available</vt:lpstr>
      <vt:lpstr>Glide paths for a retirement plan when deferred annuities are available</vt:lpstr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Glide paths for a retirement plan when deferred annuities are available</dc:title>
  <dc:creator>ANDREW CLARE, CHUL JANG, IQBAL OWADALLY</dc:creator>
  <cp:keywords/>
  <cp:lastModifiedBy>Des Cañada</cp:lastModifiedBy>
  <cp:revision>2</cp:revision>
  <cp:lastPrinted>2019-04-09T12:41:00Z</cp:lastPrinted>
  <dcterms:created xsi:type="dcterms:W3CDTF">2022-07-19T11:42:00Z</dcterms:created>
  <dcterms:modified xsi:type="dcterms:W3CDTF">2022-07-19T11:42:00Z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id="INpv2xMb"/&gt;&lt;style id="http://www.zotero.org/styles/apa" locale="en-US" hasBibliography="1" bibliographyStyleHasBeenSet="1"/&gt;&lt;prefs&gt;&lt;pref name="fieldType" value="Field"/&gt;&lt;/prefs&gt;&lt;/data&gt;</vt:lpwstr>
  </property>
</Properties>
</file>