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B1" w:rsidRPr="001B2587" w:rsidRDefault="00B772B1" w:rsidP="00B772B1">
      <w:pPr>
        <w:spacing w:line="480" w:lineRule="auto"/>
        <w:contextualSpacing/>
        <w:jc w:val="center"/>
        <w:rPr>
          <w:rFonts w:ascii="Times New Roman" w:hAnsi="Times New Roman" w:cs="Times New Roman"/>
          <w:b/>
          <w:sz w:val="28"/>
          <w:szCs w:val="28"/>
        </w:rPr>
      </w:pPr>
      <w:r w:rsidRPr="001B2587">
        <w:rPr>
          <w:rFonts w:ascii="Times New Roman" w:hAnsi="Times New Roman" w:cs="Times New Roman"/>
          <w:b/>
          <w:sz w:val="28"/>
          <w:szCs w:val="28"/>
        </w:rPr>
        <w:t>Appendix</w:t>
      </w:r>
    </w:p>
    <w:p w:rsidR="00B772B1" w:rsidRDefault="00B772B1" w:rsidP="00B772B1">
      <w:pPr>
        <w:rPr>
          <w:rFonts w:ascii="Times New Roman" w:hAnsi="Times New Roman" w:cs="Times New Roman"/>
          <w:sz w:val="24"/>
          <w:szCs w:val="24"/>
        </w:rPr>
      </w:pPr>
      <w:r w:rsidRPr="00AE28A9">
        <w:rPr>
          <w:rFonts w:ascii="Times New Roman" w:hAnsi="Times New Roman" w:cs="Times New Roman"/>
          <w:b/>
          <w:sz w:val="24"/>
          <w:szCs w:val="24"/>
        </w:rPr>
        <w:t xml:space="preserve">Table </w:t>
      </w:r>
      <w:r>
        <w:rPr>
          <w:rFonts w:ascii="Times New Roman" w:hAnsi="Times New Roman" w:cs="Times New Roman"/>
          <w:b/>
          <w:sz w:val="24"/>
          <w:szCs w:val="24"/>
        </w:rPr>
        <w:t>A.</w:t>
      </w:r>
      <w:r w:rsidRPr="00AE28A9">
        <w:rPr>
          <w:rFonts w:ascii="Times New Roman" w:hAnsi="Times New Roman" w:cs="Times New Roman"/>
          <w:b/>
          <w:sz w:val="24"/>
          <w:szCs w:val="24"/>
        </w:rPr>
        <w:t xml:space="preserve">1. </w:t>
      </w:r>
      <w:r>
        <w:rPr>
          <w:rFonts w:ascii="Times New Roman" w:hAnsi="Times New Roman" w:cs="Times New Roman"/>
          <w:b/>
          <w:sz w:val="24"/>
          <w:szCs w:val="24"/>
        </w:rPr>
        <w:t>Proportion of Employees Contributing to SRP in First Y</w:t>
      </w:r>
      <w:r w:rsidRPr="00AE28A9">
        <w:rPr>
          <w:rFonts w:ascii="Times New Roman" w:hAnsi="Times New Roman" w:cs="Times New Roman"/>
          <w:b/>
          <w:sz w:val="24"/>
          <w:szCs w:val="24"/>
        </w:rPr>
        <w:t>ear</w:t>
      </w:r>
      <w:r>
        <w:rPr>
          <w:rFonts w:ascii="Times New Roman" w:hAnsi="Times New Roman" w:cs="Times New Roman"/>
          <w:b/>
          <w:sz w:val="24"/>
          <w:szCs w:val="24"/>
        </w:rPr>
        <w:t xml:space="preserve"> of Employment</w:t>
      </w:r>
      <w:r w:rsidRPr="00AE28A9">
        <w:rPr>
          <w:rFonts w:ascii="Times New Roman" w:hAnsi="Times New Roman" w:cs="Times New Roman"/>
          <w:b/>
          <w:sz w:val="24"/>
          <w:szCs w:val="24"/>
        </w:rPr>
        <w:t>.</w:t>
      </w:r>
    </w:p>
    <w:tbl>
      <w:tblPr>
        <w:tblStyle w:val="TableGrid"/>
        <w:tblW w:w="3196" w:type="pct"/>
        <w:jc w:val="center"/>
        <w:tblLook w:val="04A0" w:firstRow="1" w:lastRow="0" w:firstColumn="1" w:lastColumn="0" w:noHBand="0" w:noVBand="1"/>
      </w:tblPr>
      <w:tblGrid>
        <w:gridCol w:w="742"/>
        <w:gridCol w:w="937"/>
        <w:gridCol w:w="1414"/>
        <w:gridCol w:w="1414"/>
        <w:gridCol w:w="937"/>
        <w:gridCol w:w="1414"/>
        <w:gridCol w:w="1414"/>
      </w:tblGrid>
      <w:tr w:rsidR="00B772B1" w:rsidTr="00FC3387">
        <w:trPr>
          <w:trHeight w:val="288"/>
          <w:jc w:val="center"/>
        </w:trPr>
        <w:tc>
          <w:tcPr>
            <w:tcW w:w="448"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Fiscal year of hire</w:t>
            </w:r>
          </w:p>
        </w:tc>
        <w:tc>
          <w:tcPr>
            <w:tcW w:w="566" w:type="pct"/>
          </w:tcPr>
          <w:p w:rsidR="00B772B1" w:rsidRDefault="00B772B1" w:rsidP="00FC3387">
            <w:pPr>
              <w:spacing w:after="160" w:line="259" w:lineRule="auto"/>
              <w:rPr>
                <w:rFonts w:ascii="Times New Roman" w:hAnsi="Times New Roman" w:cs="Times New Roman"/>
              </w:rPr>
            </w:pPr>
            <w:r w:rsidRPr="00153903">
              <w:rPr>
                <w:rFonts w:ascii="Times New Roman" w:hAnsi="Times New Roman" w:cs="Times New Roman"/>
              </w:rPr>
              <w:t>Number of new hires by year</w:t>
            </w:r>
          </w:p>
          <w:p w:rsidR="00B772B1" w:rsidRPr="00153903" w:rsidRDefault="00B772B1" w:rsidP="00FC3387">
            <w:pPr>
              <w:spacing w:after="160" w:line="259" w:lineRule="auto"/>
              <w:rPr>
                <w:rFonts w:ascii="Times New Roman" w:hAnsi="Times New Roman" w:cs="Times New Roman"/>
                <w:sz w:val="24"/>
                <w:szCs w:val="24"/>
              </w:rPr>
            </w:pPr>
            <w:r w:rsidRPr="00153903">
              <w:rPr>
                <w:rFonts w:ascii="Times New Roman" w:hAnsi="Times New Roman" w:cs="Times New Roman"/>
                <w:sz w:val="24"/>
                <w:szCs w:val="24"/>
              </w:rPr>
              <w:t>(1)</w:t>
            </w:r>
          </w:p>
        </w:tc>
        <w:tc>
          <w:tcPr>
            <w:tcW w:w="855"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Number of hires who were automatically enrolled</w:t>
            </w:r>
          </w:p>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(2)</w:t>
            </w:r>
          </w:p>
        </w:tc>
        <w:tc>
          <w:tcPr>
            <w:tcW w:w="855"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Number of hires who were not automatically enrolled</w:t>
            </w:r>
          </w:p>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(3)</w:t>
            </w:r>
          </w:p>
        </w:tc>
        <w:tc>
          <w:tcPr>
            <w:tcW w:w="567"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Percent of hires  enrolled in SRP</w:t>
            </w:r>
          </w:p>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(4)</w:t>
            </w:r>
          </w:p>
        </w:tc>
        <w:tc>
          <w:tcPr>
            <w:tcW w:w="855"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Percent of hires who  were automatically enrolled who are in the SRP</w:t>
            </w:r>
          </w:p>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(5)</w:t>
            </w:r>
          </w:p>
        </w:tc>
        <w:tc>
          <w:tcPr>
            <w:tcW w:w="855" w:type="pct"/>
          </w:tcPr>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Percent  of hires not  automatically enrolled who are in the SRP</w:t>
            </w:r>
          </w:p>
          <w:p w:rsidR="00B772B1" w:rsidRPr="00153903" w:rsidRDefault="00B772B1" w:rsidP="00FC3387">
            <w:pPr>
              <w:spacing w:after="160" w:line="259" w:lineRule="auto"/>
              <w:rPr>
                <w:rFonts w:ascii="Times New Roman" w:hAnsi="Times New Roman" w:cs="Times New Roman"/>
              </w:rPr>
            </w:pPr>
            <w:r w:rsidRPr="00153903">
              <w:rPr>
                <w:rFonts w:ascii="Times New Roman" w:hAnsi="Times New Roman" w:cs="Times New Roman"/>
              </w:rPr>
              <w:t>(6)</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2005</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3150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3150</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1.33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1.33</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2006</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3483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3483</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2.24</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2.24</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2007</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3770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3770</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1.99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1.99</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2008</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4020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4020</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2.51</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2.51</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2009</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3950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3950</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2.86</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N/A</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2.86</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2010</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3335</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1206</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2129</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37.96</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92.29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7.19</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2011</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3349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1500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1849</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43.95</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94.40</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3.03</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2012</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4183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2128</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2055</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44.47</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82.75</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4.82</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2013</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4692</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2177</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2515</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45.23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92.93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3.94</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2014</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4959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2181</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2778</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42.83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91.79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4.39</w:t>
            </w:r>
          </w:p>
        </w:tc>
      </w:tr>
      <w:tr w:rsidR="00B772B1" w:rsidTr="00FC3387">
        <w:trPr>
          <w:trHeight w:val="288"/>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2015</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5493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2332</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3161</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42.93</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93.35</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5.73</w:t>
            </w:r>
          </w:p>
        </w:tc>
      </w:tr>
      <w:tr w:rsidR="00B772B1" w:rsidTr="00FC3387">
        <w:trPr>
          <w:jc w:val="center"/>
        </w:trPr>
        <w:tc>
          <w:tcPr>
            <w:tcW w:w="448" w:type="pct"/>
          </w:tcPr>
          <w:p w:rsidR="00B772B1" w:rsidRPr="008541EA" w:rsidRDefault="00B772B1" w:rsidP="00FC3387">
            <w:pPr>
              <w:spacing w:after="160" w:line="259" w:lineRule="auto"/>
              <w:rPr>
                <w:rFonts w:ascii="Times New Roman" w:hAnsi="Times New Roman" w:cs="Times New Roman"/>
                <w:b/>
                <w:sz w:val="24"/>
                <w:szCs w:val="24"/>
              </w:rPr>
            </w:pPr>
            <w:r w:rsidRPr="008541EA">
              <w:rPr>
                <w:rFonts w:ascii="Times New Roman" w:hAnsi="Times New Roman" w:cs="Times New Roman"/>
                <w:b/>
                <w:sz w:val="24"/>
                <w:szCs w:val="24"/>
              </w:rPr>
              <w:t>2016</w:t>
            </w:r>
          </w:p>
        </w:tc>
        <w:tc>
          <w:tcPr>
            <w:tcW w:w="566"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5949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2547</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3402</w:t>
            </w:r>
          </w:p>
        </w:tc>
        <w:tc>
          <w:tcPr>
            <w:tcW w:w="567"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43.99</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93.95</w:t>
            </w:r>
          </w:p>
        </w:tc>
        <w:tc>
          <w:tcPr>
            <w:tcW w:w="855" w:type="pct"/>
          </w:tcPr>
          <w:p w:rsidR="00B772B1" w:rsidRDefault="00B772B1" w:rsidP="00FC3387">
            <w:pPr>
              <w:spacing w:after="160" w:line="259" w:lineRule="auto"/>
              <w:rPr>
                <w:rFonts w:ascii="Times New Roman" w:hAnsi="Times New Roman" w:cs="Times New Roman"/>
                <w:sz w:val="24"/>
                <w:szCs w:val="24"/>
              </w:rPr>
            </w:pPr>
            <w:r>
              <w:rPr>
                <w:rFonts w:ascii="Times New Roman" w:hAnsi="Times New Roman" w:cs="Times New Roman"/>
                <w:sz w:val="24"/>
                <w:szCs w:val="24"/>
              </w:rPr>
              <w:t>6.58</w:t>
            </w:r>
          </w:p>
        </w:tc>
      </w:tr>
    </w:tbl>
    <w:p w:rsidR="00B772B1" w:rsidRDefault="00B772B1" w:rsidP="00B772B1">
      <w:pPr>
        <w:rPr>
          <w:rFonts w:ascii="Times New Roman" w:hAnsi="Times New Roman" w:cs="Times New Roman"/>
          <w:sz w:val="24"/>
          <w:szCs w:val="24"/>
        </w:rPr>
      </w:pPr>
    </w:p>
    <w:p w:rsidR="00B772B1" w:rsidRDefault="00B772B1" w:rsidP="00B772B1">
      <w:pPr>
        <w:rPr>
          <w:rFonts w:ascii="Times New Roman" w:hAnsi="Times New Roman" w:cs="Times New Roman"/>
          <w:sz w:val="24"/>
          <w:szCs w:val="24"/>
        </w:rPr>
      </w:pPr>
      <w:r>
        <w:rPr>
          <w:rFonts w:ascii="Times New Roman" w:hAnsi="Times New Roman" w:cs="Times New Roman"/>
          <w:sz w:val="24"/>
          <w:szCs w:val="24"/>
        </w:rPr>
        <w:t>This table reports the particip</w:t>
      </w:r>
      <w:r w:rsidRPr="00B30055">
        <w:rPr>
          <w:rFonts w:ascii="Times New Roman" w:hAnsi="Times New Roman" w:cs="Times New Roman"/>
          <w:sz w:val="24"/>
          <w:szCs w:val="24"/>
        </w:rPr>
        <w:t xml:space="preserve">ation rate </w:t>
      </w:r>
      <w:r>
        <w:rPr>
          <w:rFonts w:ascii="Times New Roman" w:hAnsi="Times New Roman" w:cs="Times New Roman"/>
          <w:sz w:val="24"/>
          <w:szCs w:val="24"/>
        </w:rPr>
        <w:t>in the SRP in the first year of employment</w:t>
      </w:r>
      <w:r w:rsidRPr="00B30055">
        <w:rPr>
          <w:rFonts w:ascii="Times New Roman" w:hAnsi="Times New Roman" w:cs="Times New Roman"/>
          <w:sz w:val="24"/>
          <w:szCs w:val="24"/>
        </w:rPr>
        <w:t xml:space="preserve"> for different</w:t>
      </w:r>
      <w:r>
        <w:rPr>
          <w:rFonts w:ascii="Times New Roman" w:hAnsi="Times New Roman" w:cs="Times New Roman"/>
          <w:sz w:val="24"/>
          <w:szCs w:val="24"/>
        </w:rPr>
        <w:t xml:space="preserve"> year of hire</w:t>
      </w:r>
      <w:r w:rsidRPr="00B30055">
        <w:rPr>
          <w:rFonts w:ascii="Times New Roman" w:hAnsi="Times New Roman" w:cs="Times New Roman"/>
          <w:sz w:val="24"/>
          <w:szCs w:val="24"/>
        </w:rPr>
        <w:t xml:space="preserve"> cohorts</w:t>
      </w:r>
      <w:r>
        <w:rPr>
          <w:rFonts w:ascii="Times New Roman" w:hAnsi="Times New Roman" w:cs="Times New Roman"/>
          <w:sz w:val="24"/>
          <w:szCs w:val="24"/>
        </w:rPr>
        <w:t>.</w:t>
      </w:r>
      <w:r w:rsidRPr="00B30055">
        <w:rPr>
          <w:rFonts w:ascii="Lucida Grande" w:hAnsi="Lucida Grande" w:cs="Lucida Grande"/>
          <w:color w:val="000000"/>
          <w:sz w:val="18"/>
          <w:szCs w:val="18"/>
        </w:rPr>
        <w:t xml:space="preserve"> </w:t>
      </w:r>
      <w:r>
        <w:rPr>
          <w:rFonts w:ascii="Times New Roman" w:hAnsi="Times New Roman" w:cs="Times New Roman"/>
          <w:sz w:val="24"/>
          <w:szCs w:val="24"/>
        </w:rPr>
        <w:t>The particip</w:t>
      </w:r>
      <w:r w:rsidRPr="00B30055">
        <w:rPr>
          <w:rFonts w:ascii="Times New Roman" w:hAnsi="Times New Roman" w:cs="Times New Roman"/>
          <w:sz w:val="24"/>
          <w:szCs w:val="24"/>
        </w:rPr>
        <w:t>ation rate is computed as the number of individuals hired in a given fiscal year, </w:t>
      </w:r>
      <w:r>
        <w:rPr>
          <w:rFonts w:ascii="Times New Roman" w:hAnsi="Times New Roman" w:cs="Times New Roman"/>
          <w:sz w:val="24"/>
          <w:szCs w:val="24"/>
        </w:rPr>
        <w:t>with</w:t>
      </w:r>
      <w:r w:rsidRPr="00B30055">
        <w:rPr>
          <w:rFonts w:ascii="Times New Roman" w:hAnsi="Times New Roman" w:cs="Times New Roman"/>
          <w:sz w:val="24"/>
          <w:szCs w:val="24"/>
        </w:rPr>
        <w:t xml:space="preserve"> positive </w:t>
      </w:r>
      <w:r>
        <w:rPr>
          <w:rFonts w:ascii="Times New Roman" w:hAnsi="Times New Roman" w:cs="Times New Roman"/>
          <w:sz w:val="24"/>
          <w:szCs w:val="24"/>
        </w:rPr>
        <w:t>earnings in the designated year,</w:t>
      </w:r>
      <w:r w:rsidRPr="00B30055">
        <w:rPr>
          <w:rFonts w:ascii="Times New Roman" w:hAnsi="Times New Roman" w:cs="Times New Roman"/>
          <w:sz w:val="24"/>
          <w:szCs w:val="24"/>
        </w:rPr>
        <w:t xml:space="preserve"> and </w:t>
      </w:r>
      <w:r>
        <w:rPr>
          <w:rFonts w:ascii="Times New Roman" w:hAnsi="Times New Roman" w:cs="Times New Roman"/>
          <w:sz w:val="24"/>
          <w:szCs w:val="24"/>
        </w:rPr>
        <w:t xml:space="preserve">who </w:t>
      </w:r>
      <w:r w:rsidRPr="00B30055">
        <w:rPr>
          <w:rFonts w:ascii="Times New Roman" w:hAnsi="Times New Roman" w:cs="Times New Roman"/>
          <w:sz w:val="24"/>
          <w:szCs w:val="24"/>
        </w:rPr>
        <w:t>made a positive con</w:t>
      </w:r>
      <w:r>
        <w:rPr>
          <w:rFonts w:ascii="Times New Roman" w:hAnsi="Times New Roman" w:cs="Times New Roman"/>
          <w:sz w:val="24"/>
          <w:szCs w:val="24"/>
        </w:rPr>
        <w:t xml:space="preserve">tribution divided by the number of </w:t>
      </w:r>
      <w:r w:rsidRPr="00B30055">
        <w:rPr>
          <w:rFonts w:ascii="Times New Roman" w:hAnsi="Times New Roman" w:cs="Times New Roman"/>
          <w:sz w:val="24"/>
          <w:szCs w:val="24"/>
        </w:rPr>
        <w:t xml:space="preserve">individuals who were hired in this fiscal year and </w:t>
      </w:r>
      <w:r>
        <w:rPr>
          <w:rFonts w:ascii="Times New Roman" w:hAnsi="Times New Roman" w:cs="Times New Roman"/>
          <w:sz w:val="24"/>
          <w:szCs w:val="24"/>
        </w:rPr>
        <w:t>who had positive annual earnings</w:t>
      </w:r>
      <w:r w:rsidRPr="00B30055">
        <w:rPr>
          <w:rFonts w:ascii="Times New Roman" w:hAnsi="Times New Roman" w:cs="Times New Roman"/>
          <w:sz w:val="24"/>
          <w:szCs w:val="24"/>
        </w:rPr>
        <w:t xml:space="preserve"> in their first year</w:t>
      </w:r>
      <w:r>
        <w:rPr>
          <w:rFonts w:ascii="Times New Roman" w:hAnsi="Times New Roman" w:cs="Times New Roman"/>
          <w:sz w:val="24"/>
          <w:szCs w:val="24"/>
        </w:rPr>
        <w:t>. Columns 2 and 3, sort new hires into individuals whose employer had adopted auto enrollment and those employed by agencies where auto enrollment was not adopted. Of course, prior to 2010, no agency auto enrolled any new employees.  Column 4 reports the percent of all new employees enrolled in the SRP by year of employment.</w:t>
      </w:r>
      <w:r w:rsidRPr="000E6863">
        <w:rPr>
          <w:rFonts w:ascii="Times New Roman" w:hAnsi="Times New Roman" w:cs="Times New Roman"/>
          <w:sz w:val="24"/>
          <w:szCs w:val="24"/>
        </w:rPr>
        <w:t xml:space="preserve"> </w:t>
      </w:r>
      <w:r>
        <w:rPr>
          <w:rFonts w:ascii="Times New Roman" w:hAnsi="Times New Roman" w:cs="Times New Roman"/>
          <w:sz w:val="24"/>
          <w:szCs w:val="24"/>
        </w:rPr>
        <w:t xml:space="preserve">Column 5, indicates the percent of individuals hired after 2009 who were automatically enrolled in the SRP and who remained in the plan during their first year of employment Column 6 shows the percent of individuals who enrolled in the SRP and were not subject to automatic enrollment. </w:t>
      </w:r>
      <w:r>
        <w:rPr>
          <w:rFonts w:ascii="Times New Roman" w:hAnsi="Times New Roman" w:cs="Times New Roman"/>
          <w:sz w:val="24"/>
          <w:szCs w:val="24"/>
        </w:rPr>
        <w:br w:type="page"/>
      </w:r>
    </w:p>
    <w:p w:rsidR="00B772B1" w:rsidRPr="00651348" w:rsidRDefault="00B772B1" w:rsidP="00B772B1">
      <w:pPr>
        <w:spacing w:line="480" w:lineRule="auto"/>
        <w:contextualSpacing/>
        <w:rPr>
          <w:rFonts w:ascii="Times New Roman" w:hAnsi="Times New Roman" w:cs="Times New Roman"/>
          <w:b/>
          <w:sz w:val="24"/>
          <w:szCs w:val="24"/>
        </w:rPr>
      </w:pPr>
      <w:r w:rsidRPr="00651348">
        <w:rPr>
          <w:rFonts w:ascii="Times New Roman" w:hAnsi="Times New Roman" w:cs="Times New Roman"/>
          <w:b/>
          <w:sz w:val="24"/>
          <w:szCs w:val="24"/>
        </w:rPr>
        <w:lastRenderedPageBreak/>
        <w:t>List of agencies that did not adopt auto-enrollment: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ABERDEEN HOUSING AUTH.</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ABERDEEN SCHOOL DISTRICT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AGAR-BLUNT-ONIDA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ALCESTER-HUDSON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ANDES CENTRAL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ARLINGTON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ARMOUR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ASSOC SCHOOL BOARDS OF SD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AURORA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AVON SCHOOL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 - Y WATER DISTRICT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BERESFORD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BIG STONE CITY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BISON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BLACK HILLS SPEC SERV COOP</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BON HOMME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BOWDLE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BRANDON VALLEY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BRIDGEWATER-EMERY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BROOKINGS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BROOKINGS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BROWN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BRULE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BUTTE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CAMPBELL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CANISTOTA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CANTON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CASTLEWOOD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CENTERVILLE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CHAMBERLAIN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CHARLES MIX COUNTY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CHESTER AREA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ABERDEEN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ARLINGTON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AVON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BELLE FOURCHE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BERESFORD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BIG STONE CITY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BISON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BOWDLE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BROOKINGS AND HOSPITAL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CANTON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CITY OF CENTERVILLE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CHAMBERLAIN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COLMAN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CROOKS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CUSTER</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DEADWOOD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DELL RAPIDS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DESMET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ELK POINT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ESTELLINE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FAULKTON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FLANDREAU</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GETTYSBURG</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GROTON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HARRISBURG</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HARTFORD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HIGHMORE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HILL CITY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HOT SPRINGS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HOWARD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HURLEY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HURON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IPSWICH</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KEYSTONE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KIMBALL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LAKE PRESTON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LANGFORD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LEAD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MADISON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MIDLAND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MILBANK</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MILLER</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MITCHELL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MOBRIDGE</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NORTH SIOUX CITY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PARKSTON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PLANKINTON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PRESHO</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REDFIELD AND HOSPITAL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ROSHOLT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SALEM</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SCOTLAND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SELBY</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SIOUX FALLS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CITY OF SISSETON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SPEARFISH</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SPRINGFIELD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STURGIS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TEA</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TYNDALL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VERMILLION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VOLGA</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WAGNER</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WALL</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WEBSTER</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WESSINGTON SPRINGS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WINNER</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CITY OF YANKTON</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CLARK SCHOOLS</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CODINGTON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COLMAN-EGAN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COLOME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CORNBELT SPECIAL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CUSTER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CUSTER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DAKOTA DUNES IMPROV.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DAKOTA VALLEY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DAY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DELL RAPIDS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DESMET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DEUBROOK AREA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DEUEL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DEWEY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DOLAND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DOUGLAS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DUPREE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EAGLE BUTTE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EAST DAKOTA ED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EAST DAKOTA WATER DEVELOP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EDMUNDS CENTRAL SCHOOL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EDMUNDS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ELK POINT JEFFERSON SCHOOL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ELKTON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ESTELLINE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EUREKA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FAITH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FALL RIVER-OGLALA LAKOTA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FAULK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 xml:space="preserve">FAULKTON AREA MEDICAL CENTER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FAULKTON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FIRST DIST ASSOC OF LOCAL GOV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FLANDREAU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FLORENCE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FREDERICK AREA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FREEMAN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GARRETSON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GOVERNOR'S OFFICE OF ECONOMIC DEV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GRANT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GREGORY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GROTON AREA SCHOOL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HAAKON COUNTY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HAMLIN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HAMLIN SCHOOL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HANSON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HARDING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HARRISBURG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HENRY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HERREID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HIGHMORE-HARROLD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HISTORY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HITCHCOCK-TULARE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HOT SPRINGS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HOVEN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HOWARD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HUGHES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HURON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HUTCHINSON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HYDE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IPSWICH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IRENE-WAKONDA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IROQUOIS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JAMES VALLEY EDUCATION COOPERATIVE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JONES COUNTY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KADOKA AREA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KIMBALL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KINGSBURY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LAKE PRESTON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LANGFORD AREA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LAWRENCE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LEAD-DEADWOOD SANITARY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LEAD-DEADWOOD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LEMMON HOUSING AUTHORITY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 xml:space="preserve">LEMMON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LENNOX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LINCOLN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LYMAN IND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MADISON CENTRAL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MARSHALL CO CONSERV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MARSHALL CO HOSPITAL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MARSHALL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MCCOOK CENTRAL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MCINTOSH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MCLAUGHLIN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MCPHERSON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MEADE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MEADE COUNTY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MELLETTE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MENNO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MID-CENTRAL COOPERATIVE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MILLER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MINA LAKE SANITARY &amp; WATER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MINER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MINNEHAHA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MITCHELL HOUSING &amp; REDEVEL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MITCHELL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MOBRIDGE-POLLOCK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MONTROSE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MOODY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MT VERNON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NEW UNDERWOOD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NEWELL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 CENTRAL SPECIAL ED.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NORTHEAST COUNCIL GOVT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NORTHEAST SERVICE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NORTHEAST TECHNICAL HIGH SCHOOL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NORTHWEST AREA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NORTHWESTERN AREA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OELRICHS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OGLALA LAKOTA COUNTY SCHOOL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PARKER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PARKSTON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PENNINGTON CO HOUSING DEV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PERKINS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PIERRE HOUSING &amp; REDEVELOP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PIERRE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PLANKINTON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 xml:space="preserve">PLANNING &amp; DEVEL. DIST III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PLATTE-GEDDES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POTTER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PUBLIC UTILITIES COMMISSION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RANDALL COMMUNITY WATER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REDFIELD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ROSHOLT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RUTLAND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SANBORN CENTRAL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SCHOOL ADMINISTRATORS OF SD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SCHOOL AND PUBLIC LANDS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SCOTLAND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SD HIGH SCHOOL ACTIVITIES ASSOC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SD HOUSING DEV AUTHORITY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SD MUNICIPAL LEAGUE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SD SCIENCE &amp; TECHNOLOGY AUTHORIT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SELBY AREA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SIOUX FALLS AIRPORT AUTHORITY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SIOUX FALLS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SIOUX VALLEY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SISSETON HOUSING &amp; REDEV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SISSETON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SMEE SCHOOLS                       </w:t>
      </w:r>
    </w:p>
    <w:p w:rsidR="00B772B1" w:rsidRPr="00651348" w:rsidRDefault="00B772B1" w:rsidP="00B772B1">
      <w:pPr>
        <w:pStyle w:val="ListParagraph"/>
        <w:numPr>
          <w:ilvl w:val="0"/>
          <w:numId w:val="1"/>
        </w:numPr>
        <w:rPr>
          <w:rFonts w:ascii="Times New Roman" w:hAnsi="Times New Roman" w:cs="Times New Roman"/>
          <w:sz w:val="24"/>
          <w:szCs w:val="24"/>
          <w:lang w:val="fr-CA"/>
        </w:rPr>
      </w:pPr>
      <w:r w:rsidRPr="00651348">
        <w:rPr>
          <w:rFonts w:ascii="Times New Roman" w:hAnsi="Times New Roman" w:cs="Times New Roman"/>
          <w:sz w:val="24"/>
          <w:szCs w:val="24"/>
          <w:lang w:val="fr-CA"/>
        </w:rPr>
        <w:t xml:space="preserve">SOCIAL SERVICES (ADULT SVC &amp; AGI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SOUTH BROWN CONSERVATION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SOUTH CENTRAL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SOUTH EASTERN COUNCIL OF GOV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SOUTHEAST AREA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SPEARFISH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SPINK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SPINK COUNTY CONSERV DIST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STANLEY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STANLEY COUNTY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STATE AUDITOR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STATE BAR OF SOUTH DAKOTA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STATE OF SOUTH DAKOTA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STATE TREASURER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SULLY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SUMMIT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TEA AREA SCHOOL DISTRICT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THREE RIVERS COOP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TIMBER LAKE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TODD COUNTY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TRI VALLEY SCHOOL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 xml:space="preserve">TRIPP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TRIPP DELMONT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TURNER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UNCLAIMED PROPERTY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VERIFIED SERVICE PURCHASE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VERMILLION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VIBORG-HURLEY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WAGNER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WALL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WALWORTH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WARNER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WATERTOWN HOUSING AUTHORITY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WATERTOWN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WAVERLY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WEBSTER AREA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WESSINGTON SPRINGS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WEST CENTRAL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WHITE LAKE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WHITE RIVER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WILLOW LAKE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WILMOT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WINNER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WOLSEY-WESSINGTON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WOONSOCKET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YANKTON COUNTY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YANKTON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ZZ-ABERDEEN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ZZ-AG-STATE FAIR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ZZ-AGRICULTURE (AG SERVICES)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ZZ-AGRICULTURE (ANIMAL INDUSTRY BRD</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ZZ-AGRICULTURE (FIRE SUPPRESSION)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ZZ-AGRICULTURE (STATE FAIR)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ZZ-AGRICULTURE (WHEAT COMMISSION)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ZZ-EMERY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ZZ-GAME, FISH &amp; PARKS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ZZ-GEDDES SCHOOLS (CONSOLIDATED)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ZZ-HARROLD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ZZ-HEALTH (BOARD OF PHARMACY - INFO</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ZZ-HURLEY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ZZ-IRENE SCHOOLS (CONSOLIDATED)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ZZ-KADOKA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ZZ-LT. GOVERNOR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ZZ-MOBRIDGE/POLLOCK SCHOOL DISTRICT</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ZZ-PLATTE SCHOOLS (CONSOLIDATED)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lastRenderedPageBreak/>
        <w:t xml:space="preserve">ZZ-POLLOCK SCHOOLS                 </w:t>
      </w:r>
    </w:p>
    <w:p w:rsidR="00B772B1" w:rsidRPr="00651348" w:rsidRDefault="00B772B1" w:rsidP="00B772B1">
      <w:pPr>
        <w:pStyle w:val="ListParagraph"/>
        <w:numPr>
          <w:ilvl w:val="0"/>
          <w:numId w:val="1"/>
        </w:numPr>
        <w:rPr>
          <w:rFonts w:ascii="Times New Roman" w:hAnsi="Times New Roman" w:cs="Times New Roman"/>
          <w:sz w:val="24"/>
          <w:szCs w:val="24"/>
          <w:lang w:val="fr-CA"/>
        </w:rPr>
      </w:pPr>
      <w:r w:rsidRPr="00651348">
        <w:rPr>
          <w:rFonts w:ascii="Times New Roman" w:hAnsi="Times New Roman" w:cs="Times New Roman"/>
          <w:sz w:val="24"/>
          <w:szCs w:val="24"/>
          <w:lang w:val="fr-CA"/>
        </w:rPr>
        <w:t>ZZ-PUBLIC UTILITIES COMMISSION (PUC</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ZZ-ROSLYN SCHOOLS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ZZ-SOCIAL SERVICES (CHILD CARE)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ZZ-SOCIAL SERVICES (CHILD PROTECTIO</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ZZ-SS MANAGEMENT SERVICES          </w:t>
      </w:r>
    </w:p>
    <w:p w:rsidR="00B772B1" w:rsidRPr="00651348" w:rsidRDefault="00B772B1" w:rsidP="00B772B1">
      <w:pPr>
        <w:pStyle w:val="ListParagraph"/>
        <w:numPr>
          <w:ilvl w:val="0"/>
          <w:numId w:val="1"/>
        </w:numPr>
        <w:rPr>
          <w:rFonts w:ascii="Times New Roman" w:hAnsi="Times New Roman" w:cs="Times New Roman"/>
          <w:sz w:val="24"/>
          <w:szCs w:val="24"/>
        </w:rPr>
      </w:pPr>
      <w:r w:rsidRPr="00651348">
        <w:rPr>
          <w:rFonts w:ascii="Times New Roman" w:hAnsi="Times New Roman" w:cs="Times New Roman"/>
          <w:sz w:val="24"/>
          <w:szCs w:val="24"/>
        </w:rPr>
        <w:t xml:space="preserve">ZZ-WAKONDA SCHOOLS (CONSOLIDATED)  </w:t>
      </w:r>
    </w:p>
    <w:p w:rsidR="00B772B1" w:rsidRPr="00651348" w:rsidRDefault="00B772B1" w:rsidP="00B772B1">
      <w:pPr>
        <w:spacing w:line="480" w:lineRule="auto"/>
        <w:contextualSpacing/>
        <w:rPr>
          <w:rFonts w:ascii="Times New Roman" w:hAnsi="Times New Roman" w:cs="Times New Roman"/>
          <w:sz w:val="24"/>
          <w:szCs w:val="24"/>
        </w:rPr>
      </w:pPr>
    </w:p>
    <w:p w:rsidR="00B772B1" w:rsidRPr="00F37AAE" w:rsidRDefault="00B772B1" w:rsidP="00B772B1">
      <w:pPr>
        <w:spacing w:line="480" w:lineRule="auto"/>
        <w:contextualSpacing/>
        <w:rPr>
          <w:rFonts w:ascii="Times New Roman" w:hAnsi="Times New Roman" w:cs="Times New Roman"/>
          <w:b/>
          <w:sz w:val="24"/>
          <w:szCs w:val="24"/>
        </w:rPr>
      </w:pPr>
      <w:r w:rsidRPr="00651348">
        <w:rPr>
          <w:rFonts w:ascii="Times New Roman" w:hAnsi="Times New Roman" w:cs="Times New Roman"/>
          <w:b/>
          <w:sz w:val="24"/>
          <w:szCs w:val="24"/>
        </w:rPr>
        <w:t>List of agencies that adopted auto-enrollment:</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(ADMIN) SECRETARIAT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ANIMAL INDUSTRY BOARD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BRAND BOARD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CORN UTILIZATION COUNCIL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DEVEVELOPMENT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SOYBEAN RESEARCH &amp; PROMO COUNC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AG WHEAT COMMISSION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ATTORNEY GENERAL (CRIMINAL INVEST)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ATTORNEY GENERAL (INSURANCE FRAUD)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ATTORNEY GENERAL (LAW ENFOR TRAIN)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ATTORNEY GENERAL (LEGAL SERV PROG)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ATTORNEY GENERAL - 911 TRAINING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BEADLE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BELLE FOURCHE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BLACK HILLS STATE UNIVERSITY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BOARD OF REGENTS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BON HOMME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BRITTON-HECLA PUBLIC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ADMIN. (ADMIN. SRVCS)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ADMIN. (CENTRAL SRVCS)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ADMIN. (HEARING EXAMIN.)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ADMIN.(PEPL FUND)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ADMIN.(STATE ENGINEER)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BUREAU OF FINANCE &amp; MANAGEMENT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BUREAU OF HUMAN RES (MGMT/EMP BENE)</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 (ADMIN.)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 (DATA CNT)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 (DEVELOP)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 (SDPB)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 (TELECOMM)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BUREAU/INFO &amp; TELE COMM(RADIO)     </w:t>
      </w:r>
    </w:p>
    <w:p w:rsidR="00B772B1" w:rsidRPr="00F37AAE" w:rsidRDefault="00B772B1" w:rsidP="00B772B1">
      <w:pPr>
        <w:pStyle w:val="ListParagraph"/>
        <w:numPr>
          <w:ilvl w:val="0"/>
          <w:numId w:val="2"/>
        </w:numPr>
        <w:rPr>
          <w:rFonts w:ascii="Times New Roman" w:hAnsi="Times New Roman" w:cs="Times New Roman"/>
          <w:sz w:val="24"/>
          <w:szCs w:val="24"/>
          <w:lang w:val="fr-CA"/>
        </w:rPr>
      </w:pPr>
      <w:r w:rsidRPr="00F37AAE">
        <w:rPr>
          <w:rFonts w:ascii="Times New Roman" w:hAnsi="Times New Roman" w:cs="Times New Roman"/>
          <w:sz w:val="24"/>
          <w:szCs w:val="24"/>
          <w:lang w:val="fr-CA"/>
        </w:rPr>
        <w:t xml:space="preserve">CHARLES MIX CONSERVATION DIST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lastRenderedPageBreak/>
        <w:t xml:space="preserve">CITY OF BRANDON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FORT PIERRE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HECLA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KENNEBEC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LAKE NORDEN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LENNOX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MENNO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PIERRE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RAPID CITY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SUMMERSET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VIBORG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CITY OF WATERTOWN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CLARK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CLAY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(JUVENILE CORRECTIONS)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(M. DURFEE STATE PRIS)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(PAROLE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(PHEASANTLAND INDUST)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(STAR ACADEMY)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(STATE PENITENTIARY)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(WOMEN'S PRISON)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CORRECTIONS - INMATE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DAKOTA STATE UNIVERSITY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DAVISON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DEPARTMENT OF THE MILITARY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DEPARTMENT OF TOURISM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DEPARTMENT OF TOURISM (ARTS)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DEPARTMENT OF TRIBAL RELATIONS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DEPARTMENT OF VETERANS AFFAIRS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(AUDITS)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(BUSINESS TAX)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(COMM ON GAMING)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(INST &amp; ONLINE OP)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(MOTOR VEHICLES)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(PETROLEUM)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(PROP &amp; SP TAX)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(SECRETARIAT)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DEPT OF REVENUE (VIDEO LOTTERY)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DEUEL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(ABERDEEN REGION)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(FISCAL &amp; PUBLIC ASSISTANCE)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(MITCHELL REGION)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lastRenderedPageBreak/>
        <w:t xml:space="preserve">DOT (OPERATIONS)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(PIERRE REGION)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(PLANNING &amp; ENGINEERING)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DOT (RAPID CITY REGION)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DOUGLAS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EDGEMONT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EDUCATION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EDUCATION (ED RESOURCES)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EDUCATION (STATE LIBRARY)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ENVIRONMENT &amp; NATURAL RESOURCES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FIRE SUPPRESSION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GAME, FISH &amp; PARKS (ADMIN.)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GAME, FISH &amp; PARKS (PARKS &amp; REC.)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GAME, FISH &amp; PARKS (WILDLIFE)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GOVERNOR'S OFFICE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GRANT-DEUEL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GREGORY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HAMLIN COUNTY CONSERVATION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HARDING COUNTY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(CORRECTIONAL HEALTH)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(HEALTH &amp; MEDICAL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(HEALTH DEVELOP. &amp; REG.)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(LABORATORY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(TOBACCO PREVENTION)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 BOARD OF CHIROPRACTIC EX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BD OF MED &amp; OSTEO EXAMINER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BOARD OF NURSING - INFO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HEALTH BOARD OF PHARMACY - INFO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HUMAN SERVICES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HUMAN SERVICES (BLIND &amp; VISUAL IM)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HUMAN SERVICES (DEVELOP DISABIL)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HUMAN SERVICES (LONG TIME SERV&amp;SUPP</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HUMAN SERVICES (REHAB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HUMAN SERVICES (SDDC-REDFIELD)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HYDE COUNTY CONSERVATION DISTRICT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INVESTMENT COUNCIL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JACKSON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JERAULD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(BOARD OF COSMETOLOGY)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(BRD OF ACCOUNTANCY)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(BRD OF TECH PROFESS)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LABOR &amp; REG (ELECTRICAL COMMISSION)</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lastRenderedPageBreak/>
        <w:t xml:space="preserve">LABOR &amp; REG (FIELD OPERATIONS)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(PLUMBING COMMISSION)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 (REAL ESTATE COMM)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LABOR &amp; REG (STATE LABOR LAW ADMIN)</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LABOR &amp; REG (UNEMPLOYMENT INSURANCE</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REGULATION (BANKING)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REGULATION (INSURANCE)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LABOR &amp; REGULATION (SECURITIES)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LAKE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LEGISLATIVE AUDIT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LEGISLATIVE RESEARCH COUNCIL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LYMAN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MCCOOK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METRO COMMUNICATIONS AGENCY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MILBANK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NORTHERN STATE UNIV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PENNINGTON COUNTY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PUBLIC SAFETY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PUBLIC SAFETY (EMERGENCY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PUBLIC SAFETY (ENFORCEMENT)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PUBLIC SAFETY(INSPEC &amp; LICENSING)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RAPID CITY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RESOURCE CONSERVATION/FORESTRY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SCHOOL FOR VIS. IMPAIR.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SD SCHOOL FOR THE DEAF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SD SCHOOL OF MINES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SDSU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SECRETARY OF STATE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SOUTH CENTRAL SCHOOL DISTRICT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SOUTH DAKOTA RETIREMENT SYSTEM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(ADMINISTRATION)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(BEHAVORIAL HEALTH)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(CHILD SUPPORT)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(ECONOMIC ASSISTANCE)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(ENERGY ASSISTANCE)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(PROGRAM MANAGEMENT)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(YANKTON CENTER)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ADULT SERVICES &amp; AGING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BEHAVIORIAL HEALTH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BOARD OF ALOCHOL &amp; DRUG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CHILD CARE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CHILD PROTECTION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CHILD SUPPORT ENFORCEMENT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LEGAL SERVICES/ADMIN RULES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lastRenderedPageBreak/>
        <w:t xml:space="preserve">SS MEDICAL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SS OPERATION &amp; TECHNOLOGY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STATE VETERAN'S HOME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(CIRCUIT COURTS OPERATION)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(CLERK OF COURTS OPERATIONS)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(COURT ADMIN. OFFICE)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(COURT SERVICES OPERATIONS)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(SUPREME COURT)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UJS INFORMATION &amp; TECHNOLOGY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USD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WAUBAY SCHOOLS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ZZ-CORRECTIONS (COMMUNITY SERVICE)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ZZ-CORRECTIONS (P.H. BRADY ACADEMY)</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ZZ-CORRECTIONS (QUEST/EXCEL)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ZZ-CORRECTIONS (YOUTH CHALLENGE CTR</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ZZ-DEPARTMENT OF TOURISM (HISTORY)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ZZ-EDUCATION (CAREER &amp; TECH EDUCATI</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ZZ-EDUCATION (EDUCATION RESOURCES)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ZZ-GFP - SNOWMOBILE TRAILS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ZZ-HUMAN SERVICES (ALCOHOL &amp; DRUG)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ZZ-HUMAN SERVICES (COMM. MENTAL HLT</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ZZ-HUMAN SERVICES (YANKTON CENTER)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ZZ-MILITARY &amp; VETS (BENEFITS &amp; SRVS</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ZZ-REVENUE &amp; REGULATION(BANKING)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ZZ-REVENUE &amp; REGULATION(REAL ESTATE</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ZZ-REVENUE &amp; REGULATION(SECURITIES)</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ZZ-REVENUE &amp; REGULATIONS(INSURANCE)</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ZZ-SOUTH DAKOTA RETIREMENT SYSTEM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ZZ-SS (MEDICAL SERVICES)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 xml:space="preserve">ZZ-STATE VETERAN'S HOME            </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ZZ-TOURISM &amp; STATE DEVEL(ECONOMIC D</w:t>
      </w:r>
    </w:p>
    <w:p w:rsidR="00B772B1" w:rsidRPr="00F37AAE" w:rsidRDefault="00B772B1" w:rsidP="00B772B1">
      <w:pPr>
        <w:pStyle w:val="ListParagraph"/>
        <w:numPr>
          <w:ilvl w:val="0"/>
          <w:numId w:val="2"/>
        </w:numPr>
        <w:rPr>
          <w:rFonts w:ascii="Times New Roman" w:hAnsi="Times New Roman" w:cs="Times New Roman"/>
          <w:sz w:val="24"/>
          <w:szCs w:val="24"/>
        </w:rPr>
      </w:pPr>
      <w:r w:rsidRPr="00F37AAE">
        <w:rPr>
          <w:rFonts w:ascii="Times New Roman" w:hAnsi="Times New Roman" w:cs="Times New Roman"/>
          <w:sz w:val="24"/>
          <w:szCs w:val="24"/>
        </w:rPr>
        <w:t>ZZ-TOURISM &amp; STATE DEVEL(TRIBAL)</w:t>
      </w:r>
    </w:p>
    <w:p w:rsidR="00B772B1" w:rsidRPr="000720B1" w:rsidRDefault="00B772B1" w:rsidP="00B772B1">
      <w:pPr>
        <w:spacing w:line="480" w:lineRule="auto"/>
        <w:ind w:left="360"/>
        <w:contextualSpacing/>
        <w:rPr>
          <w:rFonts w:ascii="Times New Roman" w:hAnsi="Times New Roman" w:cs="Times New Roman"/>
          <w:sz w:val="24"/>
          <w:szCs w:val="24"/>
        </w:rPr>
      </w:pPr>
    </w:p>
    <w:p w:rsidR="003D4660" w:rsidRDefault="003D4660">
      <w:bookmarkStart w:id="0" w:name="_GoBack"/>
      <w:bookmarkEnd w:id="0"/>
    </w:p>
    <w:sectPr w:rsidR="003D4660" w:rsidSect="00201AF4">
      <w:footerReference w:type="default" r:id="rId5"/>
      <w:pgSz w:w="12240" w:h="15840"/>
      <w:pgMar w:top="1440" w:right="1440" w:bottom="1440" w:left="1440" w:header="720" w:footer="720" w:gutter="0"/>
      <w:pgNumType w:start="3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445"/>
      <w:docPartObj>
        <w:docPartGallery w:val="Page Numbers (Bottom of Page)"/>
        <w:docPartUnique/>
      </w:docPartObj>
    </w:sdtPr>
    <w:sdtEndPr>
      <w:rPr>
        <w:noProof/>
      </w:rPr>
    </w:sdtEndPr>
    <w:sdtContent>
      <w:p w:rsidR="0059342D" w:rsidRDefault="00B772B1">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59342D" w:rsidRDefault="00B772B1">
    <w:pPr>
      <w:pStyle w:val="BodyText"/>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ED5"/>
    <w:multiLevelType w:val="hybridMultilevel"/>
    <w:tmpl w:val="70C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A649F"/>
    <w:multiLevelType w:val="hybridMultilevel"/>
    <w:tmpl w:val="F29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B1"/>
    <w:rsid w:val="003D4660"/>
    <w:rsid w:val="00B7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94B11-ACD7-47BF-8C76-C278BB31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B1"/>
    <w:pPr>
      <w:spacing w:after="8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72B1"/>
    <w:pPr>
      <w:spacing w:after="0"/>
      <w:ind w:left="720"/>
      <w:contextualSpacing/>
    </w:pPr>
    <w:rPr>
      <w:rFonts w:ascii="Calibri" w:hAnsi="Calibri" w:cs="Calibri"/>
    </w:rPr>
  </w:style>
  <w:style w:type="paragraph" w:styleId="Footer">
    <w:name w:val="footer"/>
    <w:basedOn w:val="Normal"/>
    <w:link w:val="FooterChar"/>
    <w:uiPriority w:val="99"/>
    <w:unhideWhenUsed/>
    <w:rsid w:val="00B772B1"/>
    <w:pPr>
      <w:tabs>
        <w:tab w:val="center" w:pos="4680"/>
        <w:tab w:val="right" w:pos="9360"/>
      </w:tabs>
      <w:spacing w:after="0"/>
    </w:pPr>
    <w:rPr>
      <w:rFonts w:ascii="Calibri" w:hAnsi="Calibri" w:cs="Calibri"/>
    </w:rPr>
  </w:style>
  <w:style w:type="character" w:customStyle="1" w:styleId="FooterChar">
    <w:name w:val="Footer Char"/>
    <w:basedOn w:val="DefaultParagraphFont"/>
    <w:link w:val="Footer"/>
    <w:uiPriority w:val="99"/>
    <w:rsid w:val="00B772B1"/>
    <w:rPr>
      <w:rFonts w:ascii="Calibri" w:hAnsi="Calibri" w:cs="Calibri"/>
      <w:sz w:val="22"/>
      <w:szCs w:val="22"/>
    </w:rPr>
  </w:style>
  <w:style w:type="table" w:styleId="TableGrid">
    <w:name w:val="Table Grid"/>
    <w:basedOn w:val="TableNormal"/>
    <w:uiPriority w:val="39"/>
    <w:rsid w:val="00B772B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772B1"/>
    <w:rPr>
      <w:rFonts w:ascii="Georgia" w:eastAsia="Georgia" w:hAnsi="Georgia" w:cs="Georgia"/>
    </w:rPr>
  </w:style>
  <w:style w:type="paragraph" w:styleId="BodyText">
    <w:name w:val="Body Text"/>
    <w:basedOn w:val="Normal"/>
    <w:link w:val="BodyTextChar"/>
    <w:uiPriority w:val="1"/>
    <w:qFormat/>
    <w:rsid w:val="00B772B1"/>
    <w:pPr>
      <w:widowControl w:val="0"/>
      <w:autoSpaceDE w:val="0"/>
      <w:autoSpaceDN w:val="0"/>
      <w:spacing w:after="0"/>
    </w:pPr>
    <w:rPr>
      <w:rFonts w:ascii="Georgia" w:eastAsia="Georgia" w:hAnsi="Georgia" w:cs="Georgia"/>
      <w:sz w:val="24"/>
      <w:szCs w:val="24"/>
    </w:rPr>
  </w:style>
  <w:style w:type="character" w:customStyle="1" w:styleId="BodyTextChar1">
    <w:name w:val="Body Text Char1"/>
    <w:basedOn w:val="DefaultParagraphFont"/>
    <w:uiPriority w:val="99"/>
    <w:semiHidden/>
    <w:rsid w:val="00B772B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Poole College at NC State University</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rclark</dc:creator>
  <cp:keywords/>
  <dc:description/>
  <cp:lastModifiedBy>rclark</cp:lastModifiedBy>
  <cp:revision>1</cp:revision>
  <dcterms:created xsi:type="dcterms:W3CDTF">2020-11-06T14:26:00Z</dcterms:created>
  <dcterms:modified xsi:type="dcterms:W3CDTF">2020-11-06T14:27:00Z</dcterms:modified>
</cp:coreProperties>
</file>