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384" w:rsidRDefault="00B20384" w:rsidP="00B20384">
      <w:pPr>
        <w:jc w:val="center"/>
      </w:pPr>
      <w:r>
        <w:t xml:space="preserve">APPENDIX A </w:t>
      </w:r>
    </w:p>
    <w:p w:rsidR="00B20384" w:rsidRDefault="00B20384" w:rsidP="00B20384">
      <w:pPr>
        <w:jc w:val="center"/>
      </w:pPr>
    </w:p>
    <w:p w:rsidR="00B20384" w:rsidRDefault="00B20384" w:rsidP="00B20384"/>
    <w:tbl>
      <w:tblPr>
        <w:tblW w:w="0" w:type="auto"/>
        <w:tblLook w:val="04A0" w:firstRow="1" w:lastRow="0" w:firstColumn="1" w:lastColumn="0" w:noHBand="0" w:noVBand="1"/>
      </w:tblPr>
      <w:tblGrid>
        <w:gridCol w:w="3988"/>
        <w:gridCol w:w="5372"/>
      </w:tblGrid>
      <w:tr w:rsidR="00B20384" w:rsidRPr="003D3401" w:rsidTr="00805478">
        <w:trPr>
          <w:trHeight w:val="330"/>
        </w:trPr>
        <w:tc>
          <w:tcPr>
            <w:tcW w:w="0" w:type="auto"/>
            <w:gridSpan w:val="2"/>
            <w:tcBorders>
              <w:top w:val="nil"/>
              <w:left w:val="nil"/>
              <w:bottom w:val="double" w:sz="6" w:space="0" w:color="auto"/>
              <w:right w:val="nil"/>
            </w:tcBorders>
            <w:shd w:val="clear" w:color="auto" w:fill="auto"/>
            <w:noWrap/>
            <w:hideMark/>
          </w:tcPr>
          <w:p w:rsidR="00B20384" w:rsidRPr="003D3401" w:rsidRDefault="00B20384" w:rsidP="00805478">
            <w:pPr>
              <w:jc w:val="left"/>
              <w:rPr>
                <w:rFonts w:eastAsia="Times New Roman" w:cs="Times New Roman"/>
                <w:color w:val="000000"/>
                <w:szCs w:val="24"/>
              </w:rPr>
            </w:pPr>
            <w:r w:rsidRPr="003D3401">
              <w:rPr>
                <w:rFonts w:eastAsia="Times New Roman" w:cs="Times New Roman"/>
                <w:color w:val="000000"/>
                <w:szCs w:val="24"/>
              </w:rPr>
              <w:t xml:space="preserve">Table 1A. Test for Differential Attrition from Initial Survey to Follow-Up across Experimental Conditions </w:t>
            </w:r>
          </w:p>
        </w:tc>
      </w:tr>
      <w:tr w:rsidR="00B20384" w:rsidRPr="003D3401" w:rsidTr="00805478">
        <w:trPr>
          <w:trHeight w:val="330"/>
        </w:trPr>
        <w:tc>
          <w:tcPr>
            <w:tcW w:w="0" w:type="auto"/>
            <w:tcBorders>
              <w:top w:val="nil"/>
              <w:left w:val="nil"/>
              <w:bottom w:val="nil"/>
              <w:right w:val="nil"/>
            </w:tcBorders>
            <w:shd w:val="clear" w:color="auto" w:fill="auto"/>
            <w:noWrap/>
            <w:vAlign w:val="bottom"/>
            <w:hideMark/>
          </w:tcPr>
          <w:p w:rsidR="00B20384" w:rsidRPr="003D3401" w:rsidRDefault="00B20384" w:rsidP="00805478">
            <w:pPr>
              <w:jc w:val="left"/>
              <w:rPr>
                <w:rFonts w:eastAsia="Times New Roman" w:cs="Times New Roman"/>
                <w:color w:val="000000"/>
                <w:szCs w:val="24"/>
              </w:rPr>
            </w:pPr>
          </w:p>
        </w:tc>
        <w:tc>
          <w:tcPr>
            <w:tcW w:w="0" w:type="auto"/>
            <w:tcBorders>
              <w:top w:val="nil"/>
              <w:left w:val="nil"/>
              <w:bottom w:val="single" w:sz="4" w:space="0" w:color="auto"/>
              <w:right w:val="nil"/>
            </w:tcBorders>
            <w:shd w:val="clear" w:color="auto" w:fill="auto"/>
            <w:noWrap/>
            <w:vAlign w:val="bottom"/>
            <w:hideMark/>
          </w:tcPr>
          <w:p w:rsidR="00B20384" w:rsidRPr="003D3401" w:rsidRDefault="00B20384" w:rsidP="00805478">
            <w:pPr>
              <w:jc w:val="center"/>
              <w:rPr>
                <w:rFonts w:eastAsia="Times New Roman" w:cs="Times New Roman"/>
                <w:color w:val="000000"/>
                <w:szCs w:val="24"/>
              </w:rPr>
            </w:pPr>
            <w:r w:rsidRPr="003D3401">
              <w:rPr>
                <w:rFonts w:eastAsia="Times New Roman" w:cs="Times New Roman"/>
                <w:color w:val="000000"/>
                <w:szCs w:val="24"/>
              </w:rPr>
              <w:t>OLS</w:t>
            </w:r>
          </w:p>
        </w:tc>
      </w:tr>
      <w:tr w:rsidR="00B20384" w:rsidRPr="003D3401" w:rsidTr="00805478">
        <w:trPr>
          <w:trHeight w:val="315"/>
        </w:trPr>
        <w:tc>
          <w:tcPr>
            <w:tcW w:w="0" w:type="auto"/>
            <w:tcBorders>
              <w:top w:val="nil"/>
              <w:left w:val="nil"/>
              <w:bottom w:val="nil"/>
              <w:right w:val="nil"/>
            </w:tcBorders>
            <w:shd w:val="clear" w:color="auto" w:fill="auto"/>
            <w:noWrap/>
            <w:vAlign w:val="bottom"/>
            <w:hideMark/>
          </w:tcPr>
          <w:p w:rsidR="00B20384" w:rsidRPr="003D3401" w:rsidRDefault="008B20B1" w:rsidP="00805478">
            <w:pPr>
              <w:jc w:val="left"/>
              <w:rPr>
                <w:rFonts w:eastAsia="Times New Roman" w:cs="Times New Roman"/>
                <w:color w:val="000000"/>
                <w:szCs w:val="24"/>
              </w:rPr>
            </w:pPr>
            <w:r>
              <w:rPr>
                <w:rFonts w:eastAsia="Times New Roman" w:cs="Times New Roman"/>
                <w:color w:val="000000"/>
                <w:szCs w:val="24"/>
              </w:rPr>
              <w:t>Modified</w:t>
            </w:r>
            <w:r w:rsidR="00B20384" w:rsidRPr="003D3401">
              <w:rPr>
                <w:rFonts w:eastAsia="Times New Roman" w:cs="Times New Roman"/>
                <w:color w:val="000000"/>
                <w:szCs w:val="24"/>
              </w:rPr>
              <w:t xml:space="preserve"> Table </w:t>
            </w:r>
          </w:p>
        </w:tc>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r w:rsidRPr="003D3401">
              <w:rPr>
                <w:rFonts w:eastAsia="Times New Roman" w:cs="Times New Roman"/>
                <w:color w:val="000000"/>
                <w:szCs w:val="24"/>
              </w:rPr>
              <w:t>.008</w:t>
            </w:r>
          </w:p>
        </w:tc>
      </w:tr>
      <w:tr w:rsidR="00B20384" w:rsidRPr="003D3401" w:rsidTr="00805478">
        <w:trPr>
          <w:trHeight w:val="315"/>
        </w:trPr>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r w:rsidRPr="003D3401">
              <w:rPr>
                <w:rFonts w:eastAsia="Times New Roman" w:cs="Times New Roman"/>
                <w:color w:val="000000"/>
                <w:szCs w:val="24"/>
              </w:rPr>
              <w:t>(.026)</w:t>
            </w:r>
          </w:p>
        </w:tc>
      </w:tr>
      <w:tr w:rsidR="00B20384" w:rsidRPr="003D3401" w:rsidTr="00805478">
        <w:trPr>
          <w:trHeight w:val="315"/>
        </w:trPr>
        <w:tc>
          <w:tcPr>
            <w:tcW w:w="0" w:type="auto"/>
            <w:tcBorders>
              <w:top w:val="nil"/>
              <w:left w:val="nil"/>
              <w:bottom w:val="nil"/>
              <w:right w:val="nil"/>
            </w:tcBorders>
            <w:shd w:val="clear" w:color="auto" w:fill="auto"/>
            <w:noWrap/>
            <w:vAlign w:val="bottom"/>
            <w:hideMark/>
          </w:tcPr>
          <w:p w:rsidR="00B20384" w:rsidRPr="003D3401" w:rsidRDefault="00B20384" w:rsidP="00805478">
            <w:pPr>
              <w:jc w:val="left"/>
              <w:rPr>
                <w:rFonts w:eastAsia="Times New Roman" w:cs="Times New Roman"/>
                <w:color w:val="000000"/>
                <w:szCs w:val="24"/>
              </w:rPr>
            </w:pPr>
            <w:r w:rsidRPr="003D3401">
              <w:rPr>
                <w:rFonts w:eastAsia="Times New Roman" w:cs="Times New Roman"/>
                <w:color w:val="000000"/>
                <w:szCs w:val="24"/>
              </w:rPr>
              <w:t>Insert</w:t>
            </w:r>
          </w:p>
        </w:tc>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r w:rsidRPr="003D3401">
              <w:rPr>
                <w:rFonts w:eastAsia="Times New Roman" w:cs="Times New Roman"/>
                <w:color w:val="000000"/>
                <w:szCs w:val="24"/>
              </w:rPr>
              <w:t>.001</w:t>
            </w:r>
          </w:p>
        </w:tc>
      </w:tr>
      <w:tr w:rsidR="00B20384" w:rsidRPr="003D3401" w:rsidTr="00805478">
        <w:trPr>
          <w:trHeight w:val="315"/>
        </w:trPr>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r w:rsidRPr="003D3401">
              <w:rPr>
                <w:rFonts w:eastAsia="Times New Roman" w:cs="Times New Roman"/>
                <w:color w:val="000000"/>
                <w:szCs w:val="24"/>
              </w:rPr>
              <w:t>(.026)</w:t>
            </w:r>
          </w:p>
        </w:tc>
      </w:tr>
      <w:tr w:rsidR="00B20384" w:rsidRPr="003D3401" w:rsidTr="00805478">
        <w:trPr>
          <w:trHeight w:val="315"/>
        </w:trPr>
        <w:tc>
          <w:tcPr>
            <w:tcW w:w="0" w:type="auto"/>
            <w:tcBorders>
              <w:top w:val="nil"/>
              <w:left w:val="nil"/>
              <w:bottom w:val="nil"/>
              <w:right w:val="nil"/>
            </w:tcBorders>
            <w:shd w:val="clear" w:color="auto" w:fill="auto"/>
            <w:noWrap/>
            <w:vAlign w:val="bottom"/>
            <w:hideMark/>
          </w:tcPr>
          <w:p w:rsidR="00B20384" w:rsidRPr="003D3401" w:rsidRDefault="008B20B1" w:rsidP="00805478">
            <w:pPr>
              <w:jc w:val="left"/>
              <w:rPr>
                <w:rFonts w:eastAsia="Times New Roman" w:cs="Times New Roman"/>
                <w:color w:val="000000"/>
                <w:szCs w:val="24"/>
              </w:rPr>
            </w:pPr>
            <w:r>
              <w:rPr>
                <w:rFonts w:eastAsia="Times New Roman" w:cs="Times New Roman"/>
                <w:color w:val="000000"/>
                <w:szCs w:val="24"/>
              </w:rPr>
              <w:t>Modified</w:t>
            </w:r>
            <w:r w:rsidR="00B20384" w:rsidRPr="003D3401">
              <w:rPr>
                <w:rFonts w:eastAsia="Times New Roman" w:cs="Times New Roman"/>
                <w:color w:val="000000"/>
                <w:szCs w:val="24"/>
              </w:rPr>
              <w:t xml:space="preserve"> Table + Insert</w:t>
            </w:r>
          </w:p>
        </w:tc>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r w:rsidRPr="003D3401">
              <w:rPr>
                <w:rFonts w:eastAsia="Times New Roman" w:cs="Times New Roman"/>
                <w:color w:val="000000"/>
                <w:szCs w:val="24"/>
              </w:rPr>
              <w:t>-.028</w:t>
            </w:r>
          </w:p>
        </w:tc>
      </w:tr>
      <w:tr w:rsidR="00B20384" w:rsidRPr="003D3401" w:rsidTr="00805478">
        <w:trPr>
          <w:trHeight w:val="315"/>
        </w:trPr>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r w:rsidRPr="003D3401">
              <w:rPr>
                <w:rFonts w:eastAsia="Times New Roman" w:cs="Times New Roman"/>
                <w:color w:val="000000"/>
                <w:szCs w:val="24"/>
              </w:rPr>
              <w:t>(.029)</w:t>
            </w:r>
          </w:p>
        </w:tc>
      </w:tr>
      <w:tr w:rsidR="00B20384" w:rsidRPr="003D3401" w:rsidTr="00805478">
        <w:trPr>
          <w:trHeight w:val="315"/>
        </w:trPr>
        <w:tc>
          <w:tcPr>
            <w:tcW w:w="0" w:type="auto"/>
            <w:tcBorders>
              <w:top w:val="nil"/>
              <w:left w:val="nil"/>
              <w:bottom w:val="nil"/>
              <w:right w:val="nil"/>
            </w:tcBorders>
            <w:shd w:val="clear" w:color="auto" w:fill="auto"/>
            <w:noWrap/>
            <w:vAlign w:val="bottom"/>
            <w:hideMark/>
          </w:tcPr>
          <w:p w:rsidR="00B20384" w:rsidRPr="003D3401" w:rsidRDefault="00B20384" w:rsidP="00805478">
            <w:pPr>
              <w:jc w:val="left"/>
              <w:rPr>
                <w:rFonts w:eastAsia="Times New Roman" w:cs="Times New Roman"/>
                <w:color w:val="000000"/>
                <w:szCs w:val="24"/>
              </w:rPr>
            </w:pPr>
            <w:r w:rsidRPr="003D3401">
              <w:rPr>
                <w:rFonts w:eastAsia="Times New Roman" w:cs="Times New Roman"/>
                <w:color w:val="000000"/>
                <w:szCs w:val="24"/>
              </w:rPr>
              <w:t>Constant</w:t>
            </w:r>
          </w:p>
        </w:tc>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r w:rsidRPr="003D3401">
              <w:rPr>
                <w:rFonts w:eastAsia="Times New Roman" w:cs="Times New Roman"/>
                <w:color w:val="000000"/>
                <w:szCs w:val="24"/>
              </w:rPr>
              <w:t>.954***</w:t>
            </w:r>
          </w:p>
        </w:tc>
      </w:tr>
      <w:tr w:rsidR="00B20384" w:rsidRPr="003D3401" w:rsidTr="00805478">
        <w:trPr>
          <w:trHeight w:val="315"/>
        </w:trPr>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r w:rsidRPr="003D3401">
              <w:rPr>
                <w:rFonts w:eastAsia="Times New Roman" w:cs="Times New Roman"/>
                <w:color w:val="000000"/>
                <w:szCs w:val="24"/>
              </w:rPr>
              <w:t>(.020)</w:t>
            </w:r>
          </w:p>
        </w:tc>
      </w:tr>
      <w:tr w:rsidR="00B20384" w:rsidRPr="003D3401" w:rsidTr="00805478">
        <w:trPr>
          <w:trHeight w:val="315"/>
        </w:trPr>
        <w:tc>
          <w:tcPr>
            <w:tcW w:w="0" w:type="auto"/>
            <w:tcBorders>
              <w:top w:val="nil"/>
              <w:left w:val="nil"/>
              <w:bottom w:val="single" w:sz="4" w:space="0" w:color="auto"/>
              <w:right w:val="nil"/>
            </w:tcBorders>
            <w:shd w:val="clear" w:color="auto" w:fill="auto"/>
            <w:noWrap/>
            <w:vAlign w:val="bottom"/>
            <w:hideMark/>
          </w:tcPr>
          <w:p w:rsidR="00B20384" w:rsidRPr="003D3401" w:rsidRDefault="00B20384" w:rsidP="00805478">
            <w:pPr>
              <w:jc w:val="left"/>
              <w:rPr>
                <w:rFonts w:eastAsia="Times New Roman" w:cs="Times New Roman"/>
                <w:color w:val="000000"/>
                <w:szCs w:val="24"/>
              </w:rPr>
            </w:pPr>
            <w:r w:rsidRPr="003D3401">
              <w:rPr>
                <w:rFonts w:eastAsia="Times New Roman" w:cs="Times New Roman"/>
                <w:color w:val="000000"/>
                <w:szCs w:val="24"/>
              </w:rPr>
              <w:t>N</w:t>
            </w:r>
          </w:p>
        </w:tc>
        <w:tc>
          <w:tcPr>
            <w:tcW w:w="0" w:type="auto"/>
            <w:tcBorders>
              <w:top w:val="nil"/>
              <w:left w:val="nil"/>
              <w:bottom w:val="single" w:sz="4" w:space="0" w:color="auto"/>
              <w:right w:val="nil"/>
            </w:tcBorders>
            <w:shd w:val="clear" w:color="auto" w:fill="auto"/>
            <w:noWrap/>
            <w:vAlign w:val="bottom"/>
            <w:hideMark/>
          </w:tcPr>
          <w:p w:rsidR="00B20384" w:rsidRPr="003D3401" w:rsidRDefault="00B20384" w:rsidP="00805478">
            <w:pPr>
              <w:ind w:firstLineChars="1000" w:firstLine="2400"/>
              <w:jc w:val="left"/>
              <w:rPr>
                <w:rFonts w:eastAsia="Times New Roman" w:cs="Times New Roman"/>
                <w:color w:val="000000"/>
                <w:szCs w:val="24"/>
              </w:rPr>
            </w:pPr>
            <w:r w:rsidRPr="003D3401">
              <w:rPr>
                <w:rFonts w:eastAsia="Times New Roman" w:cs="Times New Roman"/>
                <w:color w:val="000000"/>
                <w:szCs w:val="24"/>
              </w:rPr>
              <w:t>560</w:t>
            </w:r>
          </w:p>
        </w:tc>
      </w:tr>
      <w:tr w:rsidR="00B20384" w:rsidRPr="003D3401" w:rsidTr="00805478">
        <w:trPr>
          <w:trHeight w:val="315"/>
        </w:trPr>
        <w:tc>
          <w:tcPr>
            <w:tcW w:w="0" w:type="auto"/>
            <w:gridSpan w:val="2"/>
            <w:vMerge w:val="restart"/>
            <w:tcBorders>
              <w:top w:val="nil"/>
              <w:left w:val="nil"/>
              <w:bottom w:val="nil"/>
              <w:right w:val="nil"/>
            </w:tcBorders>
            <w:shd w:val="clear" w:color="auto" w:fill="auto"/>
            <w:hideMark/>
          </w:tcPr>
          <w:p w:rsidR="00B20384" w:rsidRPr="003D3401" w:rsidRDefault="00B20384" w:rsidP="00805478">
            <w:pPr>
              <w:jc w:val="left"/>
              <w:rPr>
                <w:rFonts w:eastAsia="Times New Roman" w:cs="Times New Roman"/>
                <w:color w:val="000000"/>
                <w:sz w:val="20"/>
                <w:szCs w:val="20"/>
              </w:rPr>
            </w:pPr>
            <w:r w:rsidRPr="003D3401">
              <w:rPr>
                <w:rFonts w:eastAsia="Times New Roman" w:cs="Times New Roman"/>
                <w:color w:val="000000"/>
                <w:sz w:val="20"/>
                <w:szCs w:val="20"/>
              </w:rPr>
              <w:t xml:space="preserve">Notes: ***, **, and * indicate statistically significant at the 1, 5, 10 percent levels between the treatment and control group. The dependent variable is a dichotomous variable coded "1" if the respondent completed </w:t>
            </w:r>
            <w:proofErr w:type="gramStart"/>
            <w:r w:rsidRPr="003D3401">
              <w:rPr>
                <w:rFonts w:eastAsia="Times New Roman" w:cs="Times New Roman"/>
                <w:color w:val="000000"/>
                <w:sz w:val="20"/>
                <w:szCs w:val="20"/>
              </w:rPr>
              <w:t>both the initial and the follow-up survey and coded "0</w:t>
            </w:r>
            <w:proofErr w:type="gramEnd"/>
            <w:r w:rsidRPr="003D3401">
              <w:rPr>
                <w:rFonts w:eastAsia="Times New Roman" w:cs="Times New Roman"/>
                <w:color w:val="000000"/>
                <w:sz w:val="20"/>
                <w:szCs w:val="20"/>
              </w:rPr>
              <w:t xml:space="preserve">" if the respondent completed the initial survey, but not the follow-up survey. All models are estimated using robust standard errors. </w:t>
            </w:r>
          </w:p>
        </w:tc>
      </w:tr>
      <w:tr w:rsidR="00B20384" w:rsidRPr="003D3401" w:rsidTr="00805478">
        <w:trPr>
          <w:trHeight w:val="458"/>
        </w:trPr>
        <w:tc>
          <w:tcPr>
            <w:tcW w:w="0" w:type="auto"/>
            <w:gridSpan w:val="2"/>
            <w:vMerge/>
            <w:tcBorders>
              <w:top w:val="nil"/>
              <w:left w:val="nil"/>
              <w:bottom w:val="nil"/>
              <w:right w:val="nil"/>
            </w:tcBorders>
            <w:vAlign w:val="center"/>
            <w:hideMark/>
          </w:tcPr>
          <w:p w:rsidR="00B20384" w:rsidRPr="003D3401" w:rsidRDefault="00B20384" w:rsidP="00805478">
            <w:pPr>
              <w:jc w:val="left"/>
              <w:rPr>
                <w:rFonts w:eastAsia="Times New Roman" w:cs="Times New Roman"/>
                <w:color w:val="000000"/>
                <w:sz w:val="20"/>
                <w:szCs w:val="20"/>
              </w:rPr>
            </w:pPr>
          </w:p>
        </w:tc>
      </w:tr>
      <w:tr w:rsidR="00B20384" w:rsidRPr="003D3401" w:rsidTr="00805478">
        <w:trPr>
          <w:trHeight w:val="705"/>
        </w:trPr>
        <w:tc>
          <w:tcPr>
            <w:tcW w:w="0" w:type="auto"/>
            <w:gridSpan w:val="2"/>
            <w:vMerge/>
            <w:tcBorders>
              <w:top w:val="nil"/>
              <w:left w:val="nil"/>
              <w:bottom w:val="nil"/>
              <w:right w:val="nil"/>
            </w:tcBorders>
            <w:vAlign w:val="center"/>
            <w:hideMark/>
          </w:tcPr>
          <w:p w:rsidR="00B20384" w:rsidRPr="003D3401" w:rsidRDefault="00B20384" w:rsidP="00805478">
            <w:pPr>
              <w:jc w:val="left"/>
              <w:rPr>
                <w:rFonts w:eastAsia="Times New Roman" w:cs="Times New Roman"/>
                <w:color w:val="000000"/>
                <w:sz w:val="20"/>
                <w:szCs w:val="20"/>
              </w:rPr>
            </w:pPr>
          </w:p>
        </w:tc>
      </w:tr>
    </w:tbl>
    <w:p w:rsidR="00B20384" w:rsidRPr="00E82D15" w:rsidRDefault="00B20384" w:rsidP="00B20384">
      <w:pPr>
        <w:rPr>
          <w:color w:val="FF0000"/>
        </w:rPr>
      </w:pPr>
      <w:r>
        <w:t>The results from Table 1A indicate that likelihood that respondents completed both interviews does not significantly differ between the treatment and control conditions. The results from Table 2A indicate that there is also no significant differences in these likelihoods between the treatment groups</w:t>
      </w:r>
      <w:r w:rsidRPr="00E82D15">
        <w:t xml:space="preserve">. The coefficients from the regression model in Table 1A </w:t>
      </w:r>
      <w:proofErr w:type="gramStart"/>
      <w:r w:rsidRPr="00E82D15">
        <w:t>were used</w:t>
      </w:r>
      <w:proofErr w:type="gramEnd"/>
      <w:r w:rsidRPr="00E82D15">
        <w:t xml:space="preserve"> to derive the p-values from the Wald Tests for equality of coefficients in Table 2A</w:t>
      </w:r>
      <w:bookmarkStart w:id="0" w:name="_GoBack"/>
      <w:r w:rsidRPr="00E82D15">
        <w:rPr>
          <w:color w:val="FF0000"/>
        </w:rPr>
        <w:t>.</w:t>
      </w:r>
      <w:r w:rsidR="00E82D15" w:rsidRPr="00E82D15">
        <w:rPr>
          <w:color w:val="FF0000"/>
        </w:rPr>
        <w:t xml:space="preserve"> Taken together, the results indicate that there is no evidence of differential attrition from the initial survey to follow-up across the treatment and control groups as well as across the treatment groups themselves.</w:t>
      </w:r>
    </w:p>
    <w:bookmarkEnd w:id="0"/>
    <w:p w:rsidR="00B20384" w:rsidRDefault="00B20384" w:rsidP="00B20384"/>
    <w:p w:rsidR="00B20384" w:rsidRDefault="00B20384" w:rsidP="00B20384"/>
    <w:tbl>
      <w:tblPr>
        <w:tblW w:w="5059" w:type="pct"/>
        <w:tblInd w:w="-108" w:type="dxa"/>
        <w:tblLook w:val="04A0" w:firstRow="1" w:lastRow="0" w:firstColumn="1" w:lastColumn="0" w:noHBand="0" w:noVBand="1"/>
      </w:tblPr>
      <w:tblGrid>
        <w:gridCol w:w="108"/>
        <w:gridCol w:w="6013"/>
        <w:gridCol w:w="108"/>
        <w:gridCol w:w="3131"/>
        <w:gridCol w:w="110"/>
      </w:tblGrid>
      <w:tr w:rsidR="00B20384" w:rsidRPr="002E00AE" w:rsidTr="00805478">
        <w:trPr>
          <w:gridBefore w:val="1"/>
          <w:wBefore w:w="57" w:type="pct"/>
          <w:trHeight w:val="330"/>
        </w:trPr>
        <w:tc>
          <w:tcPr>
            <w:tcW w:w="4943" w:type="pct"/>
            <w:gridSpan w:val="4"/>
            <w:tcBorders>
              <w:top w:val="nil"/>
              <w:left w:val="nil"/>
              <w:bottom w:val="double" w:sz="6" w:space="0" w:color="auto"/>
              <w:right w:val="nil"/>
            </w:tcBorders>
            <w:shd w:val="clear" w:color="auto" w:fill="auto"/>
            <w:noWrap/>
            <w:vAlign w:val="bottom"/>
            <w:hideMark/>
          </w:tcPr>
          <w:p w:rsidR="00B20384" w:rsidRPr="002E00AE" w:rsidRDefault="00B20384" w:rsidP="00805478">
            <w:pPr>
              <w:jc w:val="left"/>
              <w:rPr>
                <w:rFonts w:eastAsia="Times New Roman" w:cs="Times New Roman"/>
                <w:color w:val="000000"/>
                <w:szCs w:val="24"/>
              </w:rPr>
            </w:pPr>
            <w:r w:rsidRPr="002E00AE">
              <w:rPr>
                <w:rFonts w:eastAsia="Times New Roman" w:cs="Times New Roman"/>
                <w:color w:val="000000"/>
                <w:szCs w:val="24"/>
              </w:rPr>
              <w:t>Table 2A. Wald Tests for Equality of Coefficients</w:t>
            </w:r>
          </w:p>
        </w:tc>
      </w:tr>
      <w:tr w:rsidR="00B20384" w:rsidRPr="002E00AE" w:rsidTr="00805478">
        <w:trPr>
          <w:gridBefore w:val="1"/>
          <w:wBefore w:w="57" w:type="pct"/>
          <w:trHeight w:val="330"/>
        </w:trPr>
        <w:tc>
          <w:tcPr>
            <w:tcW w:w="3232" w:type="pct"/>
            <w:gridSpan w:val="2"/>
            <w:tcBorders>
              <w:top w:val="nil"/>
              <w:left w:val="nil"/>
              <w:bottom w:val="nil"/>
              <w:right w:val="nil"/>
            </w:tcBorders>
            <w:shd w:val="clear" w:color="auto" w:fill="auto"/>
            <w:noWrap/>
            <w:vAlign w:val="bottom"/>
            <w:hideMark/>
          </w:tcPr>
          <w:p w:rsidR="00B20384" w:rsidRPr="002E00AE" w:rsidRDefault="00B20384" w:rsidP="00805478">
            <w:pPr>
              <w:jc w:val="left"/>
              <w:rPr>
                <w:rFonts w:eastAsia="Times New Roman" w:cs="Times New Roman"/>
                <w:color w:val="000000"/>
                <w:szCs w:val="24"/>
              </w:rPr>
            </w:pPr>
          </w:p>
        </w:tc>
        <w:tc>
          <w:tcPr>
            <w:tcW w:w="1711" w:type="pct"/>
            <w:gridSpan w:val="2"/>
            <w:tcBorders>
              <w:top w:val="nil"/>
              <w:left w:val="nil"/>
              <w:bottom w:val="single" w:sz="4" w:space="0" w:color="auto"/>
              <w:right w:val="nil"/>
            </w:tcBorders>
            <w:shd w:val="clear" w:color="auto" w:fill="auto"/>
            <w:noWrap/>
            <w:vAlign w:val="bottom"/>
            <w:hideMark/>
          </w:tcPr>
          <w:p w:rsidR="00B20384" w:rsidRPr="002E00AE" w:rsidRDefault="00B20384" w:rsidP="00805478">
            <w:pPr>
              <w:jc w:val="center"/>
              <w:rPr>
                <w:rFonts w:eastAsia="Times New Roman" w:cs="Times New Roman"/>
                <w:color w:val="000000"/>
                <w:szCs w:val="24"/>
              </w:rPr>
            </w:pPr>
            <w:r w:rsidRPr="002E00AE">
              <w:rPr>
                <w:rFonts w:eastAsia="Times New Roman" w:cs="Times New Roman"/>
                <w:color w:val="000000"/>
                <w:szCs w:val="24"/>
              </w:rPr>
              <w:t xml:space="preserve">P-Value </w:t>
            </w:r>
          </w:p>
        </w:tc>
      </w:tr>
      <w:tr w:rsidR="00B20384" w:rsidRPr="002E00AE" w:rsidTr="00805478">
        <w:trPr>
          <w:gridAfter w:val="1"/>
          <w:wAfter w:w="58" w:type="pct"/>
          <w:trHeight w:val="315"/>
        </w:trPr>
        <w:tc>
          <w:tcPr>
            <w:tcW w:w="3232" w:type="pct"/>
            <w:gridSpan w:val="2"/>
            <w:tcBorders>
              <w:top w:val="nil"/>
              <w:left w:val="nil"/>
              <w:bottom w:val="nil"/>
              <w:right w:val="nil"/>
            </w:tcBorders>
            <w:shd w:val="clear" w:color="auto" w:fill="auto"/>
            <w:noWrap/>
            <w:vAlign w:val="bottom"/>
            <w:hideMark/>
          </w:tcPr>
          <w:p w:rsidR="00B20384" w:rsidRPr="002E00AE" w:rsidRDefault="00B20384" w:rsidP="00805478">
            <w:pPr>
              <w:jc w:val="left"/>
              <w:rPr>
                <w:rFonts w:eastAsia="Times New Roman" w:cs="Times New Roman"/>
                <w:color w:val="000000"/>
                <w:szCs w:val="24"/>
              </w:rPr>
            </w:pPr>
            <w:r w:rsidRPr="002E00AE">
              <w:rPr>
                <w:rFonts w:eastAsia="Times New Roman" w:cs="Times New Roman"/>
                <w:color w:val="000000"/>
                <w:szCs w:val="24"/>
              </w:rPr>
              <w:t>β(</w:t>
            </w:r>
            <w:r w:rsidR="008B20B1">
              <w:rPr>
                <w:rFonts w:eastAsia="Times New Roman" w:cs="Times New Roman"/>
                <w:color w:val="000000"/>
                <w:szCs w:val="24"/>
              </w:rPr>
              <w:t>Modified</w:t>
            </w:r>
            <w:r w:rsidR="008B20B1" w:rsidRPr="003D3401">
              <w:rPr>
                <w:rFonts w:eastAsia="Times New Roman" w:cs="Times New Roman"/>
                <w:color w:val="000000"/>
                <w:szCs w:val="24"/>
              </w:rPr>
              <w:t xml:space="preserve"> </w:t>
            </w:r>
            <w:r w:rsidRPr="002E00AE">
              <w:rPr>
                <w:rFonts w:eastAsia="Times New Roman" w:cs="Times New Roman"/>
                <w:color w:val="000000"/>
                <w:szCs w:val="24"/>
              </w:rPr>
              <w:t>Table) = β(Insert)</w:t>
            </w:r>
          </w:p>
        </w:tc>
        <w:tc>
          <w:tcPr>
            <w:tcW w:w="1710" w:type="pct"/>
            <w:gridSpan w:val="2"/>
            <w:tcBorders>
              <w:top w:val="nil"/>
              <w:left w:val="nil"/>
              <w:bottom w:val="nil"/>
              <w:right w:val="nil"/>
            </w:tcBorders>
            <w:shd w:val="clear" w:color="auto" w:fill="auto"/>
            <w:noWrap/>
            <w:vAlign w:val="bottom"/>
            <w:hideMark/>
          </w:tcPr>
          <w:p w:rsidR="00B20384" w:rsidRPr="002E00AE" w:rsidRDefault="00B20384" w:rsidP="00805478">
            <w:pPr>
              <w:jc w:val="center"/>
              <w:rPr>
                <w:rFonts w:eastAsia="Times New Roman" w:cs="Times New Roman"/>
                <w:color w:val="000000"/>
                <w:szCs w:val="24"/>
              </w:rPr>
            </w:pPr>
            <w:r w:rsidRPr="002E00AE">
              <w:rPr>
                <w:rFonts w:eastAsia="Times New Roman" w:cs="Times New Roman"/>
                <w:color w:val="000000"/>
                <w:szCs w:val="24"/>
              </w:rPr>
              <w:t>0.75</w:t>
            </w:r>
          </w:p>
        </w:tc>
      </w:tr>
      <w:tr w:rsidR="00B20384" w:rsidRPr="002E00AE" w:rsidTr="00805478">
        <w:trPr>
          <w:gridAfter w:val="1"/>
          <w:wAfter w:w="58" w:type="pct"/>
          <w:trHeight w:val="315"/>
        </w:trPr>
        <w:tc>
          <w:tcPr>
            <w:tcW w:w="3232" w:type="pct"/>
            <w:gridSpan w:val="2"/>
            <w:tcBorders>
              <w:top w:val="nil"/>
              <w:left w:val="nil"/>
              <w:bottom w:val="nil"/>
              <w:right w:val="nil"/>
            </w:tcBorders>
            <w:shd w:val="clear" w:color="auto" w:fill="auto"/>
            <w:noWrap/>
            <w:vAlign w:val="bottom"/>
            <w:hideMark/>
          </w:tcPr>
          <w:p w:rsidR="00B20384" w:rsidRPr="002E00AE" w:rsidRDefault="00B20384" w:rsidP="00805478">
            <w:pPr>
              <w:jc w:val="left"/>
              <w:rPr>
                <w:rFonts w:eastAsia="Times New Roman" w:cs="Times New Roman"/>
                <w:color w:val="000000"/>
                <w:szCs w:val="24"/>
              </w:rPr>
            </w:pPr>
            <w:r w:rsidRPr="002E00AE">
              <w:rPr>
                <w:rFonts w:eastAsia="Times New Roman" w:cs="Times New Roman"/>
                <w:color w:val="000000"/>
                <w:szCs w:val="24"/>
              </w:rPr>
              <w:t>β(</w:t>
            </w:r>
            <w:r w:rsidR="008B20B1">
              <w:rPr>
                <w:rFonts w:eastAsia="Times New Roman" w:cs="Times New Roman"/>
                <w:color w:val="000000"/>
                <w:szCs w:val="24"/>
              </w:rPr>
              <w:t>Modified</w:t>
            </w:r>
            <w:r w:rsidR="008B20B1" w:rsidRPr="003D3401">
              <w:rPr>
                <w:rFonts w:eastAsia="Times New Roman" w:cs="Times New Roman"/>
                <w:color w:val="000000"/>
                <w:szCs w:val="24"/>
              </w:rPr>
              <w:t xml:space="preserve"> </w:t>
            </w:r>
            <w:r w:rsidRPr="002E00AE">
              <w:rPr>
                <w:rFonts w:eastAsia="Times New Roman" w:cs="Times New Roman"/>
                <w:color w:val="000000"/>
                <w:szCs w:val="24"/>
              </w:rPr>
              <w:t>Table) = β(</w:t>
            </w:r>
            <w:r w:rsidR="008B20B1">
              <w:rPr>
                <w:rFonts w:eastAsia="Times New Roman" w:cs="Times New Roman"/>
                <w:color w:val="000000"/>
                <w:szCs w:val="24"/>
              </w:rPr>
              <w:t>Modified</w:t>
            </w:r>
            <w:r w:rsidR="008B20B1" w:rsidRPr="003D3401">
              <w:rPr>
                <w:rFonts w:eastAsia="Times New Roman" w:cs="Times New Roman"/>
                <w:color w:val="000000"/>
                <w:szCs w:val="24"/>
              </w:rPr>
              <w:t xml:space="preserve"> </w:t>
            </w:r>
            <w:r w:rsidRPr="002E00AE">
              <w:rPr>
                <w:rFonts w:eastAsia="Times New Roman" w:cs="Times New Roman"/>
                <w:color w:val="000000"/>
                <w:szCs w:val="24"/>
              </w:rPr>
              <w:t>Table + Insert)</w:t>
            </w:r>
          </w:p>
        </w:tc>
        <w:tc>
          <w:tcPr>
            <w:tcW w:w="1710" w:type="pct"/>
            <w:gridSpan w:val="2"/>
            <w:tcBorders>
              <w:top w:val="nil"/>
              <w:left w:val="nil"/>
              <w:bottom w:val="nil"/>
              <w:right w:val="nil"/>
            </w:tcBorders>
            <w:shd w:val="clear" w:color="auto" w:fill="auto"/>
            <w:noWrap/>
            <w:vAlign w:val="bottom"/>
            <w:hideMark/>
          </w:tcPr>
          <w:p w:rsidR="00B20384" w:rsidRPr="002E00AE" w:rsidRDefault="00B20384" w:rsidP="00805478">
            <w:pPr>
              <w:jc w:val="center"/>
              <w:rPr>
                <w:rFonts w:eastAsia="Times New Roman" w:cs="Times New Roman"/>
                <w:color w:val="000000"/>
                <w:szCs w:val="24"/>
              </w:rPr>
            </w:pPr>
            <w:r w:rsidRPr="002E00AE">
              <w:rPr>
                <w:rFonts w:eastAsia="Times New Roman" w:cs="Times New Roman"/>
                <w:color w:val="000000"/>
                <w:szCs w:val="24"/>
              </w:rPr>
              <w:t>0.17</w:t>
            </w:r>
          </w:p>
        </w:tc>
      </w:tr>
      <w:tr w:rsidR="00B20384" w:rsidRPr="002E00AE" w:rsidTr="00805478">
        <w:trPr>
          <w:gridAfter w:val="1"/>
          <w:wAfter w:w="58" w:type="pct"/>
          <w:trHeight w:val="315"/>
        </w:trPr>
        <w:tc>
          <w:tcPr>
            <w:tcW w:w="3232" w:type="pct"/>
            <w:gridSpan w:val="2"/>
            <w:tcBorders>
              <w:top w:val="nil"/>
              <w:left w:val="nil"/>
              <w:bottom w:val="single" w:sz="4" w:space="0" w:color="auto"/>
              <w:right w:val="nil"/>
            </w:tcBorders>
            <w:shd w:val="clear" w:color="auto" w:fill="auto"/>
            <w:noWrap/>
            <w:vAlign w:val="bottom"/>
            <w:hideMark/>
          </w:tcPr>
          <w:p w:rsidR="00B20384" w:rsidRPr="002E00AE" w:rsidRDefault="00B20384" w:rsidP="00805478">
            <w:pPr>
              <w:jc w:val="left"/>
              <w:rPr>
                <w:rFonts w:eastAsia="Times New Roman" w:cs="Times New Roman"/>
                <w:color w:val="000000"/>
                <w:szCs w:val="24"/>
              </w:rPr>
            </w:pPr>
            <w:r w:rsidRPr="002E00AE">
              <w:rPr>
                <w:rFonts w:eastAsia="Times New Roman" w:cs="Times New Roman"/>
                <w:color w:val="000000"/>
                <w:szCs w:val="24"/>
              </w:rPr>
              <w:t>β(Insert) = β(</w:t>
            </w:r>
            <w:r w:rsidR="008B20B1">
              <w:rPr>
                <w:rFonts w:eastAsia="Times New Roman" w:cs="Times New Roman"/>
                <w:color w:val="000000"/>
                <w:szCs w:val="24"/>
              </w:rPr>
              <w:t>Modified</w:t>
            </w:r>
            <w:r w:rsidR="008B20B1" w:rsidRPr="003D3401">
              <w:rPr>
                <w:rFonts w:eastAsia="Times New Roman" w:cs="Times New Roman"/>
                <w:color w:val="000000"/>
                <w:szCs w:val="24"/>
              </w:rPr>
              <w:t xml:space="preserve"> </w:t>
            </w:r>
            <w:r w:rsidRPr="002E00AE">
              <w:rPr>
                <w:rFonts w:eastAsia="Times New Roman" w:cs="Times New Roman"/>
                <w:color w:val="000000"/>
                <w:szCs w:val="24"/>
              </w:rPr>
              <w:t>Table + Insert)</w:t>
            </w:r>
          </w:p>
        </w:tc>
        <w:tc>
          <w:tcPr>
            <w:tcW w:w="1710" w:type="pct"/>
            <w:gridSpan w:val="2"/>
            <w:tcBorders>
              <w:top w:val="nil"/>
              <w:left w:val="nil"/>
              <w:bottom w:val="single" w:sz="4" w:space="0" w:color="auto"/>
              <w:right w:val="nil"/>
            </w:tcBorders>
            <w:shd w:val="clear" w:color="auto" w:fill="auto"/>
            <w:noWrap/>
            <w:vAlign w:val="bottom"/>
            <w:hideMark/>
          </w:tcPr>
          <w:p w:rsidR="00B20384" w:rsidRPr="002E00AE" w:rsidRDefault="00B20384" w:rsidP="00805478">
            <w:pPr>
              <w:jc w:val="center"/>
              <w:rPr>
                <w:rFonts w:eastAsia="Times New Roman" w:cs="Times New Roman"/>
                <w:color w:val="000000"/>
                <w:szCs w:val="24"/>
              </w:rPr>
            </w:pPr>
            <w:r w:rsidRPr="002E00AE">
              <w:rPr>
                <w:rFonts w:eastAsia="Times New Roman" w:cs="Times New Roman"/>
                <w:color w:val="000000"/>
                <w:szCs w:val="24"/>
              </w:rPr>
              <w:t>0.28</w:t>
            </w:r>
          </w:p>
        </w:tc>
      </w:tr>
      <w:tr w:rsidR="00B20384" w:rsidRPr="002E00AE" w:rsidTr="00805478">
        <w:trPr>
          <w:gridBefore w:val="1"/>
          <w:wBefore w:w="57" w:type="pct"/>
          <w:trHeight w:val="315"/>
        </w:trPr>
        <w:tc>
          <w:tcPr>
            <w:tcW w:w="4943" w:type="pct"/>
            <w:gridSpan w:val="4"/>
            <w:vMerge w:val="restart"/>
            <w:tcBorders>
              <w:top w:val="single" w:sz="4" w:space="0" w:color="auto"/>
              <w:left w:val="nil"/>
              <w:bottom w:val="nil"/>
              <w:right w:val="nil"/>
            </w:tcBorders>
            <w:shd w:val="clear" w:color="auto" w:fill="auto"/>
            <w:hideMark/>
          </w:tcPr>
          <w:p w:rsidR="00B20384" w:rsidRPr="002E00AE" w:rsidRDefault="00B20384" w:rsidP="00805478">
            <w:pPr>
              <w:jc w:val="left"/>
              <w:rPr>
                <w:rFonts w:eastAsia="Times New Roman" w:cs="Times New Roman"/>
                <w:color w:val="000000"/>
                <w:sz w:val="20"/>
                <w:szCs w:val="20"/>
              </w:rPr>
            </w:pPr>
            <w:r w:rsidRPr="002E00AE">
              <w:rPr>
                <w:rFonts w:eastAsia="Times New Roman" w:cs="Times New Roman"/>
                <w:color w:val="000000"/>
                <w:sz w:val="20"/>
                <w:szCs w:val="20"/>
              </w:rPr>
              <w:t xml:space="preserve">Notes:  ***, **, and * indicate statistically significant at the 1, 5, 10 percent levels. The values in the table are the p-values generated from Wald Tests for equality of the coefficients from Table 1A. Significant differences would indicate differences in the likelihood of respondents completing the follow-up survey by group. </w:t>
            </w:r>
          </w:p>
        </w:tc>
      </w:tr>
      <w:tr w:rsidR="00B20384" w:rsidRPr="002E00AE" w:rsidTr="00805478">
        <w:trPr>
          <w:gridBefore w:val="1"/>
          <w:wBefore w:w="57" w:type="pct"/>
          <w:trHeight w:val="525"/>
        </w:trPr>
        <w:tc>
          <w:tcPr>
            <w:tcW w:w="4943" w:type="pct"/>
            <w:gridSpan w:val="4"/>
            <w:vMerge/>
            <w:tcBorders>
              <w:top w:val="single" w:sz="4" w:space="0" w:color="auto"/>
              <w:left w:val="nil"/>
              <w:bottom w:val="nil"/>
              <w:right w:val="nil"/>
            </w:tcBorders>
            <w:vAlign w:val="center"/>
            <w:hideMark/>
          </w:tcPr>
          <w:p w:rsidR="00B20384" w:rsidRPr="002E00AE" w:rsidRDefault="00B20384" w:rsidP="00805478">
            <w:pPr>
              <w:jc w:val="left"/>
              <w:rPr>
                <w:rFonts w:eastAsia="Times New Roman" w:cs="Times New Roman"/>
                <w:color w:val="000000"/>
                <w:sz w:val="20"/>
                <w:szCs w:val="20"/>
              </w:rPr>
            </w:pPr>
          </w:p>
        </w:tc>
      </w:tr>
    </w:tbl>
    <w:p w:rsidR="00B20384" w:rsidRDefault="00B20384" w:rsidP="00B20384"/>
    <w:p w:rsidR="009B1618" w:rsidRDefault="009B1618"/>
    <w:sectPr w:rsidR="009B1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84"/>
    <w:rsid w:val="00267CE8"/>
    <w:rsid w:val="00384997"/>
    <w:rsid w:val="00820C99"/>
    <w:rsid w:val="008B20B1"/>
    <w:rsid w:val="009B1618"/>
    <w:rsid w:val="00B20384"/>
    <w:rsid w:val="00E8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7800"/>
  <w15:chartTrackingRefBased/>
  <w15:docId w15:val="{34922496-6EA4-4496-ADBF-41E4A64C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384"/>
    <w:pPr>
      <w:spacing w:after="0" w:line="240" w:lineRule="auto"/>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Diebold</dc:creator>
  <cp:keywords/>
  <dc:description/>
  <cp:lastModifiedBy>Jeffrey Diebold</cp:lastModifiedBy>
  <cp:revision>3</cp:revision>
  <dcterms:created xsi:type="dcterms:W3CDTF">2017-03-31T14:14:00Z</dcterms:created>
  <dcterms:modified xsi:type="dcterms:W3CDTF">2017-11-27T17:55:00Z</dcterms:modified>
</cp:coreProperties>
</file>