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CD" w:rsidRPr="00F33C85" w:rsidRDefault="00C441CD" w:rsidP="00067743">
      <w:pPr>
        <w:pStyle w:val="NormalWeb"/>
        <w:spacing w:before="0" w:beforeAutospacing="0" w:after="0" w:afterAutospacing="0"/>
        <w:ind w:left="450" w:hanging="450"/>
        <w:jc w:val="center"/>
        <w:rPr>
          <w:b/>
        </w:rPr>
      </w:pPr>
      <w:bookmarkStart w:id="0" w:name="_GoBack"/>
      <w:r w:rsidRPr="00F33C85">
        <w:rPr>
          <w:b/>
        </w:rPr>
        <w:t>APPENDIX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8"/>
        <w:gridCol w:w="1128"/>
        <w:gridCol w:w="710"/>
        <w:gridCol w:w="1003"/>
        <w:gridCol w:w="936"/>
        <w:gridCol w:w="6371"/>
      </w:tblGrid>
      <w:tr w:rsidR="00F33C85" w:rsidRPr="00F33C85" w:rsidTr="009A1052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9A1052" w:rsidRPr="00F33C85" w:rsidRDefault="009A105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1</w:t>
            </w:r>
            <w:r w:rsidR="002D7732"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33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Control Variables</w:t>
            </w:r>
          </w:p>
        </w:tc>
      </w:tr>
      <w:tr w:rsidR="00F33C85" w:rsidRPr="00F33C85" w:rsidTr="009A1052">
        <w:trPr>
          <w:trHeight w:val="600"/>
        </w:trPr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Variable Name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Included for Both Spouses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Var. Type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Time-Varying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Lagged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</w:rPr>
              <w:t>Wealth &amp; Income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C85" w:rsidRPr="00F33C85" w:rsidTr="009A1052">
        <w:trPr>
          <w:trHeight w:val="9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Hhold's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Soc.Sec.Wealth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Measures the expected present value of all Social Security benefits of the household. Sum of the expected present value of retirement benefits, spousal benefits, and survivor benefits for each spouse. 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Soc.Sec.Inc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./Tot.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Hhold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Inc.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Measures the share of the household's total income derived from Social Security</w:t>
            </w:r>
          </w:p>
        </w:tc>
      </w:tr>
      <w:tr w:rsidR="00F33C85" w:rsidRPr="00F33C85" w:rsidTr="009A1052">
        <w:trPr>
          <w:trHeight w:val="81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SurvivorBenefits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SocSec.Inc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Equal to one minus the ratio of the expected present value of the retirement benefits earned by each spouse; 1 -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WidowRetBen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HusRetBen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. This measure </w:t>
            </w:r>
            <w:proofErr w:type="gramStart"/>
            <w:r w:rsidRPr="00F33C85">
              <w:rPr>
                <w:rFonts w:ascii="Times New Roman" w:eastAsia="Times New Roman" w:hAnsi="Times New Roman" w:cs="Times New Roman"/>
              </w:rPr>
              <w:t>is not lagged</w:t>
            </w:r>
            <w:proofErr w:type="gramEnd"/>
            <w:r w:rsidRPr="00F33C85">
              <w:rPr>
                <w:rFonts w:ascii="Times New Roman" w:eastAsia="Times New Roman" w:hAnsi="Times New Roman" w:cs="Times New Roman"/>
              </w:rPr>
              <w:t xml:space="preserve"> because widows do not receive a survivor benefit in the period prior to the death of their husband. 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Hhold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Income (0000s)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Measures the income of the household less any Social Security income.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Financial Assets (0000s)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Measures the financial assets of the household.</w:t>
            </w:r>
          </w:p>
        </w:tc>
      </w:tr>
      <w:tr w:rsidR="00F33C85" w:rsidRPr="00F33C85" w:rsidTr="009A1052">
        <w:trPr>
          <w:trHeight w:val="6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Housing Wealth (0000s)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Measures the net value of the widow's primary residence. Value set to "0" for renters.</w:t>
            </w:r>
          </w:p>
        </w:tc>
      </w:tr>
      <w:tr w:rsidR="00F33C85" w:rsidRPr="00F33C85" w:rsidTr="009A1052">
        <w:trPr>
          <w:trHeight w:val="6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Pension Income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0C78F3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Indicates whether either the widow or the husband </w:t>
            </w:r>
            <w:r w:rsidR="000C78F3" w:rsidRPr="00F33C85">
              <w:rPr>
                <w:rFonts w:ascii="Times New Roman" w:eastAsia="Times New Roman" w:hAnsi="Times New Roman" w:cs="Times New Roman"/>
              </w:rPr>
              <w:t>receives</w:t>
            </w:r>
            <w:r w:rsidRPr="00F33C85">
              <w:rPr>
                <w:rFonts w:ascii="Times New Roman" w:eastAsia="Times New Roman" w:hAnsi="Times New Roman" w:cs="Times New Roman"/>
              </w:rPr>
              <w:t>/received income from a pension or not.</w:t>
            </w:r>
          </w:p>
        </w:tc>
      </w:tr>
      <w:tr w:rsidR="00F33C85" w:rsidRPr="00F33C85" w:rsidTr="009A1052">
        <w:trPr>
          <w:trHeight w:val="9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Long-Term Fin. Plan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Indicates whether the respondent's spending and saving decisions </w:t>
            </w:r>
            <w:proofErr w:type="gramStart"/>
            <w:r w:rsidRPr="00F33C85">
              <w:rPr>
                <w:rFonts w:ascii="Times New Roman" w:eastAsia="Times New Roman" w:hAnsi="Times New Roman" w:cs="Times New Roman"/>
              </w:rPr>
              <w:t>are based</w:t>
            </w:r>
            <w:proofErr w:type="gramEnd"/>
            <w:r w:rsidRPr="00F33C85">
              <w:rPr>
                <w:rFonts w:ascii="Times New Roman" w:eastAsia="Times New Roman" w:hAnsi="Times New Roman" w:cs="Times New Roman"/>
              </w:rPr>
              <w:t xml:space="preserve"> on a financial plan that extends years into the future as opposed to the next few months.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</w:rPr>
              <w:t xml:space="preserve">Health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C85" w:rsidRPr="00F33C85" w:rsidTr="009A1052">
        <w:trPr>
          <w:trHeight w:val="6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Hlth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Cond. Limits Work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Indicates whether the respondent has a health problem or health condition that limits the kind or amount of work the respondent can complete or otherwise.</w:t>
            </w:r>
          </w:p>
        </w:tc>
      </w:tr>
      <w:tr w:rsidR="00F33C85" w:rsidRPr="00F33C85" w:rsidTr="009A1052">
        <w:trPr>
          <w:trHeight w:val="9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lastRenderedPageBreak/>
              <w:t xml:space="preserve">Num. of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Phy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>. Limit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Equal to the sum of the following conditions that the respondent reported difficulty completing: walking several blocks, walking one block, walk across the room, climbing one flight of stairs, and/or climbing several flights of stairs.</w:t>
            </w:r>
          </w:p>
        </w:tc>
      </w:tr>
      <w:tr w:rsidR="00F33C85" w:rsidRPr="00F33C85" w:rsidTr="009A1052">
        <w:trPr>
          <w:trHeight w:val="6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Num. of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Chron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Cond.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Equal to the sum of the following conditions reported by the respondent: heart problems, diabetes, high blood pressure, lung disease, or having suffered a stroke.</w:t>
            </w:r>
          </w:p>
        </w:tc>
      </w:tr>
      <w:tr w:rsidR="00F33C85" w:rsidRPr="00F33C85" w:rsidTr="009A1052">
        <w:trPr>
          <w:trHeight w:val="6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In Good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Hlth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Indicates whether the respondent reported his general health status as “excellent", “very good”, "good" or otherwise. </w:t>
            </w:r>
          </w:p>
        </w:tc>
      </w:tr>
      <w:tr w:rsidR="00F33C85" w:rsidRPr="00F33C85" w:rsidTr="009A1052">
        <w:trPr>
          <w:trHeight w:val="9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Hlth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Worsened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Dichotomous measure indicating whether the respondent reported that his or her health had gotten worse, or whether it stayed the same, or </w:t>
            </w:r>
            <w:proofErr w:type="gramStart"/>
            <w:r w:rsidRPr="00F33C85">
              <w:rPr>
                <w:rFonts w:ascii="Times New Roman" w:eastAsia="Times New Roman" w:hAnsi="Times New Roman" w:cs="Times New Roman"/>
              </w:rPr>
              <w:t>improved  over</w:t>
            </w:r>
            <w:proofErr w:type="gramEnd"/>
            <w:r w:rsidRPr="00F33C85">
              <w:rPr>
                <w:rFonts w:ascii="Times New Roman" w:eastAsia="Times New Roman" w:hAnsi="Times New Roman" w:cs="Times New Roman"/>
              </w:rPr>
              <w:t xml:space="preserve"> the past two years. 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Body Mass Index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Measures the Body Mass Index (BMI) of the respondent.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OOP Med. Expend. (0000s)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Measures the total out-of-pocket expenditures over the past two years.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Covered by Medicare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Indicates whether the respondent is enrolled in Medicare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</w:rPr>
              <w:t>Employment History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C85" w:rsidRPr="00F33C85" w:rsidTr="009A1052">
        <w:trPr>
          <w:trHeight w:val="6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Num. of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Yrs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Emp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(Lifetime)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Sum of the number of years the respondent </w:t>
            </w:r>
            <w:proofErr w:type="gramStart"/>
            <w:r w:rsidRPr="00F33C85">
              <w:rPr>
                <w:rFonts w:ascii="Times New Roman" w:eastAsia="Times New Roman" w:hAnsi="Times New Roman" w:cs="Times New Roman"/>
              </w:rPr>
              <w:t>was employed</w:t>
            </w:r>
            <w:proofErr w:type="gramEnd"/>
            <w:r w:rsidRPr="00F33C85">
              <w:rPr>
                <w:rFonts w:ascii="Times New Roman" w:eastAsia="Times New Roman" w:hAnsi="Times New Roman" w:cs="Times New Roman"/>
              </w:rPr>
              <w:t xml:space="preserve"> over his or her lifetime.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Husband Working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Indicates whether the husband </w:t>
            </w:r>
            <w:proofErr w:type="gramStart"/>
            <w:r w:rsidRPr="00F33C85">
              <w:rPr>
                <w:rFonts w:ascii="Times New Roman" w:eastAsia="Times New Roman" w:hAnsi="Times New Roman" w:cs="Times New Roman"/>
              </w:rPr>
              <w:t>was employed</w:t>
            </w:r>
            <w:proofErr w:type="gramEnd"/>
            <w:r w:rsidRPr="00F33C85">
              <w:rPr>
                <w:rFonts w:ascii="Times New Roman" w:eastAsia="Times New Roman" w:hAnsi="Times New Roman" w:cs="Times New Roman"/>
              </w:rPr>
              <w:t xml:space="preserve"> the year that he died. 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Currently Working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Indicates whether the widow </w:t>
            </w:r>
            <w:proofErr w:type="gramStart"/>
            <w:r w:rsidRPr="00F33C85">
              <w:rPr>
                <w:rFonts w:ascii="Times New Roman" w:eastAsia="Times New Roman" w:hAnsi="Times New Roman" w:cs="Times New Roman"/>
              </w:rPr>
              <w:t>is currently employed</w:t>
            </w:r>
            <w:proofErr w:type="gramEnd"/>
            <w:r w:rsidRPr="00F33C8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</w:rPr>
              <w:t>Demographics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3C85" w:rsidRPr="00F33C85" w:rsidTr="009A1052">
        <w:trPr>
          <w:trHeight w:val="6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Spousal Age Gap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8F7C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Measures the difference in the age of the deceased husband the widow in years. </w:t>
            </w: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AgeGap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= Age of Deceased Husband - Age of Widow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Age at Widowhood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Measures the age of the widow in years at the time of her husband's death.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Current Age of the Widow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Measures the age of the widow in years</w:t>
            </w:r>
          </w:p>
        </w:tc>
      </w:tr>
      <w:tr w:rsidR="00F33C85" w:rsidRPr="00F33C85" w:rsidTr="009A1052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Number of Living Children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Measures the number living children of the widow.</w:t>
            </w:r>
          </w:p>
        </w:tc>
      </w:tr>
      <w:tr w:rsidR="00F33C85" w:rsidRPr="00F33C85" w:rsidTr="009A1052">
        <w:trPr>
          <w:trHeight w:val="9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Education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Three </w:t>
            </w:r>
            <w:r w:rsidR="007A7B43" w:rsidRPr="00F33C85">
              <w:rPr>
                <w:rFonts w:ascii="Times New Roman" w:eastAsia="Times New Roman" w:hAnsi="Times New Roman" w:cs="Times New Roman"/>
              </w:rPr>
              <w:t>dichotomous</w:t>
            </w:r>
            <w:r w:rsidRPr="00F33C85">
              <w:rPr>
                <w:rFonts w:ascii="Times New Roman" w:eastAsia="Times New Roman" w:hAnsi="Times New Roman" w:cs="Times New Roman"/>
              </w:rPr>
              <w:t xml:space="preserve"> variables indicating whether the respondent (1) has a college degree, (2) has a high school diploma, or (3) did not </w:t>
            </w:r>
            <w:r w:rsidR="007A7B43" w:rsidRPr="00F33C85">
              <w:rPr>
                <w:rFonts w:ascii="Times New Roman" w:eastAsia="Times New Roman" w:hAnsi="Times New Roman" w:cs="Times New Roman"/>
              </w:rPr>
              <w:t>graduate</w:t>
            </w:r>
            <w:r w:rsidRPr="00F33C85">
              <w:rPr>
                <w:rFonts w:ascii="Times New Roman" w:eastAsia="Times New Roman" w:hAnsi="Times New Roman" w:cs="Times New Roman"/>
              </w:rPr>
              <w:t xml:space="preserve"> from high school. The omitted category is (1) has a college degree.</w:t>
            </w:r>
          </w:p>
        </w:tc>
      </w:tr>
      <w:tr w:rsidR="00F33C85" w:rsidRPr="00F33C85" w:rsidTr="009A1052">
        <w:trPr>
          <w:trHeight w:val="60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lastRenderedPageBreak/>
              <w:t>Race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Consists of two </w:t>
            </w:r>
            <w:r w:rsidR="008F7CF3" w:rsidRPr="00F33C85">
              <w:rPr>
                <w:rFonts w:ascii="Times New Roman" w:eastAsia="Times New Roman" w:hAnsi="Times New Roman" w:cs="Times New Roman"/>
              </w:rPr>
              <w:t>dichotomous</w:t>
            </w:r>
            <w:r w:rsidRPr="00F33C85">
              <w:rPr>
                <w:rFonts w:ascii="Times New Roman" w:eastAsia="Times New Roman" w:hAnsi="Times New Roman" w:cs="Times New Roman"/>
              </w:rPr>
              <w:t xml:space="preserve"> variables indicating whether the respondent is African American or Other. White is the omitted category.</w:t>
            </w:r>
          </w:p>
        </w:tc>
      </w:tr>
      <w:tr w:rsidR="00F33C85" w:rsidRPr="00F33C85" w:rsidTr="001863AA">
        <w:trPr>
          <w:trHeight w:val="630"/>
        </w:trPr>
        <w:tc>
          <w:tcPr>
            <w:tcW w:w="116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Region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Dich.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Consists of four </w:t>
            </w:r>
            <w:r w:rsidR="008F7CF3" w:rsidRPr="00F33C85">
              <w:rPr>
                <w:rFonts w:ascii="Times New Roman" w:eastAsia="Times New Roman" w:hAnsi="Times New Roman" w:cs="Times New Roman"/>
              </w:rPr>
              <w:t>dichotomous</w:t>
            </w:r>
            <w:r w:rsidRPr="00F33C85">
              <w:rPr>
                <w:rFonts w:ascii="Times New Roman" w:eastAsia="Times New Roman" w:hAnsi="Times New Roman" w:cs="Times New Roman"/>
              </w:rPr>
              <w:t xml:space="preserve"> measures indicating whether the respondent lives in </w:t>
            </w:r>
            <w:proofErr w:type="gramStart"/>
            <w:r w:rsidRPr="00F33C85">
              <w:rPr>
                <w:rFonts w:ascii="Times New Roman" w:eastAsia="Times New Roman" w:hAnsi="Times New Roman" w:cs="Times New Roman"/>
              </w:rPr>
              <w:t>the (1</w:t>
            </w:r>
            <w:proofErr w:type="gramEnd"/>
            <w:r w:rsidRPr="00F33C85">
              <w:rPr>
                <w:rFonts w:ascii="Times New Roman" w:eastAsia="Times New Roman" w:hAnsi="Times New Roman" w:cs="Times New Roman"/>
              </w:rPr>
              <w:t xml:space="preserve">) the South, (2) the Northeast, (3) the Midwest, or (4) the West. The omitted category is (1) South. </w:t>
            </w:r>
          </w:p>
        </w:tc>
      </w:tr>
      <w:tr w:rsidR="009A1052" w:rsidRPr="00F33C85" w:rsidTr="001863AA">
        <w:trPr>
          <w:trHeight w:val="315"/>
        </w:trPr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3C85">
              <w:rPr>
                <w:rFonts w:ascii="Times New Roman" w:eastAsia="Times New Roman" w:hAnsi="Times New Roman" w:cs="Times New Roman"/>
              </w:rPr>
              <w:t>Hhold</w:t>
            </w:r>
            <w:proofErr w:type="spellEnd"/>
            <w:r w:rsidRPr="00F33C85">
              <w:rPr>
                <w:rFonts w:ascii="Times New Roman" w:eastAsia="Times New Roman" w:hAnsi="Times New Roman" w:cs="Times New Roman"/>
              </w:rPr>
              <w:t xml:space="preserve"> Residents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Cont.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1052" w:rsidRPr="00F33C85" w:rsidRDefault="009A1052" w:rsidP="009A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052" w:rsidRPr="00F33C85" w:rsidRDefault="009A1052" w:rsidP="009A1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3C85">
              <w:rPr>
                <w:rFonts w:ascii="Times New Roman" w:eastAsia="Times New Roman" w:hAnsi="Times New Roman" w:cs="Times New Roman"/>
              </w:rPr>
              <w:t xml:space="preserve">Measures the number of family members living in the widow's household </w:t>
            </w:r>
          </w:p>
        </w:tc>
      </w:tr>
    </w:tbl>
    <w:p w:rsidR="00CF6C66" w:rsidRPr="00F33C85" w:rsidRDefault="00CF6C66" w:rsidP="00C441CD">
      <w:pPr>
        <w:pStyle w:val="NormalWeb"/>
        <w:spacing w:before="240" w:beforeAutospacing="0" w:after="0" w:afterAutospacing="0"/>
        <w:jc w:val="both"/>
      </w:pPr>
    </w:p>
    <w:p w:rsidR="00A3445B" w:rsidRPr="00F33C85" w:rsidRDefault="00A3445B" w:rsidP="00C441CD">
      <w:pPr>
        <w:pStyle w:val="NormalWeb"/>
        <w:spacing w:before="240" w:beforeAutospacing="0" w:after="0" w:afterAutospacing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17"/>
        <w:gridCol w:w="959"/>
      </w:tblGrid>
      <w:tr w:rsidR="00F33C85" w:rsidRPr="00F33C85" w:rsidTr="00A3445B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2D7732" w:rsidP="00A3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Table 2A</w:t>
            </w:r>
            <w:r w:rsidR="00A3445B" w:rsidRPr="00F33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3445B"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45B" w:rsidRPr="00F33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effect of the exclusion restrictions on the size of the estimation sample</w:t>
            </w:r>
          </w:p>
        </w:tc>
      </w:tr>
      <w:tr w:rsidR="00F33C85" w:rsidRPr="00F33C85" w:rsidTr="00A3445B">
        <w:trPr>
          <w:trHeight w:val="330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Exclusion Restrictions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 = 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widows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7726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Widows who enter widowhood b/t 1994 and 2010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3202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Widows with observed claiming ages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1534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Widows with HRS data linked to the Social Security Administration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Widows who are secondary earners entitled to a survivor benefit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Widows whose husbands did not claim Social Security early due to disability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Widows whose husbands did not claim before age 61 and 9 months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Widows who did not remarry after age 60 (entitled to one survivor benefit at </w:t>
            </w:r>
            <w:r w:rsidR="000B00D6"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observed </w:t>
            </w: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widowhood)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Widowed after full retirement age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F33C85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Widows in poverty before widowhood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A3445B" w:rsidRPr="00F33C85" w:rsidTr="00A3445B">
        <w:trPr>
          <w:trHeight w:val="315"/>
        </w:trPr>
        <w:tc>
          <w:tcPr>
            <w:tcW w:w="4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A3445B" w:rsidP="00A3445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Widows with non-missing values for the covariates in the model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45B" w:rsidRPr="00F33C85" w:rsidRDefault="009C6710" w:rsidP="00A3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A3445B" w:rsidRPr="00F33C85" w:rsidRDefault="00A3445B" w:rsidP="00C441CD">
      <w:pPr>
        <w:pStyle w:val="NormalWeb"/>
        <w:spacing w:before="240" w:beforeAutospacing="0" w:after="0" w:afterAutospacing="0"/>
        <w:jc w:val="both"/>
      </w:pPr>
    </w:p>
    <w:p w:rsidR="00A3445B" w:rsidRPr="00F33C85" w:rsidRDefault="00A3445B" w:rsidP="00C441CD">
      <w:pPr>
        <w:pStyle w:val="NormalWeb"/>
        <w:spacing w:before="240" w:beforeAutospacing="0" w:after="0" w:afterAutospacing="0"/>
        <w:jc w:val="both"/>
      </w:pPr>
    </w:p>
    <w:p w:rsidR="00A3445B" w:rsidRPr="00F33C85" w:rsidRDefault="00A3445B" w:rsidP="00C441CD">
      <w:pPr>
        <w:pStyle w:val="NormalWeb"/>
        <w:spacing w:before="240" w:beforeAutospacing="0" w:after="0" w:afterAutospacing="0"/>
        <w:jc w:val="both"/>
      </w:pPr>
    </w:p>
    <w:p w:rsidR="00A3445B" w:rsidRPr="00F33C85" w:rsidRDefault="00A3445B" w:rsidP="00C441CD">
      <w:pPr>
        <w:pStyle w:val="NormalWeb"/>
        <w:spacing w:before="240" w:beforeAutospacing="0" w:after="0" w:afterAutospacing="0"/>
        <w:jc w:val="both"/>
      </w:pPr>
    </w:p>
    <w:p w:rsidR="00A3445B" w:rsidRPr="00F33C85" w:rsidRDefault="00A3445B" w:rsidP="00C441CD">
      <w:pPr>
        <w:pStyle w:val="NormalWeb"/>
        <w:spacing w:before="240" w:beforeAutospacing="0" w:after="0" w:afterAutospacing="0"/>
        <w:jc w:val="both"/>
      </w:pPr>
    </w:p>
    <w:p w:rsidR="00CF6C66" w:rsidRPr="00F33C85" w:rsidRDefault="00CF6C66" w:rsidP="00CF6C6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3C85">
        <w:rPr>
          <w:rFonts w:ascii="Times New Roman" w:hAnsi="Times New Roman"/>
          <w:b/>
          <w:sz w:val="24"/>
        </w:rPr>
        <w:t>NO WID</w:t>
      </w:r>
      <w:r w:rsidR="003C02AA" w:rsidRPr="00F33C85">
        <w:rPr>
          <w:rFonts w:ascii="Times New Roman" w:hAnsi="Times New Roman"/>
          <w:b/>
          <w:sz w:val="24"/>
        </w:rPr>
        <w:t>OWED AFTER FRA RESTRICTION (N=284</w:t>
      </w:r>
      <w:r w:rsidRPr="00F33C85">
        <w:rPr>
          <w:rFonts w:ascii="Times New Roman" w:hAnsi="Times New Roman"/>
          <w:b/>
          <w:sz w:val="24"/>
        </w:rPr>
        <w:t>)</w:t>
      </w:r>
    </w:p>
    <w:p w:rsidR="00C92E63" w:rsidRPr="00F33C85" w:rsidRDefault="00C92E63" w:rsidP="00CF6C6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1154"/>
        <w:gridCol w:w="1365"/>
        <w:gridCol w:w="1365"/>
        <w:gridCol w:w="1365"/>
        <w:gridCol w:w="1365"/>
        <w:gridCol w:w="1365"/>
        <w:gridCol w:w="1365"/>
        <w:gridCol w:w="1365"/>
        <w:gridCol w:w="1376"/>
      </w:tblGrid>
      <w:tr w:rsidR="00F33C85" w:rsidRPr="00F33C85" w:rsidTr="003C02AA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Table 3</w:t>
            </w:r>
            <w:r w:rsidR="002D7732" w:rsidRPr="00F33C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</w:t>
            </w:r>
            <w:r w:rsidRPr="00F33C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F33C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Marginal effect of the husband's claim age on the widow's poverty hazard at each claim age and as a function of her survivor benefit and Social Security dependence</w:t>
            </w:r>
          </w:p>
        </w:tc>
      </w:tr>
      <w:tr w:rsidR="00F33C85" w:rsidRPr="00F33C85" w:rsidTr="003C02AA">
        <w:trPr>
          <w:trHeight w:val="330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Husband's Claim Age </w:t>
            </w:r>
          </w:p>
        </w:tc>
      </w:tr>
      <w:tr w:rsidR="00F33C85" w:rsidRPr="00F33C85" w:rsidTr="003C02AA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85" w:rsidRPr="00F33C85" w:rsidTr="003C02AA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-.025*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-.018**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-.013**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-.009*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85" w:rsidRPr="00F33C85" w:rsidTr="003C02AA">
        <w:trPr>
          <w:trHeight w:val="330"/>
        </w:trPr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(.013)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(.006)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C85" w:rsidRPr="00F33C85" w:rsidTr="003C02AA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Widow's Survivor Benefit as a Percent of Her Social Security Income </w:t>
            </w:r>
          </w:p>
        </w:tc>
      </w:tr>
      <w:tr w:rsidR="00F33C85" w:rsidRPr="00F33C85" w:rsidTr="003C02AA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100</w:t>
            </w:r>
          </w:p>
        </w:tc>
      </w:tr>
      <w:tr w:rsidR="00F33C85" w:rsidRPr="00F33C85" w:rsidTr="003C02AA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-.018**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-.023**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-.029**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-.034**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-.040**</w:t>
            </w:r>
          </w:p>
        </w:tc>
      </w:tr>
      <w:tr w:rsidR="00F33C85" w:rsidRPr="00F33C85" w:rsidTr="003C02AA">
        <w:trPr>
          <w:trHeight w:val="33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(.010)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(.010)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(.015)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(.019)</w:t>
            </w:r>
          </w:p>
        </w:tc>
      </w:tr>
      <w:tr w:rsidR="00F33C85" w:rsidRPr="00F33C85" w:rsidTr="003C02AA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Widow's Social Security Income as a Percent of Total Income </w:t>
            </w:r>
          </w:p>
        </w:tc>
      </w:tr>
      <w:tr w:rsidR="00F33C85" w:rsidRPr="00F33C85" w:rsidTr="003C02AA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100</w:t>
            </w:r>
          </w:p>
        </w:tc>
      </w:tr>
      <w:tr w:rsidR="00F33C85" w:rsidRPr="00F33C85" w:rsidTr="003C02AA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-.015*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-.017**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-.019**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-.020**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-.022**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-.023*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-.024*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-.027</w:t>
            </w:r>
          </w:p>
        </w:tc>
      </w:tr>
      <w:tr w:rsidR="00F33C85" w:rsidRPr="00F33C85" w:rsidTr="003C02AA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(.010)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(.010)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(.014)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(.016)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2AA" w:rsidRPr="00F33C85" w:rsidRDefault="003C02AA" w:rsidP="003C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(.018)</w:t>
            </w:r>
          </w:p>
        </w:tc>
      </w:tr>
    </w:tbl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</w:rPr>
      </w:pPr>
      <w:r w:rsidRPr="00F33C85">
        <w:rPr>
          <w:rFonts w:ascii="Times New Roman" w:hAnsi="Times New Roman"/>
        </w:rPr>
        <w:t xml:space="preserve">Notes: The estimation sample includes those widows who </w:t>
      </w:r>
      <w:proofErr w:type="gramStart"/>
      <w:r w:rsidRPr="00F33C85">
        <w:rPr>
          <w:rFonts w:ascii="Times New Roman" w:hAnsi="Times New Roman"/>
        </w:rPr>
        <w:t>were widowed</w:t>
      </w:r>
      <w:proofErr w:type="gramEnd"/>
      <w:r w:rsidRPr="00F33C85">
        <w:rPr>
          <w:rFonts w:ascii="Times New Roman" w:hAnsi="Times New Roman"/>
        </w:rPr>
        <w:t xml:space="preserve"> before reaching their full retirement age.</w:t>
      </w: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3C85">
        <w:rPr>
          <w:rFonts w:ascii="Times New Roman" w:hAnsi="Times New Roman"/>
          <w:b/>
          <w:sz w:val="24"/>
        </w:rPr>
        <w:lastRenderedPageBreak/>
        <w:t>NO PRIOR POVERTY STATUS RESTRICTION (N=21</w:t>
      </w:r>
      <w:r w:rsidR="00B941B5" w:rsidRPr="00F33C85">
        <w:rPr>
          <w:rFonts w:ascii="Times New Roman" w:hAnsi="Times New Roman"/>
          <w:b/>
          <w:sz w:val="24"/>
        </w:rPr>
        <w:t>1</w:t>
      </w:r>
      <w:r w:rsidRPr="00F33C85">
        <w:rPr>
          <w:rFonts w:ascii="Times New Roman" w:hAnsi="Times New Roman"/>
          <w:b/>
          <w:sz w:val="24"/>
        </w:rPr>
        <w:t>)</w:t>
      </w:r>
    </w:p>
    <w:p w:rsidR="00C92E63" w:rsidRPr="00F33C85" w:rsidRDefault="00C92E63" w:rsidP="00CF6C6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1154"/>
        <w:gridCol w:w="1365"/>
        <w:gridCol w:w="1365"/>
        <w:gridCol w:w="1365"/>
        <w:gridCol w:w="1365"/>
        <w:gridCol w:w="1365"/>
        <w:gridCol w:w="1365"/>
        <w:gridCol w:w="1365"/>
        <w:gridCol w:w="1376"/>
      </w:tblGrid>
      <w:tr w:rsidR="00F33C85" w:rsidRPr="00F33C85" w:rsidTr="00B941B5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941B5" w:rsidRPr="00F33C85" w:rsidRDefault="002D7732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Table 4A</w:t>
            </w:r>
            <w:r w:rsidR="00B941B5" w:rsidRPr="00F33C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B941B5" w:rsidRPr="00F33C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Marginal effect of the husband's claim age on the widow's poverty hazard at each claim age and as a function of her survivor benefit and Social Security dependence</w:t>
            </w:r>
          </w:p>
        </w:tc>
      </w:tr>
      <w:tr w:rsidR="00F33C85" w:rsidRPr="00F33C85" w:rsidTr="00B941B5">
        <w:trPr>
          <w:trHeight w:val="345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Husband's Claim Age </w:t>
            </w:r>
          </w:p>
        </w:tc>
      </w:tr>
      <w:tr w:rsidR="00F33C85" w:rsidRPr="00F33C85" w:rsidTr="00B941B5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C85" w:rsidRPr="00F33C85" w:rsidTr="00B941B5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-.033*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-.024**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-.017**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-.012**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85" w:rsidRPr="00F33C85" w:rsidTr="00B941B5">
        <w:trPr>
          <w:trHeight w:val="330"/>
        </w:trPr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(.018)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(.007)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3C85" w:rsidRPr="00F33C85" w:rsidTr="00B941B5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Widow's Survivor Benefit as a Percent of Her Social Security Income </w:t>
            </w:r>
          </w:p>
        </w:tc>
      </w:tr>
      <w:tr w:rsidR="00F33C85" w:rsidRPr="00F33C85" w:rsidTr="00B941B5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100</w:t>
            </w:r>
          </w:p>
        </w:tc>
      </w:tr>
      <w:tr w:rsidR="00F33C85" w:rsidRPr="00F33C85" w:rsidTr="00B941B5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-.013*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-.020**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-.028**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-.036**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-.045**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-.055**</w:t>
            </w:r>
          </w:p>
        </w:tc>
      </w:tr>
      <w:tr w:rsidR="00F33C85" w:rsidRPr="00F33C85" w:rsidTr="00B941B5">
        <w:trPr>
          <w:trHeight w:val="33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(.007)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(.006)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(.007)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(.007)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(.015)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(.024)</w:t>
            </w:r>
          </w:p>
        </w:tc>
      </w:tr>
      <w:tr w:rsidR="00F33C85" w:rsidRPr="00F33C85" w:rsidTr="00B941B5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Widow's Social Security Income as a Percent of Total Income </w:t>
            </w:r>
          </w:p>
        </w:tc>
      </w:tr>
      <w:tr w:rsidR="00F33C85" w:rsidRPr="00F33C85" w:rsidTr="00B941B5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100</w:t>
            </w:r>
          </w:p>
        </w:tc>
      </w:tr>
      <w:tr w:rsidR="00F33C85" w:rsidRPr="00F33C85" w:rsidTr="00B941B5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-.015*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-.017**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-.020**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-.022**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-.025**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-.027**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-.030**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-.033**</w:t>
            </w:r>
          </w:p>
        </w:tc>
      </w:tr>
      <w:tr w:rsidR="00F33C85" w:rsidRPr="00F33C85" w:rsidTr="00B941B5">
        <w:trPr>
          <w:trHeight w:val="315"/>
        </w:trPr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(.010)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(.010)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(.013)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B5" w:rsidRPr="00F33C85" w:rsidRDefault="00B941B5" w:rsidP="00B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(.015)</w:t>
            </w:r>
          </w:p>
        </w:tc>
      </w:tr>
    </w:tbl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</w:rPr>
      </w:pPr>
      <w:r w:rsidRPr="00F33C85">
        <w:rPr>
          <w:rFonts w:ascii="Times New Roman" w:hAnsi="Times New Roman"/>
        </w:rPr>
        <w:t>Notes: The estimation sample includes those widows who did and did not have income below the poverty line prior to the death of their husbands.</w:t>
      </w: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F6C66" w:rsidRPr="00F33C85" w:rsidRDefault="00CF6C66" w:rsidP="00CF6C6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33C85">
        <w:rPr>
          <w:rFonts w:ascii="Times New Roman" w:hAnsi="Times New Roman"/>
          <w:b/>
          <w:sz w:val="24"/>
        </w:rPr>
        <w:lastRenderedPageBreak/>
        <w:t>NEITHER POV</w:t>
      </w:r>
      <w:r w:rsidR="002D7732" w:rsidRPr="00F33C85">
        <w:rPr>
          <w:rFonts w:ascii="Times New Roman" w:hAnsi="Times New Roman"/>
          <w:b/>
          <w:sz w:val="24"/>
        </w:rPr>
        <w:t>ERTY NOR FRA RESTRICTION (N=309</w:t>
      </w:r>
      <w:r w:rsidRPr="00F33C85">
        <w:rPr>
          <w:rFonts w:ascii="Times New Roman" w:hAnsi="Times New Roman"/>
          <w:b/>
          <w:sz w:val="24"/>
        </w:rPr>
        <w:t>)</w:t>
      </w:r>
    </w:p>
    <w:p w:rsidR="00C92E63" w:rsidRPr="00F33C85" w:rsidRDefault="00C92E63" w:rsidP="00CF6C6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0"/>
        <w:gridCol w:w="1174"/>
        <w:gridCol w:w="1173"/>
        <w:gridCol w:w="1391"/>
        <w:gridCol w:w="1391"/>
        <w:gridCol w:w="1391"/>
        <w:gridCol w:w="1391"/>
        <w:gridCol w:w="1391"/>
        <w:gridCol w:w="1391"/>
        <w:gridCol w:w="1383"/>
      </w:tblGrid>
      <w:tr w:rsidR="00F33C85" w:rsidRPr="00F33C85" w:rsidTr="002D7732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Table 5A</w:t>
            </w:r>
            <w:r w:rsidRPr="00F33C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Marginal effect of the husband's claim age on the widow's poverty hazard at each claim age and as a function of her survivor benefit and Social Security dependence</w:t>
            </w:r>
          </w:p>
        </w:tc>
      </w:tr>
      <w:tr w:rsidR="00F33C85" w:rsidRPr="00F33C85" w:rsidTr="002D7732">
        <w:trPr>
          <w:trHeight w:val="345"/>
        </w:trPr>
        <w:tc>
          <w:tcPr>
            <w:tcW w:w="5000" w:type="pct"/>
            <w:gridSpan w:val="10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Husband's Claim Age </w:t>
            </w:r>
          </w:p>
        </w:tc>
      </w:tr>
      <w:tr w:rsidR="00F33C85" w:rsidRPr="00F33C85" w:rsidTr="002D7732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85" w:rsidRPr="00F33C85" w:rsidTr="002D7732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-.019*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-.016*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-.013**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-.011**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-.009**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-.007**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-.006**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-.004*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85" w:rsidRPr="00F33C85" w:rsidTr="002D7732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(.006)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85" w:rsidRPr="00F33C85" w:rsidTr="002D7732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Widow's Survivor Benefit as a Percent of Her Social Security Income</w:t>
            </w:r>
          </w:p>
        </w:tc>
      </w:tr>
      <w:tr w:rsidR="00F33C85" w:rsidRPr="00F33C85" w:rsidTr="002D7732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100</w:t>
            </w:r>
          </w:p>
        </w:tc>
      </w:tr>
      <w:tr w:rsidR="00F33C85" w:rsidRPr="00F33C85" w:rsidTr="002D7732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-.015*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-.019**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-.023**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-.026**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-.030**</w:t>
            </w:r>
          </w:p>
        </w:tc>
      </w:tr>
      <w:tr w:rsidR="00F33C85" w:rsidRPr="00F33C85" w:rsidTr="002D7732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(.013)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(.015)</w:t>
            </w:r>
          </w:p>
        </w:tc>
      </w:tr>
      <w:tr w:rsidR="00F33C85" w:rsidRPr="00F33C85" w:rsidTr="002D7732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Widow's Social Security Income as a Percent of Total Income</w:t>
            </w:r>
          </w:p>
        </w:tc>
      </w:tr>
      <w:tr w:rsidR="00F33C85" w:rsidRPr="00F33C85" w:rsidTr="002D7732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80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3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100</w:t>
            </w:r>
          </w:p>
        </w:tc>
      </w:tr>
      <w:tr w:rsidR="00F33C85" w:rsidRPr="00F33C85" w:rsidTr="002D7732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-.014*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-.015*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-.016**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-.016*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-.016*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-.018</w:t>
            </w:r>
          </w:p>
        </w:tc>
      </w:tr>
      <w:tr w:rsidR="00F33C85" w:rsidRPr="00F33C85" w:rsidTr="002D7732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(.008)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(.009)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(.010)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732" w:rsidRPr="00F33C85" w:rsidRDefault="002D7732" w:rsidP="002D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C85">
              <w:rPr>
                <w:rFonts w:ascii="Times New Roman" w:eastAsia="Times New Roman" w:hAnsi="Times New Roman" w:cs="Times New Roman"/>
                <w:sz w:val="24"/>
                <w:szCs w:val="24"/>
              </w:rPr>
              <w:t>(.015)</w:t>
            </w:r>
          </w:p>
        </w:tc>
      </w:tr>
    </w:tbl>
    <w:p w:rsidR="00CF6C66" w:rsidRPr="00F33C85" w:rsidRDefault="00CF6C66" w:rsidP="00CF6C66">
      <w:pPr>
        <w:spacing w:after="0" w:line="240" w:lineRule="auto"/>
        <w:jc w:val="both"/>
        <w:rPr>
          <w:rFonts w:ascii="Times New Roman" w:hAnsi="Times New Roman"/>
        </w:rPr>
      </w:pPr>
      <w:r w:rsidRPr="00F33C85">
        <w:rPr>
          <w:rFonts w:ascii="Times New Roman" w:hAnsi="Times New Roman"/>
        </w:rPr>
        <w:t xml:space="preserve">Notes: The estimation sample includes those widows who </w:t>
      </w:r>
      <w:proofErr w:type="gramStart"/>
      <w:r w:rsidRPr="00F33C85">
        <w:rPr>
          <w:rFonts w:ascii="Times New Roman" w:hAnsi="Times New Roman"/>
        </w:rPr>
        <w:t>were widowed</w:t>
      </w:r>
      <w:proofErr w:type="gramEnd"/>
      <w:r w:rsidRPr="00F33C85">
        <w:rPr>
          <w:rFonts w:ascii="Times New Roman" w:hAnsi="Times New Roman"/>
        </w:rPr>
        <w:t xml:space="preserve"> before reaching their full retirement age as well as those who did and did not have income below the poverty line prior to the death of their husbands. </w:t>
      </w:r>
    </w:p>
    <w:bookmarkEnd w:id="0"/>
    <w:p w:rsidR="00CF68F9" w:rsidRPr="00F33C85" w:rsidRDefault="00CF68F9"/>
    <w:sectPr w:rsidR="00CF68F9" w:rsidRPr="00F33C85" w:rsidSect="00CF6C6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CD"/>
    <w:rsid w:val="00067743"/>
    <w:rsid w:val="000B00D6"/>
    <w:rsid w:val="000C78F3"/>
    <w:rsid w:val="001863AA"/>
    <w:rsid w:val="002D7732"/>
    <w:rsid w:val="002E5541"/>
    <w:rsid w:val="0031348B"/>
    <w:rsid w:val="003C02AA"/>
    <w:rsid w:val="005B4B12"/>
    <w:rsid w:val="006C6D78"/>
    <w:rsid w:val="007A7B43"/>
    <w:rsid w:val="008F7CF3"/>
    <w:rsid w:val="009A1052"/>
    <w:rsid w:val="009C6710"/>
    <w:rsid w:val="00A3445B"/>
    <w:rsid w:val="00B941B5"/>
    <w:rsid w:val="00BF000C"/>
    <w:rsid w:val="00C441CD"/>
    <w:rsid w:val="00C92E63"/>
    <w:rsid w:val="00CF68F9"/>
    <w:rsid w:val="00CF6C66"/>
    <w:rsid w:val="00D44C3B"/>
    <w:rsid w:val="00E960CB"/>
    <w:rsid w:val="00F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C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66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6C6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C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C66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6C6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97E3-2462-4B6A-BEC8-FDEE09F6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Diebold</dc:creator>
  <cp:lastModifiedBy>Jeffrey Diebold</cp:lastModifiedBy>
  <cp:revision>19</cp:revision>
  <dcterms:created xsi:type="dcterms:W3CDTF">2015-07-27T17:05:00Z</dcterms:created>
  <dcterms:modified xsi:type="dcterms:W3CDTF">2015-11-08T23:30:00Z</dcterms:modified>
</cp:coreProperties>
</file>