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A7" w:rsidRPr="00CE6BA7" w:rsidRDefault="00474263" w:rsidP="00474263">
      <w:pPr>
        <w:spacing w:after="0" w:line="240" w:lineRule="auto"/>
        <w:jc w:val="center"/>
        <w:rPr>
          <w:rFonts w:ascii="Garamond" w:hAnsi="Garamond"/>
          <w:b/>
          <w:sz w:val="24"/>
          <w:szCs w:val="24"/>
        </w:rPr>
      </w:pPr>
      <w:bookmarkStart w:id="0" w:name="_Ref295296113"/>
      <w:r>
        <w:rPr>
          <w:rFonts w:ascii="Garamond" w:hAnsi="Garamond"/>
          <w:b/>
          <w:sz w:val="24"/>
          <w:szCs w:val="24"/>
        </w:rPr>
        <w:t>Appendix</w:t>
      </w:r>
    </w:p>
    <w:p w:rsidR="00CE6BA7" w:rsidRPr="00CE6BA7" w:rsidRDefault="00CE6BA7" w:rsidP="00396D9B">
      <w:pPr>
        <w:spacing w:line="240" w:lineRule="auto"/>
        <w:jc w:val="both"/>
        <w:rPr>
          <w:rFonts w:ascii="Garamond" w:eastAsia="Times New Roman" w:hAnsi="Garamond" w:cs="Courier New"/>
          <w:sz w:val="24"/>
          <w:szCs w:val="24"/>
          <w:lang w:eastAsia="en-AU"/>
        </w:rPr>
      </w:pPr>
      <w:r w:rsidRPr="00474263">
        <w:rPr>
          <w:rFonts w:ascii="Garamond" w:hAnsi="Garamond"/>
          <w:i/>
          <w:sz w:val="24"/>
          <w:szCs w:val="24"/>
        </w:rPr>
        <w:t>“</w:t>
      </w:r>
      <w:r w:rsidRPr="00474263">
        <w:rPr>
          <w:rFonts w:ascii="Garamond" w:eastAsia="Times New Roman" w:hAnsi="Garamond" w:cs="Courier New"/>
          <w:i/>
          <w:sz w:val="24"/>
          <w:szCs w:val="24"/>
          <w:lang w:eastAsia="en-AU"/>
        </w:rPr>
        <w:t xml:space="preserve">Pension Plan Participant Choice: </w:t>
      </w:r>
      <w:r w:rsidR="00474263">
        <w:rPr>
          <w:rFonts w:ascii="Garamond" w:eastAsia="Times New Roman" w:hAnsi="Garamond" w:cs="Courier New"/>
          <w:i/>
          <w:sz w:val="24"/>
          <w:szCs w:val="24"/>
          <w:lang w:eastAsia="en-AU"/>
        </w:rPr>
        <w:t xml:space="preserve">Evidence on </w:t>
      </w:r>
      <w:r w:rsidRPr="00474263">
        <w:rPr>
          <w:rFonts w:ascii="Garamond" w:eastAsia="Times New Roman" w:hAnsi="Garamond" w:cs="Courier New"/>
          <w:i/>
          <w:sz w:val="24"/>
          <w:szCs w:val="24"/>
          <w:lang w:eastAsia="en-AU"/>
        </w:rPr>
        <w:t xml:space="preserve">Defined Benefit </w:t>
      </w:r>
      <w:r w:rsidR="00474263">
        <w:rPr>
          <w:rFonts w:ascii="Garamond" w:eastAsia="Times New Roman" w:hAnsi="Garamond" w:cs="Courier New"/>
          <w:i/>
          <w:sz w:val="24"/>
          <w:szCs w:val="24"/>
          <w:lang w:eastAsia="en-AU"/>
        </w:rPr>
        <w:t xml:space="preserve">and </w:t>
      </w:r>
      <w:r w:rsidRPr="00474263">
        <w:rPr>
          <w:rFonts w:ascii="Garamond" w:eastAsia="Times New Roman" w:hAnsi="Garamond" w:cs="Courier New"/>
          <w:i/>
          <w:sz w:val="24"/>
          <w:szCs w:val="24"/>
          <w:lang w:eastAsia="en-AU"/>
        </w:rPr>
        <w:t xml:space="preserve">Defined Contribution </w:t>
      </w:r>
      <w:r w:rsidR="00474263">
        <w:rPr>
          <w:rFonts w:ascii="Garamond" w:eastAsia="Times New Roman" w:hAnsi="Garamond" w:cs="Courier New"/>
          <w:i/>
          <w:sz w:val="24"/>
          <w:szCs w:val="24"/>
          <w:lang w:eastAsia="en-AU"/>
        </w:rPr>
        <w:t>Preference</w:t>
      </w:r>
      <w:r w:rsidR="00F7722E">
        <w:rPr>
          <w:rFonts w:ascii="Garamond" w:eastAsia="Times New Roman" w:hAnsi="Garamond" w:cs="Courier New"/>
          <w:i/>
          <w:sz w:val="24"/>
          <w:szCs w:val="24"/>
          <w:lang w:eastAsia="en-AU"/>
        </w:rPr>
        <w:t>s</w:t>
      </w:r>
      <w:bookmarkStart w:id="1" w:name="_GoBack"/>
      <w:bookmarkEnd w:id="1"/>
      <w:r w:rsidRPr="00474263">
        <w:rPr>
          <w:rFonts w:ascii="Garamond" w:eastAsia="Times New Roman" w:hAnsi="Garamond" w:cs="Courier New"/>
          <w:i/>
          <w:sz w:val="24"/>
          <w:szCs w:val="24"/>
          <w:lang w:eastAsia="en-AU"/>
        </w:rPr>
        <w:t>”</w:t>
      </w:r>
      <w:r w:rsidR="00474263" w:rsidRPr="00474263">
        <w:rPr>
          <w:rFonts w:ascii="Garamond" w:eastAsia="Times New Roman" w:hAnsi="Garamond" w:cs="Courier New"/>
          <w:i/>
          <w:sz w:val="24"/>
          <w:szCs w:val="24"/>
          <w:lang w:eastAsia="en-AU"/>
        </w:rPr>
        <w:t>.</w:t>
      </w:r>
      <w:r w:rsidRPr="00CE6BA7">
        <w:rPr>
          <w:rFonts w:ascii="Garamond" w:eastAsia="Times New Roman" w:hAnsi="Garamond" w:cs="Courier New"/>
          <w:sz w:val="24"/>
          <w:szCs w:val="24"/>
          <w:lang w:eastAsia="en-AU"/>
        </w:rPr>
        <w:t xml:space="preserve"> Gerrans, P. and Clark, G.</w:t>
      </w:r>
      <w:r w:rsidR="00F7722E">
        <w:rPr>
          <w:rFonts w:ascii="Garamond" w:eastAsia="Times New Roman" w:hAnsi="Garamond" w:cs="Courier New"/>
          <w:sz w:val="24"/>
          <w:szCs w:val="24"/>
          <w:lang w:eastAsia="en-AU"/>
        </w:rPr>
        <w:t>L.</w:t>
      </w:r>
    </w:p>
    <w:p w:rsidR="00BA6DC3" w:rsidRPr="00396D9B" w:rsidRDefault="00BA6DC3" w:rsidP="00396D9B">
      <w:pPr>
        <w:pStyle w:val="Caption"/>
        <w:spacing w:after="0" w:line="360" w:lineRule="auto"/>
        <w:rPr>
          <w:rFonts w:ascii="Garamond" w:hAnsi="Garamond"/>
          <w:color w:val="auto"/>
          <w:sz w:val="24"/>
          <w:szCs w:val="24"/>
        </w:rPr>
      </w:pPr>
      <w:r w:rsidRPr="00396D9B">
        <w:rPr>
          <w:rFonts w:ascii="Garamond" w:hAnsi="Garamond"/>
          <w:color w:val="auto"/>
          <w:sz w:val="24"/>
          <w:szCs w:val="24"/>
        </w:rPr>
        <w:t>UniSuper Background Information</w:t>
      </w:r>
    </w:p>
    <w:p w:rsidR="00CB4019" w:rsidRPr="00CB4019" w:rsidRDefault="00BA6DC3" w:rsidP="00110C72">
      <w:pPr>
        <w:spacing w:after="240" w:line="360" w:lineRule="auto"/>
        <w:jc w:val="both"/>
        <w:rPr>
          <w:rFonts w:ascii="Garamond" w:hAnsi="Garamond"/>
          <w:sz w:val="24"/>
          <w:szCs w:val="24"/>
        </w:rPr>
      </w:pPr>
      <w:r w:rsidRPr="00CB4019">
        <w:rPr>
          <w:rFonts w:ascii="Garamond" w:hAnsi="Garamond"/>
          <w:sz w:val="24"/>
          <w:szCs w:val="24"/>
        </w:rPr>
        <w:t xml:space="preserve">UniSuper began in in 1983 as the Superannuation Scheme for Australian Universities (SSAU) as a fully-funded defined benefit (DB) plan through the amalgamation of several DB plans operated by individual Australian universities. The plan received employer contributions equal to 14 per cent of gross salary and an employee contribution of 7 per cent. </w:t>
      </w:r>
      <w:proofErr w:type="gramStart"/>
      <w:r w:rsidRPr="00CB4019">
        <w:rPr>
          <w:rFonts w:ascii="Garamond" w:hAnsi="Garamond"/>
          <w:sz w:val="24"/>
          <w:szCs w:val="24"/>
        </w:rPr>
        <w:t>Members, whether DB or DC, also have a supplementary DC account which receives three per cent employer contribution.</w:t>
      </w:r>
      <w:proofErr w:type="gramEnd"/>
      <w:r w:rsidRPr="00CB4019">
        <w:rPr>
          <w:rFonts w:ascii="Garamond" w:hAnsi="Garamond"/>
          <w:sz w:val="24"/>
          <w:szCs w:val="24"/>
        </w:rPr>
        <w:t xml:space="preserve"> Membership of this account does not impact on DB membership.</w:t>
      </w:r>
      <w:r w:rsidR="00CE6BA7">
        <w:rPr>
          <w:rFonts w:ascii="Garamond" w:hAnsi="Garamond"/>
          <w:sz w:val="24"/>
          <w:szCs w:val="24"/>
        </w:rPr>
        <w:t xml:space="preserve"> </w:t>
      </w:r>
      <w:r w:rsidR="00CB4019" w:rsidRPr="00CB4019">
        <w:rPr>
          <w:rFonts w:ascii="Garamond" w:hAnsi="Garamond"/>
          <w:sz w:val="24"/>
          <w:szCs w:val="24"/>
        </w:rPr>
        <w:t>Employees with a minimum two-year employment contract automatically join the DB plan and contribute 7 per cent of gross salary to UniSuper, with a matching 17 per cent contribution from the</w:t>
      </w:r>
      <w:r w:rsidR="00CE6BA7">
        <w:rPr>
          <w:rFonts w:ascii="Garamond" w:hAnsi="Garamond"/>
          <w:sz w:val="24"/>
          <w:szCs w:val="24"/>
        </w:rPr>
        <w:t>ir</w:t>
      </w:r>
      <w:r w:rsidR="00CB4019" w:rsidRPr="00CB4019">
        <w:rPr>
          <w:rFonts w:ascii="Garamond" w:hAnsi="Garamond"/>
          <w:sz w:val="24"/>
          <w:szCs w:val="24"/>
        </w:rPr>
        <w:t xml:space="preserve"> employer. Those who do not meet the two-year rule have </w:t>
      </w:r>
      <w:r w:rsidR="00CE6BA7">
        <w:rPr>
          <w:rFonts w:ascii="Garamond" w:hAnsi="Garamond"/>
          <w:sz w:val="24"/>
          <w:szCs w:val="24"/>
        </w:rPr>
        <w:t>nine</w:t>
      </w:r>
      <w:r w:rsidR="00CB4019" w:rsidRPr="00CB4019">
        <w:rPr>
          <w:rFonts w:ascii="Garamond" w:hAnsi="Garamond"/>
          <w:sz w:val="24"/>
          <w:szCs w:val="24"/>
        </w:rPr>
        <w:t xml:space="preserve"> per cent contributions made by their employer </w:t>
      </w:r>
      <w:r w:rsidR="00CE6BA7">
        <w:rPr>
          <w:rFonts w:ascii="Garamond" w:hAnsi="Garamond"/>
          <w:sz w:val="24"/>
          <w:szCs w:val="24"/>
        </w:rPr>
        <w:t>to</w:t>
      </w:r>
      <w:r w:rsidR="00CB4019" w:rsidRPr="00CB4019">
        <w:rPr>
          <w:rFonts w:ascii="Garamond" w:hAnsi="Garamond"/>
          <w:sz w:val="24"/>
          <w:szCs w:val="24"/>
        </w:rPr>
        <w:t xml:space="preserve"> a DC-only plan and are not the subject of analysis. </w:t>
      </w:r>
      <w:r w:rsidR="00CE6BA7">
        <w:rPr>
          <w:rFonts w:ascii="Garamond" w:hAnsi="Garamond"/>
          <w:sz w:val="24"/>
          <w:szCs w:val="24"/>
        </w:rPr>
        <w:t>This nine per</w:t>
      </w:r>
      <w:r w:rsidR="004F2648">
        <w:rPr>
          <w:rFonts w:ascii="Garamond" w:hAnsi="Garamond"/>
          <w:sz w:val="24"/>
          <w:szCs w:val="24"/>
        </w:rPr>
        <w:t xml:space="preserve"> </w:t>
      </w:r>
      <w:r w:rsidR="00CE6BA7">
        <w:rPr>
          <w:rFonts w:ascii="Garamond" w:hAnsi="Garamond"/>
          <w:sz w:val="24"/>
          <w:szCs w:val="24"/>
        </w:rPr>
        <w:t xml:space="preserve">cent contribution meets the </w:t>
      </w:r>
      <w:r w:rsidR="00CB4019" w:rsidRPr="00CB4019">
        <w:rPr>
          <w:rFonts w:ascii="Garamond" w:hAnsi="Garamond"/>
          <w:sz w:val="24"/>
          <w:szCs w:val="24"/>
        </w:rPr>
        <w:t xml:space="preserve">mandatory </w:t>
      </w:r>
      <w:r w:rsidR="00CE6BA7">
        <w:rPr>
          <w:rFonts w:ascii="Garamond" w:hAnsi="Garamond"/>
          <w:sz w:val="24"/>
          <w:szCs w:val="24"/>
        </w:rPr>
        <w:t xml:space="preserve">requirement, in Australia </w:t>
      </w:r>
      <w:r w:rsidR="00CB4019" w:rsidRPr="00CB4019">
        <w:rPr>
          <w:rFonts w:ascii="Garamond" w:hAnsi="Garamond"/>
          <w:sz w:val="24"/>
          <w:szCs w:val="24"/>
        </w:rPr>
        <w:t>since 1992</w:t>
      </w:r>
      <w:r w:rsidR="00CE6BA7">
        <w:rPr>
          <w:rFonts w:ascii="Garamond" w:hAnsi="Garamond"/>
          <w:sz w:val="24"/>
          <w:szCs w:val="24"/>
        </w:rPr>
        <w:t>,</w:t>
      </w:r>
      <w:r w:rsidR="00CB4019" w:rsidRPr="00CB4019">
        <w:rPr>
          <w:rFonts w:ascii="Garamond" w:hAnsi="Garamond"/>
          <w:sz w:val="24"/>
          <w:szCs w:val="24"/>
        </w:rPr>
        <w:t xml:space="preserve"> </w:t>
      </w:r>
      <w:r w:rsidR="00CE6BA7">
        <w:rPr>
          <w:rFonts w:ascii="Garamond" w:hAnsi="Garamond"/>
          <w:sz w:val="24"/>
          <w:szCs w:val="24"/>
        </w:rPr>
        <w:t xml:space="preserve">of a </w:t>
      </w:r>
      <w:r w:rsidR="00CB4019" w:rsidRPr="00CB4019">
        <w:rPr>
          <w:rFonts w:ascii="Garamond" w:hAnsi="Garamond"/>
          <w:sz w:val="24"/>
          <w:szCs w:val="24"/>
        </w:rPr>
        <w:t xml:space="preserve">minimum </w:t>
      </w:r>
      <w:r w:rsidR="00CE6BA7">
        <w:rPr>
          <w:rFonts w:ascii="Garamond" w:hAnsi="Garamond"/>
          <w:sz w:val="24"/>
          <w:szCs w:val="24"/>
        </w:rPr>
        <w:t>nine per</w:t>
      </w:r>
      <w:r w:rsidR="004F2648">
        <w:rPr>
          <w:rFonts w:ascii="Garamond" w:hAnsi="Garamond"/>
          <w:sz w:val="24"/>
          <w:szCs w:val="24"/>
        </w:rPr>
        <w:t xml:space="preserve"> </w:t>
      </w:r>
      <w:r w:rsidR="00CE6BA7">
        <w:rPr>
          <w:rFonts w:ascii="Garamond" w:hAnsi="Garamond"/>
          <w:sz w:val="24"/>
          <w:szCs w:val="24"/>
        </w:rPr>
        <w:t xml:space="preserve">cent </w:t>
      </w:r>
      <w:r w:rsidR="00CE6BA7" w:rsidRPr="00CB4019">
        <w:rPr>
          <w:rFonts w:ascii="Garamond" w:hAnsi="Garamond"/>
          <w:sz w:val="24"/>
          <w:szCs w:val="24"/>
        </w:rPr>
        <w:t>of gross salary</w:t>
      </w:r>
      <w:r w:rsidR="00CE6BA7">
        <w:rPr>
          <w:rFonts w:ascii="Garamond" w:hAnsi="Garamond"/>
          <w:sz w:val="24"/>
          <w:szCs w:val="24"/>
        </w:rPr>
        <w:t xml:space="preserve"> </w:t>
      </w:r>
      <w:r w:rsidR="00CB4019" w:rsidRPr="00CB4019">
        <w:rPr>
          <w:rFonts w:ascii="Garamond" w:hAnsi="Garamond"/>
          <w:sz w:val="24"/>
          <w:szCs w:val="24"/>
        </w:rPr>
        <w:t xml:space="preserve">contribution </w:t>
      </w:r>
      <w:r w:rsidR="00CE6BA7">
        <w:rPr>
          <w:rFonts w:ascii="Garamond" w:hAnsi="Garamond"/>
          <w:sz w:val="24"/>
          <w:szCs w:val="24"/>
        </w:rPr>
        <w:t xml:space="preserve">by </w:t>
      </w:r>
      <w:r w:rsidR="00CB4019" w:rsidRPr="00CB4019">
        <w:rPr>
          <w:rFonts w:ascii="Garamond" w:hAnsi="Garamond"/>
          <w:sz w:val="24"/>
          <w:szCs w:val="24"/>
        </w:rPr>
        <w:t>employers</w:t>
      </w:r>
      <w:r w:rsidR="00CE6BA7">
        <w:rPr>
          <w:rFonts w:ascii="Garamond" w:hAnsi="Garamond"/>
          <w:sz w:val="24"/>
          <w:szCs w:val="24"/>
        </w:rPr>
        <w:t xml:space="preserve">. The mandatory amount will </w:t>
      </w:r>
      <w:r w:rsidR="00CB4019" w:rsidRPr="00CB4019">
        <w:rPr>
          <w:rFonts w:ascii="Garamond" w:hAnsi="Garamond"/>
          <w:sz w:val="24"/>
          <w:szCs w:val="24"/>
        </w:rPr>
        <w:t>increas</w:t>
      </w:r>
      <w:r w:rsidR="00CE6BA7">
        <w:rPr>
          <w:rFonts w:ascii="Garamond" w:hAnsi="Garamond"/>
          <w:sz w:val="24"/>
          <w:szCs w:val="24"/>
        </w:rPr>
        <w:t>e</w:t>
      </w:r>
      <w:r w:rsidR="00CB4019" w:rsidRPr="00CB4019">
        <w:rPr>
          <w:rFonts w:ascii="Garamond" w:hAnsi="Garamond"/>
          <w:sz w:val="24"/>
          <w:szCs w:val="24"/>
        </w:rPr>
        <w:t xml:space="preserve"> to 12 per</w:t>
      </w:r>
      <w:r w:rsidR="004F2648">
        <w:rPr>
          <w:rFonts w:ascii="Garamond" w:hAnsi="Garamond"/>
          <w:sz w:val="24"/>
          <w:szCs w:val="24"/>
        </w:rPr>
        <w:t xml:space="preserve"> </w:t>
      </w:r>
      <w:r w:rsidR="00CB4019" w:rsidRPr="00CB4019">
        <w:rPr>
          <w:rFonts w:ascii="Garamond" w:hAnsi="Garamond"/>
          <w:sz w:val="24"/>
          <w:szCs w:val="24"/>
        </w:rPr>
        <w:t>cent by 2019.</w:t>
      </w:r>
    </w:p>
    <w:p w:rsidR="005E6725" w:rsidRDefault="002232E4" w:rsidP="00396D9B">
      <w:pPr>
        <w:spacing w:line="360" w:lineRule="auto"/>
        <w:jc w:val="both"/>
        <w:rPr>
          <w:rFonts w:ascii="Garamond" w:hAnsi="Garamond"/>
          <w:sz w:val="24"/>
          <w:szCs w:val="24"/>
        </w:rPr>
      </w:pPr>
      <w:r w:rsidRPr="00B31F65">
        <w:rPr>
          <w:rFonts w:ascii="Garamond" w:hAnsi="Garamond"/>
          <w:sz w:val="24"/>
          <w:szCs w:val="24"/>
        </w:rPr>
        <w:t>U</w:t>
      </w:r>
      <w:r>
        <w:rPr>
          <w:rFonts w:ascii="Garamond" w:hAnsi="Garamond"/>
          <w:sz w:val="24"/>
          <w:szCs w:val="24"/>
        </w:rPr>
        <w:t xml:space="preserve">niSuper </w:t>
      </w:r>
      <w:r w:rsidRPr="00B31F65">
        <w:rPr>
          <w:rFonts w:ascii="Garamond" w:hAnsi="Garamond"/>
          <w:sz w:val="24"/>
          <w:szCs w:val="24"/>
        </w:rPr>
        <w:t xml:space="preserve">is a multi-employer plan wherein individual employers have </w:t>
      </w:r>
      <w:r>
        <w:rPr>
          <w:rFonts w:ascii="Garamond" w:hAnsi="Garamond"/>
          <w:sz w:val="24"/>
          <w:szCs w:val="24"/>
        </w:rPr>
        <w:t xml:space="preserve">no additional </w:t>
      </w:r>
      <w:r w:rsidRPr="00B31F65">
        <w:rPr>
          <w:rFonts w:ascii="Garamond" w:hAnsi="Garamond"/>
          <w:sz w:val="24"/>
          <w:szCs w:val="24"/>
        </w:rPr>
        <w:t xml:space="preserve">financial burden associated with </w:t>
      </w:r>
      <w:r>
        <w:rPr>
          <w:rFonts w:ascii="Garamond" w:hAnsi="Garamond"/>
          <w:sz w:val="24"/>
          <w:szCs w:val="24"/>
        </w:rPr>
        <w:t xml:space="preserve">the </w:t>
      </w:r>
      <w:r w:rsidRPr="00B31F65">
        <w:rPr>
          <w:rFonts w:ascii="Garamond" w:hAnsi="Garamond"/>
          <w:sz w:val="24"/>
          <w:szCs w:val="24"/>
        </w:rPr>
        <w:t xml:space="preserve">DB </w:t>
      </w:r>
      <w:r>
        <w:rPr>
          <w:rFonts w:ascii="Garamond" w:hAnsi="Garamond"/>
          <w:sz w:val="24"/>
          <w:szCs w:val="24"/>
        </w:rPr>
        <w:t xml:space="preserve">plan. </w:t>
      </w:r>
      <w:r w:rsidR="005E6725">
        <w:rPr>
          <w:rFonts w:ascii="Garamond" w:hAnsi="Garamond"/>
          <w:sz w:val="24"/>
        </w:rPr>
        <w:t>For the Existing member sample</w:t>
      </w:r>
      <w:r w:rsidR="00396D9B">
        <w:rPr>
          <w:rFonts w:ascii="Garamond" w:hAnsi="Garamond"/>
          <w:sz w:val="24"/>
        </w:rPr>
        <w:t xml:space="preserve"> (members at June 1998)</w:t>
      </w:r>
      <w:r w:rsidR="005E6725">
        <w:rPr>
          <w:rFonts w:ascii="Garamond" w:hAnsi="Garamond"/>
          <w:sz w:val="24"/>
        </w:rPr>
        <w:t>, the experience of the 1990s was one where “the DB was comfortably over-funded, at times exceeding 140% of its vested liabilities” (UniSuper 2010, p.11)</w:t>
      </w:r>
      <w:r w:rsidR="00396D9B">
        <w:rPr>
          <w:rFonts w:ascii="Garamond" w:hAnsi="Garamond"/>
          <w:sz w:val="24"/>
        </w:rPr>
        <w:t xml:space="preserve"> and l</w:t>
      </w:r>
      <w:r w:rsidR="005E6725">
        <w:rPr>
          <w:rFonts w:ascii="Garamond" w:hAnsi="Garamond"/>
          <w:sz w:val="24"/>
        </w:rPr>
        <w:t xml:space="preserve">ump-sum benefits increased as a consequence. Improving benefits for Existing members arguably made the DB plan more attractive </w:t>
      </w:r>
      <w:proofErr w:type="gramStart"/>
      <w:r w:rsidR="005E6725">
        <w:rPr>
          <w:rFonts w:ascii="Garamond" w:hAnsi="Garamond"/>
          <w:sz w:val="24"/>
        </w:rPr>
        <w:t>in</w:t>
      </w:r>
      <w:proofErr w:type="gramEnd"/>
      <w:r w:rsidR="005E6725">
        <w:rPr>
          <w:rFonts w:ascii="Garamond" w:hAnsi="Garamond"/>
          <w:sz w:val="24"/>
        </w:rPr>
        <w:t xml:space="preserve"> that it indicated members </w:t>
      </w:r>
      <w:r w:rsidR="005E6725" w:rsidRPr="00DE6C71">
        <w:rPr>
          <w:rFonts w:ascii="Garamond" w:hAnsi="Garamond"/>
          <w:i/>
          <w:sz w:val="24"/>
        </w:rPr>
        <w:t>could</w:t>
      </w:r>
      <w:r w:rsidR="005E6725">
        <w:rPr>
          <w:rFonts w:ascii="Garamond" w:hAnsi="Garamond"/>
          <w:sz w:val="24"/>
        </w:rPr>
        <w:t xml:space="preserve"> share in superior returns without the risks associated with the DC plan. Equally, the experience of strong market returns may have encouraged the view that DC plans offered opportunities to further enhance individual welfare. In contrast, for the </w:t>
      </w:r>
      <w:proofErr w:type="gramStart"/>
      <w:r w:rsidR="005E6725">
        <w:rPr>
          <w:rFonts w:ascii="Garamond" w:hAnsi="Garamond"/>
          <w:sz w:val="24"/>
        </w:rPr>
        <w:t>New</w:t>
      </w:r>
      <w:proofErr w:type="gramEnd"/>
      <w:r w:rsidR="005E6725">
        <w:rPr>
          <w:rFonts w:ascii="Garamond" w:hAnsi="Garamond"/>
          <w:sz w:val="24"/>
        </w:rPr>
        <w:t xml:space="preserve"> member sample period there were two periods where the financial ability of UniSuper to meet its benefits may have been questioned. In 2003 and 2009, following periods of poor returns, UniSuper </w:t>
      </w:r>
      <w:r>
        <w:rPr>
          <w:rFonts w:ascii="Garamond" w:hAnsi="Garamond"/>
          <w:sz w:val="24"/>
          <w:szCs w:val="24"/>
        </w:rPr>
        <w:t>initiate</w:t>
      </w:r>
      <w:r w:rsidR="00CE6BA7">
        <w:rPr>
          <w:rFonts w:ascii="Garamond" w:hAnsi="Garamond"/>
          <w:sz w:val="24"/>
          <w:szCs w:val="24"/>
        </w:rPr>
        <w:t>d</w:t>
      </w:r>
      <w:r w:rsidR="00BA6DC3" w:rsidRPr="00CB4019">
        <w:rPr>
          <w:rFonts w:ascii="Garamond" w:hAnsi="Garamond"/>
          <w:sz w:val="24"/>
          <w:szCs w:val="24"/>
        </w:rPr>
        <w:t xml:space="preserve"> a formal process</w:t>
      </w:r>
      <w:r w:rsidR="00396D9B">
        <w:rPr>
          <w:rFonts w:ascii="Garamond" w:hAnsi="Garamond"/>
          <w:sz w:val="24"/>
          <w:szCs w:val="24"/>
        </w:rPr>
        <w:t xml:space="preserve"> (as required by their Trust Deed)</w:t>
      </w:r>
      <w:r w:rsidR="00BA6DC3" w:rsidRPr="00CB4019">
        <w:rPr>
          <w:rFonts w:ascii="Garamond" w:hAnsi="Garamond"/>
          <w:sz w:val="24"/>
          <w:szCs w:val="24"/>
        </w:rPr>
        <w:t xml:space="preserve"> as a consequence of the value of fund assets falling below a threshold value of vested benefits</w:t>
      </w:r>
      <w:r>
        <w:rPr>
          <w:rFonts w:ascii="Garamond" w:hAnsi="Garamond"/>
          <w:sz w:val="24"/>
          <w:szCs w:val="24"/>
        </w:rPr>
        <w:t>. O</w:t>
      </w:r>
      <w:r w:rsidR="00BA6DC3" w:rsidRPr="00CB4019">
        <w:rPr>
          <w:rFonts w:ascii="Garamond" w:hAnsi="Garamond"/>
          <w:sz w:val="24"/>
          <w:szCs w:val="24"/>
        </w:rPr>
        <w:t xml:space="preserve">ne potential outcome </w:t>
      </w:r>
      <w:r>
        <w:rPr>
          <w:rFonts w:ascii="Garamond" w:hAnsi="Garamond"/>
          <w:sz w:val="24"/>
          <w:szCs w:val="24"/>
        </w:rPr>
        <w:t xml:space="preserve">of this process was </w:t>
      </w:r>
      <w:r w:rsidR="00BA6DC3" w:rsidRPr="00CB4019">
        <w:rPr>
          <w:rFonts w:ascii="Garamond" w:hAnsi="Garamond"/>
          <w:sz w:val="24"/>
          <w:szCs w:val="24"/>
        </w:rPr>
        <w:t xml:space="preserve">a reduction in member benefits. </w:t>
      </w:r>
      <w:r w:rsidR="00CE6BA7">
        <w:rPr>
          <w:rFonts w:ascii="Garamond" w:hAnsi="Garamond"/>
          <w:sz w:val="24"/>
          <w:szCs w:val="24"/>
        </w:rPr>
        <w:t>Following this experience, t</w:t>
      </w:r>
      <w:r w:rsidRPr="002232E4">
        <w:rPr>
          <w:rFonts w:ascii="Garamond" w:hAnsi="Garamond"/>
          <w:sz w:val="24"/>
          <w:szCs w:val="24"/>
        </w:rPr>
        <w:t xml:space="preserve">he fund deed was amended to remove any “real or implied obligation” (UniSuper, 2010, p.15) on employers to underwrite the benefits. This emphasised that given a repeat situation members would bear this risk through a reduction in member benefits. </w:t>
      </w:r>
      <w:r w:rsidR="00396D9B">
        <w:rPr>
          <w:rFonts w:ascii="Garamond" w:hAnsi="Garamond"/>
          <w:sz w:val="24"/>
          <w:szCs w:val="24"/>
        </w:rPr>
        <w:t>N</w:t>
      </w:r>
      <w:r w:rsidRPr="002232E4">
        <w:rPr>
          <w:rFonts w:ascii="Garamond" w:hAnsi="Garamond"/>
          <w:sz w:val="24"/>
          <w:szCs w:val="24"/>
        </w:rPr>
        <w:t xml:space="preserve">o such reduction was </w:t>
      </w:r>
      <w:r w:rsidR="00396D9B">
        <w:rPr>
          <w:rFonts w:ascii="Garamond" w:hAnsi="Garamond"/>
          <w:sz w:val="24"/>
          <w:szCs w:val="24"/>
        </w:rPr>
        <w:t xml:space="preserve">required following 2003 or </w:t>
      </w:r>
      <w:r>
        <w:rPr>
          <w:rFonts w:ascii="Garamond" w:hAnsi="Garamond"/>
          <w:sz w:val="24"/>
          <w:szCs w:val="24"/>
        </w:rPr>
        <w:t>2009</w:t>
      </w:r>
      <w:r w:rsidR="005E6725">
        <w:rPr>
          <w:rFonts w:ascii="Garamond" w:hAnsi="Garamond"/>
          <w:sz w:val="24"/>
          <w:szCs w:val="24"/>
        </w:rPr>
        <w:t xml:space="preserve">, </w:t>
      </w:r>
      <w:r w:rsidR="00396D9B">
        <w:rPr>
          <w:rFonts w:ascii="Garamond" w:hAnsi="Garamond"/>
          <w:sz w:val="24"/>
          <w:szCs w:val="24"/>
        </w:rPr>
        <w:t>when the process was initiated again</w:t>
      </w:r>
      <w:r w:rsidR="005E6725">
        <w:rPr>
          <w:rFonts w:ascii="Garamond" w:hAnsi="Garamond"/>
          <w:sz w:val="24"/>
          <w:szCs w:val="24"/>
        </w:rPr>
        <w:t>.</w:t>
      </w:r>
    </w:p>
    <w:p w:rsidR="00474263" w:rsidRDefault="00474263" w:rsidP="00396D9B">
      <w:pPr>
        <w:spacing w:line="360" w:lineRule="auto"/>
        <w:jc w:val="both"/>
        <w:rPr>
          <w:rFonts w:ascii="Garamond" w:hAnsi="Garamond"/>
          <w:sz w:val="24"/>
          <w:szCs w:val="24"/>
        </w:rPr>
      </w:pPr>
      <w:r>
        <w:rPr>
          <w:rFonts w:ascii="Garamond" w:hAnsi="Garamond"/>
          <w:sz w:val="24"/>
          <w:szCs w:val="24"/>
        </w:rPr>
        <w:t xml:space="preserve">A history of the DC investment menu is provided in Table S1. Significant changes made in October 2002 included a rebadging and expansion of the number of options. At the same time </w:t>
      </w:r>
      <w:r>
        <w:rPr>
          <w:rFonts w:ascii="Garamond" w:hAnsi="Garamond"/>
          <w:sz w:val="24"/>
        </w:rPr>
        <w:t>i</w:t>
      </w:r>
      <w:r w:rsidRPr="0012581C">
        <w:rPr>
          <w:rFonts w:ascii="Garamond" w:hAnsi="Garamond"/>
          <w:sz w:val="24"/>
        </w:rPr>
        <w:t xml:space="preserve">nvestment </w:t>
      </w:r>
      <w:r w:rsidRPr="0012581C">
        <w:rPr>
          <w:rFonts w:ascii="Garamond" w:hAnsi="Garamond"/>
          <w:sz w:val="24"/>
        </w:rPr>
        <w:lastRenderedPageBreak/>
        <w:t xml:space="preserve">choice </w:t>
      </w:r>
      <w:r>
        <w:rPr>
          <w:rFonts w:ascii="Garamond" w:hAnsi="Garamond"/>
          <w:sz w:val="24"/>
        </w:rPr>
        <w:t xml:space="preserve">was introduced for </w:t>
      </w:r>
      <w:r w:rsidRPr="0012581C">
        <w:rPr>
          <w:rFonts w:ascii="Garamond" w:hAnsi="Garamond"/>
          <w:sz w:val="24"/>
        </w:rPr>
        <w:t>the three per</w:t>
      </w:r>
      <w:r w:rsidR="004F2648">
        <w:rPr>
          <w:rFonts w:ascii="Garamond" w:hAnsi="Garamond"/>
          <w:sz w:val="24"/>
        </w:rPr>
        <w:t xml:space="preserve"> </w:t>
      </w:r>
      <w:r w:rsidRPr="0012581C">
        <w:rPr>
          <w:rFonts w:ascii="Garamond" w:hAnsi="Garamond"/>
          <w:sz w:val="24"/>
        </w:rPr>
        <w:t xml:space="preserve">cent supplementary contributions. This was separate to the investment choice made for those members who chose to move from the DB to the DC </w:t>
      </w:r>
      <w:r>
        <w:rPr>
          <w:rFonts w:ascii="Garamond" w:hAnsi="Garamond"/>
          <w:sz w:val="24"/>
        </w:rPr>
        <w:t>plan</w:t>
      </w:r>
      <w:r w:rsidRPr="0012581C">
        <w:rPr>
          <w:rFonts w:ascii="Garamond" w:hAnsi="Garamond"/>
          <w:sz w:val="24"/>
        </w:rPr>
        <w:t xml:space="preserve">. </w:t>
      </w:r>
      <w:r w:rsidRPr="00474263">
        <w:rPr>
          <w:rFonts w:ascii="Garamond" w:hAnsi="Garamond"/>
          <w:sz w:val="24"/>
        </w:rPr>
        <w:t>Since July 2005, the two possible investment choices have been consolidated. The investment choice selected for the three per</w:t>
      </w:r>
      <w:r w:rsidR="004F2648">
        <w:rPr>
          <w:rFonts w:ascii="Garamond" w:hAnsi="Garamond"/>
          <w:sz w:val="24"/>
        </w:rPr>
        <w:t xml:space="preserve"> </w:t>
      </w:r>
      <w:r w:rsidRPr="00474263">
        <w:rPr>
          <w:rFonts w:ascii="Garamond" w:hAnsi="Garamond"/>
          <w:sz w:val="24"/>
        </w:rPr>
        <w:t>cent applies to the consolidated choice with the member able to change if they select the DC plan.</w:t>
      </w:r>
    </w:p>
    <w:p w:rsidR="00396D9B" w:rsidRDefault="00396D9B" w:rsidP="00396D9B">
      <w:pPr>
        <w:spacing w:line="360" w:lineRule="auto"/>
        <w:jc w:val="both"/>
        <w:rPr>
          <w:rFonts w:ascii="Garamond" w:hAnsi="Garamond"/>
          <w:sz w:val="24"/>
          <w:szCs w:val="24"/>
        </w:rPr>
        <w:sectPr w:rsidR="00396D9B" w:rsidSect="00474263">
          <w:footerReference w:type="default" r:id="rId8"/>
          <w:pgSz w:w="11906" w:h="16838"/>
          <w:pgMar w:top="1418" w:right="1247" w:bottom="1418" w:left="1247" w:header="709" w:footer="709" w:gutter="0"/>
          <w:cols w:space="436"/>
          <w:docGrid w:linePitch="360"/>
        </w:sectPr>
      </w:pPr>
    </w:p>
    <w:tbl>
      <w:tblPr>
        <w:tblW w:w="13198" w:type="dxa"/>
        <w:tblInd w:w="93" w:type="dxa"/>
        <w:tblLook w:val="04A0" w:firstRow="1" w:lastRow="0" w:firstColumn="1" w:lastColumn="0" w:noHBand="0" w:noVBand="1"/>
      </w:tblPr>
      <w:tblGrid>
        <w:gridCol w:w="13198"/>
      </w:tblGrid>
      <w:tr w:rsidR="005E6725" w:rsidRPr="00D55F00" w:rsidTr="00386A88">
        <w:trPr>
          <w:trHeight w:val="300"/>
        </w:trPr>
        <w:tc>
          <w:tcPr>
            <w:tcW w:w="13198" w:type="dxa"/>
            <w:tcBorders>
              <w:top w:val="nil"/>
              <w:left w:val="nil"/>
              <w:bottom w:val="nil"/>
              <w:right w:val="nil"/>
            </w:tcBorders>
            <w:shd w:val="clear" w:color="auto" w:fill="auto"/>
            <w:noWrap/>
            <w:vAlign w:val="bottom"/>
            <w:hideMark/>
          </w:tcPr>
          <w:p w:rsidR="005E6725" w:rsidRPr="00855DB1" w:rsidRDefault="005E6725" w:rsidP="00386A88">
            <w:pPr>
              <w:spacing w:after="0" w:line="240" w:lineRule="auto"/>
              <w:ind w:hanging="93"/>
              <w:rPr>
                <w:rFonts w:ascii="Garamond" w:eastAsia="Times New Roman" w:hAnsi="Garamond" w:cs="Calibri"/>
                <w:b/>
                <w:bCs/>
                <w:color w:val="000000"/>
                <w:sz w:val="24"/>
                <w:lang w:eastAsia="en-AU"/>
              </w:rPr>
            </w:pPr>
            <w:r w:rsidRPr="00D55F00">
              <w:rPr>
                <w:rFonts w:ascii="Garamond" w:hAnsi="Garamond"/>
                <w:b/>
                <w:sz w:val="24"/>
              </w:rPr>
              <w:lastRenderedPageBreak/>
              <w:t xml:space="preserve">Table </w:t>
            </w:r>
            <w:r>
              <w:rPr>
                <w:rFonts w:ascii="Garamond" w:hAnsi="Garamond"/>
                <w:b/>
                <w:sz w:val="24"/>
              </w:rPr>
              <w:t>S</w:t>
            </w:r>
            <w:r w:rsidRPr="00D55F00">
              <w:rPr>
                <w:rFonts w:ascii="Garamond" w:hAnsi="Garamond"/>
                <w:b/>
                <w:sz w:val="24"/>
              </w:rPr>
              <w:fldChar w:fldCharType="begin"/>
            </w:r>
            <w:r w:rsidRPr="00D55F00">
              <w:rPr>
                <w:rFonts w:ascii="Garamond" w:hAnsi="Garamond"/>
                <w:b/>
                <w:sz w:val="24"/>
              </w:rPr>
              <w:instrText xml:space="preserve"> SEQ Table \* ARABIC </w:instrText>
            </w:r>
            <w:r w:rsidRPr="00D55F00">
              <w:rPr>
                <w:rFonts w:ascii="Garamond" w:hAnsi="Garamond"/>
                <w:b/>
                <w:sz w:val="24"/>
              </w:rPr>
              <w:fldChar w:fldCharType="separate"/>
            </w:r>
            <w:r>
              <w:rPr>
                <w:rFonts w:ascii="Garamond" w:hAnsi="Garamond"/>
                <w:b/>
                <w:noProof/>
                <w:sz w:val="24"/>
              </w:rPr>
              <w:t>1</w:t>
            </w:r>
            <w:r w:rsidRPr="00D55F00">
              <w:rPr>
                <w:rFonts w:ascii="Garamond" w:hAnsi="Garamond"/>
                <w:b/>
                <w:sz w:val="24"/>
              </w:rPr>
              <w:fldChar w:fldCharType="end"/>
            </w:r>
            <w:r>
              <w:rPr>
                <w:rFonts w:ascii="Garamond" w:hAnsi="Garamond"/>
                <w:b/>
                <w:sz w:val="24"/>
              </w:rPr>
              <w:t xml:space="preserve"> </w:t>
            </w:r>
            <w:r w:rsidRPr="00855DB1">
              <w:rPr>
                <w:rFonts w:ascii="Garamond" w:eastAsia="Times New Roman" w:hAnsi="Garamond" w:cs="Calibri"/>
                <w:b/>
                <w:bCs/>
                <w:color w:val="000000"/>
                <w:sz w:val="24"/>
                <w:lang w:eastAsia="en-AU"/>
              </w:rPr>
              <w:t xml:space="preserve">Investment Option </w:t>
            </w:r>
            <w:r>
              <w:rPr>
                <w:rFonts w:ascii="Garamond" w:eastAsia="Times New Roman" w:hAnsi="Garamond" w:cs="Calibri"/>
                <w:b/>
                <w:bCs/>
                <w:color w:val="000000"/>
                <w:sz w:val="24"/>
                <w:lang w:eastAsia="en-AU"/>
              </w:rPr>
              <w:t>History</w:t>
            </w:r>
          </w:p>
        </w:tc>
      </w:tr>
    </w:tbl>
    <w:p w:rsidR="005E6725" w:rsidRPr="00855DB1" w:rsidRDefault="005E6725" w:rsidP="005E6725">
      <w:pPr>
        <w:spacing w:after="0" w:line="240" w:lineRule="auto"/>
        <w:jc w:val="both"/>
        <w:rPr>
          <w:rFonts w:ascii="Garamond" w:hAnsi="Garamond"/>
          <w:szCs w:val="24"/>
        </w:rPr>
      </w:pPr>
      <w:r w:rsidRPr="00855DB1">
        <w:rPr>
          <w:rFonts w:ascii="Garamond" w:hAnsi="Garamond"/>
          <w:szCs w:val="24"/>
        </w:rPr>
        <w:t>This table summarises</w:t>
      </w:r>
      <w:r>
        <w:rPr>
          <w:rFonts w:ascii="Garamond" w:hAnsi="Garamond"/>
          <w:szCs w:val="24"/>
        </w:rPr>
        <w:t xml:space="preserve"> the investment option history for the primary DC plan. </w:t>
      </w:r>
      <w:r w:rsidRPr="00855DB1">
        <w:rPr>
          <w:rFonts w:ascii="Garamond" w:hAnsi="Garamond"/>
          <w:szCs w:val="24"/>
        </w:rPr>
        <w:t>In periods one to five, all options were pre-mixed options meaning the fund specified the asset allocation. In period six, the four new investment options introduced were single asset class options</w:t>
      </w:r>
      <w:r>
        <w:rPr>
          <w:rFonts w:ascii="Garamond" w:hAnsi="Garamond"/>
          <w:szCs w:val="24"/>
        </w:rPr>
        <w:t xml:space="preserve">, bringing the total number of options to twelve. However, to invest across all twelve options a member is required to choose a “Self-Select” option requiring a $30 fee, each </w:t>
      </w:r>
      <w:proofErr w:type="gramStart"/>
      <w:r>
        <w:rPr>
          <w:rFonts w:ascii="Garamond" w:hAnsi="Garamond"/>
          <w:szCs w:val="24"/>
        </w:rPr>
        <w:t>six-months</w:t>
      </w:r>
      <w:proofErr w:type="gramEnd"/>
      <w:r>
        <w:rPr>
          <w:rFonts w:ascii="Garamond" w:hAnsi="Garamond"/>
          <w:szCs w:val="24"/>
        </w:rPr>
        <w:t>. A fee is not required if one of the eight pre-mixed options is selected. Since period three, where switching was available more frequently than annually, the first choice each financial year is free with subsequent switches attracting a fee, initially $20, each. The fee has increased to $26.</w:t>
      </w:r>
    </w:p>
    <w:tbl>
      <w:tblPr>
        <w:tblW w:w="13796" w:type="dxa"/>
        <w:tblInd w:w="93" w:type="dxa"/>
        <w:tblLayout w:type="fixed"/>
        <w:tblLook w:val="04A0" w:firstRow="1" w:lastRow="0" w:firstColumn="1" w:lastColumn="0" w:noHBand="0" w:noVBand="1"/>
      </w:tblPr>
      <w:tblGrid>
        <w:gridCol w:w="868"/>
        <w:gridCol w:w="2841"/>
        <w:gridCol w:w="7103"/>
        <w:gridCol w:w="2984"/>
      </w:tblGrid>
      <w:tr w:rsidR="005E6725" w:rsidRPr="00D55F00" w:rsidTr="00386A88">
        <w:trPr>
          <w:trHeight w:val="528"/>
        </w:trPr>
        <w:tc>
          <w:tcPr>
            <w:tcW w:w="868" w:type="dxa"/>
            <w:tcBorders>
              <w:top w:val="single" w:sz="4" w:space="0" w:color="auto"/>
              <w:left w:val="nil"/>
              <w:bottom w:val="single" w:sz="4" w:space="0" w:color="auto"/>
              <w:right w:val="nil"/>
            </w:tcBorders>
            <w:shd w:val="clear" w:color="auto" w:fill="auto"/>
            <w:noWrap/>
            <w:hideMark/>
          </w:tcPr>
          <w:p w:rsidR="005E6725" w:rsidRPr="00181407" w:rsidRDefault="005E6725" w:rsidP="00386A88">
            <w:pPr>
              <w:spacing w:after="0" w:line="240" w:lineRule="auto"/>
              <w:jc w:val="center"/>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Period</w:t>
            </w:r>
          </w:p>
        </w:tc>
        <w:tc>
          <w:tcPr>
            <w:tcW w:w="2841" w:type="dxa"/>
            <w:tcBorders>
              <w:top w:val="single" w:sz="4" w:space="0" w:color="auto"/>
              <w:left w:val="nil"/>
              <w:bottom w:val="single" w:sz="4" w:space="0" w:color="auto"/>
              <w:right w:val="nil"/>
            </w:tcBorders>
            <w:shd w:val="clear" w:color="auto" w:fill="auto"/>
            <w:noWrap/>
            <w:hideMark/>
          </w:tcPr>
          <w:p w:rsidR="005E6725" w:rsidRPr="00181407" w:rsidRDefault="005E6725" w:rsidP="00386A88">
            <w:pPr>
              <w:spacing w:after="0" w:line="240" w:lineRule="auto"/>
              <w:jc w:val="center"/>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Member Joined</w:t>
            </w:r>
          </w:p>
        </w:tc>
        <w:tc>
          <w:tcPr>
            <w:tcW w:w="7103" w:type="dxa"/>
            <w:tcBorders>
              <w:top w:val="single" w:sz="4" w:space="0" w:color="auto"/>
              <w:left w:val="nil"/>
              <w:bottom w:val="single" w:sz="4" w:space="0" w:color="auto"/>
              <w:right w:val="nil"/>
            </w:tcBorders>
            <w:shd w:val="clear" w:color="auto" w:fill="auto"/>
            <w:hideMark/>
          </w:tcPr>
          <w:p w:rsidR="005E6725" w:rsidRPr="00181407" w:rsidRDefault="005E6725" w:rsidP="00386A88">
            <w:pPr>
              <w:spacing w:after="0" w:line="240" w:lineRule="auto"/>
              <w:jc w:val="center"/>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Investment Options</w:t>
            </w:r>
          </w:p>
          <w:p w:rsidR="005E6725" w:rsidRPr="00181407" w:rsidRDefault="005E6725" w:rsidP="00386A88">
            <w:pPr>
              <w:spacing w:after="0" w:line="240" w:lineRule="auto"/>
              <w:jc w:val="center"/>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(Default underlined)</w:t>
            </w:r>
          </w:p>
        </w:tc>
        <w:tc>
          <w:tcPr>
            <w:tcW w:w="2984" w:type="dxa"/>
            <w:tcBorders>
              <w:top w:val="single" w:sz="4" w:space="0" w:color="auto"/>
              <w:left w:val="nil"/>
              <w:bottom w:val="single" w:sz="4" w:space="0" w:color="auto"/>
              <w:right w:val="nil"/>
            </w:tcBorders>
          </w:tcPr>
          <w:p w:rsidR="005E6725" w:rsidRPr="00181407" w:rsidRDefault="005E6725" w:rsidP="00386A88">
            <w:pPr>
              <w:spacing w:after="0" w:line="240" w:lineRule="auto"/>
              <w:jc w:val="center"/>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Investment Construction,</w:t>
            </w:r>
          </w:p>
          <w:p w:rsidR="005E6725" w:rsidRPr="00181407" w:rsidRDefault="005E6725" w:rsidP="00386A88">
            <w:pPr>
              <w:spacing w:after="0" w:line="240" w:lineRule="auto"/>
              <w:jc w:val="center"/>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Frequency</w:t>
            </w:r>
          </w:p>
        </w:tc>
      </w:tr>
      <w:tr w:rsidR="005E6725" w:rsidRPr="00D55F00" w:rsidTr="00386A88">
        <w:trPr>
          <w:trHeight w:val="302"/>
        </w:trPr>
        <w:tc>
          <w:tcPr>
            <w:tcW w:w="868" w:type="dxa"/>
            <w:tcBorders>
              <w:top w:val="nil"/>
              <w:left w:val="nil"/>
              <w:bottom w:val="nil"/>
              <w:right w:val="nil"/>
            </w:tcBorders>
            <w:shd w:val="clear" w:color="auto" w:fill="auto"/>
            <w:noWrap/>
            <w:hideMark/>
          </w:tcPr>
          <w:p w:rsidR="005E6725" w:rsidRPr="00181407" w:rsidRDefault="005E6725" w:rsidP="00386A88">
            <w:pPr>
              <w:spacing w:after="0" w:line="240" w:lineRule="auto"/>
              <w:jc w:val="right"/>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1</w:t>
            </w:r>
          </w:p>
        </w:tc>
        <w:tc>
          <w:tcPr>
            <w:tcW w:w="2841" w:type="dxa"/>
            <w:tcBorders>
              <w:top w:val="nil"/>
              <w:left w:val="nil"/>
              <w:bottom w:val="nil"/>
              <w:right w:val="nil"/>
            </w:tcBorders>
            <w:shd w:val="clear" w:color="auto" w:fill="auto"/>
            <w:noWrap/>
            <w:hideMark/>
          </w:tcPr>
          <w:p w:rsidR="005E6725" w:rsidRPr="00181407" w:rsidRDefault="005E6725" w:rsidP="00386A88">
            <w:pPr>
              <w:spacing w:after="0" w:line="240" w:lineRule="auto"/>
              <w:jc w:val="right"/>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Members at 30</w:t>
            </w:r>
            <w:r>
              <w:rPr>
                <w:rFonts w:ascii="Garamond" w:eastAsia="Times New Roman" w:hAnsi="Garamond" w:cs="Calibri"/>
                <w:color w:val="000000"/>
                <w:szCs w:val="20"/>
                <w:lang w:eastAsia="en-AU"/>
              </w:rPr>
              <w:t>/06/</w:t>
            </w:r>
            <w:r w:rsidRPr="00181407">
              <w:rPr>
                <w:rFonts w:ascii="Garamond" w:eastAsia="Times New Roman" w:hAnsi="Garamond" w:cs="Calibri"/>
                <w:color w:val="000000"/>
                <w:szCs w:val="20"/>
                <w:lang w:eastAsia="en-AU"/>
              </w:rPr>
              <w:t>1998</w:t>
            </w:r>
          </w:p>
        </w:tc>
        <w:tc>
          <w:tcPr>
            <w:tcW w:w="7103" w:type="dxa"/>
            <w:vMerge w:val="restart"/>
            <w:tcBorders>
              <w:top w:val="nil"/>
              <w:left w:val="nil"/>
              <w:bottom w:val="nil"/>
              <w:right w:val="nil"/>
            </w:tcBorders>
            <w:shd w:val="clear" w:color="auto" w:fill="auto"/>
            <w:hideMark/>
          </w:tcPr>
          <w:p w:rsidR="005E6725" w:rsidRPr="00181407" w:rsidRDefault="005E6725" w:rsidP="00386A88">
            <w:pPr>
              <w:spacing w:after="0" w:line="240" w:lineRule="auto"/>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 xml:space="preserve">Four investment options: Secure, Stable, </w:t>
            </w:r>
            <w:r w:rsidRPr="00181407">
              <w:rPr>
                <w:rFonts w:ascii="Garamond" w:eastAsia="Times New Roman" w:hAnsi="Garamond" w:cs="Calibri"/>
                <w:color w:val="000000"/>
                <w:szCs w:val="20"/>
                <w:u w:val="single"/>
                <w:lang w:eastAsia="en-AU"/>
              </w:rPr>
              <w:t>Trustees</w:t>
            </w:r>
            <w:r>
              <w:rPr>
                <w:rFonts w:ascii="Garamond" w:eastAsia="Times New Roman" w:hAnsi="Garamond" w:cs="Calibri"/>
                <w:color w:val="000000"/>
                <w:szCs w:val="20"/>
                <w:u w:val="single"/>
                <w:lang w:eastAsia="en-AU"/>
              </w:rPr>
              <w:t>’</w:t>
            </w:r>
            <w:r w:rsidRPr="00181407">
              <w:rPr>
                <w:rFonts w:ascii="Garamond" w:eastAsia="Times New Roman" w:hAnsi="Garamond" w:cs="Calibri"/>
                <w:color w:val="000000"/>
                <w:szCs w:val="20"/>
                <w:u w:val="single"/>
                <w:lang w:eastAsia="en-AU"/>
              </w:rPr>
              <w:t xml:space="preserve"> Selection</w:t>
            </w:r>
            <w:r w:rsidRPr="00181407">
              <w:rPr>
                <w:rFonts w:ascii="Garamond" w:eastAsia="Times New Roman" w:hAnsi="Garamond" w:cs="Calibri"/>
                <w:color w:val="000000"/>
                <w:szCs w:val="20"/>
                <w:lang w:eastAsia="en-AU"/>
              </w:rPr>
              <w:t>, Shares</w:t>
            </w:r>
          </w:p>
        </w:tc>
        <w:tc>
          <w:tcPr>
            <w:tcW w:w="2984" w:type="dxa"/>
            <w:tcBorders>
              <w:top w:val="nil"/>
              <w:left w:val="nil"/>
              <w:bottom w:val="nil"/>
              <w:right w:val="nil"/>
            </w:tcBorders>
          </w:tcPr>
          <w:p w:rsidR="005E6725" w:rsidRPr="00181407" w:rsidRDefault="005E6725" w:rsidP="00386A88">
            <w:pPr>
              <w:spacing w:after="0" w:line="240" w:lineRule="auto"/>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One option, Annual</w:t>
            </w:r>
            <w:r>
              <w:rPr>
                <w:rFonts w:ascii="Garamond" w:eastAsia="Times New Roman" w:hAnsi="Garamond" w:cs="Calibri"/>
                <w:color w:val="000000"/>
                <w:szCs w:val="20"/>
                <w:lang w:eastAsia="en-AU"/>
              </w:rPr>
              <w:t>ly</w:t>
            </w:r>
          </w:p>
        </w:tc>
      </w:tr>
      <w:tr w:rsidR="005E6725" w:rsidRPr="00D55F00" w:rsidTr="00386A88">
        <w:trPr>
          <w:trHeight w:val="302"/>
        </w:trPr>
        <w:tc>
          <w:tcPr>
            <w:tcW w:w="868" w:type="dxa"/>
            <w:tcBorders>
              <w:top w:val="nil"/>
              <w:left w:val="nil"/>
              <w:bottom w:val="nil"/>
              <w:right w:val="nil"/>
            </w:tcBorders>
            <w:shd w:val="clear" w:color="auto" w:fill="auto"/>
            <w:noWrap/>
            <w:vAlign w:val="bottom"/>
            <w:hideMark/>
          </w:tcPr>
          <w:p w:rsidR="005E6725" w:rsidRPr="00181407" w:rsidRDefault="005E6725" w:rsidP="00386A88">
            <w:pPr>
              <w:spacing w:after="0" w:line="240" w:lineRule="auto"/>
              <w:jc w:val="center"/>
              <w:rPr>
                <w:rFonts w:ascii="Garamond" w:eastAsia="Times New Roman" w:hAnsi="Garamond" w:cs="Calibri"/>
                <w:color w:val="000000"/>
                <w:szCs w:val="20"/>
                <w:lang w:eastAsia="en-AU"/>
              </w:rPr>
            </w:pPr>
          </w:p>
        </w:tc>
        <w:tc>
          <w:tcPr>
            <w:tcW w:w="2841" w:type="dxa"/>
            <w:tcBorders>
              <w:top w:val="nil"/>
              <w:left w:val="nil"/>
              <w:bottom w:val="nil"/>
              <w:right w:val="nil"/>
            </w:tcBorders>
            <w:shd w:val="clear" w:color="auto" w:fill="auto"/>
            <w:noWrap/>
            <w:vAlign w:val="bottom"/>
            <w:hideMark/>
          </w:tcPr>
          <w:p w:rsidR="005E6725" w:rsidRPr="00181407" w:rsidRDefault="005E6725" w:rsidP="00386A88">
            <w:pPr>
              <w:spacing w:after="0" w:line="240" w:lineRule="auto"/>
              <w:rPr>
                <w:rFonts w:ascii="Garamond" w:eastAsia="Times New Roman" w:hAnsi="Garamond" w:cs="Calibri"/>
                <w:i/>
                <w:iCs/>
                <w:color w:val="000000"/>
                <w:szCs w:val="20"/>
                <w:lang w:eastAsia="en-AU"/>
              </w:rPr>
            </w:pPr>
          </w:p>
        </w:tc>
        <w:tc>
          <w:tcPr>
            <w:tcW w:w="7103" w:type="dxa"/>
            <w:vMerge/>
            <w:tcBorders>
              <w:top w:val="nil"/>
              <w:left w:val="nil"/>
              <w:bottom w:val="nil"/>
              <w:right w:val="nil"/>
            </w:tcBorders>
            <w:vAlign w:val="center"/>
            <w:hideMark/>
          </w:tcPr>
          <w:p w:rsidR="005E6725" w:rsidRPr="00181407" w:rsidRDefault="005E6725" w:rsidP="00386A88">
            <w:pPr>
              <w:spacing w:after="0" w:line="240" w:lineRule="auto"/>
              <w:rPr>
                <w:rFonts w:ascii="Garamond" w:eastAsia="Times New Roman" w:hAnsi="Garamond" w:cs="Calibri"/>
                <w:color w:val="000000"/>
                <w:szCs w:val="20"/>
                <w:lang w:eastAsia="en-AU"/>
              </w:rPr>
            </w:pPr>
          </w:p>
        </w:tc>
        <w:tc>
          <w:tcPr>
            <w:tcW w:w="2984" w:type="dxa"/>
            <w:tcBorders>
              <w:top w:val="nil"/>
              <w:left w:val="nil"/>
              <w:bottom w:val="nil"/>
              <w:right w:val="nil"/>
            </w:tcBorders>
          </w:tcPr>
          <w:p w:rsidR="005E6725" w:rsidRPr="00181407" w:rsidRDefault="005E6725" w:rsidP="00386A88">
            <w:pPr>
              <w:spacing w:after="0" w:line="240" w:lineRule="auto"/>
              <w:rPr>
                <w:rFonts w:ascii="Garamond" w:eastAsia="Times New Roman" w:hAnsi="Garamond" w:cs="Calibri"/>
                <w:color w:val="000000"/>
                <w:szCs w:val="20"/>
                <w:lang w:eastAsia="en-AU"/>
              </w:rPr>
            </w:pPr>
          </w:p>
        </w:tc>
      </w:tr>
      <w:tr w:rsidR="005E6725" w:rsidRPr="00D55F00" w:rsidTr="00386A88">
        <w:trPr>
          <w:trHeight w:val="302"/>
        </w:trPr>
        <w:tc>
          <w:tcPr>
            <w:tcW w:w="868" w:type="dxa"/>
            <w:tcBorders>
              <w:top w:val="nil"/>
              <w:left w:val="nil"/>
              <w:bottom w:val="nil"/>
              <w:right w:val="nil"/>
            </w:tcBorders>
            <w:shd w:val="clear" w:color="auto" w:fill="auto"/>
            <w:noWrap/>
            <w:hideMark/>
          </w:tcPr>
          <w:p w:rsidR="005E6725" w:rsidRPr="00181407" w:rsidRDefault="005E6725" w:rsidP="00386A88">
            <w:pPr>
              <w:spacing w:after="0" w:line="240" w:lineRule="auto"/>
              <w:jc w:val="right"/>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2</w:t>
            </w:r>
          </w:p>
        </w:tc>
        <w:tc>
          <w:tcPr>
            <w:tcW w:w="2841" w:type="dxa"/>
            <w:tcBorders>
              <w:top w:val="nil"/>
              <w:left w:val="nil"/>
              <w:bottom w:val="nil"/>
              <w:right w:val="nil"/>
            </w:tcBorders>
            <w:shd w:val="clear" w:color="auto" w:fill="auto"/>
            <w:noWrap/>
            <w:hideMark/>
          </w:tcPr>
          <w:p w:rsidR="005E6725" w:rsidRPr="00181407" w:rsidRDefault="005E6725" w:rsidP="00386A88">
            <w:pPr>
              <w:spacing w:after="0" w:line="240" w:lineRule="auto"/>
              <w:jc w:val="right"/>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 xml:space="preserve">1/07/1998 </w:t>
            </w:r>
            <w:r>
              <w:rPr>
                <w:rFonts w:ascii="Garamond" w:eastAsia="Times New Roman" w:hAnsi="Garamond" w:cs="Calibri"/>
                <w:color w:val="000000"/>
                <w:szCs w:val="20"/>
                <w:lang w:eastAsia="en-AU"/>
              </w:rPr>
              <w:t>–</w:t>
            </w:r>
            <w:r w:rsidRPr="00181407">
              <w:rPr>
                <w:rFonts w:ascii="Garamond" w:eastAsia="Times New Roman" w:hAnsi="Garamond" w:cs="Calibri"/>
                <w:color w:val="000000"/>
                <w:szCs w:val="20"/>
                <w:lang w:eastAsia="en-AU"/>
              </w:rPr>
              <w:t xml:space="preserve"> 30/09/2002</w:t>
            </w:r>
          </w:p>
        </w:tc>
        <w:tc>
          <w:tcPr>
            <w:tcW w:w="7103" w:type="dxa"/>
            <w:vMerge w:val="restart"/>
            <w:tcBorders>
              <w:top w:val="nil"/>
              <w:left w:val="nil"/>
              <w:bottom w:val="nil"/>
              <w:right w:val="nil"/>
            </w:tcBorders>
            <w:shd w:val="clear" w:color="auto" w:fill="auto"/>
            <w:hideMark/>
          </w:tcPr>
          <w:p w:rsidR="005E6725" w:rsidRPr="00181407" w:rsidRDefault="005E6725" w:rsidP="00386A88">
            <w:pPr>
              <w:spacing w:after="0" w:line="240" w:lineRule="auto"/>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Four investment options</w:t>
            </w:r>
            <w:r w:rsidRPr="00181407">
              <w:rPr>
                <w:rFonts w:ascii="Garamond" w:eastAsia="Times New Roman" w:hAnsi="Garamond" w:cs="Calibri"/>
                <w:i/>
                <w:color w:val="000000"/>
                <w:szCs w:val="20"/>
                <w:lang w:eastAsia="en-AU"/>
              </w:rPr>
              <w:t>(Default)</w:t>
            </w:r>
            <w:r w:rsidRPr="00181407">
              <w:rPr>
                <w:rFonts w:ascii="Garamond" w:eastAsia="Times New Roman" w:hAnsi="Garamond" w:cs="Calibri"/>
                <w:color w:val="000000"/>
                <w:szCs w:val="20"/>
                <w:lang w:eastAsia="en-AU"/>
              </w:rPr>
              <w:t xml:space="preserve">: Secure, Stable, </w:t>
            </w:r>
            <w:r>
              <w:rPr>
                <w:rFonts w:ascii="Garamond" w:eastAsia="Times New Roman" w:hAnsi="Garamond" w:cs="Calibri"/>
                <w:color w:val="000000"/>
                <w:szCs w:val="20"/>
                <w:u w:val="single"/>
                <w:lang w:eastAsia="en-AU"/>
              </w:rPr>
              <w:t>Trustee</w:t>
            </w:r>
            <w:r w:rsidRPr="00181407">
              <w:rPr>
                <w:rFonts w:ascii="Garamond" w:eastAsia="Times New Roman" w:hAnsi="Garamond" w:cs="Calibri"/>
                <w:color w:val="000000"/>
                <w:szCs w:val="20"/>
                <w:u w:val="single"/>
                <w:lang w:eastAsia="en-AU"/>
              </w:rPr>
              <w:t>s</w:t>
            </w:r>
            <w:r>
              <w:rPr>
                <w:rFonts w:ascii="Garamond" w:eastAsia="Times New Roman" w:hAnsi="Garamond" w:cs="Calibri"/>
                <w:color w:val="000000"/>
                <w:szCs w:val="20"/>
                <w:u w:val="single"/>
                <w:lang w:eastAsia="en-AU"/>
              </w:rPr>
              <w:t>’</w:t>
            </w:r>
            <w:r w:rsidRPr="00181407">
              <w:rPr>
                <w:rFonts w:ascii="Garamond" w:eastAsia="Times New Roman" w:hAnsi="Garamond" w:cs="Calibri"/>
                <w:color w:val="000000"/>
                <w:szCs w:val="20"/>
                <w:u w:val="single"/>
                <w:lang w:eastAsia="en-AU"/>
              </w:rPr>
              <w:t xml:space="preserve"> Selection</w:t>
            </w:r>
            <w:r w:rsidRPr="00181407">
              <w:rPr>
                <w:rFonts w:ascii="Garamond" w:eastAsia="Times New Roman" w:hAnsi="Garamond" w:cs="Calibri"/>
                <w:color w:val="000000"/>
                <w:szCs w:val="20"/>
                <w:lang w:eastAsia="en-AU"/>
              </w:rPr>
              <w:t>, Shares</w:t>
            </w:r>
          </w:p>
        </w:tc>
        <w:tc>
          <w:tcPr>
            <w:tcW w:w="2984" w:type="dxa"/>
            <w:tcBorders>
              <w:top w:val="nil"/>
              <w:left w:val="nil"/>
              <w:bottom w:val="nil"/>
              <w:right w:val="nil"/>
            </w:tcBorders>
          </w:tcPr>
          <w:p w:rsidR="005E6725" w:rsidRPr="00181407" w:rsidRDefault="005E6725" w:rsidP="00386A88">
            <w:pPr>
              <w:spacing w:after="0" w:line="240" w:lineRule="auto"/>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One option, Annual</w:t>
            </w:r>
            <w:r>
              <w:rPr>
                <w:rFonts w:ascii="Garamond" w:eastAsia="Times New Roman" w:hAnsi="Garamond" w:cs="Calibri"/>
                <w:color w:val="000000"/>
                <w:szCs w:val="20"/>
                <w:lang w:eastAsia="en-AU"/>
              </w:rPr>
              <w:t>ly</w:t>
            </w:r>
          </w:p>
        </w:tc>
      </w:tr>
      <w:tr w:rsidR="005E6725" w:rsidRPr="00D55F00" w:rsidTr="00386A88">
        <w:trPr>
          <w:trHeight w:val="302"/>
        </w:trPr>
        <w:tc>
          <w:tcPr>
            <w:tcW w:w="868" w:type="dxa"/>
            <w:tcBorders>
              <w:top w:val="nil"/>
              <w:left w:val="nil"/>
              <w:bottom w:val="nil"/>
              <w:right w:val="nil"/>
            </w:tcBorders>
            <w:shd w:val="clear" w:color="auto" w:fill="auto"/>
            <w:noWrap/>
            <w:vAlign w:val="bottom"/>
            <w:hideMark/>
          </w:tcPr>
          <w:p w:rsidR="005E6725" w:rsidRPr="00181407" w:rsidRDefault="005E6725" w:rsidP="00386A88">
            <w:pPr>
              <w:spacing w:after="0" w:line="240" w:lineRule="auto"/>
              <w:jc w:val="center"/>
              <w:rPr>
                <w:rFonts w:ascii="Garamond" w:eastAsia="Times New Roman" w:hAnsi="Garamond" w:cs="Calibri"/>
                <w:color w:val="000000"/>
                <w:szCs w:val="20"/>
                <w:lang w:eastAsia="en-AU"/>
              </w:rPr>
            </w:pPr>
          </w:p>
        </w:tc>
        <w:tc>
          <w:tcPr>
            <w:tcW w:w="2841" w:type="dxa"/>
            <w:tcBorders>
              <w:top w:val="nil"/>
              <w:left w:val="nil"/>
              <w:bottom w:val="nil"/>
              <w:right w:val="nil"/>
            </w:tcBorders>
            <w:shd w:val="clear" w:color="auto" w:fill="auto"/>
            <w:noWrap/>
            <w:vAlign w:val="bottom"/>
            <w:hideMark/>
          </w:tcPr>
          <w:p w:rsidR="005E6725" w:rsidRPr="00181407" w:rsidRDefault="005E6725" w:rsidP="00386A88">
            <w:pPr>
              <w:spacing w:after="0" w:line="240" w:lineRule="auto"/>
              <w:rPr>
                <w:rFonts w:ascii="Garamond" w:eastAsia="Times New Roman" w:hAnsi="Garamond" w:cs="Calibri"/>
                <w:color w:val="000000"/>
                <w:szCs w:val="20"/>
                <w:lang w:eastAsia="en-AU"/>
              </w:rPr>
            </w:pPr>
          </w:p>
        </w:tc>
        <w:tc>
          <w:tcPr>
            <w:tcW w:w="7103" w:type="dxa"/>
            <w:vMerge/>
            <w:tcBorders>
              <w:top w:val="nil"/>
              <w:left w:val="nil"/>
              <w:bottom w:val="nil"/>
              <w:right w:val="nil"/>
            </w:tcBorders>
            <w:vAlign w:val="center"/>
            <w:hideMark/>
          </w:tcPr>
          <w:p w:rsidR="005E6725" w:rsidRPr="00181407" w:rsidRDefault="005E6725" w:rsidP="00386A88">
            <w:pPr>
              <w:spacing w:after="0" w:line="240" w:lineRule="auto"/>
              <w:rPr>
                <w:rFonts w:ascii="Garamond" w:eastAsia="Times New Roman" w:hAnsi="Garamond" w:cs="Calibri"/>
                <w:color w:val="000000"/>
                <w:szCs w:val="20"/>
                <w:lang w:eastAsia="en-AU"/>
              </w:rPr>
            </w:pPr>
          </w:p>
        </w:tc>
        <w:tc>
          <w:tcPr>
            <w:tcW w:w="2984" w:type="dxa"/>
            <w:tcBorders>
              <w:top w:val="nil"/>
              <w:left w:val="nil"/>
              <w:bottom w:val="nil"/>
              <w:right w:val="nil"/>
            </w:tcBorders>
          </w:tcPr>
          <w:p w:rsidR="005E6725" w:rsidRPr="00181407" w:rsidRDefault="005E6725" w:rsidP="00386A88">
            <w:pPr>
              <w:spacing w:after="0" w:line="240" w:lineRule="auto"/>
              <w:rPr>
                <w:rFonts w:ascii="Garamond" w:eastAsia="Times New Roman" w:hAnsi="Garamond" w:cs="Calibri"/>
                <w:color w:val="000000"/>
                <w:szCs w:val="20"/>
                <w:lang w:eastAsia="en-AU"/>
              </w:rPr>
            </w:pPr>
          </w:p>
        </w:tc>
      </w:tr>
      <w:tr w:rsidR="005E6725" w:rsidRPr="00D55F00" w:rsidTr="00386A88">
        <w:trPr>
          <w:trHeight w:val="302"/>
        </w:trPr>
        <w:tc>
          <w:tcPr>
            <w:tcW w:w="868" w:type="dxa"/>
            <w:tcBorders>
              <w:top w:val="nil"/>
              <w:left w:val="nil"/>
              <w:bottom w:val="nil"/>
              <w:right w:val="nil"/>
            </w:tcBorders>
            <w:shd w:val="clear" w:color="auto" w:fill="auto"/>
            <w:noWrap/>
            <w:hideMark/>
          </w:tcPr>
          <w:p w:rsidR="005E6725" w:rsidRPr="00181407" w:rsidRDefault="005E6725" w:rsidP="00386A88">
            <w:pPr>
              <w:spacing w:after="0" w:line="240" w:lineRule="auto"/>
              <w:jc w:val="right"/>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3</w:t>
            </w:r>
          </w:p>
        </w:tc>
        <w:tc>
          <w:tcPr>
            <w:tcW w:w="2841" w:type="dxa"/>
            <w:tcBorders>
              <w:top w:val="nil"/>
              <w:left w:val="nil"/>
              <w:bottom w:val="nil"/>
              <w:right w:val="nil"/>
            </w:tcBorders>
            <w:shd w:val="clear" w:color="auto" w:fill="auto"/>
            <w:noWrap/>
            <w:hideMark/>
          </w:tcPr>
          <w:p w:rsidR="005E6725" w:rsidRPr="00181407" w:rsidRDefault="005E6725" w:rsidP="00386A88">
            <w:pPr>
              <w:spacing w:after="0" w:line="240" w:lineRule="auto"/>
              <w:jc w:val="right"/>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 xml:space="preserve">1/10/2002 </w:t>
            </w:r>
            <w:r>
              <w:rPr>
                <w:rFonts w:ascii="Garamond" w:eastAsia="Times New Roman" w:hAnsi="Garamond" w:cs="Calibri"/>
                <w:color w:val="000000"/>
                <w:szCs w:val="20"/>
                <w:lang w:eastAsia="en-AU"/>
              </w:rPr>
              <w:t>–</w:t>
            </w:r>
            <w:r w:rsidRPr="00181407">
              <w:rPr>
                <w:rFonts w:ascii="Garamond" w:eastAsia="Times New Roman" w:hAnsi="Garamond" w:cs="Calibri"/>
                <w:color w:val="000000"/>
                <w:szCs w:val="20"/>
                <w:lang w:eastAsia="en-AU"/>
              </w:rPr>
              <w:t xml:space="preserve"> 30/06/2005</w:t>
            </w:r>
          </w:p>
        </w:tc>
        <w:tc>
          <w:tcPr>
            <w:tcW w:w="7103" w:type="dxa"/>
            <w:vMerge w:val="restart"/>
            <w:tcBorders>
              <w:top w:val="nil"/>
              <w:left w:val="nil"/>
              <w:bottom w:val="nil"/>
              <w:right w:val="nil"/>
            </w:tcBorders>
            <w:shd w:val="clear" w:color="auto" w:fill="auto"/>
            <w:hideMark/>
          </w:tcPr>
          <w:p w:rsidR="005E6725" w:rsidRPr="00181407" w:rsidRDefault="005E6725" w:rsidP="00386A88">
            <w:pPr>
              <w:spacing w:after="0" w:line="240" w:lineRule="auto"/>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 xml:space="preserve">Seven investment options (Three </w:t>
            </w:r>
            <w:r w:rsidRPr="00181407">
              <w:rPr>
                <w:rFonts w:ascii="Garamond" w:eastAsia="Times New Roman" w:hAnsi="Garamond" w:cs="Calibri"/>
                <w:b/>
                <w:color w:val="000000"/>
                <w:szCs w:val="20"/>
                <w:lang w:eastAsia="en-AU"/>
              </w:rPr>
              <w:t>new,</w:t>
            </w:r>
            <w:r w:rsidRPr="00181407">
              <w:rPr>
                <w:rFonts w:ascii="Garamond" w:eastAsia="Times New Roman" w:hAnsi="Garamond" w:cs="Calibri"/>
                <w:color w:val="000000"/>
                <w:szCs w:val="20"/>
                <w:lang w:eastAsia="en-AU"/>
              </w:rPr>
              <w:t xml:space="preserve"> three </w:t>
            </w:r>
            <w:r w:rsidRPr="00181407">
              <w:rPr>
                <w:rFonts w:ascii="Garamond" w:eastAsia="Times New Roman" w:hAnsi="Garamond" w:cs="Calibri"/>
                <w:b/>
                <w:color w:val="000000"/>
                <w:szCs w:val="20"/>
                <w:lang w:eastAsia="en-AU"/>
              </w:rPr>
              <w:t xml:space="preserve">rebadged, </w:t>
            </w:r>
            <w:r w:rsidRPr="00181407">
              <w:rPr>
                <w:rFonts w:ascii="Garamond" w:eastAsia="Times New Roman" w:hAnsi="Garamond" w:cs="Calibri"/>
                <w:b/>
                <w:i/>
                <w:color w:val="000000"/>
                <w:szCs w:val="20"/>
                <w:lang w:eastAsia="en-AU"/>
              </w:rPr>
              <w:t xml:space="preserve">Default </w:t>
            </w:r>
            <w:r w:rsidRPr="00181407">
              <w:rPr>
                <w:rFonts w:ascii="Garamond" w:eastAsia="Times New Roman" w:hAnsi="Garamond" w:cs="Calibri"/>
                <w:color w:val="000000"/>
                <w:szCs w:val="20"/>
                <w:lang w:eastAsia="en-AU"/>
              </w:rPr>
              <w:t>changed):</w:t>
            </w:r>
            <w:r w:rsidRPr="00181407">
              <w:rPr>
                <w:rFonts w:ascii="Garamond" w:eastAsia="Times New Roman" w:hAnsi="Garamond" w:cs="Calibri"/>
                <w:b/>
                <w:color w:val="000000"/>
                <w:szCs w:val="20"/>
                <w:lang w:eastAsia="en-AU"/>
              </w:rPr>
              <w:t xml:space="preserve">Cash </w:t>
            </w:r>
            <w:r w:rsidRPr="00181407">
              <w:rPr>
                <w:rFonts w:ascii="Garamond" w:eastAsia="Times New Roman" w:hAnsi="Garamond" w:cs="Calibri"/>
                <w:color w:val="000000"/>
                <w:szCs w:val="20"/>
                <w:lang w:eastAsia="en-AU"/>
              </w:rPr>
              <w:t xml:space="preserve">(Rebadged Secure), </w:t>
            </w:r>
            <w:r w:rsidRPr="00181407">
              <w:rPr>
                <w:rFonts w:ascii="Garamond" w:eastAsia="Times New Roman" w:hAnsi="Garamond" w:cs="Calibri"/>
                <w:b/>
                <w:color w:val="000000"/>
                <w:szCs w:val="20"/>
                <w:lang w:eastAsia="en-AU"/>
              </w:rPr>
              <w:t>Capital Stable</w:t>
            </w:r>
            <w:r w:rsidRPr="00181407">
              <w:rPr>
                <w:rFonts w:ascii="Garamond" w:eastAsia="Times New Roman" w:hAnsi="Garamond" w:cs="Calibri"/>
                <w:color w:val="000000"/>
                <w:szCs w:val="20"/>
                <w:lang w:eastAsia="en-AU"/>
              </w:rPr>
              <w:t xml:space="preserve"> (New), </w:t>
            </w:r>
            <w:r w:rsidRPr="00181407">
              <w:rPr>
                <w:rFonts w:ascii="Garamond" w:eastAsia="Times New Roman" w:hAnsi="Garamond" w:cs="Calibri"/>
                <w:b/>
                <w:color w:val="000000"/>
                <w:szCs w:val="20"/>
                <w:lang w:eastAsia="en-AU"/>
              </w:rPr>
              <w:t>Conservative Balanced</w:t>
            </w:r>
            <w:r w:rsidRPr="00181407">
              <w:rPr>
                <w:rFonts w:ascii="Garamond" w:eastAsia="Times New Roman" w:hAnsi="Garamond" w:cs="Calibri"/>
                <w:color w:val="000000"/>
                <w:szCs w:val="20"/>
                <w:lang w:eastAsia="en-AU"/>
              </w:rPr>
              <w:t xml:space="preserve"> (Rebadged Stable), </w:t>
            </w:r>
            <w:r w:rsidRPr="00181407">
              <w:rPr>
                <w:rFonts w:ascii="Garamond" w:eastAsia="Times New Roman" w:hAnsi="Garamond" w:cs="Calibri"/>
                <w:b/>
                <w:color w:val="000000"/>
                <w:szCs w:val="20"/>
                <w:u w:val="single"/>
                <w:lang w:eastAsia="en-AU"/>
              </w:rPr>
              <w:t>Balanced</w:t>
            </w:r>
            <w:r w:rsidRPr="00181407">
              <w:rPr>
                <w:rFonts w:ascii="Garamond" w:eastAsia="Times New Roman" w:hAnsi="Garamond" w:cs="Calibri"/>
                <w:color w:val="000000"/>
                <w:szCs w:val="20"/>
                <w:lang w:eastAsia="en-AU"/>
              </w:rPr>
              <w:t xml:space="preserve"> (New), </w:t>
            </w:r>
            <w:r w:rsidRPr="00181407">
              <w:rPr>
                <w:rFonts w:ascii="Garamond" w:eastAsia="Times New Roman" w:hAnsi="Garamond" w:cs="Calibri"/>
                <w:b/>
                <w:color w:val="000000"/>
                <w:szCs w:val="20"/>
                <w:lang w:eastAsia="en-AU"/>
              </w:rPr>
              <w:t>Growth</w:t>
            </w:r>
            <w:r w:rsidRPr="00181407">
              <w:rPr>
                <w:rFonts w:ascii="Garamond" w:eastAsia="Times New Roman" w:hAnsi="Garamond" w:cs="Calibri"/>
                <w:color w:val="000000"/>
                <w:szCs w:val="20"/>
                <w:lang w:eastAsia="en-AU"/>
              </w:rPr>
              <w:t xml:space="preserve"> (Rebadged Trustees</w:t>
            </w:r>
            <w:r>
              <w:rPr>
                <w:rFonts w:ascii="Garamond" w:eastAsia="Times New Roman" w:hAnsi="Garamond" w:cs="Calibri"/>
                <w:color w:val="000000"/>
                <w:szCs w:val="20"/>
                <w:lang w:eastAsia="en-AU"/>
              </w:rPr>
              <w:t>’</w:t>
            </w:r>
            <w:r w:rsidRPr="00181407">
              <w:rPr>
                <w:rFonts w:ascii="Garamond" w:eastAsia="Times New Roman" w:hAnsi="Garamond" w:cs="Calibri"/>
                <w:color w:val="000000"/>
                <w:szCs w:val="20"/>
                <w:lang w:eastAsia="en-AU"/>
              </w:rPr>
              <w:t xml:space="preserve"> Selection), Shares, </w:t>
            </w:r>
            <w:r w:rsidRPr="00181407">
              <w:rPr>
                <w:rFonts w:ascii="Garamond" w:eastAsia="Times New Roman" w:hAnsi="Garamond" w:cs="Calibri"/>
                <w:b/>
                <w:color w:val="000000"/>
                <w:szCs w:val="20"/>
                <w:lang w:eastAsia="en-AU"/>
              </w:rPr>
              <w:t>Socially Responsible Shares</w:t>
            </w:r>
            <w:r w:rsidRPr="00181407">
              <w:rPr>
                <w:rFonts w:ascii="Garamond" w:eastAsia="Times New Roman" w:hAnsi="Garamond" w:cs="Calibri"/>
                <w:color w:val="000000"/>
                <w:szCs w:val="20"/>
                <w:lang w:eastAsia="en-AU"/>
              </w:rPr>
              <w:t xml:space="preserve"> (New)</w:t>
            </w:r>
          </w:p>
        </w:tc>
        <w:tc>
          <w:tcPr>
            <w:tcW w:w="2984" w:type="dxa"/>
            <w:tcBorders>
              <w:top w:val="nil"/>
              <w:left w:val="nil"/>
              <w:bottom w:val="nil"/>
              <w:right w:val="nil"/>
            </w:tcBorders>
          </w:tcPr>
          <w:p w:rsidR="005E6725" w:rsidRPr="00181407" w:rsidRDefault="005E6725" w:rsidP="00386A88">
            <w:pPr>
              <w:spacing w:after="0" w:line="240" w:lineRule="auto"/>
              <w:rPr>
                <w:rFonts w:ascii="Garamond" w:eastAsia="Times New Roman" w:hAnsi="Garamond" w:cs="Calibri"/>
                <w:color w:val="000000"/>
                <w:szCs w:val="20"/>
                <w:lang w:eastAsia="en-AU"/>
              </w:rPr>
            </w:pPr>
            <w:r>
              <w:rPr>
                <w:rFonts w:ascii="Garamond" w:eastAsia="Times New Roman" w:hAnsi="Garamond" w:cs="Calibri"/>
                <w:color w:val="000000"/>
                <w:szCs w:val="20"/>
                <w:lang w:eastAsia="en-AU"/>
              </w:rPr>
              <w:t>One option</w:t>
            </w:r>
            <w:r w:rsidRPr="00181407">
              <w:rPr>
                <w:rFonts w:ascii="Garamond" w:eastAsia="Times New Roman" w:hAnsi="Garamond" w:cs="Calibri"/>
                <w:color w:val="000000"/>
                <w:szCs w:val="20"/>
                <w:lang w:eastAsia="en-AU"/>
              </w:rPr>
              <w:t>, Monthly</w:t>
            </w:r>
          </w:p>
        </w:tc>
      </w:tr>
      <w:tr w:rsidR="005E6725" w:rsidRPr="00D55F00" w:rsidTr="00386A88">
        <w:trPr>
          <w:trHeight w:val="518"/>
        </w:trPr>
        <w:tc>
          <w:tcPr>
            <w:tcW w:w="868" w:type="dxa"/>
            <w:tcBorders>
              <w:top w:val="nil"/>
              <w:left w:val="nil"/>
              <w:bottom w:val="nil"/>
              <w:right w:val="nil"/>
            </w:tcBorders>
            <w:shd w:val="clear" w:color="auto" w:fill="auto"/>
            <w:noWrap/>
            <w:vAlign w:val="bottom"/>
            <w:hideMark/>
          </w:tcPr>
          <w:p w:rsidR="005E6725" w:rsidRPr="00181407" w:rsidRDefault="005E6725" w:rsidP="00386A88">
            <w:pPr>
              <w:spacing w:after="0" w:line="240" w:lineRule="auto"/>
              <w:jc w:val="center"/>
              <w:rPr>
                <w:rFonts w:ascii="Garamond" w:eastAsia="Times New Roman" w:hAnsi="Garamond" w:cs="Calibri"/>
                <w:color w:val="000000"/>
                <w:szCs w:val="20"/>
                <w:lang w:eastAsia="en-AU"/>
              </w:rPr>
            </w:pPr>
          </w:p>
        </w:tc>
        <w:tc>
          <w:tcPr>
            <w:tcW w:w="2841" w:type="dxa"/>
            <w:tcBorders>
              <w:top w:val="nil"/>
              <w:left w:val="nil"/>
              <w:bottom w:val="nil"/>
              <w:right w:val="nil"/>
            </w:tcBorders>
            <w:shd w:val="clear" w:color="auto" w:fill="auto"/>
            <w:noWrap/>
            <w:vAlign w:val="bottom"/>
            <w:hideMark/>
          </w:tcPr>
          <w:p w:rsidR="005E6725" w:rsidRPr="00181407" w:rsidRDefault="005E6725" w:rsidP="00386A88">
            <w:pPr>
              <w:spacing w:after="0" w:line="240" w:lineRule="auto"/>
              <w:rPr>
                <w:rFonts w:ascii="Garamond" w:eastAsia="Times New Roman" w:hAnsi="Garamond" w:cs="Calibri"/>
                <w:color w:val="000000"/>
                <w:szCs w:val="20"/>
                <w:lang w:eastAsia="en-AU"/>
              </w:rPr>
            </w:pPr>
          </w:p>
        </w:tc>
        <w:tc>
          <w:tcPr>
            <w:tcW w:w="7103" w:type="dxa"/>
            <w:vMerge/>
            <w:tcBorders>
              <w:top w:val="nil"/>
              <w:left w:val="nil"/>
              <w:bottom w:val="nil"/>
              <w:right w:val="nil"/>
            </w:tcBorders>
            <w:vAlign w:val="center"/>
            <w:hideMark/>
          </w:tcPr>
          <w:p w:rsidR="005E6725" w:rsidRPr="00181407" w:rsidRDefault="005E6725" w:rsidP="00386A88">
            <w:pPr>
              <w:spacing w:after="0" w:line="240" w:lineRule="auto"/>
              <w:rPr>
                <w:rFonts w:ascii="Garamond" w:eastAsia="Times New Roman" w:hAnsi="Garamond" w:cs="Calibri"/>
                <w:color w:val="000000"/>
                <w:szCs w:val="20"/>
                <w:lang w:eastAsia="en-AU"/>
              </w:rPr>
            </w:pPr>
          </w:p>
        </w:tc>
        <w:tc>
          <w:tcPr>
            <w:tcW w:w="2984" w:type="dxa"/>
            <w:tcBorders>
              <w:top w:val="nil"/>
              <w:left w:val="nil"/>
              <w:bottom w:val="nil"/>
              <w:right w:val="nil"/>
            </w:tcBorders>
          </w:tcPr>
          <w:p w:rsidR="005E6725" w:rsidRPr="00181407" w:rsidRDefault="005E6725" w:rsidP="00386A88">
            <w:pPr>
              <w:spacing w:after="0" w:line="240" w:lineRule="auto"/>
              <w:rPr>
                <w:rFonts w:ascii="Garamond" w:eastAsia="Times New Roman" w:hAnsi="Garamond" w:cs="Calibri"/>
                <w:color w:val="000000"/>
                <w:szCs w:val="20"/>
                <w:lang w:eastAsia="en-AU"/>
              </w:rPr>
            </w:pPr>
          </w:p>
        </w:tc>
      </w:tr>
      <w:tr w:rsidR="005E6725" w:rsidRPr="00D55F00" w:rsidTr="00386A88">
        <w:trPr>
          <w:trHeight w:val="302"/>
        </w:trPr>
        <w:tc>
          <w:tcPr>
            <w:tcW w:w="868" w:type="dxa"/>
            <w:tcBorders>
              <w:top w:val="nil"/>
              <w:left w:val="nil"/>
              <w:bottom w:val="nil"/>
              <w:right w:val="nil"/>
            </w:tcBorders>
            <w:shd w:val="clear" w:color="auto" w:fill="auto"/>
            <w:noWrap/>
            <w:hideMark/>
          </w:tcPr>
          <w:p w:rsidR="005E6725" w:rsidRPr="00181407" w:rsidRDefault="005E6725" w:rsidP="00386A88">
            <w:pPr>
              <w:spacing w:after="0" w:line="240" w:lineRule="auto"/>
              <w:jc w:val="right"/>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4</w:t>
            </w:r>
          </w:p>
        </w:tc>
        <w:tc>
          <w:tcPr>
            <w:tcW w:w="2841" w:type="dxa"/>
            <w:tcBorders>
              <w:top w:val="nil"/>
              <w:left w:val="nil"/>
              <w:bottom w:val="nil"/>
              <w:right w:val="nil"/>
            </w:tcBorders>
            <w:shd w:val="clear" w:color="auto" w:fill="auto"/>
            <w:noWrap/>
            <w:hideMark/>
          </w:tcPr>
          <w:p w:rsidR="005E6725" w:rsidRPr="00181407" w:rsidRDefault="005E6725" w:rsidP="00386A88">
            <w:pPr>
              <w:spacing w:after="0" w:line="240" w:lineRule="auto"/>
              <w:jc w:val="right"/>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 xml:space="preserve">1/07/2005 </w:t>
            </w:r>
            <w:r>
              <w:rPr>
                <w:rFonts w:ascii="Garamond" w:eastAsia="Times New Roman" w:hAnsi="Garamond" w:cs="Calibri"/>
                <w:color w:val="000000"/>
                <w:szCs w:val="20"/>
                <w:lang w:eastAsia="en-AU"/>
              </w:rPr>
              <w:t>–</w:t>
            </w:r>
            <w:r w:rsidRPr="00181407">
              <w:rPr>
                <w:rFonts w:ascii="Garamond" w:eastAsia="Times New Roman" w:hAnsi="Garamond" w:cs="Calibri"/>
                <w:color w:val="000000"/>
                <w:szCs w:val="20"/>
                <w:lang w:eastAsia="en-AU"/>
              </w:rPr>
              <w:t xml:space="preserve"> 31/12/2007</w:t>
            </w:r>
          </w:p>
        </w:tc>
        <w:tc>
          <w:tcPr>
            <w:tcW w:w="7103" w:type="dxa"/>
            <w:vMerge w:val="restart"/>
            <w:tcBorders>
              <w:top w:val="nil"/>
              <w:left w:val="nil"/>
              <w:bottom w:val="nil"/>
              <w:right w:val="nil"/>
            </w:tcBorders>
            <w:shd w:val="clear" w:color="auto" w:fill="auto"/>
            <w:hideMark/>
          </w:tcPr>
          <w:p w:rsidR="005E6725" w:rsidRPr="00181407" w:rsidRDefault="005E6725" w:rsidP="00386A88">
            <w:pPr>
              <w:spacing w:after="0" w:line="240" w:lineRule="auto"/>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 xml:space="preserve">Seven investment options (Two </w:t>
            </w:r>
            <w:r w:rsidRPr="00181407">
              <w:rPr>
                <w:rFonts w:ascii="Garamond" w:eastAsia="Times New Roman" w:hAnsi="Garamond" w:cs="Calibri"/>
                <w:b/>
                <w:color w:val="000000"/>
                <w:szCs w:val="20"/>
                <w:lang w:eastAsia="en-AU"/>
              </w:rPr>
              <w:t>rebadged</w:t>
            </w:r>
            <w:r w:rsidRPr="00181407">
              <w:rPr>
                <w:rFonts w:ascii="Garamond" w:eastAsia="Times New Roman" w:hAnsi="Garamond" w:cs="Calibri"/>
                <w:color w:val="000000"/>
                <w:szCs w:val="20"/>
                <w:lang w:eastAsia="en-AU"/>
              </w:rPr>
              <w:t xml:space="preserve">): Cash , Capital Stable, Conservative Balanced, </w:t>
            </w:r>
            <w:r w:rsidRPr="00181407">
              <w:rPr>
                <w:rFonts w:ascii="Garamond" w:eastAsia="Times New Roman" w:hAnsi="Garamond" w:cs="Calibri"/>
                <w:color w:val="000000"/>
                <w:szCs w:val="20"/>
                <w:u w:val="single"/>
                <w:lang w:eastAsia="en-AU"/>
              </w:rPr>
              <w:t>Balanced</w:t>
            </w:r>
            <w:r w:rsidRPr="00181407">
              <w:rPr>
                <w:rFonts w:ascii="Garamond" w:eastAsia="Times New Roman" w:hAnsi="Garamond" w:cs="Calibri"/>
                <w:color w:val="000000"/>
                <w:szCs w:val="20"/>
                <w:lang w:eastAsia="en-AU"/>
              </w:rPr>
              <w:t xml:space="preserve">, Growth, </w:t>
            </w:r>
            <w:r w:rsidRPr="00181407">
              <w:rPr>
                <w:rFonts w:ascii="Garamond" w:eastAsia="Times New Roman" w:hAnsi="Garamond" w:cs="Calibri"/>
                <w:b/>
                <w:color w:val="000000"/>
                <w:szCs w:val="20"/>
                <w:lang w:eastAsia="en-AU"/>
              </w:rPr>
              <w:t>High-Growth</w:t>
            </w:r>
            <w:r w:rsidRPr="00181407">
              <w:rPr>
                <w:rFonts w:ascii="Garamond" w:eastAsia="Times New Roman" w:hAnsi="Garamond" w:cs="Calibri"/>
                <w:color w:val="000000"/>
                <w:szCs w:val="20"/>
                <w:lang w:eastAsia="en-AU"/>
              </w:rPr>
              <w:t xml:space="preserve"> (Rebadged Shares), </w:t>
            </w:r>
            <w:r w:rsidRPr="00181407">
              <w:rPr>
                <w:rFonts w:ascii="Garamond" w:eastAsia="Times New Roman" w:hAnsi="Garamond" w:cs="Calibri"/>
                <w:b/>
                <w:color w:val="000000"/>
                <w:szCs w:val="20"/>
                <w:lang w:eastAsia="en-AU"/>
              </w:rPr>
              <w:t>Socially Responsible High Growth</w:t>
            </w:r>
            <w:r w:rsidRPr="00181407">
              <w:rPr>
                <w:rFonts w:ascii="Garamond" w:eastAsia="Times New Roman" w:hAnsi="Garamond" w:cs="Calibri"/>
                <w:color w:val="000000"/>
                <w:szCs w:val="20"/>
                <w:lang w:eastAsia="en-AU"/>
              </w:rPr>
              <w:t xml:space="preserve"> (rebadged Socially Responsible Shares)</w:t>
            </w:r>
          </w:p>
        </w:tc>
        <w:tc>
          <w:tcPr>
            <w:tcW w:w="2984" w:type="dxa"/>
            <w:tcBorders>
              <w:top w:val="nil"/>
              <w:left w:val="nil"/>
              <w:bottom w:val="nil"/>
              <w:right w:val="nil"/>
            </w:tcBorders>
          </w:tcPr>
          <w:p w:rsidR="005E6725" w:rsidRPr="00181407" w:rsidRDefault="005E6725" w:rsidP="00386A88">
            <w:pPr>
              <w:spacing w:after="0" w:line="240" w:lineRule="auto"/>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Mix options, Monthly</w:t>
            </w:r>
          </w:p>
        </w:tc>
      </w:tr>
      <w:tr w:rsidR="005E6725" w:rsidRPr="00D55F00" w:rsidTr="00386A88">
        <w:trPr>
          <w:trHeight w:val="377"/>
        </w:trPr>
        <w:tc>
          <w:tcPr>
            <w:tcW w:w="868" w:type="dxa"/>
            <w:tcBorders>
              <w:top w:val="nil"/>
              <w:left w:val="nil"/>
              <w:bottom w:val="nil"/>
              <w:right w:val="nil"/>
            </w:tcBorders>
            <w:shd w:val="clear" w:color="auto" w:fill="auto"/>
            <w:noWrap/>
            <w:vAlign w:val="bottom"/>
            <w:hideMark/>
          </w:tcPr>
          <w:p w:rsidR="005E6725" w:rsidRPr="00181407" w:rsidRDefault="005E6725" w:rsidP="00386A88">
            <w:pPr>
              <w:spacing w:after="0" w:line="240" w:lineRule="auto"/>
              <w:jc w:val="center"/>
              <w:rPr>
                <w:rFonts w:ascii="Garamond" w:eastAsia="Times New Roman" w:hAnsi="Garamond" w:cs="Calibri"/>
                <w:color w:val="000000"/>
                <w:szCs w:val="20"/>
                <w:lang w:eastAsia="en-AU"/>
              </w:rPr>
            </w:pPr>
          </w:p>
        </w:tc>
        <w:tc>
          <w:tcPr>
            <w:tcW w:w="2841" w:type="dxa"/>
            <w:tcBorders>
              <w:top w:val="nil"/>
              <w:left w:val="nil"/>
              <w:bottom w:val="nil"/>
              <w:right w:val="nil"/>
            </w:tcBorders>
            <w:shd w:val="clear" w:color="auto" w:fill="auto"/>
            <w:noWrap/>
            <w:vAlign w:val="bottom"/>
            <w:hideMark/>
          </w:tcPr>
          <w:p w:rsidR="005E6725" w:rsidRPr="00181407" w:rsidRDefault="005E6725" w:rsidP="00386A88">
            <w:pPr>
              <w:spacing w:after="0" w:line="240" w:lineRule="auto"/>
              <w:rPr>
                <w:rFonts w:ascii="Garamond" w:eastAsia="Times New Roman" w:hAnsi="Garamond" w:cs="Calibri"/>
                <w:color w:val="000000"/>
                <w:szCs w:val="20"/>
                <w:lang w:eastAsia="en-AU"/>
              </w:rPr>
            </w:pPr>
          </w:p>
        </w:tc>
        <w:tc>
          <w:tcPr>
            <w:tcW w:w="7103" w:type="dxa"/>
            <w:vMerge/>
            <w:tcBorders>
              <w:top w:val="nil"/>
              <w:left w:val="nil"/>
              <w:bottom w:val="nil"/>
              <w:right w:val="nil"/>
            </w:tcBorders>
            <w:vAlign w:val="center"/>
            <w:hideMark/>
          </w:tcPr>
          <w:p w:rsidR="005E6725" w:rsidRPr="00181407" w:rsidRDefault="005E6725" w:rsidP="00386A88">
            <w:pPr>
              <w:spacing w:after="0" w:line="240" w:lineRule="auto"/>
              <w:rPr>
                <w:rFonts w:ascii="Garamond" w:eastAsia="Times New Roman" w:hAnsi="Garamond" w:cs="Calibri"/>
                <w:color w:val="000000"/>
                <w:szCs w:val="20"/>
                <w:lang w:eastAsia="en-AU"/>
              </w:rPr>
            </w:pPr>
          </w:p>
        </w:tc>
        <w:tc>
          <w:tcPr>
            <w:tcW w:w="2984" w:type="dxa"/>
            <w:tcBorders>
              <w:top w:val="nil"/>
              <w:left w:val="nil"/>
              <w:bottom w:val="nil"/>
              <w:right w:val="nil"/>
            </w:tcBorders>
          </w:tcPr>
          <w:p w:rsidR="005E6725" w:rsidRPr="00181407" w:rsidRDefault="005E6725" w:rsidP="00386A88">
            <w:pPr>
              <w:spacing w:after="0" w:line="240" w:lineRule="auto"/>
              <w:rPr>
                <w:rFonts w:ascii="Garamond" w:eastAsia="Times New Roman" w:hAnsi="Garamond" w:cs="Calibri"/>
                <w:color w:val="000000"/>
                <w:szCs w:val="20"/>
                <w:lang w:eastAsia="en-AU"/>
              </w:rPr>
            </w:pPr>
          </w:p>
        </w:tc>
      </w:tr>
      <w:tr w:rsidR="005E6725" w:rsidRPr="00D55F00" w:rsidTr="00386A88">
        <w:trPr>
          <w:trHeight w:val="302"/>
        </w:trPr>
        <w:tc>
          <w:tcPr>
            <w:tcW w:w="868" w:type="dxa"/>
            <w:tcBorders>
              <w:top w:val="nil"/>
              <w:left w:val="nil"/>
              <w:bottom w:val="nil"/>
              <w:right w:val="nil"/>
            </w:tcBorders>
            <w:shd w:val="clear" w:color="auto" w:fill="auto"/>
            <w:noWrap/>
            <w:hideMark/>
          </w:tcPr>
          <w:p w:rsidR="005E6725" w:rsidRPr="00181407" w:rsidRDefault="005E6725" w:rsidP="00386A88">
            <w:pPr>
              <w:spacing w:after="0" w:line="240" w:lineRule="auto"/>
              <w:jc w:val="right"/>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5</w:t>
            </w:r>
          </w:p>
        </w:tc>
        <w:tc>
          <w:tcPr>
            <w:tcW w:w="2841" w:type="dxa"/>
            <w:tcBorders>
              <w:top w:val="nil"/>
              <w:left w:val="nil"/>
              <w:bottom w:val="nil"/>
              <w:right w:val="nil"/>
            </w:tcBorders>
            <w:shd w:val="clear" w:color="auto" w:fill="auto"/>
            <w:noWrap/>
            <w:hideMark/>
          </w:tcPr>
          <w:p w:rsidR="005E6725" w:rsidRPr="00181407" w:rsidRDefault="005E6725" w:rsidP="00386A88">
            <w:pPr>
              <w:spacing w:after="0" w:line="240" w:lineRule="auto"/>
              <w:jc w:val="right"/>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 xml:space="preserve">1/01/2008 </w:t>
            </w:r>
            <w:r>
              <w:rPr>
                <w:rFonts w:ascii="Garamond" w:eastAsia="Times New Roman" w:hAnsi="Garamond" w:cs="Calibri"/>
                <w:color w:val="000000"/>
                <w:szCs w:val="20"/>
                <w:lang w:eastAsia="en-AU"/>
              </w:rPr>
              <w:t>–</w:t>
            </w:r>
            <w:r w:rsidRPr="00181407">
              <w:rPr>
                <w:rFonts w:ascii="Garamond" w:eastAsia="Times New Roman" w:hAnsi="Garamond" w:cs="Calibri"/>
                <w:color w:val="000000"/>
                <w:szCs w:val="20"/>
                <w:lang w:eastAsia="en-AU"/>
              </w:rPr>
              <w:t xml:space="preserve"> 30/06/2008</w:t>
            </w:r>
          </w:p>
        </w:tc>
        <w:tc>
          <w:tcPr>
            <w:tcW w:w="7103" w:type="dxa"/>
            <w:vMerge w:val="restart"/>
            <w:tcBorders>
              <w:top w:val="nil"/>
              <w:left w:val="nil"/>
              <w:bottom w:val="nil"/>
              <w:right w:val="nil"/>
            </w:tcBorders>
            <w:shd w:val="clear" w:color="auto" w:fill="auto"/>
            <w:hideMark/>
          </w:tcPr>
          <w:p w:rsidR="005E6725" w:rsidRPr="00181407" w:rsidRDefault="005E6725" w:rsidP="00386A88">
            <w:pPr>
              <w:spacing w:after="0" w:line="240" w:lineRule="auto"/>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 xml:space="preserve">Eight investment options (One </w:t>
            </w:r>
            <w:r w:rsidRPr="00181407">
              <w:rPr>
                <w:rFonts w:ascii="Garamond" w:eastAsia="Times New Roman" w:hAnsi="Garamond" w:cs="Calibri"/>
                <w:b/>
                <w:color w:val="000000"/>
                <w:szCs w:val="20"/>
                <w:lang w:eastAsia="en-AU"/>
              </w:rPr>
              <w:t>new</w:t>
            </w:r>
            <w:r w:rsidRPr="00181407">
              <w:rPr>
                <w:rFonts w:ascii="Garamond" w:eastAsia="Times New Roman" w:hAnsi="Garamond" w:cs="Calibri"/>
                <w:color w:val="000000"/>
                <w:szCs w:val="20"/>
                <w:lang w:eastAsia="en-AU"/>
              </w:rPr>
              <w:t xml:space="preserve">): Cash, Capital Stable, Conservative Balanced, </w:t>
            </w:r>
            <w:r w:rsidRPr="00181407">
              <w:rPr>
                <w:rFonts w:ascii="Garamond" w:eastAsia="Times New Roman" w:hAnsi="Garamond" w:cs="Calibri"/>
                <w:color w:val="000000"/>
                <w:szCs w:val="20"/>
                <w:u w:val="single"/>
                <w:lang w:eastAsia="en-AU"/>
              </w:rPr>
              <w:t>Balanced</w:t>
            </w:r>
            <w:r w:rsidRPr="00181407">
              <w:rPr>
                <w:rFonts w:ascii="Garamond" w:eastAsia="Times New Roman" w:hAnsi="Garamond" w:cs="Calibri"/>
                <w:color w:val="000000"/>
                <w:szCs w:val="20"/>
                <w:lang w:eastAsia="en-AU"/>
              </w:rPr>
              <w:t xml:space="preserve">, </w:t>
            </w:r>
            <w:r w:rsidRPr="00181407">
              <w:rPr>
                <w:rFonts w:ascii="Garamond" w:eastAsia="Times New Roman" w:hAnsi="Garamond" w:cs="Calibri"/>
                <w:b/>
                <w:color w:val="000000"/>
                <w:szCs w:val="20"/>
                <w:lang w:eastAsia="en-AU"/>
              </w:rPr>
              <w:t>Socially Responsible Balanced</w:t>
            </w:r>
            <w:r w:rsidRPr="00181407">
              <w:rPr>
                <w:rFonts w:ascii="Garamond" w:eastAsia="Times New Roman" w:hAnsi="Garamond" w:cs="Calibri"/>
                <w:color w:val="000000"/>
                <w:szCs w:val="20"/>
                <w:lang w:eastAsia="en-AU"/>
              </w:rPr>
              <w:t>, Growth, High-Growth, Socially Responsible High Growth.</w:t>
            </w:r>
          </w:p>
        </w:tc>
        <w:tc>
          <w:tcPr>
            <w:tcW w:w="2984" w:type="dxa"/>
            <w:tcBorders>
              <w:top w:val="nil"/>
              <w:left w:val="nil"/>
              <w:bottom w:val="nil"/>
              <w:right w:val="nil"/>
            </w:tcBorders>
          </w:tcPr>
          <w:p w:rsidR="005E6725" w:rsidRPr="00181407" w:rsidRDefault="005E6725" w:rsidP="00386A88">
            <w:pPr>
              <w:spacing w:after="0" w:line="240" w:lineRule="auto"/>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Mix options, Monthly</w:t>
            </w:r>
          </w:p>
        </w:tc>
      </w:tr>
      <w:tr w:rsidR="005E6725" w:rsidRPr="00D55F00" w:rsidTr="00386A88">
        <w:trPr>
          <w:trHeight w:val="399"/>
        </w:trPr>
        <w:tc>
          <w:tcPr>
            <w:tcW w:w="868" w:type="dxa"/>
            <w:tcBorders>
              <w:top w:val="nil"/>
              <w:left w:val="nil"/>
              <w:bottom w:val="nil"/>
              <w:right w:val="nil"/>
            </w:tcBorders>
            <w:shd w:val="clear" w:color="auto" w:fill="auto"/>
            <w:noWrap/>
            <w:vAlign w:val="bottom"/>
            <w:hideMark/>
          </w:tcPr>
          <w:p w:rsidR="005E6725" w:rsidRPr="00181407" w:rsidRDefault="005E6725" w:rsidP="00386A88">
            <w:pPr>
              <w:spacing w:after="0" w:line="240" w:lineRule="auto"/>
              <w:jc w:val="center"/>
              <w:rPr>
                <w:rFonts w:ascii="Garamond" w:eastAsia="Times New Roman" w:hAnsi="Garamond" w:cs="Calibri"/>
                <w:color w:val="000000"/>
                <w:szCs w:val="20"/>
                <w:lang w:eastAsia="en-AU"/>
              </w:rPr>
            </w:pPr>
          </w:p>
        </w:tc>
        <w:tc>
          <w:tcPr>
            <w:tcW w:w="2841" w:type="dxa"/>
            <w:tcBorders>
              <w:top w:val="nil"/>
              <w:left w:val="nil"/>
              <w:bottom w:val="nil"/>
              <w:right w:val="nil"/>
            </w:tcBorders>
            <w:shd w:val="clear" w:color="auto" w:fill="auto"/>
            <w:noWrap/>
            <w:vAlign w:val="bottom"/>
            <w:hideMark/>
          </w:tcPr>
          <w:p w:rsidR="005E6725" w:rsidRPr="00181407" w:rsidRDefault="005E6725" w:rsidP="00386A88">
            <w:pPr>
              <w:spacing w:after="0" w:line="240" w:lineRule="auto"/>
              <w:rPr>
                <w:rFonts w:ascii="Garamond" w:eastAsia="Times New Roman" w:hAnsi="Garamond" w:cs="Calibri"/>
                <w:color w:val="000000"/>
                <w:szCs w:val="20"/>
                <w:lang w:eastAsia="en-AU"/>
              </w:rPr>
            </w:pPr>
          </w:p>
        </w:tc>
        <w:tc>
          <w:tcPr>
            <w:tcW w:w="7103" w:type="dxa"/>
            <w:vMerge/>
            <w:tcBorders>
              <w:top w:val="nil"/>
              <w:left w:val="nil"/>
              <w:bottom w:val="nil"/>
              <w:right w:val="nil"/>
            </w:tcBorders>
            <w:vAlign w:val="center"/>
            <w:hideMark/>
          </w:tcPr>
          <w:p w:rsidR="005E6725" w:rsidRPr="00181407" w:rsidRDefault="005E6725" w:rsidP="00386A88">
            <w:pPr>
              <w:spacing w:after="0" w:line="240" w:lineRule="auto"/>
              <w:rPr>
                <w:rFonts w:ascii="Garamond" w:eastAsia="Times New Roman" w:hAnsi="Garamond" w:cs="Calibri"/>
                <w:color w:val="000000"/>
                <w:szCs w:val="20"/>
                <w:lang w:eastAsia="en-AU"/>
              </w:rPr>
            </w:pPr>
          </w:p>
        </w:tc>
        <w:tc>
          <w:tcPr>
            <w:tcW w:w="2984" w:type="dxa"/>
            <w:tcBorders>
              <w:top w:val="nil"/>
              <w:left w:val="nil"/>
              <w:bottom w:val="nil"/>
              <w:right w:val="nil"/>
            </w:tcBorders>
          </w:tcPr>
          <w:p w:rsidR="005E6725" w:rsidRPr="00181407" w:rsidRDefault="005E6725" w:rsidP="00386A88">
            <w:pPr>
              <w:spacing w:after="0" w:line="240" w:lineRule="auto"/>
              <w:rPr>
                <w:rFonts w:ascii="Garamond" w:eastAsia="Times New Roman" w:hAnsi="Garamond" w:cs="Calibri"/>
                <w:color w:val="000000"/>
                <w:szCs w:val="20"/>
                <w:lang w:eastAsia="en-AU"/>
              </w:rPr>
            </w:pPr>
          </w:p>
        </w:tc>
      </w:tr>
      <w:tr w:rsidR="005E6725" w:rsidRPr="00D55F00" w:rsidTr="00386A88">
        <w:trPr>
          <w:trHeight w:val="302"/>
        </w:trPr>
        <w:tc>
          <w:tcPr>
            <w:tcW w:w="868" w:type="dxa"/>
            <w:tcBorders>
              <w:top w:val="nil"/>
              <w:left w:val="nil"/>
              <w:bottom w:val="nil"/>
              <w:right w:val="nil"/>
            </w:tcBorders>
            <w:shd w:val="clear" w:color="auto" w:fill="auto"/>
            <w:noWrap/>
            <w:hideMark/>
          </w:tcPr>
          <w:p w:rsidR="005E6725" w:rsidRPr="00181407" w:rsidRDefault="005E6725" w:rsidP="00386A88">
            <w:pPr>
              <w:spacing w:after="0" w:line="240" w:lineRule="auto"/>
              <w:jc w:val="right"/>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6</w:t>
            </w:r>
          </w:p>
        </w:tc>
        <w:tc>
          <w:tcPr>
            <w:tcW w:w="2841" w:type="dxa"/>
            <w:tcBorders>
              <w:top w:val="nil"/>
              <w:left w:val="nil"/>
              <w:bottom w:val="nil"/>
              <w:right w:val="nil"/>
            </w:tcBorders>
            <w:shd w:val="clear" w:color="auto" w:fill="auto"/>
            <w:noWrap/>
            <w:hideMark/>
          </w:tcPr>
          <w:p w:rsidR="005E6725" w:rsidRPr="00181407" w:rsidRDefault="005E6725" w:rsidP="00386A88">
            <w:pPr>
              <w:spacing w:after="0" w:line="240" w:lineRule="auto"/>
              <w:jc w:val="right"/>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 xml:space="preserve">1/07/2008 </w:t>
            </w:r>
            <w:r>
              <w:rPr>
                <w:rFonts w:ascii="Garamond" w:eastAsia="Times New Roman" w:hAnsi="Garamond" w:cs="Calibri"/>
                <w:color w:val="000000"/>
                <w:szCs w:val="20"/>
                <w:lang w:eastAsia="en-AU"/>
              </w:rPr>
              <w:t>–</w:t>
            </w:r>
            <w:r w:rsidRPr="00181407">
              <w:rPr>
                <w:rFonts w:ascii="Garamond" w:eastAsia="Times New Roman" w:hAnsi="Garamond" w:cs="Calibri"/>
                <w:color w:val="000000"/>
                <w:szCs w:val="20"/>
                <w:lang w:eastAsia="en-AU"/>
              </w:rPr>
              <w:t xml:space="preserve"> 31/12/2008</w:t>
            </w:r>
          </w:p>
        </w:tc>
        <w:tc>
          <w:tcPr>
            <w:tcW w:w="7103" w:type="dxa"/>
            <w:vMerge w:val="restart"/>
            <w:tcBorders>
              <w:top w:val="nil"/>
              <w:left w:val="nil"/>
              <w:bottom w:val="nil"/>
              <w:right w:val="nil"/>
            </w:tcBorders>
            <w:shd w:val="clear" w:color="auto" w:fill="auto"/>
            <w:hideMark/>
          </w:tcPr>
          <w:p w:rsidR="005E6725" w:rsidRPr="00181407" w:rsidRDefault="005E6725" w:rsidP="00386A88">
            <w:pPr>
              <w:spacing w:after="0" w:line="240" w:lineRule="auto"/>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 xml:space="preserve">Twelve investment options: (Four </w:t>
            </w:r>
            <w:r w:rsidRPr="00181407">
              <w:rPr>
                <w:rFonts w:ascii="Garamond" w:eastAsia="Times New Roman" w:hAnsi="Garamond" w:cs="Calibri"/>
                <w:b/>
                <w:color w:val="000000"/>
                <w:szCs w:val="20"/>
                <w:lang w:eastAsia="en-AU"/>
              </w:rPr>
              <w:t xml:space="preserve">new </w:t>
            </w:r>
            <w:r w:rsidRPr="00181407">
              <w:rPr>
                <w:rFonts w:ascii="Garamond" w:eastAsia="Times New Roman" w:hAnsi="Garamond" w:cs="Calibri"/>
                <w:color w:val="000000"/>
                <w:szCs w:val="20"/>
                <w:lang w:eastAsia="en-AU"/>
              </w:rPr>
              <w:t xml:space="preserve">single asset options): Cash , </w:t>
            </w:r>
            <w:r w:rsidRPr="00181407">
              <w:rPr>
                <w:rFonts w:ascii="Garamond" w:eastAsia="Times New Roman" w:hAnsi="Garamond" w:cs="Calibri"/>
                <w:b/>
                <w:color w:val="000000"/>
                <w:szCs w:val="20"/>
                <w:lang w:eastAsia="en-AU"/>
              </w:rPr>
              <w:t>Australian Fixed Interest</w:t>
            </w:r>
            <w:r w:rsidRPr="00181407">
              <w:rPr>
                <w:rFonts w:ascii="Garamond" w:eastAsia="Times New Roman" w:hAnsi="Garamond" w:cs="Calibri"/>
                <w:color w:val="000000"/>
                <w:szCs w:val="20"/>
                <w:lang w:eastAsia="en-AU"/>
              </w:rPr>
              <w:t xml:space="preserve">, Capital Stable, Conservative Balanced, </w:t>
            </w:r>
            <w:r w:rsidRPr="00181407">
              <w:rPr>
                <w:rFonts w:ascii="Garamond" w:eastAsia="Times New Roman" w:hAnsi="Garamond" w:cs="Calibri"/>
                <w:color w:val="000000"/>
                <w:szCs w:val="20"/>
                <w:u w:val="single"/>
                <w:lang w:eastAsia="en-AU"/>
              </w:rPr>
              <w:t>Balanced</w:t>
            </w:r>
            <w:r w:rsidRPr="00181407">
              <w:rPr>
                <w:rFonts w:ascii="Garamond" w:eastAsia="Times New Roman" w:hAnsi="Garamond" w:cs="Calibri"/>
                <w:color w:val="000000"/>
                <w:szCs w:val="20"/>
                <w:lang w:eastAsia="en-AU"/>
              </w:rPr>
              <w:t xml:space="preserve">, Growth, High-Growth, Socially Responsible High Growth, </w:t>
            </w:r>
            <w:r w:rsidRPr="00181407">
              <w:rPr>
                <w:rFonts w:ascii="Garamond" w:eastAsia="Times New Roman" w:hAnsi="Garamond" w:cs="Calibri"/>
                <w:b/>
                <w:color w:val="000000"/>
                <w:szCs w:val="20"/>
                <w:lang w:eastAsia="en-AU"/>
              </w:rPr>
              <w:t>Listed Property, Australian Shares, International Shares</w:t>
            </w:r>
            <w:r w:rsidRPr="00181407">
              <w:rPr>
                <w:rFonts w:ascii="Garamond" w:eastAsia="Times New Roman" w:hAnsi="Garamond" w:cs="Calibri"/>
                <w:color w:val="000000"/>
                <w:szCs w:val="20"/>
                <w:lang w:eastAsia="en-AU"/>
              </w:rPr>
              <w:t xml:space="preserve">. </w:t>
            </w:r>
          </w:p>
        </w:tc>
        <w:tc>
          <w:tcPr>
            <w:tcW w:w="2984" w:type="dxa"/>
            <w:vMerge w:val="restart"/>
            <w:tcBorders>
              <w:top w:val="nil"/>
              <w:left w:val="nil"/>
              <w:right w:val="nil"/>
            </w:tcBorders>
          </w:tcPr>
          <w:p w:rsidR="005E6725" w:rsidRPr="00181407" w:rsidRDefault="005E6725" w:rsidP="00386A88">
            <w:pPr>
              <w:spacing w:after="0" w:line="240" w:lineRule="auto"/>
              <w:rPr>
                <w:rFonts w:ascii="Garamond" w:eastAsia="Times New Roman" w:hAnsi="Garamond" w:cs="Calibri"/>
                <w:color w:val="000000"/>
                <w:szCs w:val="20"/>
                <w:lang w:eastAsia="en-AU"/>
              </w:rPr>
            </w:pPr>
            <w:r w:rsidRPr="00181407">
              <w:rPr>
                <w:rFonts w:ascii="Garamond" w:eastAsia="Times New Roman" w:hAnsi="Garamond" w:cs="Calibri"/>
                <w:color w:val="000000"/>
                <w:szCs w:val="20"/>
                <w:lang w:eastAsia="en-AU"/>
              </w:rPr>
              <w:t xml:space="preserve">Choose one of 8 pre-mixed options, or </w:t>
            </w:r>
            <w:r>
              <w:rPr>
                <w:rFonts w:ascii="Garamond" w:eastAsia="Times New Roman" w:hAnsi="Garamond" w:cs="Calibri"/>
                <w:color w:val="000000"/>
                <w:szCs w:val="20"/>
                <w:lang w:eastAsia="en-AU"/>
              </w:rPr>
              <w:t>“</w:t>
            </w:r>
            <w:r w:rsidRPr="00181407">
              <w:rPr>
                <w:rFonts w:ascii="Garamond" w:eastAsia="Times New Roman" w:hAnsi="Garamond" w:cs="Calibri"/>
                <w:color w:val="000000"/>
                <w:szCs w:val="20"/>
                <w:lang w:eastAsia="en-AU"/>
              </w:rPr>
              <w:t>Self Select”</w:t>
            </w:r>
            <w:r>
              <w:rPr>
                <w:rFonts w:ascii="Garamond" w:eastAsia="Times New Roman" w:hAnsi="Garamond" w:cs="Calibri"/>
                <w:color w:val="000000"/>
                <w:szCs w:val="20"/>
                <w:lang w:eastAsia="en-AU"/>
              </w:rPr>
              <w:t xml:space="preserve"> –</w:t>
            </w:r>
            <w:r w:rsidRPr="00181407">
              <w:rPr>
                <w:rFonts w:ascii="Garamond" w:eastAsia="Times New Roman" w:hAnsi="Garamond" w:cs="Calibri"/>
                <w:color w:val="000000"/>
                <w:szCs w:val="20"/>
                <w:lang w:eastAsia="en-AU"/>
              </w:rPr>
              <w:t xml:space="preserve"> mix all 12 options for $30 six-month fee, Weekly</w:t>
            </w:r>
          </w:p>
        </w:tc>
      </w:tr>
      <w:tr w:rsidR="005E6725" w:rsidRPr="00D55F00" w:rsidTr="00386A88">
        <w:trPr>
          <w:trHeight w:val="439"/>
        </w:trPr>
        <w:tc>
          <w:tcPr>
            <w:tcW w:w="868" w:type="dxa"/>
            <w:tcBorders>
              <w:top w:val="nil"/>
              <w:left w:val="nil"/>
              <w:bottom w:val="single" w:sz="4" w:space="0" w:color="auto"/>
              <w:right w:val="nil"/>
            </w:tcBorders>
            <w:shd w:val="clear" w:color="auto" w:fill="auto"/>
            <w:noWrap/>
            <w:vAlign w:val="bottom"/>
            <w:hideMark/>
          </w:tcPr>
          <w:p w:rsidR="005E6725" w:rsidRPr="00181407" w:rsidRDefault="005E6725" w:rsidP="00386A88">
            <w:pPr>
              <w:spacing w:after="0" w:line="240" w:lineRule="auto"/>
              <w:jc w:val="center"/>
              <w:rPr>
                <w:rFonts w:eastAsia="Times New Roman" w:cs="Calibri"/>
                <w:color w:val="000000"/>
                <w:szCs w:val="20"/>
                <w:lang w:eastAsia="en-AU"/>
              </w:rPr>
            </w:pPr>
          </w:p>
        </w:tc>
        <w:tc>
          <w:tcPr>
            <w:tcW w:w="2841" w:type="dxa"/>
            <w:tcBorders>
              <w:top w:val="nil"/>
              <w:left w:val="nil"/>
              <w:bottom w:val="single" w:sz="4" w:space="0" w:color="auto"/>
              <w:right w:val="nil"/>
            </w:tcBorders>
            <w:shd w:val="clear" w:color="auto" w:fill="auto"/>
            <w:noWrap/>
            <w:vAlign w:val="bottom"/>
            <w:hideMark/>
          </w:tcPr>
          <w:p w:rsidR="005E6725" w:rsidRPr="00181407" w:rsidRDefault="005E6725" w:rsidP="00386A88">
            <w:pPr>
              <w:spacing w:after="0" w:line="240" w:lineRule="auto"/>
              <w:rPr>
                <w:rFonts w:ascii="Garamond" w:eastAsia="Times New Roman" w:hAnsi="Garamond" w:cs="Calibri"/>
                <w:color w:val="000000"/>
                <w:szCs w:val="20"/>
                <w:lang w:eastAsia="en-AU"/>
              </w:rPr>
            </w:pPr>
          </w:p>
        </w:tc>
        <w:tc>
          <w:tcPr>
            <w:tcW w:w="7103" w:type="dxa"/>
            <w:vMerge/>
            <w:tcBorders>
              <w:top w:val="nil"/>
              <w:left w:val="nil"/>
              <w:bottom w:val="single" w:sz="4" w:space="0" w:color="auto"/>
              <w:right w:val="nil"/>
            </w:tcBorders>
            <w:vAlign w:val="center"/>
            <w:hideMark/>
          </w:tcPr>
          <w:p w:rsidR="005E6725" w:rsidRPr="00181407" w:rsidRDefault="005E6725" w:rsidP="00386A88">
            <w:pPr>
              <w:spacing w:after="0" w:line="240" w:lineRule="auto"/>
              <w:rPr>
                <w:rFonts w:ascii="Garamond" w:eastAsia="Times New Roman" w:hAnsi="Garamond" w:cs="Calibri"/>
                <w:color w:val="000000"/>
                <w:szCs w:val="20"/>
                <w:lang w:eastAsia="en-AU"/>
              </w:rPr>
            </w:pPr>
          </w:p>
        </w:tc>
        <w:tc>
          <w:tcPr>
            <w:tcW w:w="2984" w:type="dxa"/>
            <w:vMerge/>
            <w:tcBorders>
              <w:left w:val="nil"/>
              <w:bottom w:val="single" w:sz="4" w:space="0" w:color="auto"/>
              <w:right w:val="nil"/>
            </w:tcBorders>
          </w:tcPr>
          <w:p w:rsidR="005E6725" w:rsidRPr="00181407" w:rsidRDefault="005E6725" w:rsidP="00386A88">
            <w:pPr>
              <w:spacing w:after="0" w:line="240" w:lineRule="auto"/>
              <w:rPr>
                <w:rFonts w:ascii="Garamond" w:eastAsia="Times New Roman" w:hAnsi="Garamond" w:cs="Calibri"/>
                <w:color w:val="000000"/>
                <w:szCs w:val="20"/>
                <w:lang w:eastAsia="en-AU"/>
              </w:rPr>
            </w:pPr>
          </w:p>
        </w:tc>
      </w:tr>
    </w:tbl>
    <w:p w:rsidR="00633967" w:rsidRDefault="00633967" w:rsidP="005E6725">
      <w:pPr>
        <w:spacing w:after="0" w:line="240" w:lineRule="auto"/>
        <w:rPr>
          <w:rFonts w:ascii="Garamond" w:hAnsi="Garamond"/>
          <w:b/>
          <w:sz w:val="24"/>
        </w:rPr>
        <w:sectPr w:rsidR="00633967" w:rsidSect="00B94F33">
          <w:pgSz w:w="16838" w:h="11906" w:orient="landscape"/>
          <w:pgMar w:top="1440" w:right="1440" w:bottom="1440" w:left="1440" w:header="708" w:footer="708" w:gutter="0"/>
          <w:cols w:space="708"/>
          <w:docGrid w:linePitch="360"/>
        </w:sectPr>
      </w:pPr>
    </w:p>
    <w:p w:rsidR="00633967" w:rsidRDefault="00633967" w:rsidP="00633967">
      <w:pPr>
        <w:spacing w:after="0" w:line="240" w:lineRule="auto"/>
        <w:rPr>
          <w:rFonts w:ascii="Garamond" w:eastAsia="Times New Roman" w:hAnsi="Garamond" w:cs="Calibri"/>
          <w:b/>
          <w:bCs/>
          <w:color w:val="000000"/>
          <w:sz w:val="24"/>
          <w:lang w:eastAsia="en-AU"/>
        </w:rPr>
      </w:pPr>
      <w:r w:rsidRPr="00A32973">
        <w:rPr>
          <w:rFonts w:ascii="Garamond" w:hAnsi="Garamond"/>
          <w:b/>
          <w:sz w:val="24"/>
        </w:rPr>
        <w:lastRenderedPageBreak/>
        <w:t xml:space="preserve">Table </w:t>
      </w:r>
      <w:proofErr w:type="gramStart"/>
      <w:r>
        <w:rPr>
          <w:rFonts w:ascii="Garamond" w:hAnsi="Garamond"/>
          <w:b/>
          <w:sz w:val="24"/>
        </w:rPr>
        <w:t>S</w:t>
      </w:r>
      <w:r w:rsidRPr="00A32973">
        <w:rPr>
          <w:rFonts w:ascii="Garamond" w:hAnsi="Garamond"/>
          <w:b/>
          <w:sz w:val="24"/>
        </w:rPr>
        <w:fldChar w:fldCharType="begin"/>
      </w:r>
      <w:r w:rsidRPr="00A32973">
        <w:rPr>
          <w:rFonts w:ascii="Garamond" w:hAnsi="Garamond"/>
          <w:b/>
          <w:sz w:val="24"/>
        </w:rPr>
        <w:instrText xml:space="preserve"> SEQ Table \* ARABIC </w:instrText>
      </w:r>
      <w:r w:rsidRPr="00A32973">
        <w:rPr>
          <w:rFonts w:ascii="Garamond" w:hAnsi="Garamond"/>
          <w:b/>
          <w:sz w:val="24"/>
        </w:rPr>
        <w:fldChar w:fldCharType="separate"/>
      </w:r>
      <w:r>
        <w:rPr>
          <w:rFonts w:ascii="Garamond" w:hAnsi="Garamond"/>
          <w:b/>
          <w:noProof/>
          <w:sz w:val="24"/>
        </w:rPr>
        <w:t>2</w:t>
      </w:r>
      <w:r w:rsidRPr="00A32973">
        <w:rPr>
          <w:rFonts w:ascii="Garamond" w:hAnsi="Garamond"/>
          <w:b/>
          <w:sz w:val="24"/>
        </w:rPr>
        <w:fldChar w:fldCharType="end"/>
      </w:r>
      <w:r>
        <w:rPr>
          <w:rFonts w:ascii="Garamond" w:hAnsi="Garamond"/>
          <w:b/>
          <w:sz w:val="24"/>
        </w:rPr>
        <w:t xml:space="preserve"> </w:t>
      </w:r>
      <w:r w:rsidRPr="00A32973">
        <w:rPr>
          <w:rFonts w:ascii="Garamond" w:eastAsia="Times New Roman" w:hAnsi="Garamond" w:cs="Calibri"/>
          <w:b/>
          <w:bCs/>
          <w:color w:val="000000"/>
          <w:sz w:val="24"/>
          <w:lang w:eastAsia="en-AU"/>
        </w:rPr>
        <w:t xml:space="preserve">Choice </w:t>
      </w:r>
      <w:r>
        <w:rPr>
          <w:rFonts w:ascii="Garamond" w:eastAsia="Times New Roman" w:hAnsi="Garamond" w:cs="Calibri"/>
          <w:b/>
          <w:bCs/>
          <w:color w:val="000000"/>
          <w:sz w:val="24"/>
          <w:lang w:eastAsia="en-AU"/>
        </w:rPr>
        <w:t>Summary</w:t>
      </w:r>
      <w:proofErr w:type="gramEnd"/>
      <w:r>
        <w:rPr>
          <w:rFonts w:ascii="Garamond" w:eastAsia="Times New Roman" w:hAnsi="Garamond" w:cs="Calibri"/>
          <w:b/>
          <w:bCs/>
          <w:color w:val="000000"/>
          <w:sz w:val="24"/>
          <w:lang w:eastAsia="en-AU"/>
        </w:rPr>
        <w:t xml:space="preserve"> by </w:t>
      </w:r>
      <w:r w:rsidRPr="00A32973">
        <w:rPr>
          <w:rFonts w:ascii="Garamond" w:eastAsia="Times New Roman" w:hAnsi="Garamond" w:cs="Calibri"/>
          <w:b/>
          <w:bCs/>
          <w:color w:val="000000"/>
          <w:sz w:val="24"/>
          <w:lang w:eastAsia="en-AU"/>
        </w:rPr>
        <w:t xml:space="preserve">Calendar Year </w:t>
      </w:r>
      <w:r>
        <w:rPr>
          <w:rFonts w:ascii="Garamond" w:eastAsia="Times New Roman" w:hAnsi="Garamond" w:cs="Calibri"/>
          <w:b/>
          <w:bCs/>
          <w:color w:val="000000"/>
          <w:sz w:val="24"/>
          <w:lang w:eastAsia="en-AU"/>
        </w:rPr>
        <w:t>for Existing and New Member Samples</w:t>
      </w:r>
    </w:p>
    <w:p w:rsidR="00633967" w:rsidRDefault="00633967" w:rsidP="00633967">
      <w:pPr>
        <w:spacing w:after="0" w:line="240" w:lineRule="auto"/>
        <w:rPr>
          <w:rFonts w:ascii="Garamond" w:hAnsi="Garamond"/>
        </w:rPr>
      </w:pPr>
      <w:r w:rsidRPr="00A32973">
        <w:rPr>
          <w:rFonts w:ascii="Garamond" w:hAnsi="Garamond"/>
        </w:rPr>
        <w:t xml:space="preserve">This table summarises member </w:t>
      </w:r>
      <w:r>
        <w:rPr>
          <w:rFonts w:ascii="Garamond" w:hAnsi="Garamond"/>
        </w:rPr>
        <w:t>DB/DC choice for both the Existing and New samples. The italicised numbers provide a breakdown of the investment risk chosen by those who selected the DC option.</w:t>
      </w:r>
    </w:p>
    <w:tbl>
      <w:tblPr>
        <w:tblW w:w="8662" w:type="dxa"/>
        <w:tblInd w:w="93" w:type="dxa"/>
        <w:tblLook w:val="04A0" w:firstRow="1" w:lastRow="0" w:firstColumn="1" w:lastColumn="0" w:noHBand="0" w:noVBand="1"/>
      </w:tblPr>
      <w:tblGrid>
        <w:gridCol w:w="1780"/>
        <w:gridCol w:w="1380"/>
        <w:gridCol w:w="1140"/>
        <w:gridCol w:w="1080"/>
        <w:gridCol w:w="960"/>
        <w:gridCol w:w="1613"/>
        <w:gridCol w:w="883"/>
      </w:tblGrid>
      <w:tr w:rsidR="00633967" w:rsidRPr="00D55F00" w:rsidTr="00386A88">
        <w:trPr>
          <w:trHeight w:val="214"/>
        </w:trPr>
        <w:tc>
          <w:tcPr>
            <w:tcW w:w="1780" w:type="dxa"/>
            <w:tcBorders>
              <w:top w:val="single" w:sz="4" w:space="0" w:color="auto"/>
            </w:tcBorders>
            <w:shd w:val="clear" w:color="auto" w:fill="auto"/>
            <w:noWrap/>
            <w:vAlign w:val="bottom"/>
            <w:hideMark/>
          </w:tcPr>
          <w:p w:rsidR="00633967" w:rsidRPr="00280418" w:rsidRDefault="00633967" w:rsidP="00386A88">
            <w:pPr>
              <w:spacing w:after="0" w:line="240" w:lineRule="auto"/>
              <w:rPr>
                <w:rFonts w:ascii="Garamond" w:eastAsia="Times New Roman" w:hAnsi="Garamond" w:cs="Calibri"/>
                <w:color w:val="000000"/>
                <w:lang w:eastAsia="en-AU"/>
              </w:rPr>
            </w:pPr>
            <w:bookmarkStart w:id="2" w:name="OLE_LINK7"/>
            <w:bookmarkStart w:id="3" w:name="OLE_LINK8"/>
          </w:p>
        </w:tc>
        <w:tc>
          <w:tcPr>
            <w:tcW w:w="1380" w:type="dxa"/>
            <w:tcBorders>
              <w:top w:val="single" w:sz="4" w:space="0" w:color="auto"/>
            </w:tcBorders>
            <w:shd w:val="clear" w:color="auto" w:fill="auto"/>
            <w:noWrap/>
            <w:vAlign w:val="bottom"/>
            <w:hideMark/>
          </w:tcPr>
          <w:p w:rsidR="00633967" w:rsidRPr="00280418" w:rsidRDefault="00633967" w:rsidP="00386A88">
            <w:pPr>
              <w:spacing w:after="0" w:line="240" w:lineRule="auto"/>
              <w:rPr>
                <w:rFonts w:ascii="Garamond" w:eastAsia="Times New Roman" w:hAnsi="Garamond" w:cs="Calibri"/>
                <w:color w:val="000000"/>
                <w:lang w:eastAsia="en-AU"/>
              </w:rPr>
            </w:pPr>
            <w:r w:rsidRPr="00280418">
              <w:rPr>
                <w:rFonts w:ascii="Garamond" w:eastAsia="Times New Roman" w:hAnsi="Garamond" w:cs="Calibri"/>
                <w:color w:val="000000"/>
                <w:lang w:eastAsia="en-AU"/>
              </w:rPr>
              <w:t>Chose DC</w:t>
            </w:r>
          </w:p>
        </w:tc>
        <w:tc>
          <w:tcPr>
            <w:tcW w:w="3180" w:type="dxa"/>
            <w:gridSpan w:val="3"/>
            <w:tcBorders>
              <w:top w:val="single" w:sz="4" w:space="0" w:color="auto"/>
            </w:tcBorders>
            <w:shd w:val="clear" w:color="auto" w:fill="auto"/>
            <w:noWrap/>
            <w:vAlign w:val="bottom"/>
            <w:hideMark/>
          </w:tcPr>
          <w:p w:rsidR="00633967" w:rsidRPr="00280418" w:rsidRDefault="00633967" w:rsidP="00386A88">
            <w:pPr>
              <w:spacing w:after="0" w:line="240" w:lineRule="auto"/>
              <w:jc w:val="center"/>
              <w:rPr>
                <w:rFonts w:ascii="Garamond" w:eastAsia="Times New Roman" w:hAnsi="Garamond" w:cs="Calibri"/>
                <w:color w:val="000000"/>
                <w:lang w:eastAsia="en-AU"/>
              </w:rPr>
            </w:pPr>
            <w:r w:rsidRPr="00280418">
              <w:rPr>
                <w:rFonts w:ascii="Garamond" w:eastAsia="Times New Roman" w:hAnsi="Garamond" w:cs="Calibri"/>
                <w:color w:val="000000"/>
                <w:lang w:eastAsia="en-AU"/>
              </w:rPr>
              <w:t>DC Investment Risk</w:t>
            </w:r>
          </w:p>
        </w:tc>
        <w:tc>
          <w:tcPr>
            <w:tcW w:w="1613" w:type="dxa"/>
            <w:tcBorders>
              <w:top w:val="single" w:sz="4" w:space="0" w:color="auto"/>
            </w:tcBorders>
            <w:shd w:val="clear" w:color="auto" w:fill="auto"/>
            <w:noWrap/>
            <w:vAlign w:val="bottom"/>
            <w:hideMark/>
          </w:tcPr>
          <w:p w:rsidR="00633967" w:rsidRPr="00280418" w:rsidRDefault="00633967" w:rsidP="00386A88">
            <w:pPr>
              <w:spacing w:after="0" w:line="240" w:lineRule="auto"/>
              <w:jc w:val="center"/>
              <w:rPr>
                <w:rFonts w:ascii="Garamond" w:eastAsia="Times New Roman" w:hAnsi="Garamond" w:cs="Calibri"/>
                <w:color w:val="000000"/>
                <w:lang w:eastAsia="en-AU"/>
              </w:rPr>
            </w:pPr>
            <w:r w:rsidRPr="00280418">
              <w:rPr>
                <w:rFonts w:ascii="Garamond" w:eastAsia="Times New Roman" w:hAnsi="Garamond" w:cs="Calibri"/>
                <w:color w:val="000000"/>
                <w:lang w:eastAsia="en-AU"/>
              </w:rPr>
              <w:t>Remain DB</w:t>
            </w:r>
          </w:p>
        </w:tc>
        <w:tc>
          <w:tcPr>
            <w:tcW w:w="709" w:type="dxa"/>
            <w:tcBorders>
              <w:top w:val="single" w:sz="4" w:space="0" w:color="auto"/>
            </w:tcBorders>
            <w:shd w:val="clear" w:color="auto" w:fill="auto"/>
            <w:noWrap/>
            <w:vAlign w:val="bottom"/>
            <w:hideMark/>
          </w:tcPr>
          <w:p w:rsidR="00633967" w:rsidRPr="00280418" w:rsidRDefault="00633967" w:rsidP="00386A88">
            <w:pPr>
              <w:spacing w:after="0" w:line="240" w:lineRule="auto"/>
              <w:rPr>
                <w:rFonts w:ascii="Garamond" w:eastAsia="Times New Roman" w:hAnsi="Garamond" w:cs="Calibri"/>
                <w:color w:val="000000"/>
                <w:lang w:eastAsia="en-AU"/>
              </w:rPr>
            </w:pPr>
            <w:r w:rsidRPr="00280418">
              <w:rPr>
                <w:rFonts w:ascii="Garamond" w:eastAsia="Times New Roman" w:hAnsi="Garamond" w:cs="Calibri"/>
                <w:color w:val="000000"/>
                <w:lang w:eastAsia="en-AU"/>
              </w:rPr>
              <w:t>Total</w:t>
            </w:r>
          </w:p>
        </w:tc>
      </w:tr>
      <w:tr w:rsidR="00633967" w:rsidRPr="00D55F00" w:rsidTr="00386A88">
        <w:trPr>
          <w:trHeight w:val="350"/>
        </w:trPr>
        <w:tc>
          <w:tcPr>
            <w:tcW w:w="1780" w:type="dxa"/>
            <w:tcBorders>
              <w:bottom w:val="single" w:sz="4" w:space="0" w:color="auto"/>
            </w:tcBorders>
            <w:shd w:val="clear" w:color="auto" w:fill="auto"/>
            <w:noWrap/>
            <w:vAlign w:val="bottom"/>
            <w:hideMark/>
          </w:tcPr>
          <w:p w:rsidR="00633967" w:rsidRPr="00280418" w:rsidRDefault="00633967" w:rsidP="00386A88">
            <w:pPr>
              <w:spacing w:after="0" w:line="240" w:lineRule="auto"/>
              <w:rPr>
                <w:rFonts w:ascii="Garamond" w:eastAsia="Times New Roman" w:hAnsi="Garamond" w:cs="Calibri"/>
                <w:color w:val="000000"/>
                <w:lang w:eastAsia="en-AU"/>
              </w:rPr>
            </w:pPr>
            <w:r>
              <w:rPr>
                <w:rFonts w:ascii="Garamond" w:eastAsia="Times New Roman" w:hAnsi="Garamond" w:cs="Calibri"/>
                <w:color w:val="000000"/>
                <w:lang w:eastAsia="en-AU"/>
              </w:rPr>
              <w:t xml:space="preserve">Calendar </w:t>
            </w:r>
            <w:r w:rsidRPr="00280418">
              <w:rPr>
                <w:rFonts w:ascii="Garamond" w:eastAsia="Times New Roman" w:hAnsi="Garamond" w:cs="Calibri"/>
                <w:color w:val="000000"/>
                <w:lang w:eastAsia="en-AU"/>
              </w:rPr>
              <w:t>Year</w:t>
            </w:r>
          </w:p>
        </w:tc>
        <w:tc>
          <w:tcPr>
            <w:tcW w:w="1380" w:type="dxa"/>
            <w:tcBorders>
              <w:bottom w:val="single" w:sz="4" w:space="0" w:color="auto"/>
            </w:tcBorders>
            <w:shd w:val="clear" w:color="auto" w:fill="auto"/>
            <w:vAlign w:val="bottom"/>
            <w:hideMark/>
          </w:tcPr>
          <w:p w:rsidR="00633967" w:rsidRPr="00280418" w:rsidRDefault="00633967" w:rsidP="00386A88">
            <w:pPr>
              <w:spacing w:after="0" w:line="240" w:lineRule="auto"/>
              <w:jc w:val="center"/>
              <w:rPr>
                <w:rFonts w:ascii="Garamond" w:eastAsia="Times New Roman" w:hAnsi="Garamond" w:cs="Calibri"/>
                <w:color w:val="000000"/>
                <w:lang w:eastAsia="en-AU"/>
              </w:rPr>
            </w:pPr>
          </w:p>
        </w:tc>
        <w:tc>
          <w:tcPr>
            <w:tcW w:w="1140" w:type="dxa"/>
            <w:tcBorders>
              <w:bottom w:val="single" w:sz="4" w:space="0" w:color="auto"/>
            </w:tcBorders>
            <w:shd w:val="clear" w:color="auto" w:fill="auto"/>
            <w:vAlign w:val="bottom"/>
            <w:hideMark/>
          </w:tcPr>
          <w:p w:rsidR="00633967" w:rsidRPr="00280418" w:rsidRDefault="00633967" w:rsidP="00386A88">
            <w:pPr>
              <w:spacing w:after="0" w:line="240" w:lineRule="auto"/>
              <w:jc w:val="center"/>
              <w:rPr>
                <w:rFonts w:ascii="Garamond" w:eastAsia="Times New Roman" w:hAnsi="Garamond" w:cs="Calibri"/>
                <w:color w:val="000000"/>
                <w:lang w:eastAsia="en-AU"/>
              </w:rPr>
            </w:pPr>
            <w:r w:rsidRPr="00280418">
              <w:rPr>
                <w:rFonts w:ascii="Garamond" w:eastAsia="Times New Roman" w:hAnsi="Garamond" w:cs="Calibri"/>
                <w:color w:val="000000"/>
                <w:lang w:eastAsia="en-AU"/>
              </w:rPr>
              <w:t>Sam</w:t>
            </w:r>
            <w:r>
              <w:rPr>
                <w:rFonts w:ascii="Garamond" w:eastAsia="Times New Roman" w:hAnsi="Garamond" w:cs="Calibri"/>
                <w:color w:val="000000"/>
                <w:lang w:eastAsia="en-AU"/>
              </w:rPr>
              <w:t>e</w:t>
            </w:r>
          </w:p>
        </w:tc>
        <w:tc>
          <w:tcPr>
            <w:tcW w:w="1080" w:type="dxa"/>
            <w:tcBorders>
              <w:bottom w:val="single" w:sz="4" w:space="0" w:color="auto"/>
            </w:tcBorders>
            <w:shd w:val="clear" w:color="auto" w:fill="auto"/>
            <w:vAlign w:val="bottom"/>
            <w:hideMark/>
          </w:tcPr>
          <w:p w:rsidR="00633967" w:rsidRPr="00280418" w:rsidRDefault="00633967" w:rsidP="00386A88">
            <w:pPr>
              <w:spacing w:after="0" w:line="240" w:lineRule="auto"/>
              <w:jc w:val="center"/>
              <w:rPr>
                <w:rFonts w:ascii="Garamond" w:eastAsia="Times New Roman" w:hAnsi="Garamond" w:cs="Calibri"/>
                <w:color w:val="000000"/>
                <w:lang w:eastAsia="en-AU"/>
              </w:rPr>
            </w:pPr>
            <w:r w:rsidRPr="00280418">
              <w:rPr>
                <w:rFonts w:ascii="Garamond" w:eastAsia="Times New Roman" w:hAnsi="Garamond" w:cs="Calibri"/>
                <w:color w:val="000000"/>
                <w:lang w:eastAsia="en-AU"/>
              </w:rPr>
              <w:t>Lower</w:t>
            </w:r>
          </w:p>
        </w:tc>
        <w:tc>
          <w:tcPr>
            <w:tcW w:w="960" w:type="dxa"/>
            <w:tcBorders>
              <w:bottom w:val="single" w:sz="4" w:space="0" w:color="auto"/>
            </w:tcBorders>
            <w:shd w:val="clear" w:color="auto" w:fill="auto"/>
            <w:vAlign w:val="bottom"/>
            <w:hideMark/>
          </w:tcPr>
          <w:p w:rsidR="00633967" w:rsidRPr="00280418" w:rsidRDefault="00633967" w:rsidP="00386A88">
            <w:pPr>
              <w:spacing w:after="0" w:line="240" w:lineRule="auto"/>
              <w:jc w:val="center"/>
              <w:rPr>
                <w:rFonts w:ascii="Garamond" w:eastAsia="Times New Roman" w:hAnsi="Garamond" w:cs="Calibri"/>
                <w:color w:val="000000"/>
                <w:lang w:eastAsia="en-AU"/>
              </w:rPr>
            </w:pPr>
            <w:r w:rsidRPr="00280418">
              <w:rPr>
                <w:rFonts w:ascii="Garamond" w:eastAsia="Times New Roman" w:hAnsi="Garamond" w:cs="Calibri"/>
                <w:color w:val="000000"/>
                <w:lang w:eastAsia="en-AU"/>
              </w:rPr>
              <w:t>Higher</w:t>
            </w:r>
          </w:p>
        </w:tc>
        <w:tc>
          <w:tcPr>
            <w:tcW w:w="1613" w:type="dxa"/>
            <w:tcBorders>
              <w:bottom w:val="single" w:sz="4" w:space="0" w:color="auto"/>
            </w:tcBorders>
            <w:shd w:val="clear" w:color="auto" w:fill="auto"/>
            <w:vAlign w:val="bottom"/>
            <w:hideMark/>
          </w:tcPr>
          <w:p w:rsidR="00633967" w:rsidRPr="00280418" w:rsidRDefault="00633967" w:rsidP="00386A88">
            <w:pPr>
              <w:spacing w:after="0" w:line="240" w:lineRule="auto"/>
              <w:jc w:val="center"/>
              <w:rPr>
                <w:rFonts w:ascii="Garamond" w:eastAsia="Times New Roman" w:hAnsi="Garamond" w:cs="Calibri"/>
                <w:color w:val="000000"/>
                <w:lang w:eastAsia="en-AU"/>
              </w:rPr>
            </w:pPr>
          </w:p>
        </w:tc>
        <w:tc>
          <w:tcPr>
            <w:tcW w:w="709" w:type="dxa"/>
            <w:tcBorders>
              <w:bottom w:val="single" w:sz="4" w:space="0" w:color="auto"/>
            </w:tcBorders>
            <w:shd w:val="clear" w:color="auto" w:fill="auto"/>
            <w:vAlign w:val="bottom"/>
            <w:hideMark/>
          </w:tcPr>
          <w:p w:rsidR="00633967" w:rsidRPr="00280418" w:rsidRDefault="00633967" w:rsidP="00386A88">
            <w:pPr>
              <w:spacing w:after="0" w:line="240" w:lineRule="auto"/>
              <w:jc w:val="center"/>
              <w:rPr>
                <w:rFonts w:ascii="Garamond" w:eastAsia="Times New Roman" w:hAnsi="Garamond" w:cs="Calibri"/>
                <w:color w:val="000000"/>
                <w:lang w:eastAsia="en-AU"/>
              </w:rPr>
            </w:pPr>
          </w:p>
        </w:tc>
      </w:tr>
      <w:tr w:rsidR="00633967" w:rsidRPr="00D55F00" w:rsidTr="00386A88">
        <w:trPr>
          <w:trHeight w:hRule="exact" w:val="284"/>
        </w:trPr>
        <w:tc>
          <w:tcPr>
            <w:tcW w:w="8662" w:type="dxa"/>
            <w:gridSpan w:val="7"/>
            <w:tcBorders>
              <w:top w:val="single" w:sz="4" w:space="0" w:color="auto"/>
            </w:tcBorders>
            <w:shd w:val="clear" w:color="auto" w:fill="auto"/>
            <w:noWrap/>
            <w:vAlign w:val="bottom"/>
            <w:hideMark/>
          </w:tcPr>
          <w:p w:rsidR="00633967" w:rsidRPr="00280418" w:rsidRDefault="00633967" w:rsidP="00386A88">
            <w:pPr>
              <w:spacing w:after="0" w:line="240" w:lineRule="auto"/>
              <w:jc w:val="center"/>
              <w:rPr>
                <w:rFonts w:ascii="Garamond" w:eastAsia="Times New Roman" w:hAnsi="Garamond" w:cs="Calibri"/>
                <w:color w:val="000000"/>
                <w:lang w:eastAsia="en-AU"/>
              </w:rPr>
            </w:pPr>
            <w:r w:rsidRPr="00280418">
              <w:rPr>
                <w:rFonts w:ascii="Garamond" w:eastAsia="Times New Roman" w:hAnsi="Garamond" w:cs="Calibri"/>
                <w:color w:val="000000"/>
                <w:lang w:eastAsia="en-AU"/>
              </w:rPr>
              <w:t>Existing</w:t>
            </w:r>
            <w:r>
              <w:rPr>
                <w:rFonts w:ascii="Garamond" w:eastAsia="Times New Roman" w:hAnsi="Garamond" w:cs="Calibri"/>
                <w:color w:val="000000"/>
                <w:lang w:eastAsia="en-AU"/>
              </w:rPr>
              <w:t xml:space="preserve"> Sample</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color w:val="000000"/>
                <w:lang w:eastAsia="en-AU"/>
              </w:rPr>
            </w:pPr>
            <w:r w:rsidRPr="00280418">
              <w:rPr>
                <w:rFonts w:ascii="Garamond" w:eastAsia="Times New Roman" w:hAnsi="Garamond" w:cs="Calibri"/>
                <w:color w:val="000000"/>
                <w:lang w:eastAsia="en-AU"/>
              </w:rPr>
              <w:t>1998</w:t>
            </w: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1,504</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640</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277</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587</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2,622</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4,126</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i/>
                <w:iCs/>
                <w:color w:val="000000"/>
                <w:lang w:eastAsia="en-AU"/>
              </w:rPr>
            </w:pP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36.45%</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42.55%</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18.42%</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39.03%</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63.55%</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100%</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color w:val="000000"/>
                <w:lang w:eastAsia="en-AU"/>
              </w:rPr>
            </w:pPr>
            <w:r w:rsidRPr="00280418">
              <w:rPr>
                <w:rFonts w:ascii="Garamond" w:eastAsia="Times New Roman" w:hAnsi="Garamond" w:cs="Calibri"/>
                <w:color w:val="000000"/>
                <w:lang w:eastAsia="en-AU"/>
              </w:rPr>
              <w:t>1999</w:t>
            </w: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11,986</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6,212</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2,337</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3,437</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25,203</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37,189</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jc w:val="right"/>
              <w:rPr>
                <w:rFonts w:ascii="Garamond" w:eastAsia="Times New Roman" w:hAnsi="Garamond" w:cs="Calibri"/>
                <w:i/>
                <w:iCs/>
                <w:color w:val="000000"/>
                <w:lang w:eastAsia="en-AU"/>
              </w:rPr>
            </w:pP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32.23%</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51.83%</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19.50%</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28.68%</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67.77%</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100%</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i/>
                <w:iCs/>
                <w:color w:val="000000"/>
                <w:lang w:eastAsia="en-AU"/>
              </w:rPr>
            </w:pPr>
            <w:r w:rsidRPr="00280418">
              <w:rPr>
                <w:rFonts w:ascii="Garamond" w:eastAsia="Times New Roman" w:hAnsi="Garamond" w:cs="Calibri"/>
                <w:i/>
                <w:iCs/>
                <w:color w:val="000000"/>
                <w:lang w:eastAsia="en-AU"/>
              </w:rPr>
              <w:t xml:space="preserve">n </w:t>
            </w: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13,490</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6,852</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2,614</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4,024</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27,825</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41,315</w:t>
            </w:r>
          </w:p>
        </w:tc>
      </w:tr>
      <w:tr w:rsidR="00633967" w:rsidRPr="00D55F00" w:rsidTr="00386A88">
        <w:trPr>
          <w:trHeight w:hRule="exact" w:val="284"/>
        </w:trPr>
        <w:tc>
          <w:tcPr>
            <w:tcW w:w="1780" w:type="dxa"/>
            <w:tcBorders>
              <w:bottom w:val="single" w:sz="4" w:space="0" w:color="auto"/>
            </w:tcBorders>
            <w:shd w:val="clear" w:color="auto" w:fill="auto"/>
            <w:noWrap/>
            <w:vAlign w:val="bottom"/>
            <w:hideMark/>
          </w:tcPr>
          <w:p w:rsidR="00633967" w:rsidRPr="00280418" w:rsidRDefault="00633967" w:rsidP="00386A88">
            <w:pPr>
              <w:spacing w:after="0" w:line="240" w:lineRule="auto"/>
              <w:rPr>
                <w:rFonts w:ascii="Garamond" w:eastAsia="Times New Roman" w:hAnsi="Garamond" w:cs="Calibri"/>
                <w:i/>
                <w:iCs/>
                <w:color w:val="000000"/>
                <w:lang w:eastAsia="en-AU"/>
              </w:rPr>
            </w:pPr>
          </w:p>
        </w:tc>
        <w:tc>
          <w:tcPr>
            <w:tcW w:w="1380" w:type="dxa"/>
            <w:tcBorders>
              <w:bottom w:val="single" w:sz="4" w:space="0" w:color="auto"/>
            </w:tcBorders>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32.65%</w:t>
            </w:r>
          </w:p>
        </w:tc>
        <w:tc>
          <w:tcPr>
            <w:tcW w:w="1140" w:type="dxa"/>
            <w:tcBorders>
              <w:bottom w:val="single" w:sz="4" w:space="0" w:color="auto"/>
            </w:tcBorders>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50.79%</w:t>
            </w:r>
          </w:p>
        </w:tc>
        <w:tc>
          <w:tcPr>
            <w:tcW w:w="1080" w:type="dxa"/>
            <w:tcBorders>
              <w:bottom w:val="single" w:sz="4" w:space="0" w:color="auto"/>
            </w:tcBorders>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19.38%</w:t>
            </w:r>
          </w:p>
        </w:tc>
        <w:tc>
          <w:tcPr>
            <w:tcW w:w="960" w:type="dxa"/>
            <w:tcBorders>
              <w:bottom w:val="single" w:sz="4" w:space="0" w:color="auto"/>
            </w:tcBorders>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29.83%</w:t>
            </w:r>
          </w:p>
        </w:tc>
        <w:tc>
          <w:tcPr>
            <w:tcW w:w="1613" w:type="dxa"/>
            <w:tcBorders>
              <w:bottom w:val="single" w:sz="4" w:space="0" w:color="auto"/>
            </w:tcBorders>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67.35%</w:t>
            </w:r>
          </w:p>
        </w:tc>
        <w:tc>
          <w:tcPr>
            <w:tcW w:w="709" w:type="dxa"/>
            <w:tcBorders>
              <w:bottom w:val="single" w:sz="4" w:space="0" w:color="auto"/>
            </w:tcBorders>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100%</w:t>
            </w:r>
          </w:p>
        </w:tc>
      </w:tr>
      <w:tr w:rsidR="00633967" w:rsidRPr="00D55F00" w:rsidTr="00386A88">
        <w:trPr>
          <w:trHeight w:hRule="exact" w:val="284"/>
        </w:trPr>
        <w:tc>
          <w:tcPr>
            <w:tcW w:w="8662" w:type="dxa"/>
            <w:gridSpan w:val="7"/>
            <w:tcBorders>
              <w:top w:val="single" w:sz="4" w:space="0" w:color="auto"/>
            </w:tcBorders>
            <w:shd w:val="clear" w:color="auto" w:fill="auto"/>
            <w:noWrap/>
            <w:vAlign w:val="bottom"/>
            <w:hideMark/>
          </w:tcPr>
          <w:p w:rsidR="00633967" w:rsidRPr="00280418" w:rsidRDefault="00633967" w:rsidP="00386A88">
            <w:pPr>
              <w:spacing w:after="0" w:line="240" w:lineRule="auto"/>
              <w:jc w:val="center"/>
              <w:rPr>
                <w:rFonts w:ascii="Garamond" w:eastAsia="Times New Roman" w:hAnsi="Garamond" w:cs="Calibri"/>
                <w:color w:val="000000"/>
                <w:lang w:eastAsia="en-AU"/>
              </w:rPr>
            </w:pPr>
            <w:r w:rsidRPr="00280418">
              <w:rPr>
                <w:rFonts w:ascii="Garamond" w:eastAsia="Times New Roman" w:hAnsi="Garamond" w:cs="Calibri"/>
                <w:iCs/>
                <w:color w:val="000000"/>
                <w:lang w:eastAsia="en-AU"/>
              </w:rPr>
              <w:t>New</w:t>
            </w:r>
            <w:r>
              <w:rPr>
                <w:rFonts w:ascii="Garamond" w:eastAsia="Times New Roman" w:hAnsi="Garamond" w:cs="Calibri"/>
                <w:iCs/>
                <w:color w:val="000000"/>
                <w:lang w:eastAsia="en-AU"/>
              </w:rPr>
              <w:t xml:space="preserve"> Sample</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color w:val="000000"/>
                <w:lang w:eastAsia="en-AU"/>
              </w:rPr>
            </w:pPr>
            <w:r w:rsidRPr="00280418">
              <w:rPr>
                <w:rFonts w:ascii="Garamond" w:eastAsia="Times New Roman" w:hAnsi="Garamond" w:cs="Calibri"/>
                <w:color w:val="000000"/>
                <w:lang w:eastAsia="en-AU"/>
              </w:rPr>
              <w:t>1999</w:t>
            </w: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2,605</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1,120</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494</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991</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2,035</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4,640</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i/>
                <w:iCs/>
                <w:color w:val="000000"/>
                <w:lang w:eastAsia="en-AU"/>
              </w:rPr>
            </w:pP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56.14%</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42.99%</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18.96%</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38.04%</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43.86%</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100%</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color w:val="000000"/>
                <w:lang w:eastAsia="en-AU"/>
              </w:rPr>
            </w:pPr>
            <w:r w:rsidRPr="00280418">
              <w:rPr>
                <w:rFonts w:ascii="Garamond" w:eastAsia="Times New Roman" w:hAnsi="Garamond" w:cs="Calibri"/>
                <w:color w:val="000000"/>
                <w:lang w:eastAsia="en-AU"/>
              </w:rPr>
              <w:t>2000</w:t>
            </w: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3,454</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1,496</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667</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1,291</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4,282</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7,736</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i/>
                <w:iCs/>
                <w:color w:val="000000"/>
                <w:lang w:eastAsia="en-AU"/>
              </w:rPr>
            </w:pP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44.65%</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43.31%</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19.31%</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37.38%</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55.35%</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100%</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color w:val="000000"/>
                <w:lang w:eastAsia="en-AU"/>
              </w:rPr>
            </w:pPr>
            <w:r w:rsidRPr="00280418">
              <w:rPr>
                <w:rFonts w:ascii="Garamond" w:eastAsia="Times New Roman" w:hAnsi="Garamond" w:cs="Calibri"/>
                <w:color w:val="000000"/>
                <w:lang w:eastAsia="en-AU"/>
              </w:rPr>
              <w:t>2001</w:t>
            </w: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2,475</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1,204</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452</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819</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4,579</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7,054</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i/>
                <w:iCs/>
                <w:color w:val="000000"/>
                <w:lang w:eastAsia="en-AU"/>
              </w:rPr>
            </w:pP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35.09%</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48.65%</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18.26%</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33.09%</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64.91%</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100%</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color w:val="000000"/>
                <w:lang w:eastAsia="en-AU"/>
              </w:rPr>
            </w:pPr>
            <w:r w:rsidRPr="00280418">
              <w:rPr>
                <w:rFonts w:ascii="Garamond" w:eastAsia="Times New Roman" w:hAnsi="Garamond" w:cs="Calibri"/>
                <w:color w:val="000000"/>
                <w:lang w:eastAsia="en-AU"/>
              </w:rPr>
              <w:t>2002</w:t>
            </w: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2,319</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1,210</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444</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665</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5,302</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7,621</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i/>
                <w:iCs/>
                <w:color w:val="000000"/>
                <w:lang w:eastAsia="en-AU"/>
              </w:rPr>
            </w:pP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30.43%</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52.18%</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19.15%</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28.68%</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69.57%</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100%</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color w:val="000000"/>
                <w:lang w:eastAsia="en-AU"/>
              </w:rPr>
            </w:pPr>
            <w:r w:rsidRPr="00280418">
              <w:rPr>
                <w:rFonts w:ascii="Garamond" w:eastAsia="Times New Roman" w:hAnsi="Garamond" w:cs="Calibri"/>
                <w:color w:val="000000"/>
                <w:lang w:eastAsia="en-AU"/>
              </w:rPr>
              <w:t>2003</w:t>
            </w: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2,096</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834</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364</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898</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6,033</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8,129</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i/>
                <w:iCs/>
                <w:color w:val="000000"/>
                <w:lang w:eastAsia="en-AU"/>
              </w:rPr>
            </w:pP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25.78%</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39.79%</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17.37%</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42.84%</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74.22%</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100%</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color w:val="000000"/>
                <w:lang w:eastAsia="en-AU"/>
              </w:rPr>
            </w:pPr>
            <w:r w:rsidRPr="00280418">
              <w:rPr>
                <w:rFonts w:ascii="Garamond" w:eastAsia="Times New Roman" w:hAnsi="Garamond" w:cs="Calibri"/>
                <w:color w:val="000000"/>
                <w:lang w:eastAsia="en-AU"/>
              </w:rPr>
              <w:t>2004</w:t>
            </w: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2,471</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1,098</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167</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1,206</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6,041</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8,512</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i/>
                <w:iCs/>
                <w:color w:val="000000"/>
                <w:lang w:eastAsia="en-AU"/>
              </w:rPr>
            </w:pP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29.03%</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44.44%</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6.76%</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48.81%</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70.97%</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100%</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color w:val="000000"/>
                <w:lang w:eastAsia="en-AU"/>
              </w:rPr>
            </w:pPr>
            <w:r w:rsidRPr="00280418">
              <w:rPr>
                <w:rFonts w:ascii="Garamond" w:eastAsia="Times New Roman" w:hAnsi="Garamond" w:cs="Calibri"/>
                <w:color w:val="000000"/>
                <w:lang w:eastAsia="en-AU"/>
              </w:rPr>
              <w:t>2005</w:t>
            </w: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1,838</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793</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120</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925</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5,459</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7,297</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i/>
                <w:iCs/>
                <w:color w:val="000000"/>
                <w:lang w:eastAsia="en-AU"/>
              </w:rPr>
            </w:pP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25.19%</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43.14%</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6.53%</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50.33%</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74.81%</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100%</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color w:val="000000"/>
                <w:lang w:eastAsia="en-AU"/>
              </w:rPr>
            </w:pPr>
            <w:r w:rsidRPr="00280418">
              <w:rPr>
                <w:rFonts w:ascii="Garamond" w:eastAsia="Times New Roman" w:hAnsi="Garamond" w:cs="Calibri"/>
                <w:color w:val="000000"/>
                <w:lang w:eastAsia="en-AU"/>
              </w:rPr>
              <w:t>2006</w:t>
            </w: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870</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404</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56</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410</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6,559</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7,429</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i/>
                <w:iCs/>
                <w:color w:val="000000"/>
                <w:lang w:eastAsia="en-AU"/>
              </w:rPr>
            </w:pP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11.71%</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46.44%</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6.44%</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47.13%</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88.29%</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100%</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color w:val="000000"/>
                <w:lang w:eastAsia="en-AU"/>
              </w:rPr>
            </w:pPr>
            <w:r w:rsidRPr="00280418">
              <w:rPr>
                <w:rFonts w:ascii="Garamond" w:eastAsia="Times New Roman" w:hAnsi="Garamond" w:cs="Calibri"/>
                <w:color w:val="000000"/>
                <w:lang w:eastAsia="en-AU"/>
              </w:rPr>
              <w:t>2007</w:t>
            </w: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262</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55</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23</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184</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5,945</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6,207</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i/>
                <w:iCs/>
                <w:color w:val="000000"/>
                <w:lang w:eastAsia="en-AU"/>
              </w:rPr>
            </w:pP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4.22%</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20.99%</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8.78%</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70.23%</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95.78%</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100%</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color w:val="000000"/>
                <w:lang w:eastAsia="en-AU"/>
              </w:rPr>
            </w:pPr>
            <w:r w:rsidRPr="00280418">
              <w:rPr>
                <w:rFonts w:ascii="Garamond" w:eastAsia="Times New Roman" w:hAnsi="Garamond" w:cs="Calibri"/>
                <w:color w:val="000000"/>
                <w:lang w:eastAsia="en-AU"/>
              </w:rPr>
              <w:t>2008</w:t>
            </w: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541</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118</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52</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371</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6,702</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7,243</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color w:val="000000"/>
                <w:lang w:eastAsia="en-AU"/>
              </w:rPr>
            </w:pP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7.47%</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21.81%</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9.61%</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68.58%</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92.53%</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100%</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color w:val="000000"/>
                <w:lang w:eastAsia="en-AU"/>
              </w:rPr>
            </w:pPr>
            <w:r w:rsidRPr="00280418">
              <w:rPr>
                <w:rFonts w:ascii="Garamond" w:eastAsia="Times New Roman" w:hAnsi="Garamond" w:cs="Calibri"/>
                <w:color w:val="000000"/>
                <w:lang w:eastAsia="en-AU"/>
              </w:rPr>
              <w:t>2009</w:t>
            </w: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1,074</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225</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100</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749</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8,433</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9,507</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color w:val="000000"/>
                <w:lang w:eastAsia="en-AU"/>
              </w:rPr>
            </w:pP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11.30%</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20.95%</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9.31%</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69.74%</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88.70%</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100%</w:t>
            </w:r>
          </w:p>
        </w:tc>
      </w:tr>
      <w:tr w:rsidR="00633967" w:rsidRPr="00D55F00" w:rsidTr="00386A88">
        <w:trPr>
          <w:trHeight w:hRule="exact" w:val="284"/>
        </w:trPr>
        <w:tc>
          <w:tcPr>
            <w:tcW w:w="1780" w:type="dxa"/>
            <w:shd w:val="clear" w:color="auto" w:fill="auto"/>
            <w:noWrap/>
            <w:vAlign w:val="bottom"/>
            <w:hideMark/>
          </w:tcPr>
          <w:p w:rsidR="00633967" w:rsidRPr="00280418" w:rsidRDefault="00633967" w:rsidP="00386A88">
            <w:pPr>
              <w:spacing w:after="0" w:line="240" w:lineRule="auto"/>
              <w:rPr>
                <w:rFonts w:ascii="Garamond" w:eastAsia="Times New Roman" w:hAnsi="Garamond" w:cs="Calibri"/>
                <w:i/>
                <w:iCs/>
                <w:color w:val="000000"/>
                <w:lang w:eastAsia="en-AU"/>
              </w:rPr>
            </w:pPr>
            <w:r w:rsidRPr="00280418">
              <w:rPr>
                <w:rFonts w:ascii="Garamond" w:eastAsia="Times New Roman" w:hAnsi="Garamond" w:cs="Calibri"/>
                <w:i/>
                <w:iCs/>
                <w:color w:val="000000"/>
                <w:lang w:eastAsia="en-AU"/>
              </w:rPr>
              <w:t>n</w:t>
            </w:r>
          </w:p>
        </w:tc>
        <w:tc>
          <w:tcPr>
            <w:tcW w:w="1380"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20,005</w:t>
            </w:r>
          </w:p>
        </w:tc>
        <w:tc>
          <w:tcPr>
            <w:tcW w:w="114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9,670</w:t>
            </w:r>
          </w:p>
        </w:tc>
        <w:tc>
          <w:tcPr>
            <w:tcW w:w="108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2,883</w:t>
            </w:r>
          </w:p>
        </w:tc>
        <w:tc>
          <w:tcPr>
            <w:tcW w:w="960" w:type="dxa"/>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7,600</w:t>
            </w:r>
          </w:p>
        </w:tc>
        <w:tc>
          <w:tcPr>
            <w:tcW w:w="1613"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61,370</w:t>
            </w:r>
          </w:p>
        </w:tc>
        <w:tc>
          <w:tcPr>
            <w:tcW w:w="709" w:type="dxa"/>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81,375</w:t>
            </w:r>
          </w:p>
        </w:tc>
      </w:tr>
      <w:tr w:rsidR="00633967" w:rsidRPr="00D55F00" w:rsidTr="00386A88">
        <w:trPr>
          <w:trHeight w:hRule="exact" w:val="284"/>
        </w:trPr>
        <w:tc>
          <w:tcPr>
            <w:tcW w:w="1780" w:type="dxa"/>
            <w:tcBorders>
              <w:bottom w:val="single" w:sz="4" w:space="0" w:color="auto"/>
            </w:tcBorders>
            <w:shd w:val="clear" w:color="auto" w:fill="auto"/>
            <w:noWrap/>
            <w:vAlign w:val="bottom"/>
            <w:hideMark/>
          </w:tcPr>
          <w:p w:rsidR="00633967" w:rsidRPr="00280418" w:rsidRDefault="00633967" w:rsidP="00386A88">
            <w:pPr>
              <w:spacing w:after="0" w:line="240" w:lineRule="auto"/>
              <w:rPr>
                <w:rFonts w:ascii="Garamond" w:eastAsia="Times New Roman" w:hAnsi="Garamond" w:cs="Calibri"/>
                <w:i/>
                <w:iCs/>
                <w:color w:val="000000"/>
                <w:lang w:eastAsia="en-AU"/>
              </w:rPr>
            </w:pPr>
          </w:p>
        </w:tc>
        <w:tc>
          <w:tcPr>
            <w:tcW w:w="1380" w:type="dxa"/>
            <w:tcBorders>
              <w:bottom w:val="single" w:sz="4" w:space="0" w:color="auto"/>
            </w:tcBorders>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24.58%</w:t>
            </w:r>
          </w:p>
        </w:tc>
        <w:tc>
          <w:tcPr>
            <w:tcW w:w="1140" w:type="dxa"/>
            <w:tcBorders>
              <w:bottom w:val="single" w:sz="4" w:space="0" w:color="auto"/>
            </w:tcBorders>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48.34%</w:t>
            </w:r>
          </w:p>
        </w:tc>
        <w:tc>
          <w:tcPr>
            <w:tcW w:w="1080" w:type="dxa"/>
            <w:tcBorders>
              <w:bottom w:val="single" w:sz="4" w:space="0" w:color="auto"/>
            </w:tcBorders>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14.41%</w:t>
            </w:r>
          </w:p>
        </w:tc>
        <w:tc>
          <w:tcPr>
            <w:tcW w:w="960" w:type="dxa"/>
            <w:tcBorders>
              <w:bottom w:val="single" w:sz="4" w:space="0" w:color="auto"/>
            </w:tcBorders>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37.99%</w:t>
            </w:r>
          </w:p>
        </w:tc>
        <w:tc>
          <w:tcPr>
            <w:tcW w:w="1613" w:type="dxa"/>
            <w:tcBorders>
              <w:bottom w:val="single" w:sz="4" w:space="0" w:color="auto"/>
            </w:tcBorders>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75.42%</w:t>
            </w:r>
          </w:p>
        </w:tc>
        <w:tc>
          <w:tcPr>
            <w:tcW w:w="709" w:type="dxa"/>
            <w:tcBorders>
              <w:bottom w:val="single" w:sz="4" w:space="0" w:color="auto"/>
            </w:tcBorders>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100%</w:t>
            </w:r>
          </w:p>
        </w:tc>
      </w:tr>
      <w:tr w:rsidR="00633967" w:rsidRPr="00D55F00" w:rsidTr="00386A88">
        <w:trPr>
          <w:trHeight w:hRule="exact" w:val="284"/>
        </w:trPr>
        <w:tc>
          <w:tcPr>
            <w:tcW w:w="1780" w:type="dxa"/>
            <w:tcBorders>
              <w:top w:val="single" w:sz="4" w:space="0" w:color="auto"/>
            </w:tcBorders>
            <w:shd w:val="clear" w:color="auto" w:fill="auto"/>
            <w:noWrap/>
            <w:vAlign w:val="bottom"/>
            <w:hideMark/>
          </w:tcPr>
          <w:p w:rsidR="00633967" w:rsidRPr="00280418" w:rsidRDefault="00633967" w:rsidP="00386A88">
            <w:pPr>
              <w:spacing w:after="0" w:line="240" w:lineRule="auto"/>
              <w:rPr>
                <w:rFonts w:ascii="Garamond" w:eastAsia="Times New Roman" w:hAnsi="Garamond" w:cs="Calibri"/>
                <w:color w:val="000000"/>
                <w:lang w:eastAsia="en-AU"/>
              </w:rPr>
            </w:pPr>
            <w:r w:rsidRPr="00280418">
              <w:rPr>
                <w:rFonts w:ascii="Garamond" w:eastAsia="Times New Roman" w:hAnsi="Garamond" w:cs="Calibri"/>
                <w:color w:val="000000"/>
                <w:lang w:eastAsia="en-AU"/>
              </w:rPr>
              <w:t>Total</w:t>
            </w:r>
          </w:p>
        </w:tc>
        <w:tc>
          <w:tcPr>
            <w:tcW w:w="1380" w:type="dxa"/>
            <w:tcBorders>
              <w:top w:val="single" w:sz="4" w:space="0" w:color="auto"/>
            </w:tcBorders>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33,495</w:t>
            </w:r>
          </w:p>
        </w:tc>
        <w:tc>
          <w:tcPr>
            <w:tcW w:w="1140" w:type="dxa"/>
            <w:tcBorders>
              <w:top w:val="single" w:sz="4" w:space="0" w:color="auto"/>
            </w:tcBorders>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16,522</w:t>
            </w:r>
          </w:p>
        </w:tc>
        <w:tc>
          <w:tcPr>
            <w:tcW w:w="1080" w:type="dxa"/>
            <w:tcBorders>
              <w:top w:val="single" w:sz="4" w:space="0" w:color="auto"/>
            </w:tcBorders>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5,497</w:t>
            </w:r>
          </w:p>
        </w:tc>
        <w:tc>
          <w:tcPr>
            <w:tcW w:w="960" w:type="dxa"/>
            <w:tcBorders>
              <w:top w:val="single" w:sz="4" w:space="0" w:color="auto"/>
            </w:tcBorders>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11,624</w:t>
            </w:r>
          </w:p>
        </w:tc>
        <w:tc>
          <w:tcPr>
            <w:tcW w:w="1613" w:type="dxa"/>
            <w:tcBorders>
              <w:top w:val="single" w:sz="4" w:space="0" w:color="auto"/>
            </w:tcBorders>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89,195</w:t>
            </w:r>
          </w:p>
        </w:tc>
        <w:tc>
          <w:tcPr>
            <w:tcW w:w="709" w:type="dxa"/>
            <w:tcBorders>
              <w:top w:val="single" w:sz="4" w:space="0" w:color="auto"/>
            </w:tcBorders>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122,690</w:t>
            </w:r>
          </w:p>
        </w:tc>
      </w:tr>
      <w:tr w:rsidR="00633967" w:rsidRPr="00D55F00" w:rsidTr="00386A88">
        <w:trPr>
          <w:trHeight w:hRule="exact" w:val="284"/>
        </w:trPr>
        <w:tc>
          <w:tcPr>
            <w:tcW w:w="1780" w:type="dxa"/>
            <w:tcBorders>
              <w:bottom w:val="single" w:sz="4" w:space="0" w:color="auto"/>
            </w:tcBorders>
            <w:shd w:val="clear" w:color="auto" w:fill="auto"/>
            <w:noWrap/>
            <w:vAlign w:val="bottom"/>
            <w:hideMark/>
          </w:tcPr>
          <w:p w:rsidR="00633967" w:rsidRPr="00280418" w:rsidRDefault="00633967" w:rsidP="00386A88">
            <w:pPr>
              <w:spacing w:after="0" w:line="240" w:lineRule="auto"/>
              <w:rPr>
                <w:rFonts w:ascii="Garamond" w:eastAsia="Times New Roman" w:hAnsi="Garamond" w:cs="Calibri"/>
                <w:color w:val="000000"/>
                <w:lang w:eastAsia="en-AU"/>
              </w:rPr>
            </w:pPr>
            <w:r w:rsidRPr="00280418">
              <w:rPr>
                <w:rFonts w:ascii="Garamond" w:eastAsia="Times New Roman" w:hAnsi="Garamond" w:cs="Calibri"/>
                <w:color w:val="000000"/>
                <w:lang w:eastAsia="en-AU"/>
              </w:rPr>
              <w:t> </w:t>
            </w:r>
          </w:p>
        </w:tc>
        <w:tc>
          <w:tcPr>
            <w:tcW w:w="1380" w:type="dxa"/>
            <w:tcBorders>
              <w:bottom w:val="single" w:sz="4" w:space="0" w:color="auto"/>
            </w:tcBorders>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27.30%</w:t>
            </w:r>
          </w:p>
        </w:tc>
        <w:tc>
          <w:tcPr>
            <w:tcW w:w="1140" w:type="dxa"/>
            <w:tcBorders>
              <w:bottom w:val="single" w:sz="4" w:space="0" w:color="auto"/>
            </w:tcBorders>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49.33%</w:t>
            </w:r>
          </w:p>
        </w:tc>
        <w:tc>
          <w:tcPr>
            <w:tcW w:w="1080" w:type="dxa"/>
            <w:tcBorders>
              <w:bottom w:val="single" w:sz="4" w:space="0" w:color="auto"/>
            </w:tcBorders>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16.41%</w:t>
            </w:r>
          </w:p>
        </w:tc>
        <w:tc>
          <w:tcPr>
            <w:tcW w:w="960" w:type="dxa"/>
            <w:tcBorders>
              <w:bottom w:val="single" w:sz="4" w:space="0" w:color="auto"/>
            </w:tcBorders>
            <w:shd w:val="clear" w:color="auto" w:fill="auto"/>
            <w:noWrap/>
            <w:vAlign w:val="bottom"/>
            <w:hideMark/>
          </w:tcPr>
          <w:p w:rsidR="00633967" w:rsidRPr="00D55F00" w:rsidRDefault="00633967" w:rsidP="00386A88">
            <w:pPr>
              <w:jc w:val="center"/>
              <w:rPr>
                <w:rFonts w:ascii="Garamond" w:hAnsi="Garamond" w:cs="Calibri"/>
                <w:i/>
                <w:iCs/>
                <w:color w:val="000000"/>
              </w:rPr>
            </w:pPr>
            <w:r w:rsidRPr="00D55F00">
              <w:rPr>
                <w:rFonts w:ascii="Garamond" w:hAnsi="Garamond" w:cs="Calibri"/>
                <w:i/>
                <w:iCs/>
                <w:color w:val="000000"/>
              </w:rPr>
              <w:t>34.70%</w:t>
            </w:r>
          </w:p>
        </w:tc>
        <w:tc>
          <w:tcPr>
            <w:tcW w:w="1613" w:type="dxa"/>
            <w:tcBorders>
              <w:bottom w:val="single" w:sz="4" w:space="0" w:color="auto"/>
            </w:tcBorders>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72.70%</w:t>
            </w:r>
          </w:p>
        </w:tc>
        <w:tc>
          <w:tcPr>
            <w:tcW w:w="709" w:type="dxa"/>
            <w:tcBorders>
              <w:bottom w:val="single" w:sz="4" w:space="0" w:color="auto"/>
            </w:tcBorders>
            <w:shd w:val="clear" w:color="auto" w:fill="auto"/>
            <w:noWrap/>
            <w:vAlign w:val="bottom"/>
            <w:hideMark/>
          </w:tcPr>
          <w:p w:rsidR="00633967" w:rsidRPr="00D55F00" w:rsidRDefault="00633967" w:rsidP="00386A88">
            <w:pPr>
              <w:jc w:val="center"/>
              <w:rPr>
                <w:rFonts w:ascii="Garamond" w:hAnsi="Garamond" w:cs="Calibri"/>
                <w:color w:val="000000"/>
              </w:rPr>
            </w:pPr>
            <w:r w:rsidRPr="00D55F00">
              <w:rPr>
                <w:rFonts w:ascii="Garamond" w:hAnsi="Garamond" w:cs="Calibri"/>
                <w:color w:val="000000"/>
              </w:rPr>
              <w:t>100</w:t>
            </w:r>
          </w:p>
        </w:tc>
      </w:tr>
      <w:bookmarkEnd w:id="2"/>
      <w:bookmarkEnd w:id="3"/>
    </w:tbl>
    <w:p w:rsidR="00633967" w:rsidRDefault="00633967" w:rsidP="00633967">
      <w:pPr>
        <w:spacing w:after="0" w:line="240" w:lineRule="auto"/>
        <w:rPr>
          <w:rFonts w:ascii="Garamond" w:hAnsi="Garamond"/>
          <w:sz w:val="24"/>
        </w:rPr>
      </w:pPr>
    </w:p>
    <w:p w:rsidR="005E6725" w:rsidRDefault="005E6725" w:rsidP="005E6725">
      <w:pPr>
        <w:spacing w:after="0" w:line="240" w:lineRule="auto"/>
        <w:rPr>
          <w:rFonts w:ascii="Garamond" w:hAnsi="Garamond"/>
          <w:b/>
          <w:sz w:val="24"/>
        </w:rPr>
      </w:pPr>
    </w:p>
    <w:p w:rsidR="00633967" w:rsidRDefault="00633967" w:rsidP="005E6725">
      <w:pPr>
        <w:spacing w:after="0" w:line="240" w:lineRule="auto"/>
        <w:rPr>
          <w:rFonts w:ascii="Garamond" w:hAnsi="Garamond"/>
          <w:b/>
          <w:sz w:val="24"/>
        </w:rPr>
      </w:pPr>
    </w:p>
    <w:p w:rsidR="00633967" w:rsidRDefault="00633967" w:rsidP="005E6725">
      <w:pPr>
        <w:spacing w:after="0" w:line="240" w:lineRule="auto"/>
        <w:rPr>
          <w:rFonts w:ascii="Garamond" w:hAnsi="Garamond"/>
          <w:b/>
          <w:sz w:val="24"/>
        </w:rPr>
        <w:sectPr w:rsidR="00633967" w:rsidSect="00633967">
          <w:pgSz w:w="11906" w:h="16838"/>
          <w:pgMar w:top="1440" w:right="1440" w:bottom="1440" w:left="1440" w:header="708" w:footer="708" w:gutter="0"/>
          <w:cols w:space="708"/>
          <w:docGrid w:linePitch="360"/>
        </w:sectPr>
      </w:pPr>
    </w:p>
    <w:p w:rsidR="00FC0546" w:rsidRPr="00F05792" w:rsidRDefault="00FC0546" w:rsidP="00FC0546">
      <w:pPr>
        <w:pStyle w:val="Caption"/>
        <w:spacing w:after="0"/>
        <w:rPr>
          <w:rFonts w:ascii="Garamond" w:hAnsi="Garamond"/>
          <w:b w:val="0"/>
          <w:color w:val="auto"/>
          <w:sz w:val="22"/>
          <w:szCs w:val="24"/>
        </w:rPr>
      </w:pPr>
      <w:r w:rsidRPr="00F05792">
        <w:rPr>
          <w:rFonts w:ascii="Garamond" w:hAnsi="Garamond"/>
          <w:b w:val="0"/>
          <w:color w:val="auto"/>
          <w:sz w:val="22"/>
          <w:szCs w:val="24"/>
        </w:rPr>
        <w:lastRenderedPageBreak/>
        <w:t>Marginal Effect of Gender on DC Risk Choice Level Relative to Remaining in the DB Plan by Balance: Existing Members</w:t>
      </w:r>
    </w:p>
    <w:p w:rsidR="00FC0546" w:rsidRDefault="00FC0546" w:rsidP="00FC0546">
      <w:r>
        <w:rPr>
          <w:noProof/>
          <w:lang w:val="en-GB" w:eastAsia="zh-CN"/>
        </w:rPr>
        <w:drawing>
          <wp:inline distT="0" distB="0" distL="0" distR="0" wp14:anchorId="0591DFC0" wp14:editId="4841752F">
            <wp:extent cx="2613660" cy="1684655"/>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srcRect/>
                    <a:stretch>
                      <a:fillRect/>
                    </a:stretch>
                  </pic:blipFill>
                  <pic:spPr bwMode="auto">
                    <a:xfrm>
                      <a:off x="0" y="0"/>
                      <a:ext cx="2613660" cy="1684655"/>
                    </a:xfrm>
                    <a:prstGeom prst="rect">
                      <a:avLst/>
                    </a:prstGeom>
                    <a:noFill/>
                  </pic:spPr>
                </pic:pic>
              </a:graphicData>
            </a:graphic>
          </wp:inline>
        </w:drawing>
      </w:r>
    </w:p>
    <w:p w:rsidR="00FC0546" w:rsidRDefault="00FC0546" w:rsidP="00FC0546">
      <w:r>
        <w:rPr>
          <w:noProof/>
          <w:lang w:val="en-GB" w:eastAsia="zh-CN"/>
        </w:rPr>
        <w:drawing>
          <wp:inline distT="0" distB="0" distL="0" distR="0" wp14:anchorId="12395AE7" wp14:editId="3D6106B1">
            <wp:extent cx="2613660" cy="1684655"/>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cstate="print"/>
                    <a:srcRect/>
                    <a:stretch>
                      <a:fillRect/>
                    </a:stretch>
                  </pic:blipFill>
                  <pic:spPr bwMode="auto">
                    <a:xfrm>
                      <a:off x="0" y="0"/>
                      <a:ext cx="2613660" cy="1684655"/>
                    </a:xfrm>
                    <a:prstGeom prst="rect">
                      <a:avLst/>
                    </a:prstGeom>
                    <a:noFill/>
                  </pic:spPr>
                </pic:pic>
              </a:graphicData>
            </a:graphic>
          </wp:inline>
        </w:drawing>
      </w:r>
    </w:p>
    <w:p w:rsidR="00FC0546" w:rsidRDefault="00FC0546" w:rsidP="00FC0546">
      <w:pPr>
        <w:spacing w:after="120"/>
      </w:pPr>
      <w:r>
        <w:rPr>
          <w:noProof/>
          <w:lang w:val="en-GB" w:eastAsia="zh-CN"/>
        </w:rPr>
        <mc:AlternateContent>
          <mc:Choice Requires="wps">
            <w:drawing>
              <wp:anchor distT="0" distB="0" distL="114300" distR="114300" simplePos="0" relativeHeight="251659264" behindDoc="0" locked="0" layoutInCell="1" allowOverlap="1" wp14:anchorId="4E4A85AC" wp14:editId="1BF6FB5E">
                <wp:simplePos x="0" y="0"/>
                <wp:positionH relativeFrom="column">
                  <wp:posOffset>-260985</wp:posOffset>
                </wp:positionH>
                <wp:positionV relativeFrom="paragraph">
                  <wp:posOffset>1729105</wp:posOffset>
                </wp:positionV>
                <wp:extent cx="9103360" cy="483870"/>
                <wp:effectExtent l="0" t="0" r="254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336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546" w:rsidRDefault="00FC0546" w:rsidP="00FC0546">
                            <w:pPr>
                              <w:spacing w:after="0"/>
                              <w:ind w:right="-658"/>
                              <w:rPr>
                                <w:rFonts w:ascii="Garamond" w:hAnsi="Garamond"/>
                                <w:sz w:val="24"/>
                                <w:szCs w:val="24"/>
                              </w:rPr>
                            </w:pPr>
                            <w:bookmarkStart w:id="4" w:name="_Ref305164124"/>
                            <w:r w:rsidRPr="000803CD">
                              <w:rPr>
                                <w:rFonts w:ascii="Garamond" w:hAnsi="Garamond"/>
                                <w:sz w:val="24"/>
                                <w:szCs w:val="24"/>
                              </w:rPr>
                              <w:t xml:space="preserve">Figure </w:t>
                            </w:r>
                            <w:r>
                              <w:rPr>
                                <w:rFonts w:ascii="Garamond" w:hAnsi="Garamond"/>
                                <w:sz w:val="24"/>
                                <w:szCs w:val="24"/>
                              </w:rPr>
                              <w:t>S</w:t>
                            </w:r>
                            <w:bookmarkEnd w:id="4"/>
                            <w:r>
                              <w:rPr>
                                <w:rFonts w:ascii="Garamond" w:hAnsi="Garamond"/>
                                <w:sz w:val="24"/>
                                <w:szCs w:val="24"/>
                              </w:rPr>
                              <w:t>1 Marginal Effect of Gender on DC Risk Level Choice Relative to Remaining in DB over Age by Balance and Contributions</w:t>
                            </w:r>
                          </w:p>
                          <w:p w:rsidR="00FC0546" w:rsidRPr="000803CD" w:rsidRDefault="00FC0546" w:rsidP="00FC0546">
                            <w:pPr>
                              <w:spacing w:after="0"/>
                              <w:ind w:right="-658"/>
                              <w:rPr>
                                <w:rFonts w:ascii="Garamond" w:hAnsi="Garamond"/>
                                <w:sz w:val="24"/>
                                <w:szCs w:val="24"/>
                              </w:rPr>
                            </w:pPr>
                            <w:r>
                              <w:rPr>
                                <w:rFonts w:ascii="Garamond" w:hAnsi="Garamond"/>
                                <w:sz w:val="24"/>
                                <w:szCs w:val="24"/>
                              </w:rPr>
                              <w:t>(Low $3000 Mean $6000 High $13000 Contributions, Low $5000 Mean $50000 High $200000 Balance)</w:t>
                            </w:r>
                          </w:p>
                          <w:p w:rsidR="00FC0546" w:rsidRPr="000803CD" w:rsidRDefault="00FC0546" w:rsidP="00FC0546">
                            <w:pPr>
                              <w:spacing w:after="240"/>
                              <w:ind w:right="-656"/>
                              <w:rPr>
                                <w:rFonts w:ascii="Garamond" w:hAnsi="Garamond"/>
                                <w:sz w:val="24"/>
                                <w:szCs w:val="24"/>
                              </w:rPr>
                            </w:pPr>
                          </w:p>
                          <w:p w:rsidR="00FC0546" w:rsidRDefault="00FC0546" w:rsidP="00FC05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8" o:spid="_x0000_s1026" type="#_x0000_t202" style="position:absolute;margin-left:-20.55pt;margin-top:136.15pt;width:716.8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0dgwIAABE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" stroked="f">
                <v:textbox>
                  <w:txbxContent>
                    <w:p w:rsidR="00FC0546" w:rsidRDefault="00FC0546" w:rsidP="00FC0546">
                      <w:pPr>
                        <w:spacing w:after="0"/>
                        <w:ind w:right="-658"/>
                        <w:rPr>
                          <w:rFonts w:ascii="Garamond" w:hAnsi="Garamond"/>
                          <w:sz w:val="24"/>
                          <w:szCs w:val="24"/>
                        </w:rPr>
                      </w:pPr>
                      <w:bookmarkStart w:id="5" w:name="_Ref305164124"/>
                      <w:r w:rsidRPr="000803CD">
                        <w:rPr>
                          <w:rFonts w:ascii="Garamond" w:hAnsi="Garamond"/>
                          <w:sz w:val="24"/>
                          <w:szCs w:val="24"/>
                        </w:rPr>
                        <w:t xml:space="preserve">Figure </w:t>
                      </w:r>
                      <w:r>
                        <w:rPr>
                          <w:rFonts w:ascii="Garamond" w:hAnsi="Garamond"/>
                          <w:sz w:val="24"/>
                          <w:szCs w:val="24"/>
                        </w:rPr>
                        <w:t>S</w:t>
                      </w:r>
                      <w:bookmarkEnd w:id="5"/>
                      <w:r>
                        <w:rPr>
                          <w:rFonts w:ascii="Garamond" w:hAnsi="Garamond"/>
                          <w:sz w:val="24"/>
                          <w:szCs w:val="24"/>
                        </w:rPr>
                        <w:t>1</w:t>
                      </w:r>
                      <w:r>
                        <w:rPr>
                          <w:rFonts w:ascii="Garamond" w:hAnsi="Garamond"/>
                          <w:sz w:val="24"/>
                          <w:szCs w:val="24"/>
                        </w:rPr>
                        <w:t xml:space="preserve"> Marginal Effect of Gender on DC Risk Level Choice Relative to Remaining in DB over Age by Balance and Contributions</w:t>
                      </w:r>
                    </w:p>
                    <w:p w:rsidR="00FC0546" w:rsidRPr="000803CD" w:rsidRDefault="00FC0546" w:rsidP="00FC0546">
                      <w:pPr>
                        <w:spacing w:after="0"/>
                        <w:ind w:right="-658"/>
                        <w:rPr>
                          <w:rFonts w:ascii="Garamond" w:hAnsi="Garamond"/>
                          <w:sz w:val="24"/>
                          <w:szCs w:val="24"/>
                        </w:rPr>
                      </w:pPr>
                      <w:r>
                        <w:rPr>
                          <w:rFonts w:ascii="Garamond" w:hAnsi="Garamond"/>
                          <w:sz w:val="24"/>
                          <w:szCs w:val="24"/>
                        </w:rPr>
                        <w:t>(Low $3000 Mean $6000 High $13000 Contributions, Low $5000 Mean $50000 High $200000 Balance)</w:t>
                      </w:r>
                    </w:p>
                    <w:p w:rsidR="00FC0546" w:rsidRPr="000803CD" w:rsidRDefault="00FC0546" w:rsidP="00FC0546">
                      <w:pPr>
                        <w:spacing w:after="240"/>
                        <w:ind w:right="-656"/>
                        <w:rPr>
                          <w:rFonts w:ascii="Garamond" w:hAnsi="Garamond"/>
                          <w:sz w:val="24"/>
                          <w:szCs w:val="24"/>
                        </w:rPr>
                      </w:pPr>
                    </w:p>
                    <w:p w:rsidR="00FC0546" w:rsidRDefault="00FC0546" w:rsidP="00FC0546"/>
                  </w:txbxContent>
                </v:textbox>
              </v:shape>
            </w:pict>
          </mc:Fallback>
        </mc:AlternateContent>
      </w:r>
      <w:r>
        <w:rPr>
          <w:noProof/>
          <w:lang w:val="en-GB" w:eastAsia="zh-CN"/>
        </w:rPr>
        <w:drawing>
          <wp:inline distT="0" distB="0" distL="0" distR="0" wp14:anchorId="6D15FD7E" wp14:editId="7FAABB63">
            <wp:extent cx="2613660" cy="1683385"/>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cstate="print"/>
                    <a:srcRect/>
                    <a:stretch>
                      <a:fillRect/>
                    </a:stretch>
                  </pic:blipFill>
                  <pic:spPr bwMode="auto">
                    <a:xfrm>
                      <a:off x="0" y="0"/>
                      <a:ext cx="2613660" cy="1683385"/>
                    </a:xfrm>
                    <a:prstGeom prst="rect">
                      <a:avLst/>
                    </a:prstGeom>
                    <a:noFill/>
                  </pic:spPr>
                </pic:pic>
              </a:graphicData>
            </a:graphic>
          </wp:inline>
        </w:drawing>
      </w:r>
    </w:p>
    <w:p w:rsidR="00FC0546" w:rsidRPr="00F05792" w:rsidRDefault="00FC0546" w:rsidP="00FC0546">
      <w:pPr>
        <w:pStyle w:val="Caption"/>
        <w:spacing w:after="0"/>
        <w:rPr>
          <w:rFonts w:ascii="Garamond" w:hAnsi="Garamond"/>
          <w:b w:val="0"/>
          <w:color w:val="auto"/>
          <w:sz w:val="22"/>
          <w:szCs w:val="24"/>
        </w:rPr>
      </w:pPr>
      <w:r w:rsidRPr="00F05792">
        <w:rPr>
          <w:rFonts w:ascii="Garamond" w:hAnsi="Garamond"/>
          <w:b w:val="0"/>
          <w:color w:val="auto"/>
          <w:sz w:val="22"/>
          <w:szCs w:val="24"/>
        </w:rPr>
        <w:lastRenderedPageBreak/>
        <w:t>Marginal Effect of Gender on DC Risk Choice Level Relative to Remaining in the DB Plan by Contributions: Existing Members</w:t>
      </w:r>
    </w:p>
    <w:p w:rsidR="00FC0546" w:rsidRDefault="00FC0546" w:rsidP="00FC0546">
      <w:pPr>
        <w:ind w:left="-142"/>
      </w:pPr>
      <w:r>
        <w:rPr>
          <w:noProof/>
          <w:lang w:val="en-GB" w:eastAsia="zh-CN"/>
        </w:rPr>
        <w:drawing>
          <wp:inline distT="0" distB="0" distL="0" distR="0" wp14:anchorId="53E3C577" wp14:editId="641B53D9">
            <wp:extent cx="2600960" cy="1676400"/>
            <wp:effectExtent l="19050" t="0" r="889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srcRect/>
                    <a:stretch>
                      <a:fillRect/>
                    </a:stretch>
                  </pic:blipFill>
                  <pic:spPr bwMode="auto">
                    <a:xfrm>
                      <a:off x="0" y="0"/>
                      <a:ext cx="2600960" cy="1676400"/>
                    </a:xfrm>
                    <a:prstGeom prst="rect">
                      <a:avLst/>
                    </a:prstGeom>
                    <a:noFill/>
                  </pic:spPr>
                </pic:pic>
              </a:graphicData>
            </a:graphic>
          </wp:inline>
        </w:drawing>
      </w:r>
    </w:p>
    <w:p w:rsidR="00FC0546" w:rsidRDefault="00FC0546" w:rsidP="00FC0546">
      <w:pPr>
        <w:ind w:left="-142"/>
      </w:pPr>
      <w:r>
        <w:rPr>
          <w:noProof/>
          <w:lang w:val="en-GB" w:eastAsia="zh-CN"/>
        </w:rPr>
        <w:drawing>
          <wp:inline distT="0" distB="0" distL="0" distR="0" wp14:anchorId="076CA213" wp14:editId="6D925824">
            <wp:extent cx="2606040" cy="1680210"/>
            <wp:effectExtent l="19050" t="0" r="381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cstate="print"/>
                    <a:srcRect/>
                    <a:stretch>
                      <a:fillRect/>
                    </a:stretch>
                  </pic:blipFill>
                  <pic:spPr bwMode="auto">
                    <a:xfrm>
                      <a:off x="0" y="0"/>
                      <a:ext cx="2606040" cy="1680210"/>
                    </a:xfrm>
                    <a:prstGeom prst="rect">
                      <a:avLst/>
                    </a:prstGeom>
                    <a:noFill/>
                  </pic:spPr>
                </pic:pic>
              </a:graphicData>
            </a:graphic>
          </wp:inline>
        </w:drawing>
      </w:r>
    </w:p>
    <w:p w:rsidR="00FC0546" w:rsidRDefault="00FC0546" w:rsidP="00FC0546">
      <w:pPr>
        <w:ind w:left="-142"/>
      </w:pPr>
      <w:r>
        <w:rPr>
          <w:noProof/>
          <w:lang w:val="en-GB" w:eastAsia="zh-CN"/>
        </w:rPr>
        <w:drawing>
          <wp:inline distT="0" distB="0" distL="0" distR="0" wp14:anchorId="224C417C" wp14:editId="6278F4CE">
            <wp:extent cx="2606040" cy="1677670"/>
            <wp:effectExtent l="19050" t="0" r="381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cstate="print"/>
                    <a:srcRect/>
                    <a:stretch>
                      <a:fillRect/>
                    </a:stretch>
                  </pic:blipFill>
                  <pic:spPr bwMode="auto">
                    <a:xfrm>
                      <a:off x="0" y="0"/>
                      <a:ext cx="2606040" cy="1677670"/>
                    </a:xfrm>
                    <a:prstGeom prst="rect">
                      <a:avLst/>
                    </a:prstGeom>
                    <a:noFill/>
                  </pic:spPr>
                </pic:pic>
              </a:graphicData>
            </a:graphic>
          </wp:inline>
        </w:drawing>
      </w:r>
    </w:p>
    <w:p w:rsidR="00FC0546" w:rsidRPr="00F05792" w:rsidRDefault="00FC0546" w:rsidP="00FC0546">
      <w:pPr>
        <w:pStyle w:val="Caption"/>
        <w:spacing w:after="0"/>
        <w:ind w:left="284"/>
        <w:rPr>
          <w:rFonts w:ascii="Garamond" w:hAnsi="Garamond"/>
          <w:b w:val="0"/>
          <w:color w:val="auto"/>
          <w:sz w:val="22"/>
          <w:szCs w:val="24"/>
        </w:rPr>
      </w:pPr>
      <w:r w:rsidRPr="00F05792">
        <w:rPr>
          <w:rFonts w:ascii="Garamond" w:hAnsi="Garamond"/>
          <w:b w:val="0"/>
          <w:color w:val="auto"/>
          <w:sz w:val="22"/>
          <w:szCs w:val="24"/>
        </w:rPr>
        <w:lastRenderedPageBreak/>
        <w:t>Marginal Effect of Gender on DC Risk Choice Level Relative to Remaining in the DB Plan by Contributions: New Members</w:t>
      </w:r>
    </w:p>
    <w:p w:rsidR="00FC0546" w:rsidRDefault="00FC0546" w:rsidP="00FC0546">
      <w:pPr>
        <w:ind w:left="284"/>
      </w:pPr>
      <w:r>
        <w:rPr>
          <w:noProof/>
          <w:lang w:val="en-GB" w:eastAsia="zh-CN"/>
        </w:rPr>
        <w:drawing>
          <wp:inline distT="0" distB="0" distL="0" distR="0" wp14:anchorId="55547CF8" wp14:editId="254B12C8">
            <wp:extent cx="2647315" cy="1706245"/>
            <wp:effectExtent l="19050" t="0" r="63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cstate="print"/>
                    <a:srcRect/>
                    <a:stretch>
                      <a:fillRect/>
                    </a:stretch>
                  </pic:blipFill>
                  <pic:spPr bwMode="auto">
                    <a:xfrm>
                      <a:off x="0" y="0"/>
                      <a:ext cx="2647315" cy="1706245"/>
                    </a:xfrm>
                    <a:prstGeom prst="rect">
                      <a:avLst/>
                    </a:prstGeom>
                    <a:noFill/>
                  </pic:spPr>
                </pic:pic>
              </a:graphicData>
            </a:graphic>
          </wp:inline>
        </w:drawing>
      </w:r>
    </w:p>
    <w:p w:rsidR="00FC0546" w:rsidRDefault="00FC0546" w:rsidP="00FC0546">
      <w:pPr>
        <w:ind w:left="284"/>
        <w:rPr>
          <w:noProof/>
          <w:lang w:eastAsia="en-AU"/>
        </w:rPr>
      </w:pPr>
      <w:r>
        <w:rPr>
          <w:noProof/>
          <w:lang w:val="en-GB" w:eastAsia="zh-CN"/>
        </w:rPr>
        <w:drawing>
          <wp:inline distT="0" distB="0" distL="0" distR="0" wp14:anchorId="4C1C5095" wp14:editId="754C3A5E">
            <wp:extent cx="2647315" cy="1630680"/>
            <wp:effectExtent l="19050" t="0" r="63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cstate="print"/>
                    <a:srcRect/>
                    <a:stretch>
                      <a:fillRect/>
                    </a:stretch>
                  </pic:blipFill>
                  <pic:spPr bwMode="auto">
                    <a:xfrm>
                      <a:off x="0" y="0"/>
                      <a:ext cx="2647315" cy="1630680"/>
                    </a:xfrm>
                    <a:prstGeom prst="rect">
                      <a:avLst/>
                    </a:prstGeom>
                    <a:noFill/>
                  </pic:spPr>
                </pic:pic>
              </a:graphicData>
            </a:graphic>
          </wp:inline>
        </w:drawing>
      </w:r>
    </w:p>
    <w:p w:rsidR="00633967" w:rsidRDefault="00FC0546" w:rsidP="00633967">
      <w:pPr>
        <w:ind w:left="284"/>
      </w:pPr>
      <w:r>
        <w:rPr>
          <w:noProof/>
          <w:lang w:val="en-GB" w:eastAsia="zh-CN"/>
        </w:rPr>
        <w:drawing>
          <wp:inline distT="0" distB="0" distL="0" distR="0" wp14:anchorId="322CE454" wp14:editId="7F404746">
            <wp:extent cx="2654935" cy="1709420"/>
            <wp:effectExtent l="1905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cstate="print"/>
                    <a:srcRect/>
                    <a:stretch>
                      <a:fillRect/>
                    </a:stretch>
                  </pic:blipFill>
                  <pic:spPr bwMode="auto">
                    <a:xfrm>
                      <a:off x="0" y="0"/>
                      <a:ext cx="2654935" cy="1709420"/>
                    </a:xfrm>
                    <a:prstGeom prst="rect">
                      <a:avLst/>
                    </a:prstGeom>
                    <a:noFill/>
                  </pic:spPr>
                </pic:pic>
              </a:graphicData>
            </a:graphic>
          </wp:inline>
        </w:drawing>
      </w:r>
    </w:p>
    <w:p w:rsidR="00633967" w:rsidRPr="000F3A62" w:rsidRDefault="00633967" w:rsidP="00633967">
      <w:pPr>
        <w:ind w:left="284"/>
        <w:sectPr w:rsidR="00633967" w:rsidRPr="000F3A62" w:rsidSect="000F3A62">
          <w:pgSz w:w="16838" w:h="11906" w:orient="landscape"/>
          <w:pgMar w:top="1304" w:right="1440" w:bottom="1304" w:left="1440" w:header="709" w:footer="709" w:gutter="0"/>
          <w:cols w:num="3" w:space="436"/>
          <w:docGrid w:linePitch="360"/>
        </w:sectPr>
      </w:pPr>
    </w:p>
    <w:bookmarkEnd w:id="0"/>
    <w:p w:rsidR="00C1181F" w:rsidRPr="00C71EB4" w:rsidRDefault="00C71EB4" w:rsidP="00633967">
      <w:pPr>
        <w:rPr>
          <w:rFonts w:ascii="Garamond" w:hAnsi="Garamond"/>
          <w:b/>
        </w:rPr>
      </w:pPr>
      <w:r w:rsidRPr="00C71EB4">
        <w:rPr>
          <w:rFonts w:ascii="Garamond" w:hAnsi="Garamond"/>
          <w:b/>
        </w:rPr>
        <w:lastRenderedPageBreak/>
        <w:t>References</w:t>
      </w:r>
    </w:p>
    <w:p w:rsidR="00C71EB4" w:rsidRDefault="00C71EB4" w:rsidP="00C71EB4">
      <w:pPr>
        <w:jc w:val="both"/>
      </w:pPr>
      <w:proofErr w:type="gramStart"/>
      <w:r w:rsidRPr="00AB077D">
        <w:rPr>
          <w:rFonts w:ascii="Garamond" w:hAnsi="Garamond"/>
          <w:szCs w:val="24"/>
        </w:rPr>
        <w:t>UniSuper (2010).</w:t>
      </w:r>
      <w:proofErr w:type="gramEnd"/>
      <w:r w:rsidRPr="00AB077D">
        <w:rPr>
          <w:rFonts w:ascii="Garamond" w:hAnsi="Garamond"/>
          <w:szCs w:val="24"/>
        </w:rPr>
        <w:t xml:space="preserve"> Submission to the Super System Review Phase 3: Structure. Available at http://www.unisuper.com.au/download.cfm?oid=4562DD61-5056-BE7A-AC265A8983E61DCA</w:t>
      </w:r>
    </w:p>
    <w:sectPr w:rsidR="00C71E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DC3" w:rsidRDefault="00BA6DC3" w:rsidP="00BA6DC3">
      <w:pPr>
        <w:spacing w:after="0" w:line="240" w:lineRule="auto"/>
      </w:pPr>
      <w:r>
        <w:separator/>
      </w:r>
    </w:p>
  </w:endnote>
  <w:endnote w:type="continuationSeparator" w:id="0">
    <w:p w:rsidR="00BA6DC3" w:rsidRDefault="00BA6DC3" w:rsidP="00BA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152897"/>
      <w:docPartObj>
        <w:docPartGallery w:val="Page Numbers (Bottom of Page)"/>
        <w:docPartUnique/>
      </w:docPartObj>
    </w:sdtPr>
    <w:sdtEndPr>
      <w:rPr>
        <w:rFonts w:ascii="Garamond" w:hAnsi="Garamond"/>
        <w:noProof/>
      </w:rPr>
    </w:sdtEndPr>
    <w:sdtContent>
      <w:p w:rsidR="00474263" w:rsidRPr="00474263" w:rsidRDefault="00474263">
        <w:pPr>
          <w:pStyle w:val="Footer"/>
          <w:jc w:val="center"/>
          <w:rPr>
            <w:rFonts w:ascii="Garamond" w:hAnsi="Garamond"/>
          </w:rPr>
        </w:pPr>
        <w:r w:rsidRPr="00474263">
          <w:rPr>
            <w:rFonts w:ascii="Garamond" w:hAnsi="Garamond"/>
          </w:rPr>
          <w:fldChar w:fldCharType="begin"/>
        </w:r>
        <w:r w:rsidRPr="00474263">
          <w:rPr>
            <w:rFonts w:ascii="Garamond" w:hAnsi="Garamond"/>
          </w:rPr>
          <w:instrText xml:space="preserve"> PAGE   \* MERGEFORMAT </w:instrText>
        </w:r>
        <w:r w:rsidRPr="00474263">
          <w:rPr>
            <w:rFonts w:ascii="Garamond" w:hAnsi="Garamond"/>
          </w:rPr>
          <w:fldChar w:fldCharType="separate"/>
        </w:r>
        <w:r w:rsidR="00F7722E">
          <w:rPr>
            <w:rFonts w:ascii="Garamond" w:hAnsi="Garamond"/>
            <w:noProof/>
          </w:rPr>
          <w:t>1</w:t>
        </w:r>
        <w:r w:rsidRPr="00474263">
          <w:rPr>
            <w:rFonts w:ascii="Garamond" w:hAnsi="Garamond"/>
            <w:noProof/>
          </w:rPr>
          <w:fldChar w:fldCharType="end"/>
        </w:r>
      </w:p>
    </w:sdtContent>
  </w:sdt>
  <w:p w:rsidR="00474263" w:rsidRDefault="00474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DC3" w:rsidRDefault="00BA6DC3" w:rsidP="00BA6DC3">
      <w:pPr>
        <w:spacing w:after="0" w:line="240" w:lineRule="auto"/>
      </w:pPr>
      <w:r>
        <w:separator/>
      </w:r>
    </w:p>
  </w:footnote>
  <w:footnote w:type="continuationSeparator" w:id="0">
    <w:p w:rsidR="00BA6DC3" w:rsidRDefault="00BA6DC3" w:rsidP="00BA6D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63"/>
    <w:rsid w:val="00110C72"/>
    <w:rsid w:val="002232E4"/>
    <w:rsid w:val="00396D9B"/>
    <w:rsid w:val="00462DCB"/>
    <w:rsid w:val="00474263"/>
    <w:rsid w:val="004F2648"/>
    <w:rsid w:val="005E6725"/>
    <w:rsid w:val="00633967"/>
    <w:rsid w:val="00B04191"/>
    <w:rsid w:val="00B34AF8"/>
    <w:rsid w:val="00B94F33"/>
    <w:rsid w:val="00BA6DC3"/>
    <w:rsid w:val="00C1181F"/>
    <w:rsid w:val="00C3239F"/>
    <w:rsid w:val="00C71EB4"/>
    <w:rsid w:val="00C91175"/>
    <w:rsid w:val="00CB1DF5"/>
    <w:rsid w:val="00CB4019"/>
    <w:rsid w:val="00CE6BA7"/>
    <w:rsid w:val="00D510A1"/>
    <w:rsid w:val="00F46863"/>
    <w:rsid w:val="00F7722E"/>
    <w:rsid w:val="00FC054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8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C0546"/>
    <w:pPr>
      <w:spacing w:line="240" w:lineRule="auto"/>
    </w:pPr>
    <w:rPr>
      <w:b/>
      <w:bCs/>
      <w:color w:val="4F81BD"/>
      <w:sz w:val="18"/>
      <w:szCs w:val="18"/>
    </w:rPr>
  </w:style>
  <w:style w:type="paragraph" w:styleId="BalloonText">
    <w:name w:val="Balloon Text"/>
    <w:basedOn w:val="Normal"/>
    <w:link w:val="BalloonTextChar"/>
    <w:uiPriority w:val="99"/>
    <w:semiHidden/>
    <w:unhideWhenUsed/>
    <w:rsid w:val="00FC0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46"/>
    <w:rPr>
      <w:rFonts w:ascii="Tahoma" w:eastAsia="Calibri" w:hAnsi="Tahoma" w:cs="Tahoma"/>
      <w:sz w:val="16"/>
      <w:szCs w:val="16"/>
    </w:rPr>
  </w:style>
  <w:style w:type="paragraph" w:styleId="FootnoteText">
    <w:name w:val="footnote text"/>
    <w:basedOn w:val="Normal"/>
    <w:link w:val="FootnoteTextChar"/>
    <w:uiPriority w:val="99"/>
    <w:semiHidden/>
    <w:unhideWhenUsed/>
    <w:rsid w:val="00BA6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DC3"/>
    <w:rPr>
      <w:rFonts w:ascii="Calibri" w:eastAsia="Calibri" w:hAnsi="Calibri" w:cs="Times New Roman"/>
      <w:sz w:val="20"/>
      <w:szCs w:val="20"/>
    </w:rPr>
  </w:style>
  <w:style w:type="character" w:styleId="FootnoteReference">
    <w:name w:val="footnote reference"/>
    <w:uiPriority w:val="99"/>
    <w:semiHidden/>
    <w:unhideWhenUsed/>
    <w:rsid w:val="00BA6DC3"/>
    <w:rPr>
      <w:vertAlign w:val="superscript"/>
    </w:rPr>
  </w:style>
  <w:style w:type="paragraph" w:styleId="Header">
    <w:name w:val="header"/>
    <w:basedOn w:val="Normal"/>
    <w:link w:val="HeaderChar"/>
    <w:uiPriority w:val="99"/>
    <w:unhideWhenUsed/>
    <w:rsid w:val="0047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263"/>
    <w:rPr>
      <w:rFonts w:ascii="Calibri" w:eastAsia="Calibri" w:hAnsi="Calibri" w:cs="Times New Roman"/>
    </w:rPr>
  </w:style>
  <w:style w:type="paragraph" w:styleId="Footer">
    <w:name w:val="footer"/>
    <w:basedOn w:val="Normal"/>
    <w:link w:val="FooterChar"/>
    <w:uiPriority w:val="99"/>
    <w:unhideWhenUsed/>
    <w:rsid w:val="0047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26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8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C0546"/>
    <w:pPr>
      <w:spacing w:line="240" w:lineRule="auto"/>
    </w:pPr>
    <w:rPr>
      <w:b/>
      <w:bCs/>
      <w:color w:val="4F81BD"/>
      <w:sz w:val="18"/>
      <w:szCs w:val="18"/>
    </w:rPr>
  </w:style>
  <w:style w:type="paragraph" w:styleId="BalloonText">
    <w:name w:val="Balloon Text"/>
    <w:basedOn w:val="Normal"/>
    <w:link w:val="BalloonTextChar"/>
    <w:uiPriority w:val="99"/>
    <w:semiHidden/>
    <w:unhideWhenUsed/>
    <w:rsid w:val="00FC0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46"/>
    <w:rPr>
      <w:rFonts w:ascii="Tahoma" w:eastAsia="Calibri" w:hAnsi="Tahoma" w:cs="Tahoma"/>
      <w:sz w:val="16"/>
      <w:szCs w:val="16"/>
    </w:rPr>
  </w:style>
  <w:style w:type="paragraph" w:styleId="FootnoteText">
    <w:name w:val="footnote text"/>
    <w:basedOn w:val="Normal"/>
    <w:link w:val="FootnoteTextChar"/>
    <w:uiPriority w:val="99"/>
    <w:semiHidden/>
    <w:unhideWhenUsed/>
    <w:rsid w:val="00BA6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DC3"/>
    <w:rPr>
      <w:rFonts w:ascii="Calibri" w:eastAsia="Calibri" w:hAnsi="Calibri" w:cs="Times New Roman"/>
      <w:sz w:val="20"/>
      <w:szCs w:val="20"/>
    </w:rPr>
  </w:style>
  <w:style w:type="character" w:styleId="FootnoteReference">
    <w:name w:val="footnote reference"/>
    <w:uiPriority w:val="99"/>
    <w:semiHidden/>
    <w:unhideWhenUsed/>
    <w:rsid w:val="00BA6DC3"/>
    <w:rPr>
      <w:vertAlign w:val="superscript"/>
    </w:rPr>
  </w:style>
  <w:style w:type="paragraph" w:styleId="Header">
    <w:name w:val="header"/>
    <w:basedOn w:val="Normal"/>
    <w:link w:val="HeaderChar"/>
    <w:uiPriority w:val="99"/>
    <w:unhideWhenUsed/>
    <w:rsid w:val="0047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263"/>
    <w:rPr>
      <w:rFonts w:ascii="Calibri" w:eastAsia="Calibri" w:hAnsi="Calibri" w:cs="Times New Roman"/>
    </w:rPr>
  </w:style>
  <w:style w:type="paragraph" w:styleId="Footer">
    <w:name w:val="footer"/>
    <w:basedOn w:val="Normal"/>
    <w:link w:val="FooterChar"/>
    <w:uiPriority w:val="99"/>
    <w:unhideWhenUsed/>
    <w:rsid w:val="0047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2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BA1B-9EA0-4873-B64E-CD28E9A3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Amanda Diener</cp:lastModifiedBy>
  <cp:revision>2</cp:revision>
  <dcterms:created xsi:type="dcterms:W3CDTF">2013-05-29T12:18:00Z</dcterms:created>
  <dcterms:modified xsi:type="dcterms:W3CDTF">2013-05-29T12:18:00Z</dcterms:modified>
</cp:coreProperties>
</file>