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889B" w14:textId="77777777" w:rsidR="00447F3F" w:rsidRPr="0048128D" w:rsidRDefault="00447F3F" w:rsidP="0048128D">
      <w:pPr>
        <w:ind w:left="708"/>
        <w:rPr>
          <w:rFonts w:ascii="Arial" w:hAnsi="Arial" w:cs="Arial"/>
          <w:b/>
          <w:lang w:val="en-GB"/>
        </w:rPr>
      </w:pPr>
      <w:r w:rsidRPr="0048128D">
        <w:rPr>
          <w:rFonts w:ascii="Arial" w:hAnsi="Arial" w:cs="Arial"/>
          <w:b/>
          <w:lang w:val="en-GB"/>
        </w:rPr>
        <w:t>Appendix</w:t>
      </w:r>
    </w:p>
    <w:p w14:paraId="66635C87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p w14:paraId="0CE1860E" w14:textId="77777777" w:rsidR="00447F3F" w:rsidRPr="0048128D" w:rsidRDefault="00447F3F" w:rsidP="00447F3F">
      <w:pPr>
        <w:keepNext/>
        <w:jc w:val="center"/>
        <w:rPr>
          <w:rFonts w:ascii="Arial" w:hAnsi="Arial" w:cs="Arial"/>
        </w:rPr>
      </w:pPr>
      <w:r w:rsidRPr="0048128D">
        <w:rPr>
          <w:rFonts w:ascii="Arial" w:hAnsi="Arial" w:cs="Arial"/>
          <w:noProof/>
          <w:lang w:eastAsia="de-DE"/>
        </w:rPr>
        <w:drawing>
          <wp:inline distT="0" distB="0" distL="0" distR="0" wp14:anchorId="76510C8E" wp14:editId="1E5BA66A">
            <wp:extent cx="4320000" cy="288000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enditure_main_fig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86DA" w14:textId="749E5950" w:rsidR="00447F3F" w:rsidRPr="00FE1936" w:rsidRDefault="00447F3F" w:rsidP="00447F3F">
      <w:pPr>
        <w:pStyle w:val="Caption"/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</w:pPr>
      <w:r w:rsidRPr="00FE1936">
        <w:rPr>
          <w:rFonts w:ascii="Arial" w:hAnsi="Arial" w:cs="Arial"/>
          <w:color w:val="auto"/>
          <w:sz w:val="20"/>
          <w:szCs w:val="20"/>
          <w:lang w:val="en-GB"/>
        </w:rPr>
        <w:t>Figure A</w:t>
      </w:r>
      <w:r w:rsidRPr="00FE1936">
        <w:rPr>
          <w:rFonts w:ascii="Arial" w:hAnsi="Arial" w:cs="Arial"/>
          <w:color w:val="auto"/>
          <w:sz w:val="20"/>
          <w:szCs w:val="20"/>
        </w:rPr>
        <w:fldChar w:fldCharType="begin"/>
      </w:r>
      <w:r w:rsidRPr="00FE1936">
        <w:rPr>
          <w:rFonts w:ascii="Arial" w:hAnsi="Arial" w:cs="Arial"/>
          <w:color w:val="auto"/>
          <w:sz w:val="20"/>
          <w:szCs w:val="20"/>
          <w:lang w:val="en-GB"/>
        </w:rPr>
        <w:instrText xml:space="preserve"> SEQ Figure_A \* ARABIC </w:instrText>
      </w:r>
      <w:r w:rsidRPr="00FE1936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FE1936">
        <w:rPr>
          <w:rFonts w:ascii="Arial" w:hAnsi="Arial" w:cs="Arial"/>
          <w:noProof/>
          <w:color w:val="auto"/>
          <w:sz w:val="20"/>
          <w:szCs w:val="20"/>
          <w:lang w:val="en-GB"/>
        </w:rPr>
        <w:t>1</w:t>
      </w:r>
      <w:r w:rsidRPr="00FE1936">
        <w:rPr>
          <w:rFonts w:ascii="Arial" w:hAnsi="Arial" w:cs="Arial"/>
          <w:color w:val="auto"/>
          <w:sz w:val="20"/>
          <w:szCs w:val="20"/>
        </w:rPr>
        <w:fldChar w:fldCharType="end"/>
      </w:r>
      <w:r w:rsidR="0076479E" w:rsidRPr="00FE1936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Pr="00FE193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FE1936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>Average median consumption expenditure share per income quintile across countries</w:t>
      </w:r>
    </w:p>
    <w:p w14:paraId="3AA222C7" w14:textId="091ABCEF" w:rsidR="00447F3F" w:rsidRPr="00FE1936" w:rsidRDefault="00447F3F" w:rsidP="00447F3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E1936">
        <w:rPr>
          <w:rFonts w:ascii="Arial" w:hAnsi="Arial" w:cs="Arial"/>
          <w:i/>
          <w:sz w:val="20"/>
          <w:szCs w:val="20"/>
          <w:lang w:val="en-GB"/>
        </w:rPr>
        <w:t>Source</w:t>
      </w:r>
      <w:r w:rsidR="0076479E" w:rsidRPr="00FE1936">
        <w:rPr>
          <w:rFonts w:ascii="Arial" w:hAnsi="Arial" w:cs="Arial"/>
          <w:i/>
          <w:sz w:val="20"/>
          <w:szCs w:val="20"/>
          <w:lang w:val="en-GB"/>
        </w:rPr>
        <w:t>.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Own calculation based on LIS data.</w:t>
      </w:r>
    </w:p>
    <w:p w14:paraId="791CEE00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p w14:paraId="65E381AA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p w14:paraId="63F246C6" w14:textId="61CEDB17" w:rsidR="00447F3F" w:rsidRPr="0048128D" w:rsidRDefault="00447F3F" w:rsidP="00447F3F">
      <w:pPr>
        <w:pStyle w:val="Caption"/>
        <w:keepNext/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</w:pPr>
      <w:r w:rsidRPr="0048128D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t>Table A</w:t>
      </w:r>
      <w:r w:rsidRPr="0048128D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48128D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instrText xml:space="preserve"> SEQ Table_A \* ARABIC </w:instrText>
      </w:r>
      <w:r w:rsidRPr="0048128D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fldChar w:fldCharType="separate"/>
      </w:r>
      <w:r w:rsidRPr="0048128D">
        <w:rPr>
          <w:rFonts w:ascii="Arial" w:hAnsi="Arial" w:cs="Arial"/>
          <w:i w:val="0"/>
          <w:iCs w:val="0"/>
          <w:noProof/>
          <w:color w:val="auto"/>
          <w:sz w:val="22"/>
          <w:szCs w:val="22"/>
          <w:lang w:val="en-GB"/>
        </w:rPr>
        <w:t>1</w:t>
      </w:r>
      <w:r w:rsidRPr="0048128D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48128D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t xml:space="preserve"> VAT rates and implicit indirect tax rate (ITR)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1395"/>
        <w:gridCol w:w="1656"/>
        <w:gridCol w:w="1570"/>
        <w:gridCol w:w="1468"/>
        <w:gridCol w:w="1273"/>
      </w:tblGrid>
      <w:tr w:rsidR="00447F3F" w:rsidRPr="0048128D" w14:paraId="616D5232" w14:textId="77777777" w:rsidTr="006365C0">
        <w:trPr>
          <w:jc w:val="center"/>
        </w:trPr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9208F9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F19A3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Year</w:t>
            </w:r>
          </w:p>
        </w:tc>
        <w:tc>
          <w:tcPr>
            <w:tcW w:w="16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37729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 xml:space="preserve">Standard VAT </w:t>
            </w: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348FD6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 xml:space="preserve">Reduced VAT 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7EAAF4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Implicit ITR</w:t>
            </w: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7144E8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N</w:t>
            </w:r>
          </w:p>
        </w:tc>
      </w:tr>
      <w:tr w:rsidR="00447F3F" w:rsidRPr="0048128D" w14:paraId="65CF27DF" w14:textId="77777777" w:rsidTr="006365C0">
        <w:trPr>
          <w:jc w:val="center"/>
        </w:trPr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14:paraId="39F720CE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Mexico</w:t>
            </w:r>
            <w:r w:rsidRPr="0048128D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395" w:type="dxa"/>
            <w:tcBorders>
              <w:top w:val="single" w:sz="8" w:space="0" w:color="auto"/>
            </w:tcBorders>
            <w:vAlign w:val="center"/>
          </w:tcPr>
          <w:p w14:paraId="58B2541A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2016</w:t>
            </w:r>
          </w:p>
        </w:tc>
        <w:tc>
          <w:tcPr>
            <w:tcW w:w="1656" w:type="dxa"/>
            <w:tcBorders>
              <w:top w:val="single" w:sz="8" w:space="0" w:color="auto"/>
            </w:tcBorders>
            <w:vAlign w:val="center"/>
          </w:tcPr>
          <w:p w14:paraId="4C515E68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16.0</w:t>
            </w:r>
          </w:p>
        </w:tc>
        <w:tc>
          <w:tcPr>
            <w:tcW w:w="1570" w:type="dxa"/>
            <w:tcBorders>
              <w:top w:val="single" w:sz="8" w:space="0" w:color="auto"/>
            </w:tcBorders>
          </w:tcPr>
          <w:p w14:paraId="689FAA60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-</w:t>
            </w:r>
          </w:p>
        </w:tc>
        <w:tc>
          <w:tcPr>
            <w:tcW w:w="1468" w:type="dxa"/>
            <w:tcBorders>
              <w:top w:val="single" w:sz="8" w:space="0" w:color="auto"/>
            </w:tcBorders>
            <w:vAlign w:val="center"/>
          </w:tcPr>
          <w:p w14:paraId="5058029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09.72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vAlign w:val="center"/>
          </w:tcPr>
          <w:p w14:paraId="5B68FD6D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70286</w:t>
            </w:r>
          </w:p>
        </w:tc>
      </w:tr>
      <w:tr w:rsidR="00447F3F" w:rsidRPr="0048128D" w14:paraId="2B14E4C2" w14:textId="77777777" w:rsidTr="006365C0">
        <w:trPr>
          <w:jc w:val="center"/>
        </w:trPr>
        <w:tc>
          <w:tcPr>
            <w:tcW w:w="1700" w:type="dxa"/>
            <w:vAlign w:val="center"/>
          </w:tcPr>
          <w:p w14:paraId="573977B8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Switzerland</w:t>
            </w:r>
          </w:p>
        </w:tc>
        <w:tc>
          <w:tcPr>
            <w:tcW w:w="1395" w:type="dxa"/>
            <w:vAlign w:val="center"/>
          </w:tcPr>
          <w:p w14:paraId="52B2A24A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2004</w:t>
            </w:r>
          </w:p>
        </w:tc>
        <w:tc>
          <w:tcPr>
            <w:tcW w:w="1656" w:type="dxa"/>
            <w:vAlign w:val="center"/>
          </w:tcPr>
          <w:p w14:paraId="2A08BF8F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7.6</w:t>
            </w:r>
          </w:p>
        </w:tc>
        <w:tc>
          <w:tcPr>
            <w:tcW w:w="1570" w:type="dxa"/>
          </w:tcPr>
          <w:p w14:paraId="2CA9A026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3.6/2.4</w:t>
            </w:r>
          </w:p>
        </w:tc>
        <w:tc>
          <w:tcPr>
            <w:tcW w:w="1468" w:type="dxa"/>
            <w:vAlign w:val="center"/>
          </w:tcPr>
          <w:p w14:paraId="0271AB6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10.90</w:t>
            </w:r>
          </w:p>
        </w:tc>
        <w:tc>
          <w:tcPr>
            <w:tcW w:w="1273" w:type="dxa"/>
            <w:vAlign w:val="center"/>
          </w:tcPr>
          <w:p w14:paraId="5DCA0B00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3225</w:t>
            </w:r>
          </w:p>
        </w:tc>
      </w:tr>
      <w:tr w:rsidR="00447F3F" w:rsidRPr="0048128D" w14:paraId="64AF264F" w14:textId="77777777" w:rsidTr="006365C0">
        <w:trPr>
          <w:jc w:val="center"/>
        </w:trPr>
        <w:tc>
          <w:tcPr>
            <w:tcW w:w="1700" w:type="dxa"/>
            <w:vAlign w:val="center"/>
          </w:tcPr>
          <w:p w14:paraId="5B98A437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Australia</w:t>
            </w:r>
          </w:p>
        </w:tc>
        <w:tc>
          <w:tcPr>
            <w:tcW w:w="1395" w:type="dxa"/>
            <w:vAlign w:val="center"/>
          </w:tcPr>
          <w:p w14:paraId="09E0C599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2010</w:t>
            </w:r>
          </w:p>
        </w:tc>
        <w:tc>
          <w:tcPr>
            <w:tcW w:w="1656" w:type="dxa"/>
            <w:vAlign w:val="center"/>
          </w:tcPr>
          <w:p w14:paraId="0F093C7A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10.0</w:t>
            </w:r>
          </w:p>
        </w:tc>
        <w:tc>
          <w:tcPr>
            <w:tcW w:w="1570" w:type="dxa"/>
          </w:tcPr>
          <w:p w14:paraId="7061C924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0.0</w:t>
            </w:r>
          </w:p>
        </w:tc>
        <w:tc>
          <w:tcPr>
            <w:tcW w:w="1468" w:type="dxa"/>
            <w:vAlign w:val="center"/>
          </w:tcPr>
          <w:p w14:paraId="726E6C73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13.75</w:t>
            </w:r>
          </w:p>
        </w:tc>
        <w:tc>
          <w:tcPr>
            <w:tcW w:w="1273" w:type="dxa"/>
            <w:vAlign w:val="center"/>
          </w:tcPr>
          <w:p w14:paraId="11437A15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17920</w:t>
            </w:r>
          </w:p>
        </w:tc>
      </w:tr>
      <w:tr w:rsidR="00447F3F" w:rsidRPr="0048128D" w14:paraId="4730D08B" w14:textId="77777777" w:rsidTr="006365C0">
        <w:trPr>
          <w:jc w:val="center"/>
        </w:trPr>
        <w:tc>
          <w:tcPr>
            <w:tcW w:w="1700" w:type="dxa"/>
            <w:vAlign w:val="center"/>
          </w:tcPr>
          <w:p w14:paraId="2E5D84C2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South Korea</w:t>
            </w:r>
          </w:p>
        </w:tc>
        <w:tc>
          <w:tcPr>
            <w:tcW w:w="1395" w:type="dxa"/>
            <w:vAlign w:val="center"/>
          </w:tcPr>
          <w:p w14:paraId="54BADB12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2012</w:t>
            </w:r>
          </w:p>
        </w:tc>
        <w:tc>
          <w:tcPr>
            <w:tcW w:w="1656" w:type="dxa"/>
            <w:vAlign w:val="center"/>
          </w:tcPr>
          <w:p w14:paraId="1F731E27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10.0</w:t>
            </w:r>
          </w:p>
        </w:tc>
        <w:tc>
          <w:tcPr>
            <w:tcW w:w="1570" w:type="dxa"/>
          </w:tcPr>
          <w:p w14:paraId="1E588521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0.0</w:t>
            </w:r>
          </w:p>
        </w:tc>
        <w:tc>
          <w:tcPr>
            <w:tcW w:w="1468" w:type="dxa"/>
            <w:vAlign w:val="center"/>
          </w:tcPr>
          <w:p w14:paraId="44F7F6FD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18.22</w:t>
            </w:r>
          </w:p>
        </w:tc>
        <w:tc>
          <w:tcPr>
            <w:tcW w:w="1273" w:type="dxa"/>
            <w:vAlign w:val="center"/>
          </w:tcPr>
          <w:p w14:paraId="77CB23FE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10313</w:t>
            </w:r>
          </w:p>
        </w:tc>
      </w:tr>
      <w:tr w:rsidR="00447F3F" w:rsidRPr="0048128D" w14:paraId="7FE7EC1B" w14:textId="77777777" w:rsidTr="006365C0">
        <w:trPr>
          <w:jc w:val="center"/>
        </w:trPr>
        <w:tc>
          <w:tcPr>
            <w:tcW w:w="1700" w:type="dxa"/>
            <w:vAlign w:val="center"/>
          </w:tcPr>
          <w:p w14:paraId="36BD3558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Italy</w:t>
            </w:r>
          </w:p>
        </w:tc>
        <w:tc>
          <w:tcPr>
            <w:tcW w:w="1395" w:type="dxa"/>
            <w:vAlign w:val="center"/>
          </w:tcPr>
          <w:p w14:paraId="13B44A70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2016</w:t>
            </w:r>
          </w:p>
        </w:tc>
        <w:tc>
          <w:tcPr>
            <w:tcW w:w="1656" w:type="dxa"/>
            <w:vAlign w:val="center"/>
          </w:tcPr>
          <w:p w14:paraId="06985986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22.0</w:t>
            </w:r>
          </w:p>
        </w:tc>
        <w:tc>
          <w:tcPr>
            <w:tcW w:w="1570" w:type="dxa"/>
          </w:tcPr>
          <w:p w14:paraId="1DAF0AF3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10.0/5.0/4.0</w:t>
            </w:r>
          </w:p>
        </w:tc>
        <w:tc>
          <w:tcPr>
            <w:tcW w:w="1468" w:type="dxa"/>
            <w:vAlign w:val="center"/>
          </w:tcPr>
          <w:p w14:paraId="5F43D8A1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19.04</w:t>
            </w:r>
          </w:p>
        </w:tc>
        <w:tc>
          <w:tcPr>
            <w:tcW w:w="1273" w:type="dxa"/>
            <w:vAlign w:val="center"/>
          </w:tcPr>
          <w:p w14:paraId="48DA75D9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7284</w:t>
            </w:r>
          </w:p>
        </w:tc>
      </w:tr>
      <w:tr w:rsidR="00447F3F" w:rsidRPr="0048128D" w14:paraId="7AC6931E" w14:textId="77777777" w:rsidTr="006365C0">
        <w:trPr>
          <w:jc w:val="center"/>
        </w:trPr>
        <w:tc>
          <w:tcPr>
            <w:tcW w:w="1700" w:type="dxa"/>
            <w:vAlign w:val="center"/>
          </w:tcPr>
          <w:p w14:paraId="7F59C5AF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France</w:t>
            </w:r>
          </w:p>
        </w:tc>
        <w:tc>
          <w:tcPr>
            <w:tcW w:w="1395" w:type="dxa"/>
            <w:vAlign w:val="center"/>
          </w:tcPr>
          <w:p w14:paraId="3201D0C6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2010</w:t>
            </w:r>
          </w:p>
        </w:tc>
        <w:tc>
          <w:tcPr>
            <w:tcW w:w="1656" w:type="dxa"/>
            <w:vAlign w:val="center"/>
          </w:tcPr>
          <w:p w14:paraId="0AB2FBB2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19.6</w:t>
            </w:r>
          </w:p>
        </w:tc>
        <w:tc>
          <w:tcPr>
            <w:tcW w:w="1570" w:type="dxa"/>
          </w:tcPr>
          <w:p w14:paraId="0F6EA53F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5.5/2.1</w:t>
            </w:r>
          </w:p>
        </w:tc>
        <w:tc>
          <w:tcPr>
            <w:tcW w:w="1468" w:type="dxa"/>
            <w:vAlign w:val="center"/>
          </w:tcPr>
          <w:p w14:paraId="22C6239A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19.58</w:t>
            </w:r>
          </w:p>
        </w:tc>
        <w:tc>
          <w:tcPr>
            <w:tcW w:w="1273" w:type="dxa"/>
            <w:vAlign w:val="center"/>
          </w:tcPr>
          <w:p w14:paraId="265089E3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15594</w:t>
            </w:r>
          </w:p>
        </w:tc>
      </w:tr>
      <w:tr w:rsidR="00447F3F" w:rsidRPr="0048128D" w14:paraId="1933433B" w14:textId="77777777" w:rsidTr="006365C0">
        <w:trPr>
          <w:jc w:val="center"/>
        </w:trPr>
        <w:tc>
          <w:tcPr>
            <w:tcW w:w="1700" w:type="dxa"/>
            <w:vAlign w:val="center"/>
          </w:tcPr>
          <w:p w14:paraId="2F06D4F2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Estonia</w:t>
            </w:r>
          </w:p>
        </w:tc>
        <w:tc>
          <w:tcPr>
            <w:tcW w:w="1395" w:type="dxa"/>
            <w:vAlign w:val="center"/>
          </w:tcPr>
          <w:p w14:paraId="342402E2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2000</w:t>
            </w:r>
          </w:p>
        </w:tc>
        <w:tc>
          <w:tcPr>
            <w:tcW w:w="1656" w:type="dxa"/>
            <w:vAlign w:val="center"/>
          </w:tcPr>
          <w:p w14:paraId="648F7011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18.0</w:t>
            </w:r>
          </w:p>
        </w:tc>
        <w:tc>
          <w:tcPr>
            <w:tcW w:w="1570" w:type="dxa"/>
          </w:tcPr>
          <w:p w14:paraId="6DCB1F74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5.0</w:t>
            </w:r>
          </w:p>
        </w:tc>
        <w:tc>
          <w:tcPr>
            <w:tcW w:w="1468" w:type="dxa"/>
            <w:vAlign w:val="center"/>
          </w:tcPr>
          <w:p w14:paraId="248298D5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19.86</w:t>
            </w:r>
          </w:p>
        </w:tc>
        <w:tc>
          <w:tcPr>
            <w:tcW w:w="1273" w:type="dxa"/>
            <w:vAlign w:val="center"/>
          </w:tcPr>
          <w:p w14:paraId="412DE83D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5844</w:t>
            </w:r>
          </w:p>
        </w:tc>
      </w:tr>
      <w:tr w:rsidR="00447F3F" w:rsidRPr="0048128D" w14:paraId="647AED40" w14:textId="77777777" w:rsidTr="006365C0">
        <w:trPr>
          <w:jc w:val="center"/>
        </w:trPr>
        <w:tc>
          <w:tcPr>
            <w:tcW w:w="1700" w:type="dxa"/>
            <w:vAlign w:val="center"/>
          </w:tcPr>
          <w:p w14:paraId="5EA6E475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Poland</w:t>
            </w:r>
          </w:p>
        </w:tc>
        <w:tc>
          <w:tcPr>
            <w:tcW w:w="1395" w:type="dxa"/>
            <w:vAlign w:val="center"/>
          </w:tcPr>
          <w:p w14:paraId="439734EB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2016</w:t>
            </w:r>
          </w:p>
        </w:tc>
        <w:tc>
          <w:tcPr>
            <w:tcW w:w="1656" w:type="dxa"/>
            <w:vAlign w:val="center"/>
          </w:tcPr>
          <w:p w14:paraId="1AD6021A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23.0</w:t>
            </w:r>
          </w:p>
        </w:tc>
        <w:tc>
          <w:tcPr>
            <w:tcW w:w="1570" w:type="dxa"/>
          </w:tcPr>
          <w:p w14:paraId="1F1B540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8.0/5.0</w:t>
            </w:r>
          </w:p>
        </w:tc>
        <w:tc>
          <w:tcPr>
            <w:tcW w:w="1468" w:type="dxa"/>
            <w:vAlign w:val="center"/>
          </w:tcPr>
          <w:p w14:paraId="76741777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19.96</w:t>
            </w:r>
          </w:p>
        </w:tc>
        <w:tc>
          <w:tcPr>
            <w:tcW w:w="1273" w:type="dxa"/>
            <w:vAlign w:val="center"/>
          </w:tcPr>
          <w:p w14:paraId="5EB51887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36577</w:t>
            </w:r>
          </w:p>
        </w:tc>
      </w:tr>
      <w:tr w:rsidR="00447F3F" w:rsidRPr="0048128D" w14:paraId="4AB64877" w14:textId="77777777" w:rsidTr="006365C0">
        <w:trPr>
          <w:jc w:val="center"/>
        </w:trPr>
        <w:tc>
          <w:tcPr>
            <w:tcW w:w="1700" w:type="dxa"/>
            <w:vAlign w:val="center"/>
          </w:tcPr>
          <w:p w14:paraId="5AEC93E7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Israel</w:t>
            </w:r>
          </w:p>
        </w:tc>
        <w:tc>
          <w:tcPr>
            <w:tcW w:w="1395" w:type="dxa"/>
            <w:vAlign w:val="center"/>
          </w:tcPr>
          <w:p w14:paraId="40F2F516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2016</w:t>
            </w:r>
          </w:p>
        </w:tc>
        <w:tc>
          <w:tcPr>
            <w:tcW w:w="1656" w:type="dxa"/>
            <w:vAlign w:val="center"/>
          </w:tcPr>
          <w:p w14:paraId="43B1239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17.0</w:t>
            </w:r>
          </w:p>
        </w:tc>
        <w:tc>
          <w:tcPr>
            <w:tcW w:w="1570" w:type="dxa"/>
          </w:tcPr>
          <w:p w14:paraId="7DAFF09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-</w:t>
            </w:r>
          </w:p>
        </w:tc>
        <w:tc>
          <w:tcPr>
            <w:tcW w:w="1468" w:type="dxa"/>
            <w:vAlign w:val="center"/>
          </w:tcPr>
          <w:p w14:paraId="61AE81D0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20.44</w:t>
            </w:r>
          </w:p>
        </w:tc>
        <w:tc>
          <w:tcPr>
            <w:tcW w:w="1273" w:type="dxa"/>
            <w:vAlign w:val="center"/>
          </w:tcPr>
          <w:p w14:paraId="7EB6ED30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8836</w:t>
            </w:r>
          </w:p>
        </w:tc>
      </w:tr>
      <w:tr w:rsidR="00447F3F" w:rsidRPr="0048128D" w14:paraId="4A9C229A" w14:textId="77777777" w:rsidTr="006365C0">
        <w:trPr>
          <w:jc w:val="center"/>
        </w:trPr>
        <w:tc>
          <w:tcPr>
            <w:tcW w:w="1700" w:type="dxa"/>
            <w:vAlign w:val="center"/>
          </w:tcPr>
          <w:p w14:paraId="4E06EB26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Slovenia</w:t>
            </w:r>
          </w:p>
        </w:tc>
        <w:tc>
          <w:tcPr>
            <w:tcW w:w="1395" w:type="dxa"/>
            <w:vAlign w:val="center"/>
          </w:tcPr>
          <w:p w14:paraId="7A77FC8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2015</w:t>
            </w:r>
          </w:p>
        </w:tc>
        <w:tc>
          <w:tcPr>
            <w:tcW w:w="1656" w:type="dxa"/>
            <w:vAlign w:val="center"/>
          </w:tcPr>
          <w:p w14:paraId="68208EB4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22.0</w:t>
            </w:r>
          </w:p>
        </w:tc>
        <w:tc>
          <w:tcPr>
            <w:tcW w:w="1570" w:type="dxa"/>
          </w:tcPr>
          <w:p w14:paraId="440F755E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9.5</w:t>
            </w:r>
          </w:p>
        </w:tc>
        <w:tc>
          <w:tcPr>
            <w:tcW w:w="1468" w:type="dxa"/>
            <w:vAlign w:val="center"/>
          </w:tcPr>
          <w:p w14:paraId="20167928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23.82</w:t>
            </w:r>
          </w:p>
        </w:tc>
        <w:tc>
          <w:tcPr>
            <w:tcW w:w="1273" w:type="dxa"/>
            <w:vAlign w:val="center"/>
          </w:tcPr>
          <w:p w14:paraId="1932BD7D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3727</w:t>
            </w:r>
          </w:p>
        </w:tc>
      </w:tr>
      <w:tr w:rsidR="00447F3F" w:rsidRPr="0048128D" w14:paraId="1CCFC477" w14:textId="77777777" w:rsidTr="006365C0">
        <w:trPr>
          <w:jc w:val="center"/>
        </w:trPr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62E83EA4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Hungary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02B80B79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2015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699CD807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27.0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14:paraId="411871CB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18.0/5.0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14:paraId="61D23CC7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33.40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59729BCC" w14:textId="77777777" w:rsidR="00447F3F" w:rsidRPr="0048128D" w:rsidRDefault="00447F3F" w:rsidP="006365C0">
            <w:pPr>
              <w:jc w:val="center"/>
              <w:rPr>
                <w:rFonts w:ascii="Arial" w:hAnsi="Arial" w:cs="Arial"/>
              </w:rPr>
            </w:pPr>
            <w:r w:rsidRPr="0048128D">
              <w:rPr>
                <w:rFonts w:ascii="Arial" w:hAnsi="Arial" w:cs="Arial"/>
              </w:rPr>
              <w:t>2771</w:t>
            </w:r>
          </w:p>
        </w:tc>
      </w:tr>
    </w:tbl>
    <w:p w14:paraId="69B0DD86" w14:textId="430D8296" w:rsidR="00447F3F" w:rsidRPr="00FE1936" w:rsidRDefault="00447F3F" w:rsidP="00447F3F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FE1936">
        <w:rPr>
          <w:rFonts w:ascii="Arial" w:hAnsi="Arial" w:cs="Arial"/>
          <w:i/>
          <w:sz w:val="20"/>
          <w:szCs w:val="20"/>
          <w:lang w:val="en-GB"/>
        </w:rPr>
        <w:t>Source</w:t>
      </w:r>
      <w:r w:rsidR="0076479E" w:rsidRPr="00FE1936">
        <w:rPr>
          <w:rFonts w:ascii="Arial" w:hAnsi="Arial" w:cs="Arial"/>
          <w:i/>
          <w:sz w:val="20"/>
          <w:szCs w:val="20"/>
          <w:lang w:val="en-GB"/>
        </w:rPr>
        <w:t>.</w:t>
      </w:r>
      <w:r w:rsidRPr="00FE1936">
        <w:rPr>
          <w:rFonts w:ascii="Arial" w:hAnsi="Arial" w:cs="Arial"/>
          <w:i/>
          <w:sz w:val="20"/>
          <w:szCs w:val="20"/>
          <w:lang w:val="en-GB"/>
        </w:rPr>
        <w:t xml:space="preserve"> LIS, OECD and Eurostat.</w:t>
      </w:r>
    </w:p>
    <w:p w14:paraId="412F44C8" w14:textId="52947DB2" w:rsidR="00447F3F" w:rsidRPr="00FE1936" w:rsidRDefault="00447F3F" w:rsidP="00447F3F">
      <w:pPr>
        <w:spacing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E1936">
        <w:rPr>
          <w:rFonts w:ascii="Arial" w:hAnsi="Arial" w:cs="Arial"/>
          <w:i/>
          <w:sz w:val="20"/>
          <w:szCs w:val="20"/>
          <w:lang w:val="en-GB"/>
        </w:rPr>
        <w:t>Note</w:t>
      </w:r>
      <w:r w:rsidR="0076479E" w:rsidRPr="00FE1936">
        <w:rPr>
          <w:rFonts w:ascii="Arial" w:hAnsi="Arial" w:cs="Arial"/>
          <w:i/>
          <w:sz w:val="20"/>
          <w:szCs w:val="20"/>
          <w:lang w:val="en-GB"/>
        </w:rPr>
        <w:t>.</w:t>
      </w:r>
      <w:r w:rsidRPr="00FE19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E1936">
        <w:rPr>
          <w:rFonts w:ascii="Arial" w:hAnsi="Arial" w:cs="Arial"/>
          <w:i/>
          <w:sz w:val="20"/>
          <w:szCs w:val="20"/>
          <w:vertAlign w:val="superscript"/>
          <w:lang w:val="en-GB"/>
        </w:rPr>
        <w:t>1</w:t>
      </w:r>
      <w:r w:rsidRPr="00FE19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The implicit indirect tax rate is well below the VAT rate. This could be due to significant household consumption in the shadow economy that remains untaxed. </w:t>
      </w:r>
    </w:p>
    <w:p w14:paraId="4D6E8419" w14:textId="77777777" w:rsidR="00447F3F" w:rsidRPr="0048128D" w:rsidRDefault="00447F3F" w:rsidP="00447F3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23CE8BF3" w14:textId="77777777" w:rsidR="00447F3F" w:rsidRPr="0048128D" w:rsidRDefault="00447F3F" w:rsidP="00447F3F">
      <w:pPr>
        <w:spacing w:line="240" w:lineRule="auto"/>
        <w:jc w:val="both"/>
        <w:rPr>
          <w:rFonts w:ascii="Arial" w:hAnsi="Arial" w:cs="Arial"/>
          <w:lang w:val="en-GB"/>
        </w:rPr>
      </w:pPr>
    </w:p>
    <w:p w14:paraId="6794DA01" w14:textId="77777777" w:rsidR="00447F3F" w:rsidRPr="0048128D" w:rsidRDefault="00447F3F" w:rsidP="00447F3F">
      <w:pPr>
        <w:rPr>
          <w:rFonts w:ascii="Arial" w:hAnsi="Arial" w:cs="Arial"/>
          <w:lang w:val="en-GB"/>
        </w:rPr>
        <w:sectPr w:rsidR="00447F3F" w:rsidRPr="0048128D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47C34D3" w14:textId="77777777" w:rsidR="00447F3F" w:rsidRPr="0048128D" w:rsidRDefault="00447F3F" w:rsidP="00447F3F">
      <w:pPr>
        <w:keepNext/>
        <w:jc w:val="center"/>
        <w:rPr>
          <w:rFonts w:ascii="Arial" w:hAnsi="Arial" w:cs="Arial"/>
        </w:rPr>
      </w:pPr>
      <w:r w:rsidRPr="0048128D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3D0BE9AE" wp14:editId="0D108265">
            <wp:extent cx="4320000" cy="2880000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poor_combined_pline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6209" w14:textId="11F3E5E1" w:rsidR="00447F3F" w:rsidRPr="00FE1936" w:rsidRDefault="00447F3F" w:rsidP="00447F3F">
      <w:pPr>
        <w:pStyle w:val="Caption"/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</w:pPr>
      <w:r w:rsidRPr="00FE1936">
        <w:rPr>
          <w:rFonts w:ascii="Arial" w:hAnsi="Arial" w:cs="Arial"/>
          <w:color w:val="auto"/>
          <w:sz w:val="20"/>
          <w:szCs w:val="20"/>
          <w:lang w:val="en-GB"/>
        </w:rPr>
        <w:t>Figure A</w:t>
      </w:r>
      <w:r w:rsidRPr="00FE1936">
        <w:rPr>
          <w:rFonts w:ascii="Arial" w:hAnsi="Arial" w:cs="Arial"/>
          <w:color w:val="auto"/>
          <w:sz w:val="20"/>
          <w:szCs w:val="20"/>
        </w:rPr>
        <w:fldChar w:fldCharType="begin"/>
      </w:r>
      <w:r w:rsidRPr="00FE1936">
        <w:rPr>
          <w:rFonts w:ascii="Arial" w:hAnsi="Arial" w:cs="Arial"/>
          <w:color w:val="auto"/>
          <w:sz w:val="20"/>
          <w:szCs w:val="20"/>
          <w:lang w:val="en-GB"/>
        </w:rPr>
        <w:instrText xml:space="preserve"> SEQ Figure_A \* ARABIC </w:instrText>
      </w:r>
      <w:r w:rsidRPr="00FE1936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FE1936">
        <w:rPr>
          <w:rFonts w:ascii="Arial" w:hAnsi="Arial" w:cs="Arial"/>
          <w:noProof/>
          <w:color w:val="auto"/>
          <w:sz w:val="20"/>
          <w:szCs w:val="20"/>
          <w:lang w:val="en-GB"/>
        </w:rPr>
        <w:t>2</w:t>
      </w:r>
      <w:r w:rsidRPr="00FE1936">
        <w:rPr>
          <w:rFonts w:ascii="Arial" w:hAnsi="Arial" w:cs="Arial"/>
          <w:color w:val="auto"/>
          <w:sz w:val="20"/>
          <w:szCs w:val="20"/>
        </w:rPr>
        <w:fldChar w:fldCharType="end"/>
      </w:r>
      <w:r w:rsidR="0076479E" w:rsidRPr="00FE1936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Pr="00FE193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FE1936">
        <w:rPr>
          <w:rFonts w:ascii="Arial" w:hAnsi="Arial" w:cs="Arial"/>
          <w:i w:val="0"/>
          <w:iCs w:val="0"/>
          <w:color w:val="auto"/>
          <w:sz w:val="20"/>
          <w:szCs w:val="20"/>
          <w:lang w:val="en-GB"/>
        </w:rPr>
        <w:t>Difference in the probability of falling under the poverty line due to consumption taxes compared to couple households without children (poverty line at 50% of median per capita disposable income)</w:t>
      </w:r>
    </w:p>
    <w:p w14:paraId="68D4D5DF" w14:textId="5BB281F1" w:rsidR="00447F3F" w:rsidRPr="00FE1936" w:rsidRDefault="00447F3F" w:rsidP="00447F3F">
      <w:pPr>
        <w:rPr>
          <w:rFonts w:ascii="Arial" w:hAnsi="Arial" w:cs="Arial"/>
          <w:sz w:val="20"/>
          <w:szCs w:val="20"/>
          <w:lang w:val="en-GB"/>
        </w:rPr>
      </w:pPr>
      <w:r w:rsidRPr="00FE1936">
        <w:rPr>
          <w:rFonts w:ascii="Arial" w:hAnsi="Arial" w:cs="Arial"/>
          <w:i/>
          <w:iCs/>
          <w:sz w:val="20"/>
          <w:szCs w:val="20"/>
          <w:lang w:val="en-GB"/>
        </w:rPr>
        <w:t>Note</w:t>
      </w:r>
      <w:r w:rsidR="0048128D" w:rsidRPr="00FE1936">
        <w:rPr>
          <w:rFonts w:ascii="Arial" w:hAnsi="Arial" w:cs="Arial"/>
          <w:sz w:val="20"/>
          <w:szCs w:val="20"/>
          <w:lang w:val="en-GB"/>
        </w:rPr>
        <w:t>.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Spikes indicate 95% confidence intervals (robust standard errors).</w:t>
      </w:r>
    </w:p>
    <w:p w14:paraId="481DCDB6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p w14:paraId="3A69A911" w14:textId="77777777" w:rsidR="00447F3F" w:rsidRPr="0048128D" w:rsidRDefault="00447F3F" w:rsidP="00447F3F">
      <w:pPr>
        <w:rPr>
          <w:rFonts w:ascii="Arial" w:hAnsi="Arial" w:cs="Arial"/>
          <w:b/>
          <w:lang w:val="en-GB"/>
        </w:rPr>
      </w:pPr>
      <w:r w:rsidRPr="0048128D">
        <w:rPr>
          <w:rFonts w:ascii="Arial" w:hAnsi="Arial" w:cs="Arial"/>
          <w:b/>
          <w:lang w:val="en-GB"/>
        </w:rPr>
        <w:t>Statutory tax information for France 2010</w:t>
      </w:r>
    </w:p>
    <w:p w14:paraId="0287C4E0" w14:textId="64486CC5" w:rsidR="00447F3F" w:rsidRPr="0048128D" w:rsidRDefault="00447F3F" w:rsidP="00447F3F">
      <w:pPr>
        <w:jc w:val="both"/>
        <w:rPr>
          <w:rFonts w:ascii="Arial" w:hAnsi="Arial" w:cs="Arial"/>
          <w:lang w:val="en-GB"/>
        </w:rPr>
      </w:pPr>
      <w:r w:rsidRPr="0048128D">
        <w:rPr>
          <w:rFonts w:ascii="Arial" w:hAnsi="Arial" w:cs="Arial"/>
          <w:lang w:val="en-GB"/>
        </w:rPr>
        <w:t xml:space="preserve">Statutory VAT rates and selected </w:t>
      </w:r>
      <w:r w:rsidR="0048128D" w:rsidRPr="0048128D">
        <w:rPr>
          <w:rFonts w:ascii="Arial" w:hAnsi="Arial" w:cs="Arial"/>
          <w:lang w:val="en-GB"/>
        </w:rPr>
        <w:t>excise</w:t>
      </w:r>
      <w:r w:rsidRPr="0048128D">
        <w:rPr>
          <w:rFonts w:ascii="Arial" w:hAnsi="Arial" w:cs="Arial"/>
          <w:lang w:val="en-GB"/>
        </w:rPr>
        <w:t xml:space="preserve"> taxes are used to estimate household consumption tax payments based on household expenditure per COICOP category. Notably, due to data availability</w:t>
      </w:r>
      <w:r w:rsidR="00F677F2">
        <w:rPr>
          <w:rFonts w:ascii="Arial" w:hAnsi="Arial" w:cs="Arial"/>
          <w:lang w:val="en-GB"/>
        </w:rPr>
        <w:t>,</w:t>
      </w:r>
      <w:r w:rsidRPr="0048128D">
        <w:rPr>
          <w:rFonts w:ascii="Arial" w:hAnsi="Arial" w:cs="Arial"/>
          <w:lang w:val="en-GB"/>
        </w:rPr>
        <w:t xml:space="preserve"> not all excise taxes are </w:t>
      </w:r>
      <w:proofErr w:type="gramStart"/>
      <w:r w:rsidRPr="0048128D">
        <w:rPr>
          <w:rFonts w:ascii="Arial" w:hAnsi="Arial" w:cs="Arial"/>
          <w:lang w:val="en-GB"/>
        </w:rPr>
        <w:t>included</w:t>
      </w:r>
      <w:proofErr w:type="gramEnd"/>
      <w:r w:rsidRPr="0048128D">
        <w:rPr>
          <w:rFonts w:ascii="Arial" w:hAnsi="Arial" w:cs="Arial"/>
          <w:lang w:val="en-GB"/>
        </w:rPr>
        <w:t xml:space="preserve"> and results should be interpreted as minimum values. </w:t>
      </w:r>
    </w:p>
    <w:p w14:paraId="2D9874BB" w14:textId="5E14505C" w:rsidR="00447F3F" w:rsidRPr="0048128D" w:rsidRDefault="00447F3F" w:rsidP="00447F3F">
      <w:pPr>
        <w:pStyle w:val="Caption"/>
        <w:keepNext/>
        <w:rPr>
          <w:rFonts w:ascii="Arial" w:hAnsi="Arial" w:cs="Arial"/>
          <w:color w:val="auto"/>
          <w:sz w:val="22"/>
          <w:szCs w:val="22"/>
          <w:lang w:val="en-GB"/>
        </w:rPr>
      </w:pPr>
      <w:r w:rsidRPr="0048128D">
        <w:rPr>
          <w:rFonts w:ascii="Arial" w:hAnsi="Arial" w:cs="Arial"/>
          <w:color w:val="auto"/>
          <w:sz w:val="22"/>
          <w:szCs w:val="22"/>
          <w:lang w:val="en-GB"/>
        </w:rPr>
        <w:t>Table A2 Statutory tax rates per COICOP category in France 2010</w:t>
      </w:r>
    </w:p>
    <w:tbl>
      <w:tblPr>
        <w:tblStyle w:val="TableGrid"/>
        <w:tblW w:w="8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5245"/>
        <w:gridCol w:w="717"/>
        <w:gridCol w:w="1560"/>
        <w:gridCol w:w="889"/>
      </w:tblGrid>
      <w:tr w:rsidR="00447F3F" w:rsidRPr="0048128D" w14:paraId="70FBBD4B" w14:textId="77777777" w:rsidTr="006365C0">
        <w:trPr>
          <w:trHeight w:val="280"/>
          <w:jc w:val="center"/>
        </w:trPr>
        <w:tc>
          <w:tcPr>
            <w:tcW w:w="5661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CC2FBFB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128D">
              <w:rPr>
                <w:rFonts w:ascii="Arial" w:hAnsi="Arial" w:cs="Arial"/>
                <w:sz w:val="20"/>
                <w:szCs w:val="20"/>
                <w:lang w:val="en-GB"/>
              </w:rPr>
              <w:t xml:space="preserve">Classification of Individual Consumption by Purpose (COICOP) 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6" w:space="0" w:color="auto"/>
            </w:tcBorders>
            <w:noWrap/>
            <w:vAlign w:val="center"/>
            <w:hideMark/>
          </w:tcPr>
          <w:p w14:paraId="6F49B90D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VAT (%)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6" w:space="0" w:color="auto"/>
            </w:tcBorders>
            <w:noWrap/>
            <w:vAlign w:val="center"/>
            <w:hideMark/>
          </w:tcPr>
          <w:p w14:paraId="7A4D2500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128D">
              <w:rPr>
                <w:rFonts w:ascii="Arial" w:hAnsi="Arial" w:cs="Arial"/>
                <w:sz w:val="20"/>
                <w:szCs w:val="20"/>
                <w:lang w:val="en-GB"/>
              </w:rPr>
              <w:t>Excise tax (as % of retail price)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6" w:space="0" w:color="auto"/>
            </w:tcBorders>
            <w:noWrap/>
            <w:vAlign w:val="center"/>
            <w:hideMark/>
          </w:tcPr>
          <w:p w14:paraId="7C9165CF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Total tax (%)</w:t>
            </w:r>
          </w:p>
        </w:tc>
      </w:tr>
      <w:tr w:rsidR="00447F3F" w:rsidRPr="0048128D" w14:paraId="1A9D90AA" w14:textId="77777777" w:rsidTr="006365C0">
        <w:trPr>
          <w:trHeight w:val="280"/>
          <w:jc w:val="center"/>
        </w:trPr>
        <w:tc>
          <w:tcPr>
            <w:tcW w:w="416" w:type="dxa"/>
            <w:tcBorders>
              <w:top w:val="single" w:sz="6" w:space="0" w:color="auto"/>
            </w:tcBorders>
          </w:tcPr>
          <w:p w14:paraId="0499D345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</w:tcBorders>
            <w:noWrap/>
            <w:hideMark/>
          </w:tcPr>
          <w:p w14:paraId="1C4ABCA2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128D">
              <w:rPr>
                <w:rFonts w:ascii="Arial" w:hAnsi="Arial" w:cs="Arial"/>
                <w:sz w:val="20"/>
                <w:szCs w:val="20"/>
                <w:lang w:val="en-GB"/>
              </w:rPr>
              <w:t>Food and non-alcoholic beverages</w:t>
            </w:r>
          </w:p>
        </w:tc>
        <w:tc>
          <w:tcPr>
            <w:tcW w:w="666" w:type="dxa"/>
            <w:tcBorders>
              <w:top w:val="single" w:sz="6" w:space="0" w:color="auto"/>
            </w:tcBorders>
            <w:noWrap/>
            <w:hideMark/>
          </w:tcPr>
          <w:p w14:paraId="7A336006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noWrap/>
            <w:hideMark/>
          </w:tcPr>
          <w:p w14:paraId="1FF7C9D5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auto"/>
            </w:tcBorders>
            <w:noWrap/>
            <w:vAlign w:val="center"/>
            <w:hideMark/>
          </w:tcPr>
          <w:p w14:paraId="0006A967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</w:tr>
      <w:tr w:rsidR="00447F3F" w:rsidRPr="0048128D" w14:paraId="71426EA0" w14:textId="77777777" w:rsidTr="006365C0">
        <w:trPr>
          <w:trHeight w:val="280"/>
          <w:jc w:val="center"/>
        </w:trPr>
        <w:tc>
          <w:tcPr>
            <w:tcW w:w="416" w:type="dxa"/>
          </w:tcPr>
          <w:p w14:paraId="29C37EBC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noWrap/>
            <w:hideMark/>
          </w:tcPr>
          <w:p w14:paraId="4BE1C38A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128D">
              <w:rPr>
                <w:rFonts w:ascii="Arial" w:hAnsi="Arial" w:cs="Arial"/>
                <w:sz w:val="20"/>
                <w:szCs w:val="20"/>
                <w:lang w:val="en-GB"/>
              </w:rPr>
              <w:t>Alcoholic beverages, tobacco and narcotics</w:t>
            </w:r>
          </w:p>
        </w:tc>
        <w:tc>
          <w:tcPr>
            <w:tcW w:w="666" w:type="dxa"/>
            <w:noWrap/>
            <w:hideMark/>
          </w:tcPr>
          <w:p w14:paraId="2F175336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19.60</w:t>
            </w:r>
          </w:p>
        </w:tc>
        <w:tc>
          <w:tcPr>
            <w:tcW w:w="1560" w:type="dxa"/>
            <w:noWrap/>
            <w:hideMark/>
          </w:tcPr>
          <w:p w14:paraId="2CDFFC6F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39.60</w:t>
            </w:r>
            <w:r w:rsidRPr="0048128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89" w:type="dxa"/>
            <w:noWrap/>
            <w:vAlign w:val="center"/>
            <w:hideMark/>
          </w:tcPr>
          <w:p w14:paraId="27E4028C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59.20</w:t>
            </w:r>
          </w:p>
        </w:tc>
      </w:tr>
      <w:tr w:rsidR="00447F3F" w:rsidRPr="0048128D" w14:paraId="3960A823" w14:textId="77777777" w:rsidTr="006365C0">
        <w:trPr>
          <w:trHeight w:val="280"/>
          <w:jc w:val="center"/>
        </w:trPr>
        <w:tc>
          <w:tcPr>
            <w:tcW w:w="416" w:type="dxa"/>
          </w:tcPr>
          <w:p w14:paraId="1C9AF20E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noWrap/>
            <w:hideMark/>
          </w:tcPr>
          <w:p w14:paraId="7F44B55C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Clothing and footwear</w:t>
            </w:r>
          </w:p>
        </w:tc>
        <w:tc>
          <w:tcPr>
            <w:tcW w:w="666" w:type="dxa"/>
            <w:noWrap/>
            <w:hideMark/>
          </w:tcPr>
          <w:p w14:paraId="09EE860F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19.60</w:t>
            </w:r>
          </w:p>
        </w:tc>
        <w:tc>
          <w:tcPr>
            <w:tcW w:w="1560" w:type="dxa"/>
            <w:noWrap/>
            <w:hideMark/>
          </w:tcPr>
          <w:p w14:paraId="1E9995D7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051608EA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19.60</w:t>
            </w:r>
          </w:p>
        </w:tc>
      </w:tr>
      <w:tr w:rsidR="00447F3F" w:rsidRPr="0048128D" w14:paraId="5C211765" w14:textId="77777777" w:rsidTr="006365C0">
        <w:trPr>
          <w:trHeight w:val="280"/>
          <w:jc w:val="center"/>
        </w:trPr>
        <w:tc>
          <w:tcPr>
            <w:tcW w:w="416" w:type="dxa"/>
          </w:tcPr>
          <w:p w14:paraId="4C1F2A38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noWrap/>
            <w:hideMark/>
          </w:tcPr>
          <w:p w14:paraId="62A38893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128D">
              <w:rPr>
                <w:rFonts w:ascii="Arial" w:hAnsi="Arial" w:cs="Arial"/>
                <w:sz w:val="20"/>
                <w:szCs w:val="20"/>
                <w:lang w:val="en-GB"/>
              </w:rPr>
              <w:t>Housing, water, electricity, gas and other fuels</w:t>
            </w:r>
          </w:p>
        </w:tc>
        <w:tc>
          <w:tcPr>
            <w:tcW w:w="666" w:type="dxa"/>
            <w:noWrap/>
            <w:hideMark/>
          </w:tcPr>
          <w:p w14:paraId="36BB4E43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1560" w:type="dxa"/>
            <w:noWrap/>
            <w:hideMark/>
          </w:tcPr>
          <w:p w14:paraId="4AB63888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7.90</w:t>
            </w:r>
            <w:r w:rsidRPr="004812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9" w:type="dxa"/>
            <w:noWrap/>
            <w:vAlign w:val="center"/>
            <w:hideMark/>
          </w:tcPr>
          <w:p w14:paraId="4BA38B3A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5.30</w:t>
            </w:r>
            <w:r w:rsidRPr="0048128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447F3F" w:rsidRPr="0048128D" w14:paraId="630ABC01" w14:textId="77777777" w:rsidTr="006365C0">
        <w:trPr>
          <w:trHeight w:val="280"/>
          <w:jc w:val="center"/>
        </w:trPr>
        <w:tc>
          <w:tcPr>
            <w:tcW w:w="416" w:type="dxa"/>
          </w:tcPr>
          <w:p w14:paraId="7C8B6A09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noWrap/>
            <w:hideMark/>
          </w:tcPr>
          <w:p w14:paraId="0B6FCE23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8128D">
              <w:rPr>
                <w:rFonts w:ascii="Arial" w:hAnsi="Arial" w:cs="Arial"/>
                <w:sz w:val="20"/>
                <w:szCs w:val="20"/>
                <w:lang w:val="en-GB"/>
              </w:rPr>
              <w:t>Furnishings, household equipment maintenance</w:t>
            </w:r>
          </w:p>
        </w:tc>
        <w:tc>
          <w:tcPr>
            <w:tcW w:w="666" w:type="dxa"/>
            <w:noWrap/>
            <w:hideMark/>
          </w:tcPr>
          <w:p w14:paraId="5B43D9B9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  <w:tc>
          <w:tcPr>
            <w:tcW w:w="1560" w:type="dxa"/>
            <w:noWrap/>
            <w:hideMark/>
          </w:tcPr>
          <w:p w14:paraId="55047336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26C4B2C3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15.20</w:t>
            </w:r>
          </w:p>
        </w:tc>
      </w:tr>
      <w:tr w:rsidR="00447F3F" w:rsidRPr="0048128D" w14:paraId="6BD813D8" w14:textId="77777777" w:rsidTr="006365C0">
        <w:trPr>
          <w:trHeight w:val="280"/>
          <w:jc w:val="center"/>
        </w:trPr>
        <w:tc>
          <w:tcPr>
            <w:tcW w:w="416" w:type="dxa"/>
          </w:tcPr>
          <w:p w14:paraId="2DDB520C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noWrap/>
            <w:hideMark/>
          </w:tcPr>
          <w:p w14:paraId="51E76E79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Health</w:t>
            </w:r>
          </w:p>
        </w:tc>
        <w:tc>
          <w:tcPr>
            <w:tcW w:w="666" w:type="dxa"/>
            <w:noWrap/>
            <w:hideMark/>
          </w:tcPr>
          <w:p w14:paraId="3686092D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1560" w:type="dxa"/>
            <w:noWrap/>
            <w:hideMark/>
          </w:tcPr>
          <w:p w14:paraId="4F1AC86E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51880FEF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447F3F" w:rsidRPr="0048128D" w14:paraId="385C90FC" w14:textId="77777777" w:rsidTr="006365C0">
        <w:trPr>
          <w:trHeight w:val="280"/>
          <w:jc w:val="center"/>
        </w:trPr>
        <w:tc>
          <w:tcPr>
            <w:tcW w:w="416" w:type="dxa"/>
          </w:tcPr>
          <w:p w14:paraId="5B7E455F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245" w:type="dxa"/>
            <w:noWrap/>
            <w:hideMark/>
          </w:tcPr>
          <w:p w14:paraId="163829C0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666" w:type="dxa"/>
            <w:noWrap/>
            <w:hideMark/>
          </w:tcPr>
          <w:p w14:paraId="03A6753C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17.80</w:t>
            </w:r>
          </w:p>
        </w:tc>
        <w:tc>
          <w:tcPr>
            <w:tcW w:w="1560" w:type="dxa"/>
            <w:noWrap/>
            <w:hideMark/>
          </w:tcPr>
          <w:p w14:paraId="23EC210B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44.90</w:t>
            </w:r>
            <w:r w:rsidRPr="0048128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9" w:type="dxa"/>
            <w:noWrap/>
            <w:vAlign w:val="center"/>
            <w:hideMark/>
          </w:tcPr>
          <w:p w14:paraId="34BC56D9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31.35</w:t>
            </w:r>
            <w:r w:rsidRPr="0048128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447F3F" w:rsidRPr="0048128D" w14:paraId="60E3DCD1" w14:textId="77777777" w:rsidTr="006365C0">
        <w:trPr>
          <w:trHeight w:val="280"/>
          <w:jc w:val="center"/>
        </w:trPr>
        <w:tc>
          <w:tcPr>
            <w:tcW w:w="416" w:type="dxa"/>
          </w:tcPr>
          <w:p w14:paraId="5232D855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45" w:type="dxa"/>
            <w:noWrap/>
            <w:hideMark/>
          </w:tcPr>
          <w:p w14:paraId="03A204FB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666" w:type="dxa"/>
            <w:noWrap/>
            <w:hideMark/>
          </w:tcPr>
          <w:p w14:paraId="79A5CB53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18.90</w:t>
            </w:r>
          </w:p>
        </w:tc>
        <w:tc>
          <w:tcPr>
            <w:tcW w:w="1560" w:type="dxa"/>
            <w:noWrap/>
            <w:hideMark/>
          </w:tcPr>
          <w:p w14:paraId="68762D8E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18BE8AE9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18.90</w:t>
            </w:r>
          </w:p>
        </w:tc>
      </w:tr>
      <w:tr w:rsidR="00447F3F" w:rsidRPr="0048128D" w14:paraId="4496E052" w14:textId="77777777" w:rsidTr="006365C0">
        <w:trPr>
          <w:trHeight w:val="280"/>
          <w:jc w:val="center"/>
        </w:trPr>
        <w:tc>
          <w:tcPr>
            <w:tcW w:w="416" w:type="dxa"/>
          </w:tcPr>
          <w:p w14:paraId="209B2567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45" w:type="dxa"/>
            <w:noWrap/>
            <w:hideMark/>
          </w:tcPr>
          <w:p w14:paraId="7AF6B456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Recreation and culture</w:t>
            </w:r>
          </w:p>
        </w:tc>
        <w:tc>
          <w:tcPr>
            <w:tcW w:w="666" w:type="dxa"/>
            <w:noWrap/>
            <w:hideMark/>
          </w:tcPr>
          <w:p w14:paraId="657131DD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  <w:tc>
          <w:tcPr>
            <w:tcW w:w="1560" w:type="dxa"/>
            <w:noWrap/>
            <w:hideMark/>
          </w:tcPr>
          <w:p w14:paraId="4292D768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165E8EBF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447F3F" w:rsidRPr="0048128D" w14:paraId="46A3146C" w14:textId="77777777" w:rsidTr="006365C0">
        <w:trPr>
          <w:trHeight w:val="280"/>
          <w:jc w:val="center"/>
        </w:trPr>
        <w:tc>
          <w:tcPr>
            <w:tcW w:w="416" w:type="dxa"/>
          </w:tcPr>
          <w:p w14:paraId="6B2886B3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noWrap/>
            <w:hideMark/>
          </w:tcPr>
          <w:p w14:paraId="0CC463DC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666" w:type="dxa"/>
            <w:noWrap/>
            <w:hideMark/>
          </w:tcPr>
          <w:p w14:paraId="6537B8E0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60" w:type="dxa"/>
            <w:noWrap/>
            <w:hideMark/>
          </w:tcPr>
          <w:p w14:paraId="25BC4DEE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44067429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47F3F" w:rsidRPr="0048128D" w14:paraId="2BC36F83" w14:textId="77777777" w:rsidTr="006365C0">
        <w:trPr>
          <w:trHeight w:val="280"/>
          <w:jc w:val="center"/>
        </w:trPr>
        <w:tc>
          <w:tcPr>
            <w:tcW w:w="416" w:type="dxa"/>
          </w:tcPr>
          <w:p w14:paraId="795350AB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noWrap/>
            <w:hideMark/>
          </w:tcPr>
          <w:p w14:paraId="0C4A9D5F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Restaurants and hotels</w:t>
            </w:r>
          </w:p>
        </w:tc>
        <w:tc>
          <w:tcPr>
            <w:tcW w:w="666" w:type="dxa"/>
            <w:noWrap/>
            <w:hideMark/>
          </w:tcPr>
          <w:p w14:paraId="2583F2B2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  <w:tc>
          <w:tcPr>
            <w:tcW w:w="1560" w:type="dxa"/>
            <w:noWrap/>
            <w:hideMark/>
          </w:tcPr>
          <w:p w14:paraId="52025E72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14:paraId="3FEE15B4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5.50</w:t>
            </w:r>
          </w:p>
        </w:tc>
      </w:tr>
      <w:tr w:rsidR="00447F3F" w:rsidRPr="0048128D" w14:paraId="5CE50846" w14:textId="77777777" w:rsidTr="006365C0">
        <w:trPr>
          <w:trHeight w:val="280"/>
          <w:jc w:val="center"/>
        </w:trPr>
        <w:tc>
          <w:tcPr>
            <w:tcW w:w="416" w:type="dxa"/>
            <w:tcBorders>
              <w:bottom w:val="single" w:sz="8" w:space="0" w:color="auto"/>
            </w:tcBorders>
          </w:tcPr>
          <w:p w14:paraId="0399B542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8" w:space="0" w:color="auto"/>
            </w:tcBorders>
            <w:noWrap/>
            <w:hideMark/>
          </w:tcPr>
          <w:p w14:paraId="3ACB4F16" w14:textId="77777777" w:rsidR="00447F3F" w:rsidRPr="0048128D" w:rsidRDefault="00447F3F" w:rsidP="006365C0">
            <w:pPr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Miscellaneous goods and services</w:t>
            </w:r>
          </w:p>
        </w:tc>
        <w:tc>
          <w:tcPr>
            <w:tcW w:w="666" w:type="dxa"/>
            <w:tcBorders>
              <w:bottom w:val="single" w:sz="8" w:space="0" w:color="auto"/>
            </w:tcBorders>
            <w:noWrap/>
            <w:hideMark/>
          </w:tcPr>
          <w:p w14:paraId="24A5DBFB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16.70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noWrap/>
            <w:hideMark/>
          </w:tcPr>
          <w:p w14:paraId="09F4EF9F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4996C86" w14:textId="77777777" w:rsidR="00447F3F" w:rsidRPr="0048128D" w:rsidRDefault="00447F3F" w:rsidP="00636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28D">
              <w:rPr>
                <w:rFonts w:ascii="Arial" w:hAnsi="Arial" w:cs="Arial"/>
                <w:sz w:val="20"/>
                <w:szCs w:val="20"/>
              </w:rPr>
              <w:t>16.70</w:t>
            </w:r>
          </w:p>
        </w:tc>
      </w:tr>
    </w:tbl>
    <w:p w14:paraId="597B5D17" w14:textId="5B0E0345" w:rsidR="00447F3F" w:rsidRPr="00FE1936" w:rsidRDefault="00447F3F" w:rsidP="00447F3F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FE1936">
        <w:rPr>
          <w:rFonts w:ascii="Arial" w:hAnsi="Arial" w:cs="Arial"/>
          <w:i/>
          <w:sz w:val="20"/>
          <w:szCs w:val="20"/>
          <w:lang w:val="en-GB"/>
        </w:rPr>
        <w:t>Sources</w:t>
      </w:r>
      <w:r w:rsidR="0048128D" w:rsidRPr="00FE1936">
        <w:rPr>
          <w:rFonts w:ascii="Arial" w:hAnsi="Arial" w:cs="Arial"/>
          <w:i/>
          <w:sz w:val="20"/>
          <w:szCs w:val="20"/>
          <w:lang w:val="en-GB"/>
        </w:rPr>
        <w:t>.</w:t>
      </w:r>
      <w:r w:rsidRPr="00FE19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Eurostat Experimental statistics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Don't edit this field"/>
          <w:tag w:val="CitaviPlaceholder#91370f8e-e4a6-4814-9239-1c70373799bf"/>
          <w:id w:val="-487779863"/>
          <w:placeholder>
            <w:docPart w:val="802D0049B09D4CBBA3FB065D7D67971D"/>
          </w:placeholder>
        </w:sdtPr>
        <w:sdtEndPr/>
        <w:sdtContent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begin"/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instrText>ADDIN CitaviPlaceholder{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}</w:instrText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separate"/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t>(Eurostat, 2020)</w:t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end"/>
          </w:r>
        </w:sdtContent>
      </w:sdt>
      <w:r w:rsidRPr="00FE1936">
        <w:rPr>
          <w:rFonts w:ascii="Arial" w:hAnsi="Arial" w:cs="Arial"/>
          <w:sz w:val="20"/>
          <w:szCs w:val="20"/>
          <w:lang w:val="en-GB"/>
        </w:rPr>
        <w:t xml:space="preserve">, OECD Consumption Tax Trends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Don't edit this field"/>
          <w:tag w:val="CitaviPlaceholder#6ac71977-6912-45af-adc4-51890e3a6731"/>
          <w:id w:val="-1027096049"/>
          <w:placeholder>
            <w:docPart w:val="802D0049B09D4CBBA3FB065D7D67971D"/>
          </w:placeholder>
        </w:sdtPr>
        <w:sdtEndPr/>
        <w:sdtContent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begin"/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instrText>ADDIN CitaviPlaceholder{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}</w:instrText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separate"/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t>(OECD, 2020)</w:t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end"/>
          </w:r>
        </w:sdtContent>
      </w:sdt>
      <w:r w:rsidRPr="00FE1936">
        <w:rPr>
          <w:rFonts w:ascii="Arial" w:hAnsi="Arial" w:cs="Arial"/>
          <w:sz w:val="20"/>
          <w:szCs w:val="20"/>
          <w:lang w:val="en-GB"/>
        </w:rPr>
        <w:t xml:space="preserve"> and Ngo </w:t>
      </w:r>
      <w:r w:rsidRPr="00FE1936">
        <w:rPr>
          <w:rFonts w:ascii="Arial" w:hAnsi="Arial" w:cs="Arial"/>
          <w:i/>
          <w:iCs/>
          <w:sz w:val="20"/>
          <w:szCs w:val="20"/>
          <w:lang w:val="en-GB"/>
        </w:rPr>
        <w:t>et al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. </w:t>
      </w:r>
      <w:sdt>
        <w:sdtPr>
          <w:rPr>
            <w:rFonts w:ascii="Arial" w:hAnsi="Arial" w:cs="Arial"/>
            <w:sz w:val="20"/>
            <w:szCs w:val="20"/>
            <w:lang w:val="en-GB"/>
          </w:rPr>
          <w:alias w:val="Don't edit this field"/>
          <w:tag w:val="CitaviPlaceholder#e9695caf-22a3-4fa5-8c9a-8c0594a05314"/>
          <w:id w:val="-1667232878"/>
          <w:placeholder>
            <w:docPart w:val="802D0049B09D4CBBA3FB065D7D67971D"/>
          </w:placeholder>
        </w:sdtPr>
        <w:sdtEndPr/>
        <w:sdtContent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begin"/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instrText>ADDIN CitaviPlaceholder{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}</w:instrText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separate"/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t>(2021)</w:t>
          </w:r>
          <w:r w:rsidRPr="00FE1936">
            <w:rPr>
              <w:rFonts w:ascii="Arial" w:hAnsi="Arial" w:cs="Arial"/>
              <w:sz w:val="20"/>
              <w:szCs w:val="20"/>
              <w:lang w:val="en-GB"/>
            </w:rPr>
            <w:fldChar w:fldCharType="end"/>
          </w:r>
        </w:sdtContent>
      </w:sdt>
      <w:r w:rsidRPr="00FE1936">
        <w:rPr>
          <w:rFonts w:ascii="Arial" w:hAnsi="Arial" w:cs="Arial"/>
          <w:sz w:val="20"/>
          <w:szCs w:val="20"/>
          <w:lang w:val="en-GB"/>
        </w:rPr>
        <w:t>.</w:t>
      </w:r>
    </w:p>
    <w:p w14:paraId="6CAF1844" w14:textId="765827EF" w:rsidR="00447F3F" w:rsidRPr="00FE1936" w:rsidRDefault="00447F3F" w:rsidP="00447F3F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FE1936">
        <w:rPr>
          <w:rFonts w:ascii="Arial" w:hAnsi="Arial" w:cs="Arial"/>
          <w:i/>
          <w:sz w:val="20"/>
          <w:szCs w:val="20"/>
          <w:lang w:val="en-GB"/>
        </w:rPr>
        <w:t>Notes</w:t>
      </w:r>
      <w:r w:rsidR="0048128D" w:rsidRPr="00FE1936">
        <w:rPr>
          <w:rFonts w:ascii="Arial" w:hAnsi="Arial" w:cs="Arial"/>
          <w:i/>
          <w:sz w:val="20"/>
          <w:szCs w:val="20"/>
          <w:lang w:val="en-GB"/>
        </w:rPr>
        <w:t>.</w:t>
      </w:r>
      <w:r w:rsidRPr="00FE19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FE1936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Mean excise tax on alcoholic beverages (15.2%) and tobacco (64.0%).</w:t>
      </w:r>
    </w:p>
    <w:p w14:paraId="1442CB89" w14:textId="77777777" w:rsidR="00447F3F" w:rsidRPr="00FE1936" w:rsidRDefault="00447F3F" w:rsidP="00447F3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1936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Only light fuel oil for households.</w:t>
      </w:r>
    </w:p>
    <w:p w14:paraId="618710B9" w14:textId="77777777" w:rsidR="00447F3F" w:rsidRPr="00FE1936" w:rsidRDefault="00447F3F" w:rsidP="00447F3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1936"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Based on a gasoline litre price of 1.35€ in 2010 with an excise of 0.606€ per litre.</w:t>
      </w:r>
    </w:p>
    <w:p w14:paraId="15996DC4" w14:textId="2CA91E9F" w:rsidR="00447F3F" w:rsidRPr="00FE1936" w:rsidRDefault="00447F3F" w:rsidP="00447F3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1936">
        <w:rPr>
          <w:rFonts w:ascii="Arial" w:hAnsi="Arial" w:cs="Arial"/>
          <w:sz w:val="20"/>
          <w:szCs w:val="20"/>
          <w:vertAlign w:val="superscript"/>
          <w:lang w:val="en-GB"/>
        </w:rPr>
        <w:t>4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Estimation based on 15 </w:t>
      </w:r>
      <w:r w:rsidR="00007FE6">
        <w:rPr>
          <w:rFonts w:ascii="Arial" w:hAnsi="Arial" w:cs="Arial"/>
          <w:sz w:val="20"/>
          <w:szCs w:val="20"/>
          <w:lang w:val="en-GB"/>
        </w:rPr>
        <w:t>per cent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of French households heating with light fuel oil. Not including other excises on electricity and gas.</w:t>
      </w:r>
    </w:p>
    <w:p w14:paraId="3A14A28A" w14:textId="77777777" w:rsidR="00447F3F" w:rsidRPr="00FE1936" w:rsidRDefault="00447F3F" w:rsidP="00447F3F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FE1936">
        <w:rPr>
          <w:rFonts w:ascii="Arial" w:hAnsi="Arial" w:cs="Arial"/>
          <w:sz w:val="20"/>
          <w:szCs w:val="20"/>
          <w:vertAlign w:val="superscript"/>
          <w:lang w:val="en-GB"/>
        </w:rPr>
        <w:t>5</w:t>
      </w:r>
      <w:r w:rsidRPr="00FE1936">
        <w:rPr>
          <w:rFonts w:ascii="Arial" w:hAnsi="Arial" w:cs="Arial"/>
          <w:sz w:val="20"/>
          <w:szCs w:val="20"/>
          <w:lang w:val="en-GB"/>
        </w:rPr>
        <w:t xml:space="preserve"> Estimation based on half of transport expenditures spent on fuel, see European Environment Agency (2021).</w:t>
      </w:r>
    </w:p>
    <w:p w14:paraId="44AC53A9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p w14:paraId="221257D5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p w14:paraId="34C04D43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p w14:paraId="5060D6BC" w14:textId="77777777" w:rsidR="00447F3F" w:rsidRPr="0048128D" w:rsidRDefault="00447F3F" w:rsidP="00447F3F">
      <w:pPr>
        <w:rPr>
          <w:rFonts w:ascii="Arial" w:hAnsi="Arial" w:cs="Arial"/>
          <w:lang w:val="en-GB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tag w:val="CitaviBibliography"/>
        <w:id w:val="1417513339"/>
        <w:placeholder>
          <w:docPart w:val="D601BA56581940EC8AB729250A007FC4"/>
        </w:placeholder>
      </w:sdtPr>
      <w:sdtEndPr/>
      <w:sdtContent>
        <w:p w14:paraId="2E1ACA82" w14:textId="77777777" w:rsidR="00447F3F" w:rsidRPr="0048128D" w:rsidRDefault="00447F3F" w:rsidP="00447F3F">
          <w:pPr>
            <w:pStyle w:val="CitaviBibliographyHeading"/>
            <w:rPr>
              <w:rFonts w:ascii="Arial" w:hAnsi="Arial" w:cs="Arial"/>
              <w:b/>
              <w:color w:val="auto"/>
              <w:sz w:val="22"/>
              <w:szCs w:val="22"/>
              <w:lang w:val="en-GB"/>
            </w:rPr>
          </w:pPr>
          <w:r w:rsidRPr="0048128D">
            <w:rPr>
              <w:rFonts w:ascii="Arial" w:hAnsi="Arial" w:cs="Arial"/>
              <w:color w:val="auto"/>
              <w:sz w:val="22"/>
              <w:szCs w:val="22"/>
              <w:lang w:val="en-GB"/>
            </w:rPr>
            <w:fldChar w:fldCharType="begin"/>
          </w:r>
          <w:r w:rsidRPr="0048128D">
            <w:rPr>
              <w:rFonts w:ascii="Arial" w:hAnsi="Arial" w:cs="Arial"/>
              <w:color w:val="auto"/>
              <w:sz w:val="22"/>
              <w:szCs w:val="22"/>
              <w:lang w:val="en-GB"/>
            </w:rPr>
            <w:instrText>ADDIN CitaviBibliography</w:instrText>
          </w:r>
          <w:r w:rsidRPr="0048128D">
            <w:rPr>
              <w:rFonts w:ascii="Arial" w:hAnsi="Arial" w:cs="Arial"/>
              <w:color w:val="auto"/>
              <w:sz w:val="22"/>
              <w:szCs w:val="22"/>
              <w:lang w:val="en-GB"/>
            </w:rPr>
            <w:fldChar w:fldCharType="separate"/>
          </w:r>
          <w:r w:rsidRPr="0048128D">
            <w:rPr>
              <w:rFonts w:ascii="Arial" w:hAnsi="Arial" w:cs="Arial"/>
              <w:b/>
              <w:color w:val="auto"/>
              <w:sz w:val="22"/>
              <w:szCs w:val="22"/>
              <w:lang w:val="en-GB"/>
            </w:rPr>
            <w:t>References</w:t>
          </w:r>
        </w:p>
        <w:p w14:paraId="5B12B368" w14:textId="6E477EA4" w:rsidR="007D6063" w:rsidRDefault="007D6063" w:rsidP="007D6063">
          <w:pPr>
            <w:pStyle w:val="CitaviBibliographyEntry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 xml:space="preserve">European Environment Agency (2021) </w:t>
          </w:r>
          <w:r w:rsidRPr="007D6063">
            <w:rPr>
              <w:rFonts w:ascii="Arial" w:hAnsi="Arial" w:cs="Arial"/>
              <w:i/>
              <w:lang w:val="en-GB"/>
            </w:rPr>
            <w:t>Expenditure on Personal Mobility</w:t>
          </w:r>
          <w:r>
            <w:rPr>
              <w:rFonts w:ascii="Arial" w:hAnsi="Arial" w:cs="Arial"/>
              <w:i/>
              <w:lang w:val="en-GB"/>
            </w:rPr>
            <w:t xml:space="preserve">: Share of </w:t>
          </w:r>
          <w:r w:rsidR="00A8349E">
            <w:rPr>
              <w:rFonts w:ascii="Arial" w:hAnsi="Arial" w:cs="Arial"/>
              <w:i/>
              <w:lang w:val="en-GB"/>
            </w:rPr>
            <w:t xml:space="preserve">Household Expenditure </w:t>
          </w:r>
          <w:r>
            <w:rPr>
              <w:rFonts w:ascii="Arial" w:hAnsi="Arial" w:cs="Arial"/>
              <w:i/>
              <w:lang w:val="en-GB"/>
            </w:rPr>
            <w:t xml:space="preserve">on </w:t>
          </w:r>
          <w:r w:rsidR="00A8349E">
            <w:rPr>
              <w:rFonts w:ascii="Arial" w:hAnsi="Arial" w:cs="Arial"/>
              <w:i/>
              <w:lang w:val="en-GB"/>
            </w:rPr>
            <w:t xml:space="preserve">Transport </w:t>
          </w:r>
          <w:r>
            <w:rPr>
              <w:rFonts w:ascii="Arial" w:hAnsi="Arial" w:cs="Arial"/>
              <w:i/>
              <w:lang w:val="en-GB"/>
            </w:rPr>
            <w:t xml:space="preserve">by </w:t>
          </w:r>
          <w:r w:rsidR="00A8349E">
            <w:rPr>
              <w:rFonts w:ascii="Arial" w:hAnsi="Arial" w:cs="Arial"/>
              <w:i/>
              <w:lang w:val="en-GB"/>
            </w:rPr>
            <w:t xml:space="preserve">Consumption </w:t>
          </w:r>
          <w:r>
            <w:rPr>
              <w:rFonts w:ascii="Arial" w:hAnsi="Arial" w:cs="Arial"/>
              <w:i/>
              <w:lang w:val="en-GB"/>
            </w:rPr>
            <w:t xml:space="preserve">(transport) </w:t>
          </w:r>
          <w:r w:rsidR="00A8349E">
            <w:rPr>
              <w:rFonts w:ascii="Arial" w:hAnsi="Arial" w:cs="Arial"/>
              <w:i/>
              <w:lang w:val="en-GB"/>
            </w:rPr>
            <w:t>Purpose</w:t>
          </w:r>
          <w:r>
            <w:rPr>
              <w:rFonts w:ascii="Arial" w:hAnsi="Arial" w:cs="Arial"/>
              <w:i/>
              <w:lang w:val="en-GB"/>
            </w:rPr>
            <w:t>.</w:t>
          </w:r>
        </w:p>
        <w:p w14:paraId="54D79965" w14:textId="58CA10BB" w:rsidR="00447F3F" w:rsidRPr="0048128D" w:rsidRDefault="00447F3F" w:rsidP="00A8349E">
          <w:pPr>
            <w:pStyle w:val="CitaviBibliographyEntry"/>
            <w:ind w:left="0" w:firstLine="0"/>
            <w:rPr>
              <w:rFonts w:ascii="Arial" w:hAnsi="Arial" w:cs="Arial"/>
              <w:lang w:val="en-GB"/>
            </w:rPr>
          </w:pPr>
          <w:r w:rsidRPr="0048128D">
            <w:rPr>
              <w:rFonts w:ascii="Arial" w:hAnsi="Arial" w:cs="Arial"/>
              <w:lang w:val="en-GB"/>
            </w:rPr>
            <w:t xml:space="preserve">Eurostat (2020) </w:t>
          </w:r>
          <w:r w:rsidRPr="0048128D">
            <w:rPr>
              <w:rFonts w:ascii="Arial" w:hAnsi="Arial" w:cs="Arial"/>
              <w:i/>
              <w:lang w:val="en-GB"/>
            </w:rPr>
            <w:t xml:space="preserve">Experimental Statistics: VAT </w:t>
          </w:r>
          <w:r w:rsidR="0048128D" w:rsidRPr="0048128D">
            <w:rPr>
              <w:rFonts w:ascii="Arial" w:hAnsi="Arial" w:cs="Arial"/>
              <w:i/>
              <w:lang w:val="en-GB"/>
            </w:rPr>
            <w:t xml:space="preserve">Rate </w:t>
          </w:r>
          <w:r w:rsidRPr="0048128D">
            <w:rPr>
              <w:rFonts w:ascii="Arial" w:hAnsi="Arial" w:cs="Arial"/>
              <w:i/>
              <w:lang w:val="en-GB"/>
            </w:rPr>
            <w:t>by COICOP</w:t>
          </w:r>
          <w:r w:rsidR="0048128D" w:rsidRPr="0048128D">
            <w:rPr>
              <w:rFonts w:ascii="Arial" w:hAnsi="Arial" w:cs="Arial"/>
              <w:i/>
              <w:lang w:val="en-GB"/>
            </w:rPr>
            <w:t xml:space="preserve"> Consumption Purpose</w:t>
          </w:r>
          <w:r w:rsidR="0048128D" w:rsidRPr="0048128D">
            <w:rPr>
              <w:rFonts w:ascii="Arial" w:hAnsi="Arial" w:cs="Arial"/>
              <w:lang w:val="en-GB"/>
            </w:rPr>
            <w:t>.</w:t>
          </w:r>
        </w:p>
        <w:p w14:paraId="6E248C0F" w14:textId="77777777" w:rsidR="00447F3F" w:rsidRPr="0048128D" w:rsidRDefault="00447F3F" w:rsidP="00447F3F">
          <w:pPr>
            <w:pStyle w:val="CitaviBibliographyEntry"/>
            <w:rPr>
              <w:rFonts w:ascii="Arial" w:hAnsi="Arial" w:cs="Arial"/>
              <w:lang w:val="en-GB"/>
            </w:rPr>
          </w:pPr>
          <w:r w:rsidRPr="0048128D">
            <w:rPr>
              <w:rFonts w:ascii="Arial" w:hAnsi="Arial" w:cs="Arial"/>
              <w:lang w:val="en-GB"/>
            </w:rPr>
            <w:t xml:space="preserve">Ngo, A. P., Wang, X., Slater, S., Chriqui, J. F., Chaloupka, F. J., Lin, Y., Smith, L., Li, Q. and Shang, C. (2021) ‘Alcohol excise taxes as a percentage of retail alcohol prices in 26 OECD countries’, </w:t>
          </w:r>
          <w:r w:rsidRPr="0048128D">
            <w:rPr>
              <w:rFonts w:ascii="Arial" w:hAnsi="Arial" w:cs="Arial"/>
              <w:i/>
              <w:lang w:val="en-GB"/>
            </w:rPr>
            <w:t>Drug and Alcohol Dependence</w:t>
          </w:r>
          <w:r w:rsidRPr="0048128D">
            <w:rPr>
              <w:rFonts w:ascii="Arial" w:hAnsi="Arial" w:cs="Arial"/>
              <w:lang w:val="en-GB"/>
            </w:rPr>
            <w:t>, 219.</w:t>
          </w:r>
        </w:p>
        <w:p w14:paraId="0B1E0986" w14:textId="77777777" w:rsidR="00447F3F" w:rsidRPr="0048128D" w:rsidRDefault="00447F3F" w:rsidP="00447F3F">
          <w:pPr>
            <w:pStyle w:val="CitaviBibliographyEntry"/>
            <w:rPr>
              <w:rFonts w:ascii="Arial" w:hAnsi="Arial" w:cs="Arial"/>
              <w:lang w:val="en-GB"/>
            </w:rPr>
          </w:pPr>
          <w:r w:rsidRPr="0048128D">
            <w:rPr>
              <w:rFonts w:ascii="Arial" w:hAnsi="Arial" w:cs="Arial"/>
              <w:lang w:val="en-GB"/>
            </w:rPr>
            <w:t xml:space="preserve">OECD (2020) </w:t>
          </w:r>
          <w:r w:rsidRPr="0048128D">
            <w:rPr>
              <w:rFonts w:ascii="Arial" w:hAnsi="Arial" w:cs="Arial"/>
              <w:i/>
              <w:lang w:val="en-GB"/>
            </w:rPr>
            <w:t xml:space="preserve">Consumption Tax Trends 2020: VAT/GST and Excise Rates, Trends and Policy Issues, </w:t>
          </w:r>
          <w:r w:rsidRPr="0048128D">
            <w:rPr>
              <w:rFonts w:ascii="Arial" w:hAnsi="Arial" w:cs="Arial"/>
              <w:lang w:val="en-GB"/>
            </w:rPr>
            <w:t>Paris: OECD Publishing.</w:t>
          </w:r>
          <w:r w:rsidRPr="0048128D">
            <w:rPr>
              <w:rFonts w:ascii="Arial" w:hAnsi="Arial" w:cs="Arial"/>
              <w:lang w:val="en-GB"/>
            </w:rPr>
            <w:fldChar w:fldCharType="end"/>
          </w:r>
        </w:p>
        <w:p w14:paraId="1A6006B7" w14:textId="77777777" w:rsidR="00447F3F" w:rsidRPr="0048128D" w:rsidRDefault="00A8349E" w:rsidP="00447F3F">
          <w:pPr>
            <w:pStyle w:val="CitaviBibliographyEntry"/>
            <w:rPr>
              <w:rFonts w:ascii="Arial" w:hAnsi="Arial" w:cs="Arial"/>
              <w:lang w:val="en-GB"/>
            </w:rPr>
          </w:pPr>
        </w:p>
      </w:sdtContent>
    </w:sdt>
    <w:p w14:paraId="70EE5453" w14:textId="77777777" w:rsidR="00447F3F" w:rsidRPr="0048128D" w:rsidRDefault="00447F3F" w:rsidP="00447F3F">
      <w:pPr>
        <w:keepNext/>
        <w:jc w:val="center"/>
        <w:rPr>
          <w:rFonts w:ascii="Arial" w:hAnsi="Arial" w:cs="Arial"/>
        </w:rPr>
      </w:pPr>
      <w:r w:rsidRPr="0048128D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5D11FE8B" wp14:editId="165EFADB">
            <wp:extent cx="4320000" cy="2880000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rty_rates_fran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D6B0" w14:textId="7D78B406" w:rsidR="00447F3F" w:rsidRDefault="00447F3F" w:rsidP="00447F3F">
      <w:pPr>
        <w:pStyle w:val="Caption"/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</w:pPr>
      <w:r w:rsidRPr="0048128D">
        <w:rPr>
          <w:rFonts w:ascii="Arial" w:hAnsi="Arial" w:cs="Arial"/>
          <w:color w:val="auto"/>
          <w:sz w:val="22"/>
          <w:szCs w:val="22"/>
          <w:lang w:val="en-GB"/>
        </w:rPr>
        <w:t>Figure A3</w:t>
      </w:r>
      <w:r w:rsidR="005307DC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Pr="0048128D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5307DC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t>Consumable income poverty rates per household type estimated with implicit tax vs. statutory tax information in France</w:t>
      </w:r>
    </w:p>
    <w:p w14:paraId="7F4F58F6" w14:textId="77777777" w:rsidR="001B7CF4" w:rsidRPr="001B7CF4" w:rsidRDefault="001B7CF4" w:rsidP="001B7CF4">
      <w:pPr>
        <w:rPr>
          <w:lang w:val="en-GB"/>
        </w:rPr>
      </w:pPr>
    </w:p>
    <w:p w14:paraId="00A9CC06" w14:textId="77777777" w:rsidR="00447F3F" w:rsidRPr="0048128D" w:rsidRDefault="00447F3F" w:rsidP="00447F3F">
      <w:pPr>
        <w:keepNext/>
        <w:jc w:val="center"/>
        <w:rPr>
          <w:rFonts w:ascii="Arial" w:hAnsi="Arial" w:cs="Arial"/>
        </w:rPr>
      </w:pPr>
      <w:r w:rsidRPr="0048128D">
        <w:rPr>
          <w:rFonts w:ascii="Arial" w:hAnsi="Arial" w:cs="Arial"/>
          <w:noProof/>
          <w:lang w:eastAsia="de-DE"/>
        </w:rPr>
        <w:drawing>
          <wp:inline distT="0" distB="0" distL="0" distR="0" wp14:anchorId="54CA6DA9" wp14:editId="74DDDEE2">
            <wp:extent cx="4320000" cy="2880000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ov_ratio_fra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AA7F" w14:textId="6C6B3DF8" w:rsidR="00447F3F" w:rsidRPr="0048128D" w:rsidRDefault="00447F3F" w:rsidP="00447F3F">
      <w:pPr>
        <w:pStyle w:val="Caption"/>
        <w:rPr>
          <w:rFonts w:ascii="Arial" w:hAnsi="Arial" w:cs="Arial"/>
          <w:color w:val="auto"/>
          <w:sz w:val="22"/>
          <w:szCs w:val="22"/>
          <w:lang w:val="en-GB"/>
        </w:rPr>
      </w:pPr>
      <w:r w:rsidRPr="0048128D">
        <w:rPr>
          <w:rFonts w:ascii="Arial" w:hAnsi="Arial" w:cs="Arial"/>
          <w:color w:val="auto"/>
          <w:sz w:val="22"/>
          <w:szCs w:val="22"/>
          <w:lang w:val="en-GB"/>
        </w:rPr>
        <w:t>Figure A4</w:t>
      </w:r>
      <w:r w:rsidR="005307DC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Pr="0048128D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5307DC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t>Consumption tax impoverishment per household type estimated with implicit tax vs. statutory tax information in France</w:t>
      </w:r>
    </w:p>
    <w:p w14:paraId="070D89F9" w14:textId="77777777" w:rsidR="00447F3F" w:rsidRPr="0048128D" w:rsidRDefault="00447F3F" w:rsidP="00447F3F">
      <w:pPr>
        <w:keepNext/>
        <w:spacing w:line="360" w:lineRule="auto"/>
        <w:jc w:val="center"/>
        <w:rPr>
          <w:rFonts w:ascii="Arial" w:hAnsi="Arial" w:cs="Arial"/>
        </w:rPr>
      </w:pPr>
      <w:r w:rsidRPr="0048128D">
        <w:rPr>
          <w:rFonts w:ascii="Arial" w:hAnsi="Arial" w:cs="Arial"/>
          <w:noProof/>
          <w:lang w:val="en-GB"/>
        </w:rPr>
        <w:lastRenderedPageBreak/>
        <w:drawing>
          <wp:inline distT="0" distB="0" distL="0" distR="0" wp14:anchorId="7EBC72EB" wp14:editId="1E919417">
            <wp:extent cx="4320254" cy="2880000"/>
            <wp:effectExtent l="0" t="0" r="444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duced_vat_temp_poverty_change_h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25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D2E2" w14:textId="6D68767D" w:rsidR="00447F3F" w:rsidRPr="0048128D" w:rsidRDefault="00447F3F" w:rsidP="00447F3F">
      <w:pPr>
        <w:pStyle w:val="Caption"/>
        <w:rPr>
          <w:rFonts w:ascii="Arial" w:hAnsi="Arial" w:cs="Arial"/>
          <w:color w:val="auto"/>
          <w:sz w:val="22"/>
          <w:szCs w:val="22"/>
          <w:lang w:val="en-GB"/>
        </w:rPr>
      </w:pPr>
      <w:r w:rsidRPr="0048128D">
        <w:rPr>
          <w:rFonts w:ascii="Arial" w:hAnsi="Arial" w:cs="Arial"/>
          <w:color w:val="auto"/>
          <w:sz w:val="22"/>
          <w:szCs w:val="22"/>
          <w:lang w:val="en-GB"/>
        </w:rPr>
        <w:t>Figure A5</w:t>
      </w:r>
      <w:r w:rsidR="005307DC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Pr="0048128D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1B7CF4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t>Poverty increase due to consumption taxes across household types compared to couple households (poverty line at 60% of median per capita disposable income)</w:t>
      </w:r>
    </w:p>
    <w:p w14:paraId="2910E154" w14:textId="77777777" w:rsidR="00447F3F" w:rsidRPr="0048128D" w:rsidRDefault="00447F3F" w:rsidP="00447F3F">
      <w:pPr>
        <w:keepNext/>
        <w:spacing w:line="360" w:lineRule="auto"/>
        <w:jc w:val="center"/>
        <w:rPr>
          <w:rFonts w:ascii="Arial" w:hAnsi="Arial" w:cs="Arial"/>
        </w:rPr>
      </w:pPr>
      <w:r w:rsidRPr="0048128D">
        <w:rPr>
          <w:rFonts w:ascii="Arial" w:hAnsi="Arial" w:cs="Arial"/>
          <w:noProof/>
          <w:lang w:val="en-GB"/>
        </w:rPr>
        <w:drawing>
          <wp:inline distT="0" distB="0" distL="0" distR="0" wp14:anchorId="51EAED6D" wp14:editId="3CA35BD8">
            <wp:extent cx="4320254" cy="2880000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duced_vat_temp_poverty_change_sca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25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2F27" w14:textId="79EE2126" w:rsidR="001621E6" w:rsidRPr="001B7CF4" w:rsidRDefault="00447F3F" w:rsidP="001B7CF4">
      <w:pPr>
        <w:pStyle w:val="Caption"/>
        <w:rPr>
          <w:rFonts w:ascii="Arial" w:hAnsi="Arial" w:cs="Arial"/>
          <w:color w:val="auto"/>
          <w:sz w:val="22"/>
          <w:szCs w:val="22"/>
          <w:lang w:val="en-GB"/>
        </w:rPr>
      </w:pPr>
      <w:r w:rsidRPr="0048128D">
        <w:rPr>
          <w:rFonts w:ascii="Arial" w:hAnsi="Arial" w:cs="Arial"/>
          <w:color w:val="auto"/>
          <w:sz w:val="22"/>
          <w:szCs w:val="22"/>
          <w:lang w:val="en-GB"/>
        </w:rPr>
        <w:t>Figure A6</w:t>
      </w:r>
      <w:r w:rsidR="001B7CF4">
        <w:rPr>
          <w:rFonts w:ascii="Arial" w:hAnsi="Arial" w:cs="Arial"/>
          <w:color w:val="auto"/>
          <w:sz w:val="22"/>
          <w:szCs w:val="22"/>
          <w:lang w:val="en-GB"/>
        </w:rPr>
        <w:t>.</w:t>
      </w:r>
      <w:r w:rsidRPr="0048128D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Pr="001B7CF4">
        <w:rPr>
          <w:rFonts w:ascii="Arial" w:hAnsi="Arial" w:cs="Arial"/>
          <w:i w:val="0"/>
          <w:iCs w:val="0"/>
          <w:color w:val="auto"/>
          <w:sz w:val="22"/>
          <w:szCs w:val="22"/>
          <w:lang w:val="en-GB"/>
        </w:rPr>
        <w:t>Overall poverty increase and implicit consumption tax rate (poverty line at 60% of median per capita disposable income)</w:t>
      </w:r>
    </w:p>
    <w:sectPr w:rsidR="001621E6" w:rsidRPr="001B7CF4" w:rsidSect="00333FEF"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B1EE" w14:textId="77777777" w:rsidR="00447F3F" w:rsidRDefault="00447F3F" w:rsidP="00447F3F">
      <w:pPr>
        <w:spacing w:after="0" w:line="240" w:lineRule="auto"/>
      </w:pPr>
      <w:r>
        <w:separator/>
      </w:r>
    </w:p>
  </w:endnote>
  <w:endnote w:type="continuationSeparator" w:id="0">
    <w:p w14:paraId="1D56E648" w14:textId="77777777" w:rsidR="00447F3F" w:rsidRDefault="00447F3F" w:rsidP="0044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632710"/>
      <w:docPartObj>
        <w:docPartGallery w:val="Page Numbers (Bottom of Page)"/>
        <w:docPartUnique/>
      </w:docPartObj>
    </w:sdtPr>
    <w:sdtEndPr/>
    <w:sdtContent>
      <w:p w14:paraId="413BDE5A" w14:textId="77777777" w:rsidR="00447F3F" w:rsidRDefault="00447F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DF09F" w14:textId="77777777" w:rsidR="00447F3F" w:rsidRDefault="00447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CB87" w14:textId="77777777" w:rsidR="00447F3F" w:rsidRDefault="00447F3F" w:rsidP="00447F3F">
      <w:pPr>
        <w:spacing w:after="0" w:line="240" w:lineRule="auto"/>
      </w:pPr>
      <w:r>
        <w:separator/>
      </w:r>
    </w:p>
  </w:footnote>
  <w:footnote w:type="continuationSeparator" w:id="0">
    <w:p w14:paraId="697BC425" w14:textId="77777777" w:rsidR="00447F3F" w:rsidRDefault="00447F3F" w:rsidP="00447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3F"/>
    <w:rsid w:val="00007FE6"/>
    <w:rsid w:val="001621E6"/>
    <w:rsid w:val="001B7CF4"/>
    <w:rsid w:val="001F5228"/>
    <w:rsid w:val="00204157"/>
    <w:rsid w:val="00447F3F"/>
    <w:rsid w:val="00460C7E"/>
    <w:rsid w:val="0048128D"/>
    <w:rsid w:val="005307DC"/>
    <w:rsid w:val="005A3F47"/>
    <w:rsid w:val="0076479E"/>
    <w:rsid w:val="007D6063"/>
    <w:rsid w:val="008B53D5"/>
    <w:rsid w:val="00931BBE"/>
    <w:rsid w:val="009D6E75"/>
    <w:rsid w:val="00A8349E"/>
    <w:rsid w:val="00AC3C87"/>
    <w:rsid w:val="00AD05B4"/>
    <w:rsid w:val="00BF5F00"/>
    <w:rsid w:val="00DC1CDC"/>
    <w:rsid w:val="00F20175"/>
    <w:rsid w:val="00F677F2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466"/>
  <w15:chartTrackingRefBased/>
  <w15:docId w15:val="{E8B347AF-376C-451F-A938-EB713C9D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3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viBibliographyEntry">
    <w:name w:val="Citavi Bibliography Entry"/>
    <w:basedOn w:val="Normal"/>
    <w:link w:val="CitaviBibliographyEntryZchn"/>
    <w:rsid w:val="00447F3F"/>
    <w:pPr>
      <w:tabs>
        <w:tab w:val="left" w:pos="283"/>
      </w:tabs>
      <w:spacing w:after="0"/>
      <w:ind w:left="283" w:hanging="283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447F3F"/>
    <w:rPr>
      <w:rFonts w:ascii="Times New Roman" w:hAnsi="Times New Roman"/>
    </w:rPr>
  </w:style>
  <w:style w:type="paragraph" w:customStyle="1" w:styleId="CitaviBibliographyHeading">
    <w:name w:val="Citavi Bibliography Heading"/>
    <w:basedOn w:val="Heading1"/>
    <w:link w:val="CitaviBibliographyHeadingZchn"/>
    <w:rsid w:val="00447F3F"/>
    <w:rPr>
      <w:rFonts w:ascii="Times New Roman" w:hAnsi="Times New Roman"/>
    </w:rPr>
  </w:style>
  <w:style w:type="character" w:customStyle="1" w:styleId="CitaviBibliographyHeadingZchn">
    <w:name w:val="Citavi Bibliography Heading Zchn"/>
    <w:basedOn w:val="DefaultParagraphFont"/>
    <w:link w:val="CitaviBibliographyHeading"/>
    <w:rsid w:val="00447F3F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447F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4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7F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3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4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3F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48128D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C1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CD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CD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D0049B09D4CBBA3FB065D7D679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F02D9-B58D-4968-9880-2FD6A426E119}"/>
      </w:docPartPr>
      <w:docPartBody>
        <w:p w:rsidR="00FB7651" w:rsidRDefault="00A34B4E" w:rsidP="00A34B4E">
          <w:pPr>
            <w:pStyle w:val="802D0049B09D4CBBA3FB065D7D67971D"/>
          </w:pPr>
          <w:r w:rsidRPr="00044427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601BA56581940EC8AB729250A007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88FAD-BDFD-4A4C-80FA-6341296AD9E9}"/>
      </w:docPartPr>
      <w:docPartBody>
        <w:p w:rsidR="00FB7651" w:rsidRDefault="00A34B4E" w:rsidP="00A34B4E">
          <w:pPr>
            <w:pStyle w:val="D601BA56581940EC8AB729250A007FC4"/>
          </w:pPr>
          <w:r w:rsidRPr="00044427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4E"/>
    <w:rsid w:val="00A34B4E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B4E"/>
    <w:rPr>
      <w:color w:val="808080"/>
    </w:rPr>
  </w:style>
  <w:style w:type="paragraph" w:customStyle="1" w:styleId="802D0049B09D4CBBA3FB065D7D67971D">
    <w:name w:val="802D0049B09D4CBBA3FB065D7D67971D"/>
    <w:rsid w:val="00A34B4E"/>
  </w:style>
  <w:style w:type="paragraph" w:customStyle="1" w:styleId="D601BA56581940EC8AB729250A007FC4">
    <w:name w:val="D601BA56581940EC8AB729250A007FC4"/>
    <w:rsid w:val="00A34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AB22DFE4D9F488BC12A88528EB3A2" ma:contentTypeVersion="13" ma:contentTypeDescription="Create a new document." ma:contentTypeScope="" ma:versionID="3500a326727e22b421884a3ab372041c">
  <xsd:schema xmlns:xsd="http://www.w3.org/2001/XMLSchema" xmlns:xs="http://www.w3.org/2001/XMLSchema" xmlns:p="http://schemas.microsoft.com/office/2006/metadata/properties" xmlns:ns2="543452e6-7abe-488c-8804-28dfa6ce6e81" xmlns:ns3="4825d917-f6e6-4d62-a85a-bb813c26a8eb" targetNamespace="http://schemas.microsoft.com/office/2006/metadata/properties" ma:root="true" ma:fieldsID="30060a619946f0b64569c0ab3ce207fe" ns2:_="" ns3:_="">
    <xsd:import namespace="543452e6-7abe-488c-8804-28dfa6ce6e81"/>
    <xsd:import namespace="4825d917-f6e6-4d62-a85a-bb813c26a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52e6-7abe-488c-8804-28dfa6ce6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d917-f6e6-4d62-a85a-bb813c26a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A1FE4-BA6E-4345-ACC9-B4D21E65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52e6-7abe-488c-8804-28dfa6ce6e81"/>
    <ds:schemaRef ds:uri="4825d917-f6e6-4d62-a85a-bb813c26a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1F250-663E-4EA5-BD9C-C3A7696B4025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4825d917-f6e6-4d62-a85a-bb813c26a8eb"/>
    <ds:schemaRef ds:uri="http://schemas.openxmlformats.org/package/2006/metadata/core-properties"/>
    <ds:schemaRef ds:uri="543452e6-7abe-488c-8804-28dfa6ce6e8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7EB36D-B640-479E-A6C3-B09030D80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2651</Words>
  <Characters>15114</Characters>
  <Application>Microsoft Office Word</Application>
  <DocSecurity>4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Schechtl</dc:creator>
  <cp:keywords/>
  <dc:description/>
  <cp:lastModifiedBy>Colleen Cusworth</cp:lastModifiedBy>
  <cp:revision>2</cp:revision>
  <dcterms:created xsi:type="dcterms:W3CDTF">2022-03-08T15:29:00Z</dcterms:created>
  <dcterms:modified xsi:type="dcterms:W3CDTF">2022-03-08T15:29:00Z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0x010100A14AB22DFE4D9F488BC12A88528EB3A2</vt:lpwstr>
  </property>
</Properties>
</file>