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C011" w14:textId="06914A31" w:rsidR="006F09EB" w:rsidRPr="006238F3" w:rsidRDefault="00DC3968" w:rsidP="009948CE">
      <w:pPr>
        <w:spacing w:line="480" w:lineRule="auto"/>
        <w:rPr>
          <w:rFonts w:ascii="Arial" w:eastAsia="Times New Roman" w:hAnsi="Arial" w:cs="Arial"/>
          <w:b/>
          <w:sz w:val="22"/>
          <w:szCs w:val="22"/>
          <w:lang w:val="en-HK"/>
        </w:rPr>
      </w:pPr>
      <w:r w:rsidRPr="006238F3">
        <w:rPr>
          <w:rFonts w:ascii="Arial" w:eastAsia="Times New Roman" w:hAnsi="Arial" w:cs="Arial"/>
          <w:b/>
          <w:sz w:val="22"/>
          <w:szCs w:val="22"/>
          <w:lang w:val="en-HK"/>
        </w:rPr>
        <w:t>Supplementary Material</w:t>
      </w:r>
    </w:p>
    <w:p w14:paraId="0B15D4A9" w14:textId="0ED7E616" w:rsidR="00805DD7" w:rsidRPr="006238F3" w:rsidRDefault="00055A2E" w:rsidP="009948CE">
      <w:pPr>
        <w:spacing w:line="480" w:lineRule="auto"/>
        <w:rPr>
          <w:rFonts w:ascii="Arial" w:hAnsi="Arial" w:cs="Arial"/>
          <w:noProof w:val="0"/>
          <w:sz w:val="22"/>
          <w:szCs w:val="22"/>
        </w:rPr>
      </w:pPr>
      <w:r w:rsidRPr="006238F3">
        <w:rPr>
          <w:rFonts w:ascii="Arial" w:hAnsi="Arial" w:cs="Arial"/>
          <w:noProof w:val="0"/>
          <w:sz w:val="22"/>
          <w:szCs w:val="22"/>
        </w:rPr>
        <w:t xml:space="preserve">Beyond the limits of the </w:t>
      </w:r>
      <w:proofErr w:type="spellStart"/>
      <w:r w:rsidRPr="006238F3">
        <w:rPr>
          <w:rFonts w:ascii="Arial" w:hAnsi="Arial" w:cs="Arial"/>
          <w:noProof w:val="0"/>
          <w:sz w:val="22"/>
          <w:szCs w:val="22"/>
        </w:rPr>
        <w:t>productivist</w:t>
      </w:r>
      <w:proofErr w:type="spellEnd"/>
      <w:r w:rsidRPr="006238F3">
        <w:rPr>
          <w:rFonts w:ascii="Arial" w:hAnsi="Arial" w:cs="Arial"/>
          <w:noProof w:val="0"/>
          <w:sz w:val="22"/>
          <w:szCs w:val="22"/>
        </w:rPr>
        <w:t xml:space="preserve"> regime: capturing three decades of East Asian welfare development with fuzzy sets</w:t>
      </w:r>
    </w:p>
    <w:p w14:paraId="5F8C1D27" w14:textId="77777777" w:rsidR="00596120" w:rsidRPr="006238F3" w:rsidRDefault="00596120" w:rsidP="006238F3">
      <w:pPr>
        <w:pStyle w:val="Caption"/>
        <w:keepNext/>
        <w:spacing w:after="0" w:line="480" w:lineRule="auto"/>
        <w:rPr>
          <w:rFonts w:ascii="Arial" w:hAnsi="Arial" w:cs="Arial"/>
          <w:noProof w:val="0"/>
          <w:color w:val="auto"/>
          <w:sz w:val="22"/>
          <w:szCs w:val="22"/>
        </w:rPr>
      </w:pPr>
    </w:p>
    <w:p w14:paraId="1D473F21" w14:textId="77777777" w:rsidR="00805DD7" w:rsidRPr="006238F3" w:rsidRDefault="00055A2E" w:rsidP="006238F3">
      <w:pPr>
        <w:snapToGrid w:val="0"/>
        <w:spacing w:line="480" w:lineRule="auto"/>
        <w:ind w:firstLine="720"/>
        <w:jc w:val="both"/>
        <w:rPr>
          <w:rFonts w:ascii="Arial" w:hAnsi="Arial" w:cs="Arial"/>
          <w:b/>
          <w:bCs/>
          <w:sz w:val="22"/>
          <w:szCs w:val="22"/>
        </w:rPr>
      </w:pPr>
      <w:r w:rsidRPr="006238F3">
        <w:rPr>
          <w:rFonts w:ascii="Arial" w:hAnsi="Arial" w:cs="Arial"/>
          <w:b/>
          <w:bCs/>
          <w:sz w:val="22"/>
          <w:szCs w:val="22"/>
        </w:rPr>
        <w:t>Selection of domains</w:t>
      </w:r>
    </w:p>
    <w:p w14:paraId="514DA649" w14:textId="77777777" w:rsidR="00596120" w:rsidRPr="006238F3" w:rsidRDefault="00055A2E" w:rsidP="006238F3">
      <w:pPr>
        <w:snapToGrid w:val="0"/>
        <w:spacing w:line="480" w:lineRule="auto"/>
        <w:jc w:val="both"/>
        <w:rPr>
          <w:rFonts w:ascii="Arial" w:hAnsi="Arial" w:cs="Arial"/>
          <w:sz w:val="22"/>
          <w:szCs w:val="22"/>
        </w:rPr>
      </w:pPr>
      <w:r w:rsidRPr="006238F3">
        <w:rPr>
          <w:rFonts w:ascii="Arial" w:hAnsi="Arial" w:cs="Arial"/>
          <w:sz w:val="22"/>
          <w:szCs w:val="22"/>
        </w:rPr>
        <w:t xml:space="preserve">Protective welfare policies have long been the bedrock of comparative welfare research (Esping-Andersen, 1990; Kemeny, 2001) within and beyond the discourse on East Asia. </w:t>
      </w:r>
      <w:r w:rsidRPr="006238F3">
        <w:rPr>
          <w:rFonts w:ascii="Arial" w:hAnsi="Arial" w:cs="Arial"/>
          <w:i/>
          <w:sz w:val="22"/>
          <w:szCs w:val="22"/>
        </w:rPr>
        <w:t>Old-age income protection (I)</w:t>
      </w:r>
      <w:r w:rsidRPr="006238F3">
        <w:rPr>
          <w:rFonts w:ascii="Arial" w:hAnsi="Arial" w:cs="Arial"/>
          <w:sz w:val="22"/>
          <w:szCs w:val="22"/>
        </w:rPr>
        <w:t xml:space="preserve"> has thereby become particularly important for research on East Asia due to rapid population ageing in the region (Fu &amp; Hughes, 2009). Similarly, </w:t>
      </w:r>
      <w:r w:rsidRPr="006238F3">
        <w:rPr>
          <w:rFonts w:ascii="Arial" w:hAnsi="Arial" w:cs="Arial"/>
          <w:i/>
          <w:sz w:val="22"/>
          <w:szCs w:val="22"/>
        </w:rPr>
        <w:t xml:space="preserve">passive labour market policy (L) </w:t>
      </w:r>
      <w:r w:rsidRPr="006238F3">
        <w:rPr>
          <w:rFonts w:ascii="Arial" w:hAnsi="Arial" w:cs="Arial"/>
          <w:sz w:val="22"/>
          <w:szCs w:val="22"/>
        </w:rPr>
        <w:t xml:space="preserve">helps individuals to maintain their standard of living when formal employment is lost and has become of increased interest in the aftermath of 1997 Asian Financial crisis and – more recently – </w:t>
      </w:r>
      <w:r w:rsidR="003C5A9C" w:rsidRPr="006238F3">
        <w:rPr>
          <w:rFonts w:ascii="Arial" w:hAnsi="Arial" w:cs="Arial"/>
          <w:sz w:val="22"/>
          <w:szCs w:val="22"/>
        </w:rPr>
        <w:t xml:space="preserve">due to </w:t>
      </w:r>
      <w:r w:rsidRPr="006238F3">
        <w:rPr>
          <w:rFonts w:ascii="Arial" w:hAnsi="Arial" w:cs="Arial"/>
          <w:sz w:val="22"/>
          <w:szCs w:val="22"/>
        </w:rPr>
        <w:t xml:space="preserve">structural changes across East Asian economies and a slowing of traditionally high levels of economic growth (Packard &amp; Nguyen, 2014). Finally, although often omitted in comparative welfare research, </w:t>
      </w:r>
      <w:r w:rsidRPr="006238F3">
        <w:rPr>
          <w:rFonts w:ascii="Arial" w:hAnsi="Arial" w:cs="Arial"/>
          <w:i/>
          <w:sz w:val="22"/>
          <w:szCs w:val="22"/>
        </w:rPr>
        <w:t>housing (P)</w:t>
      </w:r>
      <w:r w:rsidRPr="006238F3">
        <w:rPr>
          <w:rFonts w:ascii="Arial" w:hAnsi="Arial" w:cs="Arial"/>
          <w:sz w:val="22"/>
          <w:szCs w:val="22"/>
        </w:rPr>
        <w:t xml:space="preserve"> has been an essential pillar of welfare</w:t>
      </w:r>
      <w:r w:rsidR="003C5A9C" w:rsidRPr="006238F3">
        <w:rPr>
          <w:rFonts w:ascii="Arial" w:hAnsi="Arial" w:cs="Arial"/>
          <w:sz w:val="22"/>
          <w:szCs w:val="22"/>
        </w:rPr>
        <w:t xml:space="preserve"> </w:t>
      </w:r>
      <w:r w:rsidRPr="006238F3">
        <w:rPr>
          <w:rFonts w:ascii="Arial" w:hAnsi="Arial" w:cs="Arial"/>
          <w:sz w:val="22"/>
          <w:szCs w:val="22"/>
        </w:rPr>
        <w:t xml:space="preserve">in East Asia (Chang, 2004). Public housing, in particular, has been characterised as "the most direct government investment in expanding the overall supply of low-cost housing" and a basic safety net for families with a per capita income below the poverty line (Brhane et al., 2014).  </w:t>
      </w:r>
    </w:p>
    <w:p w14:paraId="2AF11B6F" w14:textId="77777777" w:rsidR="00596120" w:rsidRPr="006238F3" w:rsidRDefault="00055A2E" w:rsidP="006238F3">
      <w:pPr>
        <w:snapToGrid w:val="0"/>
        <w:spacing w:line="480" w:lineRule="auto"/>
        <w:ind w:firstLine="360"/>
        <w:jc w:val="both"/>
        <w:rPr>
          <w:rFonts w:ascii="Arial" w:hAnsi="Arial" w:cs="Arial"/>
          <w:sz w:val="22"/>
          <w:szCs w:val="22"/>
        </w:rPr>
      </w:pPr>
      <w:r w:rsidRPr="006238F3">
        <w:rPr>
          <w:rFonts w:ascii="Arial" w:hAnsi="Arial" w:cs="Arial"/>
          <w:sz w:val="22"/>
          <w:szCs w:val="22"/>
        </w:rPr>
        <w:t xml:space="preserve">The </w:t>
      </w:r>
      <w:r w:rsidRPr="006238F3">
        <w:rPr>
          <w:rFonts w:ascii="Arial" w:hAnsi="Arial" w:cs="Arial"/>
          <w:i/>
          <w:sz w:val="22"/>
          <w:szCs w:val="22"/>
        </w:rPr>
        <w:t>Productivist Welfare Capitalism (PWC)</w:t>
      </w:r>
      <w:r w:rsidRPr="006238F3">
        <w:rPr>
          <w:rFonts w:ascii="Arial" w:hAnsi="Arial" w:cs="Arial"/>
          <w:sz w:val="22"/>
          <w:szCs w:val="22"/>
        </w:rPr>
        <w:t xml:space="preserve"> thesis has long argued that East Asia governments have prioritised investment into human capital, the support of labour market fluidity, and increases in labour supply over protective welfare policies (Holliday, 2000). </w:t>
      </w:r>
      <w:r w:rsidRPr="006238F3">
        <w:rPr>
          <w:rFonts w:ascii="Arial" w:hAnsi="Arial" w:cs="Arial"/>
          <w:i/>
          <w:sz w:val="22"/>
          <w:szCs w:val="22"/>
        </w:rPr>
        <w:t>Education policy (E)</w:t>
      </w:r>
      <w:r w:rsidRPr="006238F3">
        <w:rPr>
          <w:rFonts w:ascii="Arial" w:hAnsi="Arial" w:cs="Arial"/>
          <w:sz w:val="22"/>
          <w:szCs w:val="22"/>
        </w:rPr>
        <w:t xml:space="preserve"> has been presented as a crucial tool for promoting economic competitiveness and sustaining social mobility across East Asia (Hudson and Kühner, 2011). Albeit a little more ambiguous, </w:t>
      </w:r>
      <w:r w:rsidRPr="006238F3">
        <w:rPr>
          <w:rFonts w:ascii="Arial" w:hAnsi="Arial" w:cs="Arial"/>
          <w:i/>
          <w:sz w:val="22"/>
          <w:szCs w:val="22"/>
        </w:rPr>
        <w:t>health care (H)</w:t>
      </w:r>
      <w:r w:rsidRPr="006238F3">
        <w:rPr>
          <w:rFonts w:ascii="Arial" w:hAnsi="Arial" w:cs="Arial"/>
          <w:sz w:val="22"/>
          <w:szCs w:val="22"/>
        </w:rPr>
        <w:t xml:space="preserve"> has also featured heavily within the PWC </w:t>
      </w:r>
      <w:r w:rsidR="003C5A9C" w:rsidRPr="006238F3">
        <w:rPr>
          <w:rFonts w:ascii="Arial" w:hAnsi="Arial" w:cs="Arial"/>
          <w:sz w:val="22"/>
          <w:szCs w:val="22"/>
        </w:rPr>
        <w:t>theory</w:t>
      </w:r>
      <w:r w:rsidRPr="006238F3">
        <w:rPr>
          <w:rFonts w:ascii="Arial" w:hAnsi="Arial" w:cs="Arial"/>
          <w:sz w:val="22"/>
          <w:szCs w:val="22"/>
        </w:rPr>
        <w:t xml:space="preserve"> and among those scholars, who have made a direct link between health standards and the aggregate productivity of comparative </w:t>
      </w:r>
      <w:r w:rsidRPr="006238F3">
        <w:rPr>
          <w:rFonts w:ascii="Arial" w:hAnsi="Arial" w:cs="Arial"/>
          <w:sz w:val="22"/>
          <w:szCs w:val="22"/>
        </w:rPr>
        <w:lastRenderedPageBreak/>
        <w:t xml:space="preserve">labour forces (Rudra, 2007). </w:t>
      </w:r>
      <w:r w:rsidRPr="006238F3">
        <w:rPr>
          <w:rFonts w:ascii="Arial" w:hAnsi="Arial" w:cs="Arial"/>
          <w:i/>
          <w:sz w:val="22"/>
          <w:szCs w:val="22"/>
        </w:rPr>
        <w:t>Family policies (F)</w:t>
      </w:r>
      <w:r w:rsidRPr="006238F3">
        <w:rPr>
          <w:rFonts w:ascii="Arial" w:hAnsi="Arial" w:cs="Arial"/>
          <w:sz w:val="22"/>
          <w:szCs w:val="22"/>
        </w:rPr>
        <w:t xml:space="preserve"> arguably serve both productive and protective objectives (Thévenon &amp; Solaz, 2013), but have become a more accessible tool to address familisation risks and gendered labour market outcomes across East Asia too (Yu et al., 2018).</w:t>
      </w:r>
      <w:r w:rsidRPr="006238F3">
        <w:rPr>
          <w:rFonts w:ascii="Arial" w:hAnsi="Arial" w:cs="Arial"/>
          <w:sz w:val="22"/>
          <w:szCs w:val="22"/>
          <w:vertAlign w:val="superscript"/>
        </w:rPr>
        <w:footnoteReference w:id="1"/>
      </w:r>
      <w:r w:rsidRPr="006238F3">
        <w:rPr>
          <w:rFonts w:ascii="Arial" w:hAnsi="Arial" w:cs="Arial"/>
          <w:sz w:val="22"/>
          <w:szCs w:val="22"/>
        </w:rPr>
        <w:t xml:space="preserve"> </w:t>
      </w:r>
      <w:r w:rsidR="003C5A9C" w:rsidRPr="006238F3">
        <w:rPr>
          <w:rFonts w:ascii="Arial" w:hAnsi="Arial" w:cs="Arial"/>
          <w:sz w:val="22"/>
          <w:szCs w:val="22"/>
        </w:rPr>
        <w:t xml:space="preserve"> Maternity leave is commonly understood a</w:t>
      </w:r>
      <w:r w:rsidRPr="006238F3">
        <w:rPr>
          <w:rFonts w:ascii="Arial" w:hAnsi="Arial" w:cs="Arial"/>
          <w:sz w:val="22"/>
          <w:szCs w:val="22"/>
        </w:rPr>
        <w:t>s an indispensable element of work-family reconciliation strategies, which plays a vital role in preserving the mother's and her newborn's health (Addati et al., 2014), and in incentivising women's labour market participation (Feng &amp; Han, 2010; Cerise et al., 2013).</w:t>
      </w:r>
    </w:p>
    <w:p w14:paraId="564FF787" w14:textId="77777777" w:rsidR="00DC3968" w:rsidRDefault="00DC3968" w:rsidP="006238F3">
      <w:pPr>
        <w:snapToGrid w:val="0"/>
        <w:spacing w:line="480" w:lineRule="auto"/>
        <w:rPr>
          <w:rFonts w:ascii="Arial" w:hAnsi="Arial" w:cs="Arial"/>
          <w:b/>
          <w:bCs/>
          <w:sz w:val="22"/>
          <w:szCs w:val="22"/>
        </w:rPr>
      </w:pPr>
    </w:p>
    <w:p w14:paraId="7EB62DCA" w14:textId="23859272" w:rsidR="00E65B18" w:rsidRPr="006238F3" w:rsidRDefault="00055A2E" w:rsidP="006238F3">
      <w:pPr>
        <w:snapToGrid w:val="0"/>
        <w:spacing w:line="480" w:lineRule="auto"/>
        <w:ind w:firstLine="720"/>
        <w:rPr>
          <w:rFonts w:ascii="Arial" w:hAnsi="Arial" w:cs="Arial"/>
          <w:b/>
          <w:bCs/>
          <w:sz w:val="22"/>
          <w:szCs w:val="22"/>
          <w:lang w:eastAsia="zh-CN"/>
        </w:rPr>
      </w:pPr>
      <w:r w:rsidRPr="006238F3">
        <w:rPr>
          <w:rFonts w:ascii="Arial" w:hAnsi="Arial" w:cs="Arial"/>
          <w:b/>
          <w:bCs/>
          <w:sz w:val="22"/>
          <w:szCs w:val="22"/>
        </w:rPr>
        <w:t>Selection of indicators within domains</w:t>
      </w:r>
    </w:p>
    <w:p w14:paraId="62988C81" w14:textId="2CC360CB" w:rsidR="00DC3968" w:rsidRPr="006238F3" w:rsidRDefault="00055A2E" w:rsidP="006238F3">
      <w:pPr>
        <w:spacing w:line="480" w:lineRule="auto"/>
        <w:jc w:val="both"/>
        <w:rPr>
          <w:rFonts w:ascii="Arial" w:hAnsi="Arial" w:cs="Arial"/>
          <w:sz w:val="22"/>
          <w:szCs w:val="22"/>
        </w:rPr>
      </w:pPr>
      <w:r w:rsidRPr="006238F3">
        <w:rPr>
          <w:rFonts w:ascii="Arial" w:hAnsi="Arial" w:cs="Arial"/>
          <w:sz w:val="22"/>
          <w:szCs w:val="22"/>
        </w:rPr>
        <w:t xml:space="preserve">The choice of empirical indicators is one of the most crucial parts of </w:t>
      </w:r>
      <w:r w:rsidR="003C5A9C" w:rsidRPr="006238F3">
        <w:rPr>
          <w:rFonts w:ascii="Arial" w:hAnsi="Arial" w:cs="Arial"/>
          <w:sz w:val="22"/>
          <w:szCs w:val="22"/>
        </w:rPr>
        <w:t>FSITA</w:t>
      </w:r>
      <w:r w:rsidRPr="006238F3">
        <w:rPr>
          <w:rFonts w:ascii="Arial" w:hAnsi="Arial" w:cs="Arial"/>
          <w:sz w:val="22"/>
          <w:szCs w:val="22"/>
        </w:rPr>
        <w:t xml:space="preserve"> and should be linked closely to the chosen concepts. Different from other traditional research methods, FSITA allows researchers to combine both quantitative and qualitative indicators in order to measure the overall strength of </w:t>
      </w:r>
      <w:r w:rsidR="003C5A9C" w:rsidRPr="006238F3">
        <w:rPr>
          <w:rFonts w:ascii="Arial" w:hAnsi="Arial" w:cs="Arial"/>
          <w:sz w:val="22"/>
          <w:szCs w:val="22"/>
        </w:rPr>
        <w:t xml:space="preserve">social rights </w:t>
      </w:r>
      <w:r w:rsidR="0039534E" w:rsidRPr="006238F3">
        <w:rPr>
          <w:rFonts w:ascii="Arial" w:hAnsi="Arial" w:cs="Arial"/>
          <w:sz w:val="22"/>
          <w:szCs w:val="22"/>
        </w:rPr>
        <w:t>and</w:t>
      </w:r>
      <w:r w:rsidR="003C5A9C" w:rsidRPr="006238F3">
        <w:rPr>
          <w:rFonts w:ascii="Arial" w:hAnsi="Arial" w:cs="Arial"/>
          <w:sz w:val="22"/>
          <w:szCs w:val="22"/>
        </w:rPr>
        <w:t xml:space="preserve"> service provision in </w:t>
      </w:r>
      <w:r w:rsidRPr="006238F3">
        <w:rPr>
          <w:rFonts w:ascii="Arial" w:hAnsi="Arial" w:cs="Arial"/>
          <w:sz w:val="22"/>
          <w:szCs w:val="22"/>
        </w:rPr>
        <w:t>each</w:t>
      </w:r>
      <w:r w:rsidR="003C5A9C" w:rsidRPr="006238F3">
        <w:rPr>
          <w:rFonts w:ascii="Arial" w:hAnsi="Arial" w:cs="Arial"/>
          <w:sz w:val="22"/>
          <w:szCs w:val="22"/>
        </w:rPr>
        <w:t xml:space="preserve"> six</w:t>
      </w:r>
      <w:r w:rsidRPr="006238F3">
        <w:rPr>
          <w:rFonts w:ascii="Arial" w:hAnsi="Arial" w:cs="Arial"/>
          <w:sz w:val="22"/>
          <w:szCs w:val="22"/>
        </w:rPr>
        <w:t xml:space="preserve"> </w:t>
      </w:r>
      <w:r w:rsidR="003C5A9C" w:rsidRPr="006238F3">
        <w:rPr>
          <w:rFonts w:ascii="Arial" w:hAnsi="Arial" w:cs="Arial"/>
          <w:sz w:val="22"/>
          <w:szCs w:val="22"/>
        </w:rPr>
        <w:t xml:space="preserve">of the welfare </w:t>
      </w:r>
      <w:r w:rsidRPr="006238F3">
        <w:rPr>
          <w:rFonts w:ascii="Arial" w:hAnsi="Arial" w:cs="Arial"/>
          <w:sz w:val="22"/>
          <w:szCs w:val="22"/>
        </w:rPr>
        <w:t>domain</w:t>
      </w:r>
      <w:r w:rsidR="003C5A9C" w:rsidRPr="006238F3">
        <w:rPr>
          <w:rFonts w:ascii="Arial" w:hAnsi="Arial" w:cs="Arial"/>
          <w:sz w:val="22"/>
          <w:szCs w:val="22"/>
        </w:rPr>
        <w:t>s</w:t>
      </w:r>
      <w:r w:rsidRPr="006238F3">
        <w:rPr>
          <w:rFonts w:ascii="Arial" w:hAnsi="Arial" w:cs="Arial"/>
          <w:sz w:val="22"/>
          <w:szCs w:val="22"/>
        </w:rPr>
        <w:t>, res</w:t>
      </w:r>
      <w:r w:rsidR="003C5A9C" w:rsidRPr="006238F3">
        <w:rPr>
          <w:rFonts w:ascii="Arial" w:hAnsi="Arial" w:cs="Arial"/>
          <w:sz w:val="22"/>
          <w:szCs w:val="22"/>
        </w:rPr>
        <w:t>pectively</w:t>
      </w:r>
      <w:r w:rsidRPr="006238F3">
        <w:rPr>
          <w:rFonts w:ascii="Arial" w:hAnsi="Arial" w:cs="Arial"/>
          <w:sz w:val="22"/>
          <w:szCs w:val="22"/>
        </w:rPr>
        <w:t>.</w:t>
      </w:r>
      <w:r w:rsidR="007B2888" w:rsidRPr="006238F3">
        <w:rPr>
          <w:rFonts w:ascii="Arial" w:hAnsi="Arial" w:cs="Arial"/>
          <w:sz w:val="22"/>
          <w:szCs w:val="22"/>
        </w:rPr>
        <w:t xml:space="preserve"> </w:t>
      </w:r>
      <w:r w:rsidR="007B2888" w:rsidRPr="006238F3">
        <w:rPr>
          <w:rFonts w:ascii="Arial" w:hAnsi="Arial" w:cs="Arial"/>
          <w:b/>
          <w:bCs/>
          <w:sz w:val="22"/>
          <w:szCs w:val="22"/>
        </w:rPr>
        <w:t>Table 1</w:t>
      </w:r>
      <w:r w:rsidR="007B2888" w:rsidRPr="006238F3">
        <w:rPr>
          <w:rFonts w:ascii="Arial" w:hAnsi="Arial" w:cs="Arial"/>
          <w:sz w:val="22"/>
          <w:szCs w:val="22"/>
        </w:rPr>
        <w:t xml:space="preserve"> lists all empirical indicators used for the subsequent set-theoretic analysis.</w:t>
      </w:r>
    </w:p>
    <w:p w14:paraId="72F76DDC" w14:textId="77777777" w:rsidR="00E65B18" w:rsidRPr="006238F3" w:rsidRDefault="00E65B18" w:rsidP="006238F3">
      <w:pPr>
        <w:spacing w:line="480" w:lineRule="auto"/>
        <w:jc w:val="both"/>
        <w:rPr>
          <w:rFonts w:ascii="Arial" w:hAnsi="Arial" w:cs="Arial"/>
          <w:sz w:val="22"/>
          <w:szCs w:val="22"/>
        </w:rPr>
      </w:pPr>
    </w:p>
    <w:p w14:paraId="193E73AE" w14:textId="6ACE75B5" w:rsidR="00E65B18" w:rsidRPr="006238F3" w:rsidRDefault="00055A2E" w:rsidP="006238F3">
      <w:pPr>
        <w:spacing w:line="480" w:lineRule="auto"/>
        <w:ind w:firstLine="720"/>
        <w:jc w:val="both"/>
        <w:rPr>
          <w:rFonts w:ascii="Arial" w:hAnsi="Arial" w:cs="Arial"/>
          <w:b/>
          <w:bCs/>
          <w:sz w:val="22"/>
          <w:szCs w:val="22"/>
        </w:rPr>
      </w:pPr>
      <w:r w:rsidRPr="006238F3">
        <w:rPr>
          <w:rFonts w:ascii="Arial" w:hAnsi="Arial" w:cs="Arial"/>
          <w:b/>
          <w:bCs/>
          <w:sz w:val="22"/>
          <w:szCs w:val="22"/>
        </w:rPr>
        <w:t>Education</w:t>
      </w:r>
      <w:r w:rsidR="00DC3968">
        <w:rPr>
          <w:rFonts w:ascii="Arial" w:hAnsi="Arial" w:cs="Arial"/>
          <w:b/>
          <w:bCs/>
          <w:sz w:val="22"/>
          <w:szCs w:val="22"/>
        </w:rPr>
        <w:t xml:space="preserve"> policy</w:t>
      </w:r>
    </w:p>
    <w:p w14:paraId="0BE89D46" w14:textId="77777777" w:rsidR="00E65B18" w:rsidRPr="006238F3" w:rsidRDefault="00055A2E" w:rsidP="006238F3">
      <w:pPr>
        <w:spacing w:line="480" w:lineRule="auto"/>
        <w:jc w:val="both"/>
        <w:rPr>
          <w:rFonts w:ascii="Arial" w:hAnsi="Arial" w:cs="Arial"/>
          <w:sz w:val="22"/>
          <w:szCs w:val="22"/>
        </w:rPr>
      </w:pPr>
      <w:r w:rsidRPr="006238F3">
        <w:rPr>
          <w:rFonts w:ascii="Arial" w:hAnsi="Arial" w:cs="Arial"/>
          <w:sz w:val="22"/>
          <w:szCs w:val="22"/>
        </w:rPr>
        <w:t xml:space="preserve">Three fuzzy sets have been </w:t>
      </w:r>
      <w:bookmarkStart w:id="0" w:name="OLE_LINK1"/>
      <w:r w:rsidRPr="006238F3">
        <w:rPr>
          <w:rFonts w:ascii="Arial" w:hAnsi="Arial" w:cs="Arial"/>
          <w:sz w:val="22"/>
          <w:szCs w:val="22"/>
        </w:rPr>
        <w:t>identified to create an image</w:t>
      </w:r>
      <w:bookmarkEnd w:id="0"/>
      <w:r w:rsidRPr="006238F3">
        <w:rPr>
          <w:rFonts w:ascii="Arial" w:hAnsi="Arial" w:cs="Arial"/>
          <w:sz w:val="22"/>
          <w:szCs w:val="22"/>
        </w:rPr>
        <w:t xml:space="preserve"> of the overall strength of education services. The first set, </w:t>
      </w:r>
      <w:r w:rsidR="001C613C" w:rsidRPr="006238F3">
        <w:rPr>
          <w:rFonts w:ascii="Arial" w:hAnsi="Arial" w:cs="Arial"/>
          <w:sz w:val="22"/>
          <w:szCs w:val="22"/>
        </w:rPr>
        <w:t>SPENDING</w:t>
      </w:r>
      <w:r w:rsidRPr="006238F3">
        <w:rPr>
          <w:rFonts w:ascii="Arial" w:hAnsi="Arial" w:cs="Arial"/>
          <w:sz w:val="22"/>
          <w:szCs w:val="22"/>
        </w:rPr>
        <w:t xml:space="preserve"> on education, is measured </w:t>
      </w:r>
      <w:r w:rsidR="00806413" w:rsidRPr="006238F3">
        <w:rPr>
          <w:rFonts w:ascii="Arial" w:hAnsi="Arial" w:cs="Arial"/>
          <w:sz w:val="22"/>
          <w:szCs w:val="22"/>
        </w:rPr>
        <w:t>as</w:t>
      </w:r>
      <w:r w:rsidRPr="006238F3">
        <w:rPr>
          <w:rFonts w:ascii="Arial" w:hAnsi="Arial" w:cs="Arial"/>
          <w:sz w:val="22"/>
          <w:szCs w:val="22"/>
        </w:rPr>
        <w:t xml:space="preserve"> public education expenditure </w:t>
      </w:r>
      <w:r w:rsidR="00806413" w:rsidRPr="006238F3">
        <w:rPr>
          <w:rFonts w:ascii="Arial" w:hAnsi="Arial" w:cs="Arial"/>
          <w:sz w:val="22"/>
          <w:szCs w:val="22"/>
        </w:rPr>
        <w:t xml:space="preserve">as a ratio of total </w:t>
      </w:r>
      <w:r w:rsidR="001C613C" w:rsidRPr="006238F3">
        <w:rPr>
          <w:rFonts w:ascii="Arial" w:hAnsi="Arial" w:cs="Arial"/>
          <w:sz w:val="22"/>
          <w:szCs w:val="22"/>
        </w:rPr>
        <w:t>public</w:t>
      </w:r>
      <w:r w:rsidR="00806413" w:rsidRPr="006238F3">
        <w:rPr>
          <w:rFonts w:ascii="Arial" w:hAnsi="Arial" w:cs="Arial"/>
          <w:sz w:val="22"/>
          <w:szCs w:val="22"/>
        </w:rPr>
        <w:t xml:space="preserve"> expenditure</w:t>
      </w:r>
      <w:r w:rsidR="001C613C" w:rsidRPr="006238F3">
        <w:rPr>
          <w:rFonts w:ascii="Arial" w:hAnsi="Arial" w:cs="Arial"/>
          <w:sz w:val="22"/>
          <w:szCs w:val="22"/>
        </w:rPr>
        <w:t xml:space="preserve">. This </w:t>
      </w:r>
      <w:r w:rsidRPr="006238F3">
        <w:rPr>
          <w:rFonts w:ascii="Arial" w:hAnsi="Arial" w:cs="Arial"/>
          <w:sz w:val="22"/>
          <w:szCs w:val="22"/>
        </w:rPr>
        <w:t>is a standard measure in the literature</w:t>
      </w:r>
      <w:r w:rsidR="001C613C" w:rsidRPr="006238F3">
        <w:rPr>
          <w:rFonts w:ascii="Arial" w:hAnsi="Arial" w:cs="Arial"/>
          <w:sz w:val="22"/>
          <w:szCs w:val="22"/>
        </w:rPr>
        <w:t xml:space="preserve"> and </w:t>
      </w:r>
      <w:r w:rsidRPr="006238F3">
        <w:rPr>
          <w:rFonts w:ascii="Arial" w:hAnsi="Arial" w:cs="Arial"/>
          <w:sz w:val="22"/>
          <w:szCs w:val="22"/>
        </w:rPr>
        <w:t>also a direct indicator reflect</w:t>
      </w:r>
      <w:r w:rsidR="001C613C" w:rsidRPr="006238F3">
        <w:rPr>
          <w:rFonts w:ascii="Arial" w:hAnsi="Arial" w:cs="Arial"/>
          <w:sz w:val="22"/>
          <w:szCs w:val="22"/>
        </w:rPr>
        <w:t>ing</w:t>
      </w:r>
      <w:r w:rsidRPr="006238F3">
        <w:rPr>
          <w:rFonts w:ascii="Arial" w:hAnsi="Arial" w:cs="Arial"/>
          <w:sz w:val="22"/>
          <w:szCs w:val="22"/>
        </w:rPr>
        <w:t xml:space="preserve"> the importance of </w:t>
      </w:r>
      <w:r w:rsidRPr="006238F3">
        <w:rPr>
          <w:rFonts w:ascii="Arial" w:hAnsi="Arial" w:cs="Arial"/>
          <w:sz w:val="22"/>
          <w:szCs w:val="22"/>
        </w:rPr>
        <w:lastRenderedPageBreak/>
        <w:t xml:space="preserve">education for </w:t>
      </w:r>
      <w:r w:rsidR="00264C40" w:rsidRPr="006238F3">
        <w:rPr>
          <w:rFonts w:ascii="Arial" w:hAnsi="Arial" w:cs="Arial"/>
          <w:sz w:val="22"/>
          <w:szCs w:val="22"/>
        </w:rPr>
        <w:t>successive</w:t>
      </w:r>
      <w:r w:rsidRPr="006238F3">
        <w:rPr>
          <w:rFonts w:ascii="Arial" w:hAnsi="Arial" w:cs="Arial"/>
          <w:sz w:val="22"/>
          <w:szCs w:val="22"/>
        </w:rPr>
        <w:t xml:space="preserve"> government</w:t>
      </w:r>
      <w:r w:rsidR="00264C40" w:rsidRPr="006238F3">
        <w:rPr>
          <w:rFonts w:ascii="Arial" w:hAnsi="Arial" w:cs="Arial"/>
          <w:sz w:val="22"/>
          <w:szCs w:val="22"/>
        </w:rPr>
        <w:t>s</w:t>
      </w:r>
      <w:r w:rsidRPr="006238F3">
        <w:rPr>
          <w:rFonts w:ascii="Arial" w:hAnsi="Arial" w:cs="Arial"/>
          <w:sz w:val="22"/>
          <w:szCs w:val="22"/>
        </w:rPr>
        <w:t xml:space="preserve">. Besides this quantitative indicator, two qualitative indicators were used </w:t>
      </w:r>
      <w:r w:rsidR="00264C40" w:rsidRPr="006238F3">
        <w:rPr>
          <w:rFonts w:ascii="Arial" w:hAnsi="Arial" w:cs="Arial"/>
          <w:sz w:val="22"/>
          <w:szCs w:val="22"/>
        </w:rPr>
        <w:t>to</w:t>
      </w:r>
      <w:r w:rsidRPr="006238F3">
        <w:rPr>
          <w:rFonts w:ascii="Arial" w:hAnsi="Arial" w:cs="Arial"/>
          <w:sz w:val="22"/>
          <w:szCs w:val="22"/>
        </w:rPr>
        <w:t xml:space="preserve"> measur</w:t>
      </w:r>
      <w:r w:rsidR="00264C40" w:rsidRPr="006238F3">
        <w:rPr>
          <w:rFonts w:ascii="Arial" w:hAnsi="Arial" w:cs="Arial"/>
          <w:sz w:val="22"/>
          <w:szCs w:val="22"/>
        </w:rPr>
        <w:t>e</w:t>
      </w:r>
      <w:r w:rsidRPr="006238F3">
        <w:rPr>
          <w:rFonts w:ascii="Arial" w:hAnsi="Arial" w:cs="Arial"/>
          <w:sz w:val="22"/>
          <w:szCs w:val="22"/>
        </w:rPr>
        <w:t xml:space="preserve"> the outcomes of public education spending</w:t>
      </w:r>
      <w:r w:rsidR="001C613C" w:rsidRPr="006238F3">
        <w:rPr>
          <w:rFonts w:ascii="Arial" w:hAnsi="Arial" w:cs="Arial"/>
          <w:sz w:val="22"/>
          <w:szCs w:val="22"/>
        </w:rPr>
        <w:t xml:space="preserve">, namely </w:t>
      </w:r>
      <w:r w:rsidRPr="006238F3">
        <w:rPr>
          <w:rFonts w:ascii="Arial" w:hAnsi="Arial" w:cs="Arial"/>
          <w:sz w:val="22"/>
          <w:szCs w:val="22"/>
        </w:rPr>
        <w:t xml:space="preserve">the </w:t>
      </w:r>
      <w:r w:rsidR="001C613C" w:rsidRPr="006238F3">
        <w:rPr>
          <w:rFonts w:ascii="Arial" w:hAnsi="Arial" w:cs="Arial"/>
          <w:sz w:val="22"/>
          <w:szCs w:val="22"/>
        </w:rPr>
        <w:t>GENEROSITY</w:t>
      </w:r>
      <w:r w:rsidRPr="006238F3">
        <w:rPr>
          <w:rFonts w:ascii="Arial" w:hAnsi="Arial" w:cs="Arial"/>
          <w:sz w:val="22"/>
          <w:szCs w:val="22"/>
        </w:rPr>
        <w:t xml:space="preserve"> and the </w:t>
      </w:r>
      <w:r w:rsidR="001C613C" w:rsidRPr="006238F3">
        <w:rPr>
          <w:rFonts w:ascii="Arial" w:hAnsi="Arial" w:cs="Arial"/>
          <w:sz w:val="22"/>
          <w:szCs w:val="22"/>
        </w:rPr>
        <w:t>ACCESSIBILITY of education services</w:t>
      </w:r>
      <w:r w:rsidRPr="006238F3">
        <w:rPr>
          <w:rFonts w:ascii="Arial" w:hAnsi="Arial" w:cs="Arial"/>
          <w:sz w:val="22"/>
          <w:szCs w:val="22"/>
        </w:rPr>
        <w:t xml:space="preserve">. </w:t>
      </w:r>
      <w:r w:rsidR="00264C40" w:rsidRPr="006238F3">
        <w:rPr>
          <w:rFonts w:ascii="Arial" w:hAnsi="Arial" w:cs="Arial"/>
          <w:sz w:val="22"/>
          <w:szCs w:val="22"/>
        </w:rPr>
        <w:t>T</w:t>
      </w:r>
      <w:r w:rsidRPr="006238F3">
        <w:rPr>
          <w:rFonts w:ascii="Arial" w:hAnsi="Arial" w:cs="Arial"/>
          <w:sz w:val="22"/>
          <w:szCs w:val="22"/>
        </w:rPr>
        <w:t xml:space="preserve">he </w:t>
      </w:r>
      <w:r w:rsidRPr="006238F3">
        <w:rPr>
          <w:rFonts w:ascii="Arial" w:hAnsi="Arial" w:cs="Arial"/>
          <w:i/>
          <w:iCs/>
          <w:sz w:val="22"/>
          <w:szCs w:val="22"/>
        </w:rPr>
        <w:t>duration</w:t>
      </w:r>
      <w:r w:rsidRPr="006238F3">
        <w:rPr>
          <w:rFonts w:ascii="Arial" w:hAnsi="Arial" w:cs="Arial"/>
          <w:sz w:val="22"/>
          <w:szCs w:val="22"/>
        </w:rPr>
        <w:t xml:space="preserve"> and the </w:t>
      </w:r>
      <w:r w:rsidRPr="006238F3">
        <w:rPr>
          <w:rFonts w:ascii="Arial" w:hAnsi="Arial" w:cs="Arial"/>
          <w:i/>
          <w:iCs/>
          <w:sz w:val="22"/>
          <w:szCs w:val="22"/>
        </w:rPr>
        <w:t>cost</w:t>
      </w:r>
      <w:r w:rsidRPr="006238F3">
        <w:rPr>
          <w:rFonts w:ascii="Arial" w:hAnsi="Arial" w:cs="Arial"/>
          <w:sz w:val="22"/>
          <w:szCs w:val="22"/>
        </w:rPr>
        <w:t xml:space="preserve"> of compulsory education were used</w:t>
      </w:r>
      <w:r w:rsidR="00264C40" w:rsidRPr="006238F3">
        <w:rPr>
          <w:rFonts w:ascii="Arial" w:hAnsi="Arial" w:cs="Arial"/>
          <w:sz w:val="22"/>
          <w:szCs w:val="22"/>
        </w:rPr>
        <w:t xml:space="preserve"> to examine the generosity of publicly-funded compulsory education (primary and secondary)</w:t>
      </w:r>
      <w:r w:rsidRPr="006238F3">
        <w:rPr>
          <w:rFonts w:ascii="Arial" w:hAnsi="Arial" w:cs="Arial"/>
          <w:sz w:val="22"/>
          <w:szCs w:val="22"/>
        </w:rPr>
        <w:t>. Our third set is</w:t>
      </w:r>
      <w:r w:rsidR="001C613C" w:rsidRPr="006238F3">
        <w:rPr>
          <w:rFonts w:ascii="Arial" w:hAnsi="Arial" w:cs="Arial"/>
          <w:sz w:val="22"/>
          <w:szCs w:val="22"/>
        </w:rPr>
        <w:t xml:space="preserve"> </w:t>
      </w:r>
      <w:r w:rsidRPr="006238F3">
        <w:rPr>
          <w:rFonts w:ascii="Arial" w:hAnsi="Arial" w:cs="Arial"/>
          <w:sz w:val="22"/>
          <w:szCs w:val="22"/>
        </w:rPr>
        <w:t xml:space="preserve">designed to measure the accessibility of tertiary education. </w:t>
      </w:r>
      <w:r w:rsidR="00342A2B" w:rsidRPr="006238F3">
        <w:rPr>
          <w:rFonts w:ascii="Arial" w:hAnsi="Arial" w:cs="Arial"/>
          <w:sz w:val="22"/>
          <w:szCs w:val="22"/>
        </w:rPr>
        <w:t>There are t</w:t>
      </w:r>
      <w:r w:rsidRPr="006238F3">
        <w:rPr>
          <w:rFonts w:ascii="Arial" w:hAnsi="Arial" w:cs="Arial"/>
          <w:sz w:val="22"/>
          <w:szCs w:val="22"/>
        </w:rPr>
        <w:t>wo main reasons for using the empirical case knowledge</w:t>
      </w:r>
      <w:r w:rsidR="00342A2B" w:rsidRPr="006238F3">
        <w:rPr>
          <w:rFonts w:ascii="Arial" w:hAnsi="Arial" w:cs="Arial"/>
          <w:sz w:val="22"/>
          <w:szCs w:val="22"/>
        </w:rPr>
        <w:t xml:space="preserve"> rather than, e.g. statistical </w:t>
      </w:r>
      <w:r w:rsidRPr="006238F3">
        <w:rPr>
          <w:rFonts w:ascii="Arial" w:hAnsi="Arial" w:cs="Arial"/>
          <w:sz w:val="22"/>
          <w:szCs w:val="22"/>
        </w:rPr>
        <w:t>enrolment rate</w:t>
      </w:r>
      <w:r w:rsidR="00342A2B" w:rsidRPr="006238F3">
        <w:rPr>
          <w:rFonts w:ascii="Arial" w:hAnsi="Arial" w:cs="Arial"/>
          <w:sz w:val="22"/>
          <w:szCs w:val="22"/>
        </w:rPr>
        <w:t>s</w:t>
      </w:r>
      <w:r w:rsidRPr="006238F3">
        <w:rPr>
          <w:rFonts w:ascii="Arial" w:hAnsi="Arial" w:cs="Arial"/>
          <w:sz w:val="22"/>
          <w:szCs w:val="22"/>
        </w:rPr>
        <w:t xml:space="preserve">. First, </w:t>
      </w:r>
      <w:r w:rsidR="00342A2B" w:rsidRPr="006238F3">
        <w:rPr>
          <w:rFonts w:ascii="Arial" w:hAnsi="Arial" w:cs="Arial"/>
          <w:sz w:val="22"/>
          <w:szCs w:val="22"/>
        </w:rPr>
        <w:t xml:space="preserve">the fact that </w:t>
      </w:r>
      <w:r w:rsidRPr="006238F3">
        <w:rPr>
          <w:rFonts w:ascii="Arial" w:hAnsi="Arial" w:cs="Arial"/>
          <w:sz w:val="22"/>
          <w:szCs w:val="22"/>
        </w:rPr>
        <w:t xml:space="preserve">a student </w:t>
      </w:r>
      <w:r w:rsidR="00342A2B" w:rsidRPr="006238F3">
        <w:rPr>
          <w:rFonts w:ascii="Arial" w:hAnsi="Arial" w:cs="Arial"/>
          <w:sz w:val="22"/>
          <w:szCs w:val="22"/>
        </w:rPr>
        <w:t xml:space="preserve">does </w:t>
      </w:r>
      <w:r w:rsidRPr="006238F3">
        <w:rPr>
          <w:rFonts w:ascii="Arial" w:hAnsi="Arial" w:cs="Arial"/>
          <w:sz w:val="22"/>
          <w:szCs w:val="22"/>
        </w:rPr>
        <w:t xml:space="preserve">not participate </w:t>
      </w:r>
      <w:r w:rsidR="00342A2B" w:rsidRPr="006238F3">
        <w:rPr>
          <w:rFonts w:ascii="Arial" w:hAnsi="Arial" w:cs="Arial"/>
          <w:sz w:val="22"/>
          <w:szCs w:val="22"/>
        </w:rPr>
        <w:t>i</w:t>
      </w:r>
      <w:r w:rsidRPr="006238F3">
        <w:rPr>
          <w:rFonts w:ascii="Arial" w:hAnsi="Arial" w:cs="Arial"/>
          <w:sz w:val="22"/>
          <w:szCs w:val="22"/>
        </w:rPr>
        <w:t xml:space="preserve">n </w:t>
      </w:r>
      <w:r w:rsidR="00342A2B" w:rsidRPr="006238F3">
        <w:rPr>
          <w:rFonts w:ascii="Arial" w:hAnsi="Arial" w:cs="Arial"/>
          <w:sz w:val="22"/>
          <w:szCs w:val="22"/>
        </w:rPr>
        <w:t>tertiary</w:t>
      </w:r>
      <w:r w:rsidRPr="006238F3">
        <w:rPr>
          <w:rFonts w:ascii="Arial" w:hAnsi="Arial" w:cs="Arial"/>
          <w:sz w:val="22"/>
          <w:szCs w:val="22"/>
        </w:rPr>
        <w:t xml:space="preserve"> education maybe not due to</w:t>
      </w:r>
      <w:r w:rsidR="00342A2B" w:rsidRPr="006238F3">
        <w:rPr>
          <w:rFonts w:ascii="Arial" w:hAnsi="Arial" w:cs="Arial"/>
          <w:sz w:val="22"/>
          <w:szCs w:val="22"/>
        </w:rPr>
        <w:t xml:space="preserve"> a</w:t>
      </w:r>
      <w:r w:rsidRPr="006238F3">
        <w:rPr>
          <w:rFonts w:ascii="Arial" w:hAnsi="Arial" w:cs="Arial"/>
          <w:sz w:val="22"/>
          <w:szCs w:val="22"/>
        </w:rPr>
        <w:t xml:space="preserve"> financial predicament</w:t>
      </w:r>
      <w:r w:rsidR="00342A2B" w:rsidRPr="006238F3">
        <w:rPr>
          <w:rFonts w:ascii="Arial" w:hAnsi="Arial" w:cs="Arial"/>
          <w:sz w:val="22"/>
          <w:szCs w:val="22"/>
        </w:rPr>
        <w:t xml:space="preserve">; and second, there were significant missing data for some of our East Asian cases. </w:t>
      </w:r>
      <w:r w:rsidRPr="006238F3">
        <w:rPr>
          <w:rFonts w:ascii="Arial" w:hAnsi="Arial" w:cs="Arial"/>
          <w:sz w:val="22"/>
          <w:szCs w:val="22"/>
        </w:rPr>
        <w:t xml:space="preserve">We, therefore, use the </w:t>
      </w:r>
      <w:r w:rsidRPr="006238F3">
        <w:rPr>
          <w:rFonts w:ascii="Arial" w:hAnsi="Arial" w:cs="Arial"/>
          <w:i/>
          <w:iCs/>
          <w:sz w:val="22"/>
          <w:szCs w:val="22"/>
        </w:rPr>
        <w:t>level of tuition fees</w:t>
      </w:r>
      <w:r w:rsidRPr="006238F3">
        <w:rPr>
          <w:rFonts w:ascii="Arial" w:hAnsi="Arial" w:cs="Arial"/>
          <w:sz w:val="22"/>
          <w:szCs w:val="22"/>
        </w:rPr>
        <w:t xml:space="preserve"> and the </w:t>
      </w:r>
      <w:r w:rsidR="00342A2B" w:rsidRPr="006238F3">
        <w:rPr>
          <w:rFonts w:ascii="Arial" w:hAnsi="Arial" w:cs="Arial"/>
          <w:i/>
          <w:iCs/>
          <w:sz w:val="22"/>
          <w:szCs w:val="22"/>
        </w:rPr>
        <w:t xml:space="preserve">availability </w:t>
      </w:r>
      <w:r w:rsidRPr="006238F3">
        <w:rPr>
          <w:rFonts w:ascii="Arial" w:hAnsi="Arial" w:cs="Arial"/>
          <w:i/>
          <w:iCs/>
          <w:sz w:val="22"/>
          <w:szCs w:val="22"/>
        </w:rPr>
        <w:t>of financial support</w:t>
      </w:r>
      <w:r w:rsidRPr="006238F3">
        <w:rPr>
          <w:rFonts w:ascii="Arial" w:hAnsi="Arial" w:cs="Arial"/>
          <w:sz w:val="22"/>
          <w:szCs w:val="22"/>
        </w:rPr>
        <w:t xml:space="preserve"> </w:t>
      </w:r>
      <w:r w:rsidR="00342A2B" w:rsidRPr="006238F3">
        <w:rPr>
          <w:rFonts w:ascii="Arial" w:hAnsi="Arial" w:cs="Arial"/>
          <w:sz w:val="22"/>
          <w:szCs w:val="22"/>
        </w:rPr>
        <w:t>to determine fuzzy set thresholds</w:t>
      </w:r>
      <w:r w:rsidRPr="006238F3">
        <w:rPr>
          <w:rFonts w:ascii="Arial" w:hAnsi="Arial" w:cs="Arial"/>
          <w:sz w:val="22"/>
          <w:szCs w:val="22"/>
        </w:rPr>
        <w:t>.</w:t>
      </w:r>
    </w:p>
    <w:p w14:paraId="75E64FB5" w14:textId="77777777" w:rsidR="00E65B18" w:rsidRPr="006238F3" w:rsidRDefault="00E65B18" w:rsidP="006238F3">
      <w:pPr>
        <w:spacing w:line="480" w:lineRule="auto"/>
        <w:jc w:val="both"/>
        <w:rPr>
          <w:rFonts w:ascii="Arial" w:hAnsi="Arial" w:cs="Arial"/>
          <w:b/>
          <w:bCs/>
          <w:sz w:val="22"/>
          <w:szCs w:val="22"/>
        </w:rPr>
      </w:pPr>
    </w:p>
    <w:p w14:paraId="1F8CC552" w14:textId="1AABB61D" w:rsidR="00E65B18" w:rsidRPr="006238F3" w:rsidRDefault="00055A2E" w:rsidP="006238F3">
      <w:pPr>
        <w:spacing w:line="480" w:lineRule="auto"/>
        <w:ind w:firstLine="720"/>
        <w:jc w:val="both"/>
        <w:rPr>
          <w:rFonts w:ascii="Arial" w:hAnsi="Arial" w:cs="Arial"/>
          <w:b/>
          <w:bCs/>
          <w:sz w:val="22"/>
          <w:szCs w:val="22"/>
        </w:rPr>
      </w:pPr>
      <w:r w:rsidRPr="006238F3">
        <w:rPr>
          <w:rFonts w:ascii="Arial" w:hAnsi="Arial" w:cs="Arial"/>
          <w:b/>
          <w:bCs/>
          <w:sz w:val="22"/>
          <w:szCs w:val="22"/>
        </w:rPr>
        <w:t xml:space="preserve">Health </w:t>
      </w:r>
      <w:r w:rsidR="00DC3968">
        <w:rPr>
          <w:rFonts w:ascii="Arial" w:hAnsi="Arial" w:cs="Arial"/>
          <w:b/>
          <w:bCs/>
          <w:sz w:val="22"/>
          <w:szCs w:val="22"/>
        </w:rPr>
        <w:t>policy</w:t>
      </w:r>
    </w:p>
    <w:p w14:paraId="767AAA49" w14:textId="77777777" w:rsidR="00E65B18" w:rsidRPr="006238F3" w:rsidRDefault="00055A2E" w:rsidP="006238F3">
      <w:pPr>
        <w:spacing w:line="480" w:lineRule="auto"/>
        <w:jc w:val="both"/>
        <w:rPr>
          <w:rFonts w:ascii="Arial" w:hAnsi="Arial" w:cs="Arial"/>
          <w:sz w:val="22"/>
          <w:szCs w:val="22"/>
        </w:rPr>
      </w:pPr>
      <w:r w:rsidRPr="006238F3">
        <w:rPr>
          <w:rFonts w:ascii="Arial" w:hAnsi="Arial" w:cs="Arial"/>
          <w:sz w:val="22"/>
          <w:szCs w:val="22"/>
        </w:rPr>
        <w:t xml:space="preserve">Three constitutive aspects were identified to measure </w:t>
      </w:r>
      <w:r w:rsidR="00342A2B" w:rsidRPr="006238F3">
        <w:rPr>
          <w:rFonts w:ascii="Arial" w:hAnsi="Arial" w:cs="Arial"/>
          <w:sz w:val="22"/>
          <w:szCs w:val="22"/>
        </w:rPr>
        <w:t xml:space="preserve">the </w:t>
      </w:r>
      <w:r w:rsidRPr="006238F3">
        <w:rPr>
          <w:rFonts w:ascii="Arial" w:hAnsi="Arial" w:cs="Arial"/>
          <w:sz w:val="22"/>
          <w:szCs w:val="22"/>
        </w:rPr>
        <w:t xml:space="preserve">overall </w:t>
      </w:r>
      <w:r w:rsidR="00342A2B" w:rsidRPr="006238F3">
        <w:rPr>
          <w:rFonts w:ascii="Arial" w:hAnsi="Arial" w:cs="Arial"/>
          <w:sz w:val="22"/>
          <w:szCs w:val="22"/>
        </w:rPr>
        <w:t xml:space="preserve">strength of </w:t>
      </w:r>
      <w:r w:rsidRPr="006238F3">
        <w:rPr>
          <w:rFonts w:ascii="Arial" w:hAnsi="Arial" w:cs="Arial"/>
          <w:sz w:val="22"/>
          <w:szCs w:val="22"/>
        </w:rPr>
        <w:t>existing health service</w:t>
      </w:r>
      <w:r w:rsidR="00342A2B" w:rsidRPr="006238F3">
        <w:rPr>
          <w:rFonts w:ascii="Arial" w:hAnsi="Arial" w:cs="Arial"/>
          <w:sz w:val="22"/>
          <w:szCs w:val="22"/>
        </w:rPr>
        <w:t>s</w:t>
      </w:r>
      <w:r w:rsidRPr="006238F3">
        <w:rPr>
          <w:rFonts w:ascii="Arial" w:hAnsi="Arial" w:cs="Arial"/>
          <w:sz w:val="22"/>
          <w:szCs w:val="22"/>
        </w:rPr>
        <w:t xml:space="preserve">. </w:t>
      </w:r>
      <w:r w:rsidRPr="006238F3">
        <w:rPr>
          <w:rFonts w:ascii="Arial" w:hAnsi="Arial" w:cs="Arial"/>
          <w:sz w:val="22"/>
          <w:szCs w:val="22"/>
          <w:lang w:eastAsia="zh-CN"/>
        </w:rPr>
        <w:t>Similar</w:t>
      </w:r>
      <w:r w:rsidRPr="006238F3">
        <w:rPr>
          <w:rFonts w:ascii="Arial" w:hAnsi="Arial" w:cs="Arial"/>
          <w:sz w:val="22"/>
          <w:szCs w:val="22"/>
        </w:rPr>
        <w:t xml:space="preserve"> to the domain of education, apart from </w:t>
      </w:r>
      <w:r w:rsidR="00342A2B" w:rsidRPr="006238F3">
        <w:rPr>
          <w:rFonts w:ascii="Arial" w:hAnsi="Arial" w:cs="Arial"/>
          <w:sz w:val="22"/>
          <w:szCs w:val="22"/>
        </w:rPr>
        <w:t>the ratio of public health SPENDING</w:t>
      </w:r>
      <w:r w:rsidRPr="006238F3">
        <w:rPr>
          <w:rFonts w:ascii="Arial" w:hAnsi="Arial" w:cs="Arial"/>
          <w:sz w:val="22"/>
          <w:szCs w:val="22"/>
        </w:rPr>
        <w:t>, we used two additional outcome indicators</w:t>
      </w:r>
      <w:r w:rsidR="00342A2B" w:rsidRPr="006238F3">
        <w:rPr>
          <w:rFonts w:ascii="Arial" w:hAnsi="Arial" w:cs="Arial"/>
          <w:sz w:val="22"/>
          <w:szCs w:val="22"/>
        </w:rPr>
        <w:t>:  we measure</w:t>
      </w:r>
      <w:r w:rsidRPr="006238F3">
        <w:rPr>
          <w:rFonts w:ascii="Arial" w:hAnsi="Arial" w:cs="Arial"/>
          <w:sz w:val="22"/>
          <w:szCs w:val="22"/>
        </w:rPr>
        <w:t>d</w:t>
      </w:r>
      <w:r w:rsidR="00342A2B" w:rsidRPr="006238F3">
        <w:rPr>
          <w:rFonts w:ascii="Arial" w:hAnsi="Arial" w:cs="Arial"/>
          <w:sz w:val="22"/>
          <w:szCs w:val="22"/>
        </w:rPr>
        <w:t xml:space="preserve"> </w:t>
      </w:r>
      <w:r w:rsidRPr="006238F3">
        <w:rPr>
          <w:rFonts w:ascii="Arial" w:hAnsi="Arial" w:cs="Arial"/>
          <w:caps/>
          <w:sz w:val="22"/>
          <w:szCs w:val="22"/>
        </w:rPr>
        <w:t>Universality</w:t>
      </w:r>
      <w:r w:rsidRPr="006238F3">
        <w:rPr>
          <w:rFonts w:ascii="Arial" w:hAnsi="Arial" w:cs="Arial"/>
          <w:sz w:val="22"/>
          <w:szCs w:val="22"/>
        </w:rPr>
        <w:t xml:space="preserve"> by the </w:t>
      </w:r>
      <w:r w:rsidRPr="006238F3">
        <w:rPr>
          <w:rFonts w:ascii="Arial" w:hAnsi="Arial" w:cs="Arial"/>
          <w:i/>
          <w:iCs/>
          <w:sz w:val="22"/>
          <w:szCs w:val="22"/>
        </w:rPr>
        <w:t>coverage</w:t>
      </w:r>
      <w:r w:rsidRPr="006238F3">
        <w:rPr>
          <w:rFonts w:ascii="Arial" w:hAnsi="Arial" w:cs="Arial"/>
          <w:sz w:val="22"/>
          <w:szCs w:val="22"/>
        </w:rPr>
        <w:t xml:space="preserve"> rate of public health services, and </w:t>
      </w:r>
      <w:r w:rsidRPr="006238F3">
        <w:rPr>
          <w:rFonts w:ascii="Arial" w:hAnsi="Arial" w:cs="Arial"/>
          <w:caps/>
          <w:sz w:val="22"/>
          <w:szCs w:val="22"/>
        </w:rPr>
        <w:t>affordability</w:t>
      </w:r>
      <w:r w:rsidRPr="006238F3">
        <w:rPr>
          <w:rFonts w:ascii="Arial" w:hAnsi="Arial" w:cs="Arial"/>
          <w:sz w:val="22"/>
          <w:szCs w:val="22"/>
        </w:rPr>
        <w:t xml:space="preserve"> by </w:t>
      </w:r>
      <w:r w:rsidRPr="006238F3">
        <w:rPr>
          <w:rFonts w:ascii="Arial" w:hAnsi="Arial" w:cs="Arial"/>
          <w:i/>
          <w:iCs/>
          <w:sz w:val="22"/>
          <w:szCs w:val="22"/>
        </w:rPr>
        <w:t xml:space="preserve">private </w:t>
      </w:r>
      <w:r w:rsidR="00342A2B" w:rsidRPr="006238F3">
        <w:rPr>
          <w:rFonts w:ascii="Arial" w:hAnsi="Arial" w:cs="Arial"/>
          <w:i/>
          <w:iCs/>
          <w:sz w:val="22"/>
          <w:szCs w:val="22"/>
        </w:rPr>
        <w:t xml:space="preserve">health </w:t>
      </w:r>
      <w:r w:rsidRPr="006238F3">
        <w:rPr>
          <w:rFonts w:ascii="Arial" w:hAnsi="Arial" w:cs="Arial"/>
          <w:i/>
          <w:iCs/>
          <w:sz w:val="22"/>
          <w:szCs w:val="22"/>
        </w:rPr>
        <w:t>expenditure</w:t>
      </w:r>
      <w:r w:rsidRPr="006238F3">
        <w:rPr>
          <w:rFonts w:ascii="Arial" w:hAnsi="Arial" w:cs="Arial"/>
          <w:sz w:val="22"/>
          <w:szCs w:val="22"/>
        </w:rPr>
        <w:t xml:space="preserve">s </w:t>
      </w:r>
      <w:r w:rsidR="00342A2B" w:rsidRPr="006238F3">
        <w:rPr>
          <w:rFonts w:ascii="Arial" w:hAnsi="Arial" w:cs="Arial"/>
          <w:sz w:val="22"/>
          <w:szCs w:val="22"/>
        </w:rPr>
        <w:t xml:space="preserve">as a proportion of all health expenditures. All three indicators are </w:t>
      </w:r>
      <w:r w:rsidRPr="006238F3">
        <w:rPr>
          <w:rFonts w:ascii="Arial" w:hAnsi="Arial" w:cs="Arial"/>
          <w:sz w:val="22"/>
          <w:szCs w:val="22"/>
        </w:rPr>
        <w:t xml:space="preserve">common in </w:t>
      </w:r>
      <w:r w:rsidR="00342A2B" w:rsidRPr="006238F3">
        <w:rPr>
          <w:rFonts w:ascii="Arial" w:hAnsi="Arial" w:cs="Arial"/>
          <w:sz w:val="22"/>
          <w:szCs w:val="22"/>
        </w:rPr>
        <w:t xml:space="preserve">the </w:t>
      </w:r>
      <w:r w:rsidRPr="006238F3">
        <w:rPr>
          <w:rFonts w:ascii="Arial" w:hAnsi="Arial" w:cs="Arial"/>
          <w:sz w:val="22"/>
          <w:szCs w:val="22"/>
        </w:rPr>
        <w:t>literature.</w:t>
      </w:r>
    </w:p>
    <w:p w14:paraId="5AE3A801" w14:textId="77777777" w:rsidR="00E65B18" w:rsidRPr="006238F3" w:rsidRDefault="00E65B18" w:rsidP="006238F3">
      <w:pPr>
        <w:spacing w:line="480" w:lineRule="auto"/>
        <w:jc w:val="both"/>
        <w:rPr>
          <w:rFonts w:ascii="Arial" w:hAnsi="Arial" w:cs="Arial"/>
          <w:sz w:val="22"/>
          <w:szCs w:val="22"/>
        </w:rPr>
      </w:pPr>
    </w:p>
    <w:p w14:paraId="44730FF7" w14:textId="77777777" w:rsidR="00DC3968" w:rsidRDefault="00DC3968" w:rsidP="00DC3968">
      <w:pPr>
        <w:spacing w:line="480" w:lineRule="auto"/>
        <w:ind w:firstLine="720"/>
        <w:jc w:val="both"/>
        <w:rPr>
          <w:rFonts w:ascii="Arial" w:hAnsi="Arial" w:cs="Arial"/>
          <w:b/>
          <w:bCs/>
          <w:sz w:val="22"/>
          <w:szCs w:val="22"/>
        </w:rPr>
      </w:pPr>
    </w:p>
    <w:p w14:paraId="46240F71" w14:textId="77777777" w:rsidR="00DC3968" w:rsidRDefault="00DC3968" w:rsidP="00DC3968">
      <w:pPr>
        <w:spacing w:line="480" w:lineRule="auto"/>
        <w:ind w:firstLine="720"/>
        <w:jc w:val="both"/>
        <w:rPr>
          <w:rFonts w:ascii="Arial" w:hAnsi="Arial" w:cs="Arial"/>
          <w:b/>
          <w:bCs/>
          <w:sz w:val="22"/>
          <w:szCs w:val="22"/>
        </w:rPr>
      </w:pPr>
    </w:p>
    <w:p w14:paraId="6AB1275F" w14:textId="0D385BBD" w:rsidR="00E65B18" w:rsidRPr="006238F3" w:rsidRDefault="00055A2E" w:rsidP="006238F3">
      <w:pPr>
        <w:spacing w:line="480" w:lineRule="auto"/>
        <w:ind w:firstLine="720"/>
        <w:jc w:val="both"/>
        <w:rPr>
          <w:rFonts w:ascii="Arial" w:hAnsi="Arial" w:cs="Arial"/>
          <w:b/>
          <w:bCs/>
          <w:sz w:val="22"/>
          <w:szCs w:val="22"/>
        </w:rPr>
      </w:pPr>
      <w:r w:rsidRPr="006238F3">
        <w:rPr>
          <w:rFonts w:ascii="Arial" w:hAnsi="Arial" w:cs="Arial"/>
          <w:b/>
          <w:bCs/>
          <w:sz w:val="22"/>
          <w:szCs w:val="22"/>
        </w:rPr>
        <w:lastRenderedPageBreak/>
        <w:t>Family</w:t>
      </w:r>
      <w:r w:rsidR="00DC3968">
        <w:rPr>
          <w:rFonts w:ascii="Arial" w:hAnsi="Arial" w:cs="Arial"/>
          <w:b/>
          <w:bCs/>
          <w:sz w:val="22"/>
          <w:szCs w:val="22"/>
        </w:rPr>
        <w:t xml:space="preserve"> policy</w:t>
      </w:r>
    </w:p>
    <w:p w14:paraId="29404EC4" w14:textId="77777777" w:rsidR="00E65B18" w:rsidRPr="006238F3" w:rsidRDefault="00055A2E" w:rsidP="006238F3">
      <w:pPr>
        <w:spacing w:line="480" w:lineRule="auto"/>
        <w:jc w:val="both"/>
        <w:rPr>
          <w:rFonts w:ascii="Arial" w:hAnsi="Arial" w:cs="Arial"/>
          <w:sz w:val="22"/>
          <w:szCs w:val="22"/>
        </w:rPr>
      </w:pPr>
      <w:r w:rsidRPr="006238F3">
        <w:rPr>
          <w:rFonts w:ascii="Arial" w:hAnsi="Arial" w:cs="Arial"/>
          <w:sz w:val="22"/>
          <w:szCs w:val="22"/>
        </w:rPr>
        <w:t xml:space="preserve">For measuring </w:t>
      </w:r>
      <w:r w:rsidR="00342A2B" w:rsidRPr="006238F3">
        <w:rPr>
          <w:rFonts w:ascii="Arial" w:hAnsi="Arial" w:cs="Arial"/>
          <w:sz w:val="22"/>
          <w:szCs w:val="22"/>
        </w:rPr>
        <w:t>the strength of family policy</w:t>
      </w:r>
      <w:r w:rsidRPr="006238F3">
        <w:rPr>
          <w:rFonts w:ascii="Arial" w:hAnsi="Arial" w:cs="Arial"/>
          <w:sz w:val="22"/>
          <w:szCs w:val="22"/>
        </w:rPr>
        <w:t xml:space="preserve">, </w:t>
      </w:r>
      <w:r w:rsidR="00342A2B" w:rsidRPr="006238F3">
        <w:rPr>
          <w:rFonts w:ascii="Arial" w:hAnsi="Arial" w:cs="Arial"/>
          <w:sz w:val="22"/>
          <w:szCs w:val="22"/>
        </w:rPr>
        <w:t>we use</w:t>
      </w:r>
      <w:r w:rsidRPr="006238F3">
        <w:rPr>
          <w:rFonts w:ascii="Arial" w:hAnsi="Arial" w:cs="Arial"/>
          <w:sz w:val="22"/>
          <w:szCs w:val="22"/>
        </w:rPr>
        <w:t>d</w:t>
      </w:r>
      <w:r w:rsidR="00342A2B" w:rsidRPr="006238F3">
        <w:rPr>
          <w:rFonts w:ascii="Arial" w:hAnsi="Arial" w:cs="Arial"/>
          <w:sz w:val="22"/>
          <w:szCs w:val="22"/>
        </w:rPr>
        <w:t xml:space="preserve"> three indicators acc</w:t>
      </w:r>
      <w:r w:rsidR="003F795A" w:rsidRPr="006238F3">
        <w:rPr>
          <w:rFonts w:ascii="Arial" w:hAnsi="Arial" w:cs="Arial"/>
          <w:sz w:val="22"/>
          <w:szCs w:val="22"/>
        </w:rPr>
        <w:t>or</w:t>
      </w:r>
      <w:r w:rsidR="00342A2B" w:rsidRPr="006238F3">
        <w:rPr>
          <w:rFonts w:ascii="Arial" w:hAnsi="Arial" w:cs="Arial"/>
          <w:sz w:val="22"/>
          <w:szCs w:val="22"/>
        </w:rPr>
        <w:t xml:space="preserve">ding to </w:t>
      </w:r>
      <w:r w:rsidR="003F795A" w:rsidRPr="006238F3">
        <w:rPr>
          <w:rFonts w:ascii="Arial" w:hAnsi="Arial" w:cs="Arial"/>
          <w:sz w:val="22"/>
          <w:szCs w:val="22"/>
        </w:rPr>
        <w:t xml:space="preserve">the </w:t>
      </w:r>
      <w:r w:rsidRPr="006238F3">
        <w:rPr>
          <w:rFonts w:ascii="Arial" w:hAnsi="Arial" w:cs="Arial"/>
          <w:sz w:val="22"/>
          <w:szCs w:val="22"/>
        </w:rPr>
        <w:t>ILO Convention 183 on Maternity Protection (2000). T</w:t>
      </w:r>
      <w:r w:rsidR="003F795A" w:rsidRPr="006238F3">
        <w:rPr>
          <w:rFonts w:ascii="Arial" w:hAnsi="Arial" w:cs="Arial"/>
          <w:sz w:val="22"/>
          <w:szCs w:val="22"/>
        </w:rPr>
        <w:t xml:space="preserve">he </w:t>
      </w:r>
      <w:r w:rsidR="003F795A" w:rsidRPr="006238F3">
        <w:rPr>
          <w:rFonts w:ascii="Arial" w:hAnsi="Arial" w:cs="Arial"/>
          <w:i/>
          <w:iCs/>
          <w:sz w:val="22"/>
          <w:szCs w:val="22"/>
        </w:rPr>
        <w:t>net replacement rate</w:t>
      </w:r>
      <w:r w:rsidR="003F795A" w:rsidRPr="006238F3">
        <w:rPr>
          <w:rFonts w:ascii="Arial" w:hAnsi="Arial" w:cs="Arial"/>
          <w:sz w:val="22"/>
          <w:szCs w:val="22"/>
        </w:rPr>
        <w:t xml:space="preserve"> reflects the </w:t>
      </w:r>
      <w:r w:rsidR="003F795A" w:rsidRPr="006238F3">
        <w:rPr>
          <w:rFonts w:ascii="Arial" w:hAnsi="Arial" w:cs="Arial"/>
          <w:caps/>
          <w:sz w:val="22"/>
          <w:szCs w:val="22"/>
        </w:rPr>
        <w:t>generosity</w:t>
      </w:r>
      <w:r w:rsidR="003F795A" w:rsidRPr="006238F3">
        <w:rPr>
          <w:rFonts w:ascii="Arial" w:hAnsi="Arial" w:cs="Arial"/>
          <w:sz w:val="22"/>
          <w:szCs w:val="22"/>
        </w:rPr>
        <w:t xml:space="preserve"> of the income maintenance received in case of motherhood</w:t>
      </w:r>
      <w:r w:rsidRPr="006238F3">
        <w:rPr>
          <w:rFonts w:ascii="Arial" w:hAnsi="Arial" w:cs="Arial"/>
          <w:sz w:val="22"/>
          <w:szCs w:val="22"/>
        </w:rPr>
        <w:t xml:space="preserve">. Moreover, we include the </w:t>
      </w:r>
      <w:r w:rsidRPr="006238F3">
        <w:rPr>
          <w:rFonts w:ascii="Arial" w:hAnsi="Arial" w:cs="Arial"/>
          <w:caps/>
          <w:sz w:val="22"/>
          <w:szCs w:val="22"/>
        </w:rPr>
        <w:t>duration</w:t>
      </w:r>
      <w:r w:rsidRPr="006238F3">
        <w:rPr>
          <w:rFonts w:ascii="Arial" w:hAnsi="Arial" w:cs="Arial"/>
          <w:sz w:val="22"/>
          <w:szCs w:val="22"/>
        </w:rPr>
        <w:t xml:space="preserve"> of maternity leave</w:t>
      </w:r>
      <w:r w:rsidR="003F795A" w:rsidRPr="006238F3">
        <w:rPr>
          <w:rFonts w:ascii="Arial" w:hAnsi="Arial" w:cs="Arial"/>
          <w:sz w:val="22"/>
          <w:szCs w:val="22"/>
        </w:rPr>
        <w:t xml:space="preserve"> </w:t>
      </w:r>
      <w:r w:rsidR="003F795A" w:rsidRPr="006238F3">
        <w:rPr>
          <w:rFonts w:ascii="Arial" w:hAnsi="Arial" w:cs="Arial"/>
          <w:i/>
          <w:iCs/>
          <w:sz w:val="22"/>
          <w:szCs w:val="22"/>
        </w:rPr>
        <w:t xml:space="preserve">in </w:t>
      </w:r>
      <w:r w:rsidRPr="006238F3">
        <w:rPr>
          <w:rFonts w:ascii="Arial" w:hAnsi="Arial" w:cs="Arial"/>
          <w:i/>
          <w:iCs/>
          <w:sz w:val="22"/>
          <w:szCs w:val="22"/>
        </w:rPr>
        <w:t xml:space="preserve">total number of </w:t>
      </w:r>
      <w:r w:rsidR="003F795A" w:rsidRPr="006238F3">
        <w:rPr>
          <w:rFonts w:ascii="Arial" w:hAnsi="Arial" w:cs="Arial"/>
          <w:i/>
          <w:iCs/>
          <w:sz w:val="22"/>
          <w:szCs w:val="22"/>
        </w:rPr>
        <w:t>weeks</w:t>
      </w:r>
      <w:r w:rsidRPr="006238F3">
        <w:rPr>
          <w:rFonts w:ascii="Arial" w:hAnsi="Arial" w:cs="Arial"/>
          <w:sz w:val="22"/>
          <w:szCs w:val="22"/>
        </w:rPr>
        <w:t xml:space="preserve">, and the </w:t>
      </w:r>
      <w:r w:rsidRPr="006238F3">
        <w:rPr>
          <w:rFonts w:ascii="Arial" w:hAnsi="Arial" w:cs="Arial"/>
          <w:caps/>
          <w:sz w:val="22"/>
          <w:szCs w:val="22"/>
        </w:rPr>
        <w:t>accessibility</w:t>
      </w:r>
      <w:r w:rsidRPr="006238F3">
        <w:rPr>
          <w:rFonts w:ascii="Arial" w:hAnsi="Arial" w:cs="Arial"/>
          <w:sz w:val="22"/>
          <w:szCs w:val="22"/>
        </w:rPr>
        <w:t xml:space="preserve"> of </w:t>
      </w:r>
      <w:r w:rsidR="003F795A" w:rsidRPr="006238F3">
        <w:rPr>
          <w:rFonts w:ascii="Arial" w:hAnsi="Arial" w:cs="Arial"/>
          <w:sz w:val="22"/>
          <w:szCs w:val="22"/>
        </w:rPr>
        <w:t xml:space="preserve">maternity protection measured by the </w:t>
      </w:r>
      <w:r w:rsidR="003F795A" w:rsidRPr="006238F3">
        <w:rPr>
          <w:rFonts w:ascii="Arial" w:hAnsi="Arial" w:cs="Arial"/>
          <w:i/>
          <w:iCs/>
          <w:sz w:val="22"/>
          <w:szCs w:val="22"/>
        </w:rPr>
        <w:t>proportion of insured employees</w:t>
      </w:r>
      <w:r w:rsidR="003F795A" w:rsidRPr="006238F3">
        <w:rPr>
          <w:rFonts w:ascii="Arial" w:hAnsi="Arial" w:cs="Arial"/>
          <w:sz w:val="22"/>
          <w:szCs w:val="22"/>
        </w:rPr>
        <w:t xml:space="preserve"> as a share of the total employees)</w:t>
      </w:r>
      <w:r w:rsidRPr="006238F3">
        <w:rPr>
          <w:rFonts w:ascii="Arial" w:hAnsi="Arial" w:cs="Arial"/>
          <w:sz w:val="22"/>
          <w:szCs w:val="22"/>
        </w:rPr>
        <w:t>.</w:t>
      </w:r>
    </w:p>
    <w:p w14:paraId="231A7438" w14:textId="77777777" w:rsidR="00264C40" w:rsidRPr="006238F3" w:rsidRDefault="00264C40" w:rsidP="006238F3">
      <w:pPr>
        <w:spacing w:line="480" w:lineRule="auto"/>
        <w:jc w:val="both"/>
        <w:rPr>
          <w:rFonts w:ascii="Arial" w:hAnsi="Arial" w:cs="Arial"/>
          <w:sz w:val="22"/>
          <w:szCs w:val="22"/>
        </w:rPr>
      </w:pPr>
    </w:p>
    <w:p w14:paraId="48E958F7" w14:textId="03DEA0CC" w:rsidR="00E65B18" w:rsidRPr="006238F3" w:rsidRDefault="00055A2E" w:rsidP="006238F3">
      <w:pPr>
        <w:spacing w:line="480" w:lineRule="auto"/>
        <w:ind w:firstLine="720"/>
        <w:jc w:val="both"/>
        <w:rPr>
          <w:rFonts w:ascii="Arial" w:hAnsi="Arial" w:cs="Arial"/>
          <w:b/>
          <w:bCs/>
          <w:sz w:val="22"/>
          <w:szCs w:val="22"/>
        </w:rPr>
      </w:pPr>
      <w:r w:rsidRPr="006238F3">
        <w:rPr>
          <w:rFonts w:ascii="Arial" w:hAnsi="Arial" w:cs="Arial"/>
          <w:b/>
          <w:bCs/>
          <w:sz w:val="22"/>
          <w:szCs w:val="22"/>
        </w:rPr>
        <w:t>Old-age income protection</w:t>
      </w:r>
      <w:r w:rsidR="00DC3968">
        <w:rPr>
          <w:rFonts w:ascii="Arial" w:hAnsi="Arial" w:cs="Arial"/>
          <w:b/>
          <w:bCs/>
          <w:sz w:val="22"/>
          <w:szCs w:val="22"/>
        </w:rPr>
        <w:t xml:space="preserve"> policy</w:t>
      </w:r>
    </w:p>
    <w:p w14:paraId="3B06E6A7" w14:textId="77777777" w:rsidR="00E65B18" w:rsidRPr="006238F3" w:rsidRDefault="00055A2E" w:rsidP="006238F3">
      <w:pPr>
        <w:spacing w:line="480" w:lineRule="auto"/>
        <w:jc w:val="both"/>
        <w:rPr>
          <w:rFonts w:ascii="Arial" w:hAnsi="Arial" w:cs="Arial"/>
          <w:sz w:val="22"/>
          <w:szCs w:val="22"/>
        </w:rPr>
      </w:pPr>
      <w:r w:rsidRPr="006238F3">
        <w:rPr>
          <w:rFonts w:ascii="Arial" w:hAnsi="Arial" w:cs="Arial"/>
          <w:sz w:val="22"/>
          <w:szCs w:val="22"/>
        </w:rPr>
        <w:t xml:space="preserve">In order to analyse </w:t>
      </w:r>
      <w:r w:rsidR="00A108FD" w:rsidRPr="006238F3">
        <w:rPr>
          <w:rFonts w:ascii="Arial" w:hAnsi="Arial" w:cs="Arial"/>
          <w:sz w:val="22"/>
          <w:szCs w:val="22"/>
        </w:rPr>
        <w:t xml:space="preserve">old-age </w:t>
      </w:r>
      <w:r w:rsidRPr="006238F3">
        <w:rPr>
          <w:rFonts w:ascii="Arial" w:hAnsi="Arial" w:cs="Arial"/>
          <w:sz w:val="22"/>
          <w:szCs w:val="22"/>
        </w:rPr>
        <w:t xml:space="preserve">pension systems, several international organisations proposed different strategies, including the World Bank, the ILO and the IMF. Among these approaches, the World Bank's multi-pillar approach </w:t>
      </w:r>
      <w:r w:rsidRPr="006238F3">
        <w:rPr>
          <w:rFonts w:ascii="Arial" w:hAnsi="Arial" w:cs="Arial"/>
          <w:sz w:val="22"/>
          <w:szCs w:val="22"/>
        </w:rPr>
        <w:fldChar w:fldCharType="begin"/>
      </w:r>
      <w:r w:rsidRPr="006238F3">
        <w:rPr>
          <w:rFonts w:ascii="Arial" w:hAnsi="Arial" w:cs="Arial"/>
          <w:sz w:val="22"/>
          <w:szCs w:val="22"/>
        </w:rPr>
        <w:instrText xml:space="preserve"> ADDIN EN.CITE &lt;EndNote&gt;&lt;Cite ExcludeAuth="1" ExcludeYear="1" Hidden="1"&gt;&lt;Author&gt;Holzmann&lt;/Author&gt;&lt;Year&gt;2005&lt;/Year&gt;&lt;RecNum&gt;1374&lt;/RecNum&gt;&lt;record&gt;&lt;rec-number&gt;1374&lt;/rec-number&gt;&lt;foreign-keys&gt;&lt;key app="EN" db-id="x2p9tsd242vsemes9zq5vr5d5255r5tpav9r" timestamp="1430089647"&gt;1374&lt;/key&gt;&lt;/foreign-keys&gt;&lt;ref-type name="Journal Article"&gt;17&lt;/ref-type&gt;&lt;contributors&gt;&lt;authors&gt;&lt;author&gt;Holzmann, Robert&lt;/author&gt;&lt;author&gt;Hinz, Richard&lt;/author&gt;&lt;/authors&gt;&lt;/contributors&gt;&lt;titles&gt;&lt;title&gt;Old age income support in the 21st Century: the World Bank’s perspective on pension systems and reform&lt;/title&gt;&lt;secondary-title&gt;The World Bank: Washington, DC&lt;/secondary-title&gt;&lt;/titles&gt;&lt;periodical&gt;&lt;full-title&gt;The World Bank: Washington, DC&lt;/full-title&gt;&lt;/periodical&gt;&lt;dates&gt;&lt;year&gt;2005&lt;/year&gt;&lt;/dates&gt;&lt;urls&gt;&lt;/urls&gt;&lt;/record&gt;&lt;/Cite&gt;&lt;/EndNote&gt;</w:instrText>
      </w:r>
      <w:r w:rsidRPr="006238F3">
        <w:rPr>
          <w:rFonts w:ascii="Arial" w:hAnsi="Arial" w:cs="Arial"/>
          <w:sz w:val="22"/>
          <w:szCs w:val="22"/>
        </w:rPr>
        <w:fldChar w:fldCharType="end"/>
      </w:r>
      <w:r w:rsidRPr="006238F3">
        <w:rPr>
          <w:rFonts w:ascii="Arial" w:hAnsi="Arial" w:cs="Arial"/>
          <w:sz w:val="22"/>
          <w:szCs w:val="22"/>
        </w:rPr>
        <w:t>(Holzmann &amp; Hinz, 2005</w:t>
      </w:r>
      <w:r w:rsidR="00A108FD" w:rsidRPr="006238F3">
        <w:rPr>
          <w:rFonts w:ascii="Arial" w:hAnsi="Arial" w:cs="Arial"/>
          <w:sz w:val="22"/>
          <w:szCs w:val="22"/>
        </w:rPr>
        <w:t>;</w:t>
      </w:r>
      <w:r w:rsidRPr="006238F3">
        <w:rPr>
          <w:rFonts w:ascii="Arial" w:hAnsi="Arial" w:cs="Arial"/>
          <w:sz w:val="22"/>
          <w:szCs w:val="22"/>
        </w:rPr>
        <w:t xml:space="preserve"> Pordes, 1994) is perhaps the most popular. Hence, </w:t>
      </w:r>
      <w:r w:rsidR="00A108FD" w:rsidRPr="006238F3">
        <w:rPr>
          <w:rFonts w:ascii="Arial" w:hAnsi="Arial" w:cs="Arial"/>
          <w:sz w:val="22"/>
          <w:szCs w:val="22"/>
        </w:rPr>
        <w:t>a t</w:t>
      </w:r>
      <w:r w:rsidRPr="006238F3">
        <w:rPr>
          <w:rFonts w:ascii="Arial" w:hAnsi="Arial" w:cs="Arial"/>
          <w:sz w:val="22"/>
          <w:szCs w:val="22"/>
        </w:rPr>
        <w:t>wo-tier analysis was used in the fuzzy-set operation: a zero</w:t>
      </w:r>
      <w:r w:rsidR="00A108FD" w:rsidRPr="006238F3">
        <w:rPr>
          <w:rFonts w:ascii="Arial" w:hAnsi="Arial" w:cs="Arial"/>
          <w:sz w:val="22"/>
          <w:szCs w:val="22"/>
        </w:rPr>
        <w:t xml:space="preserve"> pillar</w:t>
      </w:r>
      <w:r w:rsidRPr="006238F3">
        <w:rPr>
          <w:rFonts w:ascii="Arial" w:hAnsi="Arial" w:cs="Arial"/>
          <w:sz w:val="22"/>
          <w:szCs w:val="22"/>
        </w:rPr>
        <w:t xml:space="preserve"> </w:t>
      </w:r>
      <w:r w:rsidR="00A108FD" w:rsidRPr="006238F3">
        <w:rPr>
          <w:rFonts w:ascii="Arial" w:hAnsi="Arial" w:cs="Arial"/>
          <w:sz w:val="22"/>
          <w:szCs w:val="22"/>
        </w:rPr>
        <w:t xml:space="preserve">set </w:t>
      </w:r>
      <w:r w:rsidRPr="006238F3">
        <w:rPr>
          <w:rFonts w:ascii="Arial" w:hAnsi="Arial" w:cs="Arial"/>
          <w:sz w:val="22"/>
          <w:szCs w:val="22"/>
        </w:rPr>
        <w:t>(universal pension scheme)</w:t>
      </w:r>
      <w:r w:rsidR="00A108FD" w:rsidRPr="006238F3">
        <w:rPr>
          <w:rFonts w:ascii="Arial" w:hAnsi="Arial" w:cs="Arial"/>
          <w:sz w:val="22"/>
          <w:szCs w:val="22"/>
        </w:rPr>
        <w:t>,</w:t>
      </w:r>
      <w:r w:rsidRPr="006238F3">
        <w:rPr>
          <w:rFonts w:ascii="Arial" w:hAnsi="Arial" w:cs="Arial"/>
          <w:sz w:val="22"/>
          <w:szCs w:val="22"/>
        </w:rPr>
        <w:t xml:space="preserve"> and pillar-one and pillar-two</w:t>
      </w:r>
      <w:r w:rsidR="00A108FD" w:rsidRPr="006238F3">
        <w:rPr>
          <w:rFonts w:ascii="Arial" w:hAnsi="Arial" w:cs="Arial"/>
          <w:sz w:val="22"/>
          <w:szCs w:val="22"/>
        </w:rPr>
        <w:t xml:space="preserve"> sets</w:t>
      </w:r>
      <w:r w:rsidRPr="006238F3">
        <w:rPr>
          <w:rFonts w:ascii="Arial" w:hAnsi="Arial" w:cs="Arial"/>
          <w:sz w:val="22"/>
          <w:szCs w:val="22"/>
        </w:rPr>
        <w:t xml:space="preserve"> (mandatory </w:t>
      </w:r>
      <w:r w:rsidRPr="006238F3">
        <w:rPr>
          <w:rFonts w:ascii="Arial" w:hAnsi="Arial" w:cs="Arial"/>
          <w:sz w:val="22"/>
          <w:szCs w:val="22"/>
          <w:lang w:eastAsia="zh-CN"/>
        </w:rPr>
        <w:t>pension</w:t>
      </w:r>
      <w:r w:rsidRPr="006238F3">
        <w:rPr>
          <w:rFonts w:ascii="Arial" w:hAnsi="Arial" w:cs="Arial"/>
          <w:sz w:val="22"/>
          <w:szCs w:val="22"/>
        </w:rPr>
        <w:t>).</w:t>
      </w:r>
      <w:r w:rsidR="00A108FD" w:rsidRPr="006238F3">
        <w:rPr>
          <w:rFonts w:ascii="Arial" w:hAnsi="Arial" w:cs="Arial"/>
          <w:sz w:val="22"/>
          <w:szCs w:val="22"/>
        </w:rPr>
        <w:t xml:space="preserve"> </w:t>
      </w:r>
      <w:r w:rsidRPr="006238F3">
        <w:rPr>
          <w:rFonts w:ascii="Arial" w:hAnsi="Arial" w:cs="Arial"/>
          <w:sz w:val="22"/>
          <w:szCs w:val="22"/>
        </w:rPr>
        <w:t xml:space="preserve">We used crisp set </w:t>
      </w:r>
      <w:r w:rsidR="00A108FD" w:rsidRPr="006238F3">
        <w:rPr>
          <w:rFonts w:ascii="Arial" w:hAnsi="Arial" w:cs="Arial"/>
          <w:sz w:val="22"/>
          <w:szCs w:val="22"/>
        </w:rPr>
        <w:t xml:space="preserve">analysis </w:t>
      </w:r>
      <w:r w:rsidRPr="006238F3">
        <w:rPr>
          <w:rFonts w:ascii="Arial" w:hAnsi="Arial" w:cs="Arial"/>
          <w:sz w:val="22"/>
          <w:szCs w:val="22"/>
        </w:rPr>
        <w:t xml:space="preserve">for measuring the </w:t>
      </w:r>
      <w:r w:rsidR="00A108FD" w:rsidRPr="006238F3">
        <w:rPr>
          <w:rFonts w:ascii="Arial" w:hAnsi="Arial" w:cs="Arial"/>
          <w:sz w:val="22"/>
          <w:szCs w:val="22"/>
        </w:rPr>
        <w:t xml:space="preserve">existence of a </w:t>
      </w:r>
      <w:r w:rsidRPr="006238F3">
        <w:rPr>
          <w:rFonts w:ascii="Arial" w:hAnsi="Arial" w:cs="Arial"/>
          <w:caps/>
          <w:sz w:val="22"/>
          <w:szCs w:val="22"/>
        </w:rPr>
        <w:t xml:space="preserve">zero </w:t>
      </w:r>
      <w:r w:rsidR="00A108FD" w:rsidRPr="006238F3">
        <w:rPr>
          <w:rFonts w:ascii="Arial" w:hAnsi="Arial" w:cs="Arial"/>
          <w:caps/>
          <w:sz w:val="22"/>
          <w:szCs w:val="22"/>
        </w:rPr>
        <w:t xml:space="preserve">pillar </w:t>
      </w:r>
      <w:r w:rsidRPr="006238F3">
        <w:rPr>
          <w:rFonts w:ascii="Arial" w:hAnsi="Arial" w:cs="Arial"/>
          <w:caps/>
          <w:sz w:val="22"/>
          <w:szCs w:val="22"/>
        </w:rPr>
        <w:t>pension</w:t>
      </w:r>
      <w:r w:rsidRPr="006238F3">
        <w:rPr>
          <w:rFonts w:ascii="Arial" w:hAnsi="Arial" w:cs="Arial"/>
          <w:sz w:val="22"/>
          <w:szCs w:val="22"/>
        </w:rPr>
        <w:t xml:space="preserve">. For measuring </w:t>
      </w:r>
      <w:r w:rsidR="00A108FD" w:rsidRPr="006238F3">
        <w:rPr>
          <w:rFonts w:ascii="Arial" w:hAnsi="Arial" w:cs="Arial"/>
          <w:sz w:val="22"/>
          <w:szCs w:val="22"/>
        </w:rPr>
        <w:t xml:space="preserve">the strength of </w:t>
      </w:r>
      <w:r w:rsidRPr="006238F3">
        <w:rPr>
          <w:rFonts w:ascii="Arial" w:hAnsi="Arial" w:cs="Arial"/>
          <w:sz w:val="22"/>
          <w:szCs w:val="22"/>
        </w:rPr>
        <w:t>mandatory pension programmes, two sub-indicators were used</w:t>
      </w:r>
      <w:r w:rsidR="00A108FD" w:rsidRPr="006238F3">
        <w:rPr>
          <w:rFonts w:ascii="Arial" w:hAnsi="Arial" w:cs="Arial"/>
          <w:sz w:val="22"/>
          <w:szCs w:val="22"/>
        </w:rPr>
        <w:t xml:space="preserve"> once again: we measure</w:t>
      </w:r>
      <w:r w:rsidRPr="006238F3">
        <w:rPr>
          <w:rFonts w:ascii="Arial" w:hAnsi="Arial" w:cs="Arial"/>
          <w:sz w:val="22"/>
          <w:szCs w:val="22"/>
        </w:rPr>
        <w:t>d</w:t>
      </w:r>
      <w:r w:rsidR="00A108FD" w:rsidRPr="006238F3">
        <w:rPr>
          <w:rFonts w:ascii="Arial" w:hAnsi="Arial" w:cs="Arial"/>
          <w:sz w:val="22"/>
          <w:szCs w:val="22"/>
        </w:rPr>
        <w:t xml:space="preserve"> GENEROSITY by the </w:t>
      </w:r>
      <w:r w:rsidRPr="006238F3">
        <w:rPr>
          <w:rFonts w:ascii="Arial" w:hAnsi="Arial" w:cs="Arial"/>
          <w:i/>
          <w:iCs/>
          <w:sz w:val="22"/>
          <w:szCs w:val="22"/>
        </w:rPr>
        <w:t>net replacement rate</w:t>
      </w:r>
      <w:r w:rsidRPr="006238F3">
        <w:rPr>
          <w:rFonts w:ascii="Arial" w:hAnsi="Arial" w:cs="Arial"/>
          <w:sz w:val="22"/>
          <w:szCs w:val="22"/>
        </w:rPr>
        <w:t xml:space="preserve"> </w:t>
      </w:r>
      <w:r w:rsidR="00A108FD" w:rsidRPr="006238F3">
        <w:rPr>
          <w:rFonts w:ascii="Arial" w:hAnsi="Arial" w:cs="Arial"/>
          <w:sz w:val="22"/>
          <w:szCs w:val="22"/>
        </w:rPr>
        <w:t>of mandatory pension programmes</w:t>
      </w:r>
      <w:r w:rsidRPr="006238F3">
        <w:rPr>
          <w:rFonts w:ascii="Arial" w:hAnsi="Arial" w:cs="Arial"/>
          <w:sz w:val="22"/>
          <w:szCs w:val="22"/>
        </w:rPr>
        <w:t xml:space="preserve">; </w:t>
      </w:r>
      <w:r w:rsidRPr="006238F3">
        <w:rPr>
          <w:rFonts w:ascii="Arial" w:hAnsi="Arial" w:cs="Arial"/>
          <w:caps/>
          <w:sz w:val="22"/>
          <w:szCs w:val="22"/>
        </w:rPr>
        <w:t>universality</w:t>
      </w:r>
      <w:r w:rsidR="00A108FD" w:rsidRPr="006238F3">
        <w:rPr>
          <w:rFonts w:ascii="Arial" w:hAnsi="Arial" w:cs="Arial"/>
          <w:sz w:val="22"/>
          <w:szCs w:val="22"/>
        </w:rPr>
        <w:t xml:space="preserve"> refers to</w:t>
      </w:r>
      <w:r w:rsidRPr="006238F3">
        <w:rPr>
          <w:rFonts w:ascii="Arial" w:hAnsi="Arial" w:cs="Arial"/>
          <w:sz w:val="22"/>
          <w:szCs w:val="22"/>
        </w:rPr>
        <w:t xml:space="preserve"> the </w:t>
      </w:r>
      <w:r w:rsidRPr="006238F3">
        <w:rPr>
          <w:rFonts w:ascii="Arial" w:hAnsi="Arial" w:cs="Arial"/>
          <w:i/>
          <w:iCs/>
          <w:sz w:val="22"/>
          <w:szCs w:val="22"/>
        </w:rPr>
        <w:t>coverage of all mandatory pension programmes</w:t>
      </w:r>
      <w:r w:rsidRPr="006238F3">
        <w:rPr>
          <w:rFonts w:ascii="Arial" w:hAnsi="Arial" w:cs="Arial"/>
          <w:sz w:val="22"/>
          <w:szCs w:val="22"/>
        </w:rPr>
        <w:t xml:space="preserve"> for workers, regardless of whether they are public or private. </w:t>
      </w:r>
    </w:p>
    <w:p w14:paraId="12CB763A" w14:textId="77777777" w:rsidR="00E65B18" w:rsidRPr="006238F3" w:rsidRDefault="00E65B18" w:rsidP="006238F3">
      <w:pPr>
        <w:spacing w:line="480" w:lineRule="auto"/>
        <w:jc w:val="both"/>
        <w:rPr>
          <w:rFonts w:ascii="Arial" w:hAnsi="Arial" w:cs="Arial"/>
          <w:sz w:val="22"/>
          <w:szCs w:val="22"/>
        </w:rPr>
      </w:pPr>
    </w:p>
    <w:p w14:paraId="42F98CAA" w14:textId="77777777" w:rsidR="00DC3968" w:rsidRDefault="00DC3968" w:rsidP="00DC3968">
      <w:pPr>
        <w:spacing w:line="480" w:lineRule="auto"/>
        <w:ind w:firstLine="720"/>
        <w:jc w:val="both"/>
        <w:rPr>
          <w:rFonts w:ascii="Arial" w:hAnsi="Arial" w:cs="Arial"/>
          <w:b/>
          <w:bCs/>
          <w:sz w:val="22"/>
          <w:szCs w:val="22"/>
        </w:rPr>
      </w:pPr>
    </w:p>
    <w:p w14:paraId="22835594" w14:textId="70713B36" w:rsidR="00E65B18" w:rsidRPr="006238F3" w:rsidRDefault="00055A2E" w:rsidP="006238F3">
      <w:pPr>
        <w:spacing w:line="480" w:lineRule="auto"/>
        <w:ind w:firstLine="720"/>
        <w:jc w:val="both"/>
        <w:rPr>
          <w:rFonts w:ascii="Arial" w:hAnsi="Arial" w:cs="Arial"/>
          <w:b/>
          <w:bCs/>
          <w:sz w:val="22"/>
          <w:szCs w:val="22"/>
        </w:rPr>
      </w:pPr>
      <w:r w:rsidRPr="006238F3">
        <w:rPr>
          <w:rFonts w:ascii="Arial" w:hAnsi="Arial" w:cs="Arial"/>
          <w:b/>
          <w:bCs/>
          <w:sz w:val="22"/>
          <w:szCs w:val="22"/>
        </w:rPr>
        <w:lastRenderedPageBreak/>
        <w:t>Public housing</w:t>
      </w:r>
      <w:r w:rsidR="00DC3968">
        <w:rPr>
          <w:rFonts w:ascii="Arial" w:hAnsi="Arial" w:cs="Arial"/>
          <w:b/>
          <w:bCs/>
          <w:sz w:val="22"/>
          <w:szCs w:val="22"/>
        </w:rPr>
        <w:t xml:space="preserve"> policy</w:t>
      </w:r>
    </w:p>
    <w:p w14:paraId="2376E5AF" w14:textId="77777777" w:rsidR="00E65B18" w:rsidRPr="006238F3" w:rsidRDefault="00055A2E" w:rsidP="006238F3">
      <w:pPr>
        <w:spacing w:line="480" w:lineRule="auto"/>
        <w:jc w:val="both"/>
        <w:rPr>
          <w:rFonts w:ascii="Arial" w:hAnsi="Arial" w:cs="Arial"/>
          <w:sz w:val="22"/>
          <w:szCs w:val="22"/>
        </w:rPr>
      </w:pPr>
      <w:r w:rsidRPr="006238F3">
        <w:rPr>
          <w:rFonts w:ascii="Arial" w:hAnsi="Arial" w:cs="Arial"/>
          <w:sz w:val="22"/>
          <w:szCs w:val="22"/>
        </w:rPr>
        <w:t>According to Hoekstra (2003</w:t>
      </w:r>
      <w:r w:rsidR="00DE2C0F" w:rsidRPr="006238F3">
        <w:rPr>
          <w:rFonts w:ascii="Arial" w:hAnsi="Arial" w:cs="Arial"/>
          <w:sz w:val="22"/>
          <w:szCs w:val="22"/>
        </w:rPr>
        <w:t xml:space="preserve">: </w:t>
      </w:r>
      <w:r w:rsidRPr="006238F3">
        <w:rPr>
          <w:rFonts w:ascii="Arial" w:hAnsi="Arial" w:cs="Arial"/>
          <w:sz w:val="22"/>
          <w:szCs w:val="22"/>
        </w:rPr>
        <w:t xml:space="preserve">60), housing decommodification is defined as "the extent to which households can provide their housing, independent of the income they acquire on the labour market". There is a considerable dearth of comparable data that would have allowed us to distinguish different levels of housing decommodification statistically. Therefore, </w:t>
      </w:r>
      <w:r w:rsidR="00DE2C0F" w:rsidRPr="006238F3">
        <w:rPr>
          <w:rFonts w:ascii="Arial" w:hAnsi="Arial" w:cs="Arial"/>
          <w:sz w:val="22"/>
          <w:szCs w:val="22"/>
        </w:rPr>
        <w:t>we focus</w:t>
      </w:r>
      <w:r w:rsidRPr="006238F3">
        <w:rPr>
          <w:rFonts w:ascii="Arial" w:hAnsi="Arial" w:cs="Arial"/>
          <w:sz w:val="22"/>
          <w:szCs w:val="22"/>
        </w:rPr>
        <w:t>sed</w:t>
      </w:r>
      <w:r w:rsidR="00DE2C0F" w:rsidRPr="006238F3">
        <w:rPr>
          <w:rFonts w:ascii="Arial" w:hAnsi="Arial" w:cs="Arial"/>
          <w:sz w:val="22"/>
          <w:szCs w:val="22"/>
        </w:rPr>
        <w:t xml:space="preserve"> our analysis solely on the strength of </w:t>
      </w:r>
      <w:r w:rsidRPr="006238F3">
        <w:rPr>
          <w:rFonts w:ascii="Arial" w:hAnsi="Arial" w:cs="Arial"/>
          <w:caps/>
          <w:sz w:val="22"/>
          <w:szCs w:val="22"/>
        </w:rPr>
        <w:t>public rental housing</w:t>
      </w:r>
      <w:r w:rsidRPr="006238F3">
        <w:rPr>
          <w:rFonts w:ascii="Arial" w:hAnsi="Arial" w:cs="Arial"/>
          <w:sz w:val="22"/>
          <w:szCs w:val="22"/>
        </w:rPr>
        <w:t>.  The calibration</w:t>
      </w:r>
      <w:r w:rsidR="00DE2C0F" w:rsidRPr="006238F3">
        <w:rPr>
          <w:rFonts w:ascii="Arial" w:hAnsi="Arial" w:cs="Arial"/>
          <w:sz w:val="22"/>
          <w:szCs w:val="22"/>
        </w:rPr>
        <w:t xml:space="preserve"> of the </w:t>
      </w:r>
      <w:r w:rsidR="00DE2C0F" w:rsidRPr="006238F3">
        <w:rPr>
          <w:rFonts w:ascii="Arial" w:hAnsi="Arial" w:cs="Arial"/>
          <w:caps/>
          <w:sz w:val="22"/>
          <w:szCs w:val="22"/>
        </w:rPr>
        <w:t xml:space="preserve">public rental </w:t>
      </w:r>
      <w:r w:rsidRPr="006238F3">
        <w:rPr>
          <w:rFonts w:ascii="Arial" w:hAnsi="Arial" w:cs="Arial"/>
          <w:caps/>
          <w:sz w:val="22"/>
          <w:szCs w:val="22"/>
        </w:rPr>
        <w:t>housing</w:t>
      </w:r>
      <w:r w:rsidRPr="006238F3">
        <w:rPr>
          <w:rFonts w:ascii="Arial" w:hAnsi="Arial" w:cs="Arial"/>
          <w:sz w:val="22"/>
          <w:szCs w:val="22"/>
        </w:rPr>
        <w:t xml:space="preserve"> </w:t>
      </w:r>
      <w:r w:rsidR="00DE2C0F" w:rsidRPr="006238F3">
        <w:rPr>
          <w:rFonts w:ascii="Arial" w:hAnsi="Arial" w:cs="Arial"/>
          <w:sz w:val="22"/>
          <w:szCs w:val="22"/>
        </w:rPr>
        <w:t xml:space="preserve">set </w:t>
      </w:r>
      <w:r w:rsidRPr="006238F3">
        <w:rPr>
          <w:rFonts w:ascii="Arial" w:hAnsi="Arial" w:cs="Arial"/>
          <w:sz w:val="22"/>
          <w:szCs w:val="22"/>
        </w:rPr>
        <w:t xml:space="preserve">was entirely based on </w:t>
      </w:r>
      <w:r w:rsidR="00DE2C0F" w:rsidRPr="006238F3">
        <w:rPr>
          <w:rFonts w:ascii="Arial" w:hAnsi="Arial" w:cs="Arial"/>
          <w:sz w:val="22"/>
          <w:szCs w:val="22"/>
        </w:rPr>
        <w:t xml:space="preserve">qualitative </w:t>
      </w:r>
      <w:r w:rsidRPr="006238F3">
        <w:rPr>
          <w:rFonts w:ascii="Arial" w:hAnsi="Arial" w:cs="Arial"/>
          <w:sz w:val="22"/>
          <w:szCs w:val="22"/>
        </w:rPr>
        <w:t>case knowledg</w:t>
      </w:r>
      <w:r w:rsidR="00DE2C0F" w:rsidRPr="006238F3">
        <w:rPr>
          <w:rFonts w:ascii="Arial" w:hAnsi="Arial" w:cs="Arial"/>
          <w:sz w:val="22"/>
          <w:szCs w:val="22"/>
        </w:rPr>
        <w:t>e</w:t>
      </w:r>
      <w:r w:rsidRPr="006238F3">
        <w:rPr>
          <w:rFonts w:ascii="Arial" w:hAnsi="Arial" w:cs="Arial"/>
          <w:sz w:val="22"/>
          <w:szCs w:val="22"/>
        </w:rPr>
        <w:t xml:space="preserve">, </w:t>
      </w:r>
      <w:r w:rsidR="002544DE" w:rsidRPr="006238F3">
        <w:rPr>
          <w:rFonts w:ascii="Arial" w:hAnsi="Arial" w:cs="Arial"/>
          <w:sz w:val="22"/>
          <w:szCs w:val="22"/>
        </w:rPr>
        <w:t xml:space="preserve">and considered </w:t>
      </w:r>
      <w:r w:rsidR="002544DE" w:rsidRPr="006238F3">
        <w:rPr>
          <w:rFonts w:ascii="Arial" w:hAnsi="Arial" w:cs="Arial"/>
          <w:i/>
          <w:iCs/>
          <w:sz w:val="22"/>
          <w:szCs w:val="22"/>
        </w:rPr>
        <w:t>the extent to which the public rental housing sector was developed</w:t>
      </w:r>
      <w:r w:rsidR="002544DE" w:rsidRPr="006238F3">
        <w:rPr>
          <w:rFonts w:ascii="Arial" w:hAnsi="Arial" w:cs="Arial"/>
          <w:sz w:val="22"/>
          <w:szCs w:val="22"/>
        </w:rPr>
        <w:t xml:space="preserve"> in different East Asian in comparative perspective</w:t>
      </w:r>
      <w:r w:rsidRPr="006238F3">
        <w:rPr>
          <w:rFonts w:ascii="Arial" w:hAnsi="Arial" w:cs="Arial"/>
          <w:sz w:val="22"/>
          <w:szCs w:val="22"/>
        </w:rPr>
        <w:t xml:space="preserve">. </w:t>
      </w:r>
    </w:p>
    <w:p w14:paraId="23563907" w14:textId="77777777" w:rsidR="00E65B18" w:rsidRPr="006238F3" w:rsidRDefault="00E65B18" w:rsidP="006238F3">
      <w:pPr>
        <w:spacing w:line="480" w:lineRule="auto"/>
        <w:jc w:val="both"/>
        <w:rPr>
          <w:rFonts w:ascii="Arial" w:hAnsi="Arial" w:cs="Arial"/>
          <w:sz w:val="22"/>
          <w:szCs w:val="22"/>
        </w:rPr>
      </w:pPr>
    </w:p>
    <w:p w14:paraId="3DD67BD6" w14:textId="77777777" w:rsidR="00E65B18" w:rsidRPr="006238F3" w:rsidRDefault="00055A2E" w:rsidP="006238F3">
      <w:pPr>
        <w:spacing w:line="480" w:lineRule="auto"/>
        <w:ind w:firstLine="720"/>
        <w:jc w:val="both"/>
        <w:rPr>
          <w:rFonts w:ascii="Arial" w:hAnsi="Arial" w:cs="Arial"/>
          <w:b/>
          <w:bCs/>
          <w:sz w:val="22"/>
          <w:szCs w:val="22"/>
        </w:rPr>
      </w:pPr>
      <w:r w:rsidRPr="006238F3">
        <w:rPr>
          <w:rFonts w:ascii="Arial" w:hAnsi="Arial" w:cs="Arial"/>
          <w:b/>
          <w:bCs/>
          <w:sz w:val="22"/>
          <w:szCs w:val="22"/>
        </w:rPr>
        <w:t>Passive labour market policy</w:t>
      </w:r>
      <w:r w:rsidR="002544DE" w:rsidRPr="006238F3">
        <w:rPr>
          <w:rFonts w:ascii="Arial" w:hAnsi="Arial" w:cs="Arial"/>
          <w:b/>
          <w:bCs/>
          <w:sz w:val="22"/>
          <w:szCs w:val="22"/>
        </w:rPr>
        <w:t xml:space="preserve"> (LMP)</w:t>
      </w:r>
    </w:p>
    <w:p w14:paraId="3EE7B9F0" w14:textId="69515DCF" w:rsidR="00DC3968" w:rsidRPr="006238F3" w:rsidRDefault="00055A2E" w:rsidP="006238F3">
      <w:pPr>
        <w:spacing w:line="480" w:lineRule="auto"/>
        <w:jc w:val="both"/>
        <w:rPr>
          <w:rFonts w:ascii="Arial" w:hAnsi="Arial" w:cs="Arial"/>
          <w:b/>
          <w:bCs/>
          <w:sz w:val="22"/>
          <w:szCs w:val="22"/>
        </w:rPr>
      </w:pPr>
      <w:r w:rsidRPr="006238F3">
        <w:rPr>
          <w:rFonts w:ascii="Arial" w:hAnsi="Arial" w:cs="Arial"/>
          <w:sz w:val="22"/>
          <w:szCs w:val="22"/>
        </w:rPr>
        <w:t xml:space="preserve">Unemployment benefit as a crucial part of passive </w:t>
      </w:r>
      <w:r w:rsidR="002544DE" w:rsidRPr="006238F3">
        <w:rPr>
          <w:rFonts w:ascii="Arial" w:hAnsi="Arial" w:cs="Arial"/>
          <w:sz w:val="22"/>
          <w:szCs w:val="22"/>
        </w:rPr>
        <w:t>LMP</w:t>
      </w:r>
      <w:r w:rsidRPr="006238F3">
        <w:rPr>
          <w:rFonts w:ascii="Arial" w:hAnsi="Arial" w:cs="Arial"/>
          <w:sz w:val="22"/>
          <w:szCs w:val="22"/>
        </w:rPr>
        <w:t xml:space="preserve"> and protects individuals against the risk of job loss resulting in a period of job search. It plays an essential role in helping individuals to maintain their standard of living when formal employment is lost. Social rights in regards to the risk of unemployment has widely been used</w:t>
      </w:r>
      <w:r w:rsidR="00CB444C" w:rsidRPr="006238F3">
        <w:rPr>
          <w:rFonts w:ascii="Arial" w:hAnsi="Arial" w:cs="Arial"/>
          <w:sz w:val="22"/>
          <w:szCs w:val="22"/>
        </w:rPr>
        <w:t xml:space="preserve"> for the measurement of an individual's degree of decommodification in different societies (</w:t>
      </w:r>
      <w:r w:rsidRPr="006238F3">
        <w:rPr>
          <w:rFonts w:ascii="Arial" w:hAnsi="Arial" w:cs="Arial"/>
          <w:sz w:val="22"/>
          <w:szCs w:val="22"/>
        </w:rPr>
        <w:t>Esping-Andersen</w:t>
      </w:r>
      <w:r w:rsidR="00CB444C" w:rsidRPr="006238F3">
        <w:rPr>
          <w:rFonts w:ascii="Arial" w:hAnsi="Arial" w:cs="Arial"/>
          <w:sz w:val="22"/>
          <w:szCs w:val="22"/>
        </w:rPr>
        <w:t xml:space="preserve">, </w:t>
      </w:r>
      <w:r w:rsidR="002544DE" w:rsidRPr="006238F3">
        <w:rPr>
          <w:rFonts w:ascii="Arial" w:hAnsi="Arial" w:cs="Arial"/>
          <w:sz w:val="22"/>
          <w:szCs w:val="22"/>
        </w:rPr>
        <w:t>1990)</w:t>
      </w:r>
      <w:r w:rsidRPr="006238F3">
        <w:rPr>
          <w:rFonts w:ascii="Arial" w:hAnsi="Arial" w:cs="Arial"/>
          <w:sz w:val="22"/>
          <w:szCs w:val="22"/>
        </w:rPr>
        <w:t xml:space="preserve">. In this research, therefore, </w:t>
      </w:r>
      <w:r w:rsidR="00CB444C" w:rsidRPr="006238F3">
        <w:rPr>
          <w:rFonts w:ascii="Arial" w:hAnsi="Arial" w:cs="Arial"/>
          <w:sz w:val="22"/>
          <w:szCs w:val="22"/>
        </w:rPr>
        <w:t xml:space="preserve">the strength of passive LMP is measured as a combination of </w:t>
      </w:r>
      <w:r w:rsidRPr="006238F3">
        <w:rPr>
          <w:rFonts w:ascii="Arial" w:hAnsi="Arial" w:cs="Arial"/>
          <w:sz w:val="22"/>
          <w:szCs w:val="22"/>
        </w:rPr>
        <w:t>three</w:t>
      </w:r>
      <w:r w:rsidR="00CB444C" w:rsidRPr="006238F3">
        <w:rPr>
          <w:rFonts w:ascii="Arial" w:hAnsi="Arial" w:cs="Arial"/>
          <w:sz w:val="22"/>
          <w:szCs w:val="22"/>
        </w:rPr>
        <w:t xml:space="preserve"> fuzzy-sets:</w:t>
      </w:r>
      <w:r w:rsidRPr="006238F3">
        <w:rPr>
          <w:rFonts w:ascii="Arial" w:hAnsi="Arial" w:cs="Arial"/>
          <w:sz w:val="22"/>
          <w:szCs w:val="22"/>
        </w:rPr>
        <w:t xml:space="preserve"> we measured</w:t>
      </w:r>
      <w:r w:rsidR="00CB444C" w:rsidRPr="006238F3">
        <w:rPr>
          <w:rFonts w:ascii="Arial" w:hAnsi="Arial" w:cs="Arial"/>
          <w:i/>
          <w:iCs/>
          <w:caps/>
          <w:noProof w:val="0"/>
          <w:sz w:val="22"/>
          <w:szCs w:val="22"/>
        </w:rPr>
        <w:t xml:space="preserve"> GENEROSITY</w:t>
      </w:r>
      <w:r w:rsidR="00CB444C" w:rsidRPr="006238F3">
        <w:rPr>
          <w:rFonts w:ascii="Arial" w:hAnsi="Arial" w:cs="Arial"/>
          <w:i/>
          <w:noProof w:val="0"/>
          <w:sz w:val="22"/>
          <w:szCs w:val="22"/>
        </w:rPr>
        <w:t xml:space="preserve"> </w:t>
      </w:r>
      <w:r w:rsidR="00CB444C" w:rsidRPr="006238F3">
        <w:rPr>
          <w:rFonts w:ascii="Arial" w:hAnsi="Arial" w:cs="Arial"/>
          <w:noProof w:val="0"/>
          <w:sz w:val="22"/>
          <w:szCs w:val="22"/>
        </w:rPr>
        <w:t xml:space="preserve">by the average </w:t>
      </w:r>
      <w:r w:rsidR="00CB444C" w:rsidRPr="006238F3">
        <w:rPr>
          <w:rFonts w:ascii="Arial" w:hAnsi="Arial" w:cs="Arial"/>
          <w:i/>
          <w:iCs/>
          <w:noProof w:val="0"/>
          <w:sz w:val="22"/>
          <w:szCs w:val="22"/>
        </w:rPr>
        <w:t>net replacement rate</w:t>
      </w:r>
      <w:r w:rsidR="00CB444C" w:rsidRPr="006238F3">
        <w:rPr>
          <w:rFonts w:ascii="Arial" w:hAnsi="Arial" w:cs="Arial"/>
          <w:noProof w:val="0"/>
          <w:sz w:val="22"/>
          <w:szCs w:val="22"/>
        </w:rPr>
        <w:t xml:space="preserve"> (%) of unemployment benefits; </w:t>
      </w:r>
      <w:r w:rsidR="00CB444C" w:rsidRPr="006238F3">
        <w:rPr>
          <w:rFonts w:ascii="Arial" w:hAnsi="Arial" w:cs="Arial"/>
          <w:i/>
          <w:iCs/>
          <w:caps/>
          <w:noProof w:val="0"/>
          <w:sz w:val="22"/>
          <w:szCs w:val="22"/>
          <w:lang w:eastAsia="zh-CN"/>
        </w:rPr>
        <w:t>Coverage</w:t>
      </w:r>
      <w:r w:rsidR="00CB444C" w:rsidRPr="006238F3">
        <w:rPr>
          <w:rFonts w:ascii="Arial" w:hAnsi="Arial" w:cs="Arial"/>
          <w:i/>
          <w:noProof w:val="0"/>
          <w:sz w:val="22"/>
          <w:szCs w:val="22"/>
          <w:lang w:eastAsia="zh-CN"/>
        </w:rPr>
        <w:t xml:space="preserve"> </w:t>
      </w:r>
      <w:r w:rsidR="00CB444C" w:rsidRPr="006238F3">
        <w:rPr>
          <w:rFonts w:ascii="Arial" w:hAnsi="Arial" w:cs="Arial"/>
          <w:noProof w:val="0"/>
          <w:sz w:val="22"/>
          <w:szCs w:val="22"/>
          <w:lang w:eastAsia="zh-CN"/>
        </w:rPr>
        <w:t xml:space="preserve">by the </w:t>
      </w:r>
      <w:r w:rsidR="00CB444C" w:rsidRPr="006238F3">
        <w:rPr>
          <w:rFonts w:ascii="Arial" w:hAnsi="Arial" w:cs="Arial"/>
          <w:i/>
          <w:iCs/>
          <w:noProof w:val="0"/>
          <w:sz w:val="22"/>
          <w:szCs w:val="22"/>
          <w:lang w:eastAsia="zh-CN"/>
        </w:rPr>
        <w:t xml:space="preserve">percentage of unemployed (%) that receive unemployment </w:t>
      </w:r>
      <w:r w:rsidR="00CB444C" w:rsidRPr="006238F3">
        <w:rPr>
          <w:rFonts w:ascii="Arial" w:hAnsi="Arial" w:cs="Arial"/>
          <w:i/>
          <w:iCs/>
          <w:noProof w:val="0"/>
          <w:sz w:val="22"/>
          <w:szCs w:val="22"/>
          <w:lang w:eastAsia="zh-CN"/>
        </w:rPr>
        <w:lastRenderedPageBreak/>
        <w:t>benefits</w:t>
      </w:r>
      <w:r w:rsidR="00CB444C" w:rsidRPr="006238F3">
        <w:rPr>
          <w:rFonts w:ascii="Arial" w:hAnsi="Arial" w:cs="Arial"/>
          <w:noProof w:val="0"/>
          <w:sz w:val="22"/>
          <w:szCs w:val="22"/>
          <w:lang w:eastAsia="zh-CN"/>
        </w:rPr>
        <w:t xml:space="preserve">; and </w:t>
      </w:r>
      <w:r w:rsidR="00CB444C" w:rsidRPr="006238F3">
        <w:rPr>
          <w:rFonts w:ascii="Arial" w:hAnsi="Arial" w:cs="Arial"/>
          <w:i/>
          <w:iCs/>
          <w:caps/>
          <w:noProof w:val="0"/>
          <w:sz w:val="22"/>
          <w:szCs w:val="22"/>
        </w:rPr>
        <w:t>Duration</w:t>
      </w:r>
      <w:r w:rsidR="00CB444C" w:rsidRPr="006238F3">
        <w:rPr>
          <w:rFonts w:ascii="Arial" w:hAnsi="Arial" w:cs="Arial"/>
          <w:noProof w:val="0"/>
          <w:sz w:val="22"/>
          <w:szCs w:val="22"/>
        </w:rPr>
        <w:t xml:space="preserve"> by the </w:t>
      </w:r>
      <w:r w:rsidR="00CB444C" w:rsidRPr="006238F3">
        <w:rPr>
          <w:rFonts w:ascii="Arial" w:hAnsi="Arial" w:cs="Arial"/>
          <w:i/>
          <w:iCs/>
          <w:noProof w:val="0"/>
          <w:sz w:val="22"/>
          <w:szCs w:val="22"/>
        </w:rPr>
        <w:t>total number of weeks</w:t>
      </w:r>
      <w:r w:rsidR="00CB444C" w:rsidRPr="006238F3">
        <w:rPr>
          <w:rFonts w:ascii="Arial" w:hAnsi="Arial" w:cs="Arial"/>
          <w:noProof w:val="0"/>
          <w:sz w:val="22"/>
          <w:szCs w:val="22"/>
        </w:rPr>
        <w:t xml:space="preserve"> that the unemployment benefit is paid</w:t>
      </w:r>
      <w:r w:rsidRPr="006238F3">
        <w:rPr>
          <w:rFonts w:ascii="Arial" w:hAnsi="Arial" w:cs="Arial"/>
          <w:sz w:val="22"/>
          <w:szCs w:val="22"/>
        </w:rPr>
        <w:t>.</w:t>
      </w:r>
      <w:r w:rsidR="007B2888" w:rsidRPr="006238F3">
        <w:rPr>
          <w:rFonts w:ascii="Arial" w:hAnsi="Arial" w:cs="Arial"/>
          <w:sz w:val="22"/>
          <w:szCs w:val="22"/>
        </w:rPr>
        <w:t xml:space="preserve"> </w:t>
      </w:r>
    </w:p>
    <w:p w14:paraId="3029AE96" w14:textId="77777777" w:rsidR="008D6793" w:rsidRDefault="008D6793" w:rsidP="00DC3968">
      <w:pPr>
        <w:pStyle w:val="ListParagraph"/>
        <w:snapToGrid w:val="0"/>
        <w:spacing w:line="480" w:lineRule="auto"/>
        <w:ind w:left="360" w:firstLine="360"/>
        <w:contextualSpacing w:val="0"/>
        <w:jc w:val="both"/>
        <w:rPr>
          <w:rFonts w:ascii="Arial" w:hAnsi="Arial" w:cs="Arial"/>
          <w:b/>
          <w:bCs/>
          <w:sz w:val="22"/>
          <w:szCs w:val="22"/>
        </w:rPr>
      </w:pPr>
    </w:p>
    <w:p w14:paraId="7208EF26" w14:textId="4379BBE2" w:rsidR="00596120" w:rsidRPr="006238F3" w:rsidRDefault="00055A2E" w:rsidP="006238F3">
      <w:pPr>
        <w:pStyle w:val="ListParagraph"/>
        <w:snapToGrid w:val="0"/>
        <w:spacing w:line="480" w:lineRule="auto"/>
        <w:ind w:left="360" w:firstLine="360"/>
        <w:contextualSpacing w:val="0"/>
        <w:jc w:val="both"/>
        <w:rPr>
          <w:rFonts w:ascii="Arial" w:hAnsi="Arial" w:cs="Arial"/>
          <w:b/>
          <w:bCs/>
          <w:sz w:val="22"/>
          <w:szCs w:val="22"/>
        </w:rPr>
      </w:pPr>
      <w:r w:rsidRPr="006238F3">
        <w:rPr>
          <w:rFonts w:ascii="Arial" w:hAnsi="Arial" w:cs="Arial"/>
          <w:b/>
          <w:bCs/>
          <w:sz w:val="22"/>
          <w:szCs w:val="22"/>
        </w:rPr>
        <w:t>The reasoning behind the breakpoints for the sets</w:t>
      </w:r>
    </w:p>
    <w:p w14:paraId="5BCB695B" w14:textId="25A89685" w:rsidR="00000000" w:rsidRPr="006238F3" w:rsidRDefault="00055A2E" w:rsidP="006238F3">
      <w:pPr>
        <w:spacing w:line="480" w:lineRule="auto"/>
        <w:jc w:val="both"/>
        <w:rPr>
          <w:rFonts w:ascii="Arial" w:hAnsi="Arial" w:cs="Arial"/>
          <w:sz w:val="22"/>
          <w:szCs w:val="22"/>
        </w:rPr>
        <w:sectPr w:rsidR="00000000" w:rsidRPr="006238F3">
          <w:pgSz w:w="11906" w:h="16838"/>
          <w:pgMar w:top="1440" w:right="1800" w:bottom="1440" w:left="1800" w:header="851" w:footer="992" w:gutter="0"/>
          <w:cols w:space="425"/>
          <w:docGrid w:type="lines" w:linePitch="312"/>
        </w:sectPr>
      </w:pPr>
      <w:r w:rsidRPr="006238F3">
        <w:rPr>
          <w:rFonts w:ascii="Arial" w:hAnsi="Arial" w:cs="Arial"/>
          <w:sz w:val="22"/>
          <w:szCs w:val="22"/>
        </w:rPr>
        <w:t xml:space="preserve">The process of calibration is perhaps the most </w:t>
      </w:r>
      <w:r w:rsidR="00CB444C" w:rsidRPr="006238F3">
        <w:rPr>
          <w:rFonts w:ascii="Arial" w:hAnsi="Arial" w:cs="Arial"/>
          <w:sz w:val="22"/>
          <w:szCs w:val="22"/>
        </w:rPr>
        <w:t>important</w:t>
      </w:r>
      <w:r w:rsidRPr="006238F3">
        <w:rPr>
          <w:rFonts w:ascii="Arial" w:hAnsi="Arial" w:cs="Arial"/>
          <w:sz w:val="22"/>
          <w:szCs w:val="22"/>
        </w:rPr>
        <w:t xml:space="preserve"> part of </w:t>
      </w:r>
      <w:r w:rsidR="00CB444C" w:rsidRPr="006238F3">
        <w:rPr>
          <w:rFonts w:ascii="Arial" w:hAnsi="Arial" w:cs="Arial"/>
          <w:sz w:val="22"/>
          <w:szCs w:val="22"/>
        </w:rPr>
        <w:t>any FS</w:t>
      </w:r>
      <w:r w:rsidRPr="006238F3">
        <w:rPr>
          <w:rFonts w:ascii="Arial" w:hAnsi="Arial" w:cs="Arial"/>
          <w:sz w:val="22"/>
          <w:szCs w:val="22"/>
        </w:rPr>
        <w:t xml:space="preserve">ITA. The most significant issue is which criteria are used to determine </w:t>
      </w:r>
      <w:r w:rsidR="00CB444C" w:rsidRPr="006238F3">
        <w:rPr>
          <w:rFonts w:ascii="Arial" w:hAnsi="Arial" w:cs="Arial"/>
          <w:sz w:val="22"/>
          <w:szCs w:val="22"/>
        </w:rPr>
        <w:t>fuzzy-set</w:t>
      </w:r>
      <w:r w:rsidRPr="006238F3">
        <w:rPr>
          <w:rFonts w:ascii="Arial" w:hAnsi="Arial" w:cs="Arial"/>
          <w:sz w:val="22"/>
          <w:szCs w:val="22"/>
        </w:rPr>
        <w:t xml:space="preserve"> membership scores</w:t>
      </w:r>
      <w:r w:rsidR="00CB444C" w:rsidRPr="006238F3">
        <w:rPr>
          <w:rFonts w:ascii="Arial" w:hAnsi="Arial" w:cs="Arial"/>
          <w:sz w:val="22"/>
          <w:szCs w:val="22"/>
        </w:rPr>
        <w:t xml:space="preserve"> for each </w:t>
      </w:r>
      <w:r w:rsidR="00264C40" w:rsidRPr="006238F3">
        <w:rPr>
          <w:rFonts w:ascii="Arial" w:hAnsi="Arial" w:cs="Arial"/>
          <w:sz w:val="22"/>
          <w:szCs w:val="22"/>
        </w:rPr>
        <w:t>indicator within each domain</w:t>
      </w:r>
      <w:r w:rsidRPr="006238F3">
        <w:rPr>
          <w:rFonts w:ascii="Arial" w:hAnsi="Arial" w:cs="Arial"/>
          <w:sz w:val="22"/>
          <w:szCs w:val="22"/>
        </w:rPr>
        <w:t xml:space="preserve">. In other words, it is crucial to decide where the qualitative anchors </w:t>
      </w:r>
      <w:r w:rsidR="00264C40" w:rsidRPr="006238F3">
        <w:rPr>
          <w:rFonts w:ascii="Arial" w:hAnsi="Arial" w:cs="Arial"/>
          <w:sz w:val="22"/>
          <w:szCs w:val="22"/>
        </w:rPr>
        <w:t>‘.0</w:t>
      </w:r>
      <w:r w:rsidRPr="006238F3">
        <w:rPr>
          <w:rFonts w:ascii="Arial" w:hAnsi="Arial" w:cs="Arial"/>
          <w:sz w:val="22"/>
          <w:szCs w:val="22"/>
        </w:rPr>
        <w:t>0</w:t>
      </w:r>
      <w:r w:rsidR="00264C40" w:rsidRPr="006238F3">
        <w:rPr>
          <w:rFonts w:ascii="Arial" w:hAnsi="Arial" w:cs="Arial"/>
          <w:sz w:val="22"/>
          <w:szCs w:val="22"/>
        </w:rPr>
        <w:t>’</w:t>
      </w:r>
      <w:r w:rsidRPr="006238F3">
        <w:rPr>
          <w:rFonts w:ascii="Arial" w:hAnsi="Arial" w:cs="Arial"/>
          <w:sz w:val="22"/>
          <w:szCs w:val="22"/>
        </w:rPr>
        <w:t xml:space="preserve">, </w:t>
      </w:r>
      <w:r w:rsidR="00264C40" w:rsidRPr="006238F3">
        <w:rPr>
          <w:rFonts w:ascii="Arial" w:hAnsi="Arial" w:cs="Arial"/>
          <w:sz w:val="22"/>
          <w:szCs w:val="22"/>
        </w:rPr>
        <w:t>‘</w:t>
      </w:r>
      <w:r w:rsidRPr="006238F3">
        <w:rPr>
          <w:rFonts w:ascii="Arial" w:hAnsi="Arial" w:cs="Arial"/>
          <w:sz w:val="22"/>
          <w:szCs w:val="22"/>
        </w:rPr>
        <w:t>.5</w:t>
      </w:r>
      <w:r w:rsidR="00264C40" w:rsidRPr="006238F3">
        <w:rPr>
          <w:rFonts w:ascii="Arial" w:hAnsi="Arial" w:cs="Arial"/>
          <w:sz w:val="22"/>
          <w:szCs w:val="22"/>
        </w:rPr>
        <w:t>0’</w:t>
      </w:r>
      <w:r w:rsidRPr="006238F3">
        <w:rPr>
          <w:rFonts w:ascii="Arial" w:hAnsi="Arial" w:cs="Arial"/>
          <w:sz w:val="22"/>
          <w:szCs w:val="22"/>
        </w:rPr>
        <w:t xml:space="preserve">, and </w:t>
      </w:r>
      <w:r w:rsidR="00264C40" w:rsidRPr="006238F3">
        <w:rPr>
          <w:rFonts w:ascii="Arial" w:hAnsi="Arial" w:cs="Arial"/>
          <w:sz w:val="22"/>
          <w:szCs w:val="22"/>
        </w:rPr>
        <w:t>‘</w:t>
      </w:r>
      <w:r w:rsidRPr="006238F3">
        <w:rPr>
          <w:rFonts w:ascii="Arial" w:hAnsi="Arial" w:cs="Arial"/>
          <w:sz w:val="22"/>
          <w:szCs w:val="22"/>
        </w:rPr>
        <w:t>1</w:t>
      </w:r>
      <w:r w:rsidR="00264C40" w:rsidRPr="006238F3">
        <w:rPr>
          <w:rFonts w:ascii="Arial" w:hAnsi="Arial" w:cs="Arial"/>
          <w:sz w:val="22"/>
          <w:szCs w:val="22"/>
        </w:rPr>
        <w:t>.00’</w:t>
      </w:r>
      <w:r w:rsidRPr="006238F3">
        <w:rPr>
          <w:rFonts w:ascii="Arial" w:hAnsi="Arial" w:cs="Arial"/>
          <w:sz w:val="22"/>
          <w:szCs w:val="22"/>
        </w:rPr>
        <w:t xml:space="preserve"> are located. In this research, sixteen criteria were used to measure the six policy fields. Moreover, 46 cut-off points were determined. </w:t>
      </w:r>
      <w:r w:rsidRPr="006238F3">
        <w:rPr>
          <w:rFonts w:ascii="Arial" w:hAnsi="Arial" w:cs="Arial"/>
          <w:b/>
          <w:bCs/>
          <w:sz w:val="22"/>
          <w:szCs w:val="22"/>
        </w:rPr>
        <w:t xml:space="preserve">Table </w:t>
      </w:r>
      <w:r w:rsidR="007B2888" w:rsidRPr="006238F3">
        <w:rPr>
          <w:rFonts w:ascii="Arial" w:hAnsi="Arial" w:cs="Arial"/>
          <w:b/>
          <w:bCs/>
          <w:sz w:val="22"/>
          <w:szCs w:val="22"/>
        </w:rPr>
        <w:t>2</w:t>
      </w:r>
      <w:r w:rsidRPr="006238F3">
        <w:rPr>
          <w:rFonts w:ascii="Arial" w:hAnsi="Arial" w:cs="Arial"/>
          <w:sz w:val="22"/>
          <w:szCs w:val="22"/>
        </w:rPr>
        <w:t xml:space="preserve"> summarises the rational</w:t>
      </w:r>
      <w:r w:rsidR="00264C40" w:rsidRPr="006238F3">
        <w:rPr>
          <w:rFonts w:ascii="Arial" w:hAnsi="Arial" w:cs="Arial"/>
          <w:sz w:val="22"/>
          <w:szCs w:val="22"/>
        </w:rPr>
        <w:t>e behind the</w:t>
      </w:r>
      <w:r w:rsidRPr="006238F3">
        <w:rPr>
          <w:rFonts w:ascii="Arial" w:hAnsi="Arial" w:cs="Arial"/>
          <w:sz w:val="22"/>
          <w:szCs w:val="22"/>
        </w:rPr>
        <w:t xml:space="preserve"> choices of these qualitative anchors. </w:t>
      </w:r>
      <w:r w:rsidR="00264C40" w:rsidRPr="006238F3">
        <w:rPr>
          <w:rFonts w:ascii="Arial" w:hAnsi="Arial" w:cs="Arial"/>
          <w:sz w:val="22"/>
          <w:szCs w:val="22"/>
        </w:rPr>
        <w:t>M</w:t>
      </w:r>
      <w:r w:rsidRPr="006238F3">
        <w:rPr>
          <w:rFonts w:ascii="Arial" w:hAnsi="Arial" w:cs="Arial"/>
          <w:sz w:val="22"/>
          <w:szCs w:val="22"/>
        </w:rPr>
        <w:t xml:space="preserve">ost of the anchors are selected based on either solid theoretical arguments or international conventions. In some cases, the average level of OECD or the EU countries was </w:t>
      </w:r>
      <w:r w:rsidR="007B2888" w:rsidRPr="006238F3">
        <w:rPr>
          <w:rFonts w:ascii="Arial" w:hAnsi="Arial" w:cs="Arial"/>
          <w:sz w:val="22"/>
          <w:szCs w:val="22"/>
        </w:rPr>
        <w:t>combined with case knowledge or solid theoretical arguments</w:t>
      </w:r>
      <w:r w:rsidRPr="006238F3">
        <w:rPr>
          <w:rFonts w:ascii="Arial" w:hAnsi="Arial" w:cs="Arial"/>
          <w:sz w:val="22"/>
          <w:szCs w:val="22"/>
        </w:rPr>
        <w:t>. Only three indicators are calibrated fully based on case knowledge</w:t>
      </w:r>
      <w:r w:rsidR="00264C40" w:rsidRPr="006238F3">
        <w:rPr>
          <w:rFonts w:ascii="Arial" w:hAnsi="Arial" w:cs="Arial"/>
          <w:sz w:val="22"/>
          <w:szCs w:val="22"/>
        </w:rPr>
        <w:t>.</w:t>
      </w:r>
    </w:p>
    <w:p w14:paraId="2595BF45" w14:textId="40917A36" w:rsidR="007B2888" w:rsidRPr="006238F3" w:rsidRDefault="007B2888" w:rsidP="007B2888">
      <w:pPr>
        <w:pStyle w:val="Caption"/>
        <w:keepNext/>
        <w:spacing w:after="120"/>
        <w:rPr>
          <w:rFonts w:ascii="Arial" w:hAnsi="Arial" w:cs="Arial"/>
          <w:noProof w:val="0"/>
          <w:color w:val="auto"/>
          <w:sz w:val="22"/>
          <w:szCs w:val="22"/>
        </w:rPr>
      </w:pPr>
      <w:r w:rsidRPr="006238F3">
        <w:rPr>
          <w:rFonts w:ascii="Arial" w:hAnsi="Arial" w:cs="Arial"/>
          <w:noProof w:val="0"/>
          <w:color w:val="auto"/>
          <w:sz w:val="22"/>
          <w:szCs w:val="22"/>
        </w:rPr>
        <w:lastRenderedPageBreak/>
        <w:t>Table 1 Empirical indicators and fuzzy set interval scores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1197"/>
        <w:gridCol w:w="1197"/>
        <w:gridCol w:w="1197"/>
        <w:gridCol w:w="1197"/>
        <w:gridCol w:w="1197"/>
        <w:gridCol w:w="1197"/>
        <w:gridCol w:w="1197"/>
        <w:gridCol w:w="1197"/>
        <w:gridCol w:w="1197"/>
      </w:tblGrid>
      <w:tr w:rsidR="007B2888" w:rsidRPr="00FC2ED7" w14:paraId="26AB4134" w14:textId="77777777" w:rsidTr="007B2888">
        <w:tc>
          <w:tcPr>
            <w:tcW w:w="1526" w:type="dxa"/>
            <w:shd w:val="clear" w:color="auto" w:fill="D9D9D9" w:themeFill="background1" w:themeFillShade="D9"/>
          </w:tcPr>
          <w:p w14:paraId="7CD79387" w14:textId="6B545223" w:rsidR="007B2888" w:rsidRPr="006238F3" w:rsidRDefault="009948CE" w:rsidP="007B2888">
            <w:pPr>
              <w:rPr>
                <w:rFonts w:ascii="Arial" w:hAnsi="Arial" w:cs="Arial"/>
                <w:b/>
                <w:i/>
                <w:noProof w:val="0"/>
                <w:sz w:val="22"/>
                <w:szCs w:val="22"/>
              </w:rPr>
            </w:pPr>
            <w:r>
              <w:rPr>
                <w:rFonts w:ascii="Arial" w:hAnsi="Arial" w:cs="Arial"/>
                <w:b/>
                <w:i/>
                <w:noProof w:val="0"/>
                <w:sz w:val="22"/>
                <w:szCs w:val="22"/>
              </w:rPr>
              <w:t>Domain</w:t>
            </w:r>
          </w:p>
        </w:tc>
        <w:tc>
          <w:tcPr>
            <w:tcW w:w="2551" w:type="dxa"/>
            <w:shd w:val="clear" w:color="auto" w:fill="D9D9D9" w:themeFill="background1" w:themeFillShade="D9"/>
          </w:tcPr>
          <w:p w14:paraId="75439D99" w14:textId="77777777" w:rsidR="007B2888" w:rsidRPr="006238F3" w:rsidRDefault="007B2888" w:rsidP="007B2888">
            <w:pPr>
              <w:rPr>
                <w:rFonts w:ascii="Arial" w:hAnsi="Arial" w:cs="Arial"/>
                <w:b/>
                <w:i/>
                <w:noProof w:val="0"/>
                <w:sz w:val="22"/>
                <w:szCs w:val="22"/>
              </w:rPr>
            </w:pPr>
            <w:r w:rsidRPr="006238F3">
              <w:rPr>
                <w:rFonts w:ascii="Arial" w:hAnsi="Arial" w:cs="Arial"/>
                <w:b/>
                <w:i/>
                <w:noProof w:val="0"/>
                <w:sz w:val="22"/>
                <w:szCs w:val="22"/>
              </w:rPr>
              <w:t>Indicator</w:t>
            </w:r>
          </w:p>
        </w:tc>
        <w:tc>
          <w:tcPr>
            <w:tcW w:w="1197" w:type="dxa"/>
            <w:shd w:val="clear" w:color="auto" w:fill="D9D9D9" w:themeFill="background1" w:themeFillShade="D9"/>
          </w:tcPr>
          <w:p w14:paraId="3E01E4A7"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Fully in the set</w:t>
            </w:r>
          </w:p>
          <w:p w14:paraId="69ADAE10" w14:textId="77777777" w:rsidR="007B2888" w:rsidRPr="006238F3" w:rsidRDefault="007B2888" w:rsidP="007B2888">
            <w:pPr>
              <w:jc w:val="center"/>
              <w:rPr>
                <w:rFonts w:ascii="Arial" w:hAnsi="Arial" w:cs="Arial"/>
                <w:b/>
                <w:i/>
                <w:noProof w:val="0"/>
                <w:sz w:val="22"/>
                <w:szCs w:val="22"/>
              </w:rPr>
            </w:pPr>
          </w:p>
          <w:p w14:paraId="46FB7C05"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1.00</w:t>
            </w:r>
          </w:p>
        </w:tc>
        <w:tc>
          <w:tcPr>
            <w:tcW w:w="1197" w:type="dxa"/>
            <w:shd w:val="clear" w:color="auto" w:fill="D9D9D9" w:themeFill="background1" w:themeFillShade="D9"/>
          </w:tcPr>
          <w:p w14:paraId="38D1AE59"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Almost fully in the set</w:t>
            </w:r>
          </w:p>
          <w:p w14:paraId="5F1A60B3"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0.83-0.99</w:t>
            </w:r>
          </w:p>
        </w:tc>
        <w:tc>
          <w:tcPr>
            <w:tcW w:w="1197" w:type="dxa"/>
            <w:shd w:val="clear" w:color="auto" w:fill="D9D9D9" w:themeFill="background1" w:themeFillShade="D9"/>
          </w:tcPr>
          <w:p w14:paraId="11FCA11A"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Fairly in the set</w:t>
            </w:r>
          </w:p>
          <w:p w14:paraId="23BD0F68"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0.67-0.82</w:t>
            </w:r>
          </w:p>
        </w:tc>
        <w:tc>
          <w:tcPr>
            <w:tcW w:w="1197" w:type="dxa"/>
            <w:shd w:val="clear" w:color="auto" w:fill="D9D9D9" w:themeFill="background1" w:themeFillShade="D9"/>
          </w:tcPr>
          <w:p w14:paraId="2704BBA9"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More or less in the set</w:t>
            </w:r>
          </w:p>
          <w:p w14:paraId="7BA002AE"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0.51-0.66</w:t>
            </w:r>
          </w:p>
        </w:tc>
        <w:tc>
          <w:tcPr>
            <w:tcW w:w="1197" w:type="dxa"/>
            <w:shd w:val="clear" w:color="auto" w:fill="D9D9D9" w:themeFill="background1" w:themeFillShade="D9"/>
          </w:tcPr>
          <w:p w14:paraId="4493C792"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Neither in nor out of the set</w:t>
            </w:r>
          </w:p>
          <w:p w14:paraId="745BF757"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0.5</w:t>
            </w:r>
          </w:p>
        </w:tc>
        <w:tc>
          <w:tcPr>
            <w:tcW w:w="1197" w:type="dxa"/>
            <w:shd w:val="clear" w:color="auto" w:fill="D9D9D9" w:themeFill="background1" w:themeFillShade="D9"/>
          </w:tcPr>
          <w:p w14:paraId="072CB381"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Fairly out of the set</w:t>
            </w:r>
          </w:p>
          <w:p w14:paraId="58EF08BE"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0.33-0.49</w:t>
            </w:r>
          </w:p>
        </w:tc>
        <w:tc>
          <w:tcPr>
            <w:tcW w:w="1197" w:type="dxa"/>
            <w:shd w:val="clear" w:color="auto" w:fill="D9D9D9" w:themeFill="background1" w:themeFillShade="D9"/>
          </w:tcPr>
          <w:p w14:paraId="652F59A8"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Mostly out of the set</w:t>
            </w:r>
          </w:p>
          <w:p w14:paraId="648F6CCD"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0.17-0.32</w:t>
            </w:r>
          </w:p>
        </w:tc>
        <w:tc>
          <w:tcPr>
            <w:tcW w:w="1197" w:type="dxa"/>
            <w:shd w:val="clear" w:color="auto" w:fill="D9D9D9" w:themeFill="background1" w:themeFillShade="D9"/>
          </w:tcPr>
          <w:p w14:paraId="6D4DEE74"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Almost fully out of the set</w:t>
            </w:r>
          </w:p>
          <w:p w14:paraId="61C1CD40"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0.01-0.16</w:t>
            </w:r>
          </w:p>
        </w:tc>
        <w:tc>
          <w:tcPr>
            <w:tcW w:w="1197" w:type="dxa"/>
            <w:shd w:val="clear" w:color="auto" w:fill="D9D9D9" w:themeFill="background1" w:themeFillShade="D9"/>
          </w:tcPr>
          <w:p w14:paraId="62EC0CDB"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Fully out of the set</w:t>
            </w:r>
          </w:p>
          <w:p w14:paraId="14B60A06"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0.00</w:t>
            </w:r>
          </w:p>
        </w:tc>
      </w:tr>
      <w:tr w:rsidR="007B2888" w:rsidRPr="00FC2ED7" w14:paraId="5D0908E1" w14:textId="77777777" w:rsidTr="007B2888">
        <w:trPr>
          <w:trHeight w:val="684"/>
        </w:trPr>
        <w:tc>
          <w:tcPr>
            <w:tcW w:w="1526" w:type="dxa"/>
            <w:vMerge w:val="restart"/>
            <w:shd w:val="clear" w:color="auto" w:fill="auto"/>
          </w:tcPr>
          <w:p w14:paraId="12F12423" w14:textId="77777777" w:rsidR="007B2888" w:rsidRPr="006238F3" w:rsidRDefault="007B2888" w:rsidP="007B2888">
            <w:pPr>
              <w:rPr>
                <w:rFonts w:ascii="Arial" w:hAnsi="Arial" w:cs="Arial"/>
                <w:noProof w:val="0"/>
                <w:sz w:val="22"/>
                <w:szCs w:val="22"/>
              </w:rPr>
            </w:pPr>
            <w:r w:rsidRPr="006238F3">
              <w:rPr>
                <w:rFonts w:ascii="Arial" w:hAnsi="Arial" w:cs="Arial"/>
                <w:noProof w:val="0"/>
                <w:sz w:val="22"/>
                <w:szCs w:val="22"/>
              </w:rPr>
              <w:t>Education (E)</w:t>
            </w:r>
          </w:p>
        </w:tc>
        <w:tc>
          <w:tcPr>
            <w:tcW w:w="2551" w:type="dxa"/>
            <w:shd w:val="clear" w:color="auto" w:fill="auto"/>
          </w:tcPr>
          <w:p w14:paraId="480407B0"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Spending</w:t>
            </w:r>
            <w:r w:rsidRPr="006238F3">
              <w:rPr>
                <w:rFonts w:ascii="Arial" w:hAnsi="Arial" w:cs="Arial"/>
                <w:i/>
                <w:noProof w:val="0"/>
                <w:sz w:val="22"/>
                <w:szCs w:val="22"/>
              </w:rPr>
              <w:t xml:space="preserve"> </w:t>
            </w:r>
            <w:r w:rsidRPr="006238F3">
              <w:rPr>
                <w:rFonts w:ascii="Arial" w:hAnsi="Arial" w:cs="Arial"/>
                <w:noProof w:val="0"/>
                <w:sz w:val="22"/>
                <w:szCs w:val="22"/>
              </w:rPr>
              <w:t>measured by the ratio of public education expenditure in total public expenditure (%)</w:t>
            </w:r>
          </w:p>
        </w:tc>
        <w:tc>
          <w:tcPr>
            <w:tcW w:w="1197" w:type="dxa"/>
            <w:shd w:val="clear" w:color="auto" w:fill="auto"/>
          </w:tcPr>
          <w:p w14:paraId="5DA7D4E2" w14:textId="77777777" w:rsidR="007B2888" w:rsidRPr="006238F3" w:rsidRDefault="007B2888" w:rsidP="007B2888">
            <w:pPr>
              <w:jc w:val="center"/>
              <w:rPr>
                <w:rFonts w:ascii="Arial" w:hAnsi="Arial" w:cs="Arial"/>
                <w:noProof w:val="0"/>
                <w:sz w:val="22"/>
                <w:szCs w:val="22"/>
              </w:rPr>
            </w:pPr>
          </w:p>
          <w:p w14:paraId="0A9EDC2A" w14:textId="77777777" w:rsidR="007B2888" w:rsidRPr="006238F3" w:rsidRDefault="007B2888" w:rsidP="007B2888">
            <w:pPr>
              <w:jc w:val="center"/>
              <w:rPr>
                <w:rFonts w:ascii="Arial" w:hAnsi="Arial" w:cs="Arial"/>
                <w:noProof w:val="0"/>
                <w:sz w:val="22"/>
                <w:szCs w:val="22"/>
                <w:lang w:eastAsia="zh-CN"/>
              </w:rPr>
            </w:pPr>
            <w:r w:rsidRPr="006238F3">
              <w:rPr>
                <w:rFonts w:ascii="Arial" w:hAnsi="Arial" w:cs="Arial"/>
                <w:noProof w:val="0"/>
                <w:sz w:val="22"/>
                <w:szCs w:val="22"/>
                <w:lang w:eastAsia="zh-CN"/>
              </w:rPr>
              <w:t>&gt;20</w:t>
            </w:r>
          </w:p>
        </w:tc>
        <w:tc>
          <w:tcPr>
            <w:tcW w:w="1197" w:type="dxa"/>
            <w:shd w:val="clear" w:color="auto" w:fill="auto"/>
          </w:tcPr>
          <w:p w14:paraId="0B70E69E"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54BE716"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4BECE67F" w14:textId="77777777" w:rsidR="007B2888" w:rsidRPr="006238F3" w:rsidRDefault="007B2888" w:rsidP="007B2888">
            <w:pPr>
              <w:jc w:val="center"/>
              <w:rPr>
                <w:rFonts w:ascii="Arial" w:hAnsi="Arial" w:cs="Arial"/>
                <w:noProof w:val="0"/>
                <w:sz w:val="22"/>
                <w:szCs w:val="22"/>
              </w:rPr>
            </w:pPr>
          </w:p>
          <w:p w14:paraId="5A53761E"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4EE750E3" w14:textId="77777777" w:rsidR="007B2888" w:rsidRPr="006238F3" w:rsidRDefault="007B2888" w:rsidP="007B2888">
            <w:pPr>
              <w:jc w:val="center"/>
              <w:rPr>
                <w:rFonts w:ascii="Arial" w:hAnsi="Arial" w:cs="Arial"/>
                <w:noProof w:val="0"/>
                <w:sz w:val="22"/>
                <w:szCs w:val="22"/>
              </w:rPr>
            </w:pPr>
          </w:p>
          <w:p w14:paraId="1B16F533" w14:textId="77777777" w:rsidR="007B2888" w:rsidRPr="006238F3" w:rsidRDefault="007B2888" w:rsidP="007B2888">
            <w:pPr>
              <w:jc w:val="center"/>
              <w:rPr>
                <w:rFonts w:ascii="Arial" w:hAnsi="Arial" w:cs="Arial"/>
                <w:noProof w:val="0"/>
                <w:sz w:val="22"/>
                <w:szCs w:val="22"/>
                <w:lang w:eastAsia="zh-CN"/>
              </w:rPr>
            </w:pPr>
            <w:r w:rsidRPr="006238F3">
              <w:rPr>
                <w:rFonts w:ascii="Arial" w:hAnsi="Arial" w:cs="Arial"/>
                <w:noProof w:val="0"/>
                <w:sz w:val="22"/>
                <w:szCs w:val="22"/>
                <w:lang w:eastAsia="zh-CN"/>
              </w:rPr>
              <w:t>15</w:t>
            </w:r>
          </w:p>
          <w:p w14:paraId="5AC96C1C"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C454C0E"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983A5C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A7BA454"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45BE69C" w14:textId="77777777" w:rsidR="007B2888" w:rsidRPr="006238F3" w:rsidRDefault="007B2888" w:rsidP="007B2888">
            <w:pPr>
              <w:jc w:val="center"/>
              <w:rPr>
                <w:rFonts w:ascii="Arial" w:hAnsi="Arial" w:cs="Arial"/>
                <w:noProof w:val="0"/>
                <w:sz w:val="22"/>
                <w:szCs w:val="22"/>
              </w:rPr>
            </w:pPr>
          </w:p>
          <w:p w14:paraId="24AABC13" w14:textId="77777777" w:rsidR="007B2888" w:rsidRPr="006238F3" w:rsidRDefault="007B2888" w:rsidP="007B2888">
            <w:pPr>
              <w:jc w:val="center"/>
              <w:rPr>
                <w:rFonts w:ascii="Arial" w:hAnsi="Arial" w:cs="Arial"/>
                <w:noProof w:val="0"/>
                <w:sz w:val="22"/>
                <w:szCs w:val="22"/>
                <w:lang w:eastAsia="zh-CN"/>
              </w:rPr>
            </w:pPr>
            <w:r w:rsidRPr="006238F3">
              <w:rPr>
                <w:rFonts w:ascii="Arial" w:hAnsi="Arial" w:cs="Arial"/>
                <w:noProof w:val="0"/>
                <w:sz w:val="22"/>
                <w:szCs w:val="22"/>
                <w:lang w:eastAsia="zh-CN"/>
              </w:rPr>
              <w:t>&lt;10</w:t>
            </w:r>
          </w:p>
          <w:p w14:paraId="44FDF0BB" w14:textId="77777777" w:rsidR="007B2888" w:rsidRPr="006238F3" w:rsidRDefault="007B2888" w:rsidP="007B2888">
            <w:pPr>
              <w:jc w:val="center"/>
              <w:rPr>
                <w:rFonts w:ascii="Arial" w:hAnsi="Arial" w:cs="Arial"/>
                <w:noProof w:val="0"/>
                <w:sz w:val="22"/>
                <w:szCs w:val="22"/>
              </w:rPr>
            </w:pPr>
          </w:p>
        </w:tc>
      </w:tr>
      <w:tr w:rsidR="007B2888" w:rsidRPr="00FC2ED7" w14:paraId="27A0451E" w14:textId="77777777" w:rsidTr="007B2888">
        <w:trPr>
          <w:trHeight w:val="598"/>
        </w:trPr>
        <w:tc>
          <w:tcPr>
            <w:tcW w:w="1526" w:type="dxa"/>
            <w:vMerge/>
            <w:shd w:val="clear" w:color="auto" w:fill="auto"/>
          </w:tcPr>
          <w:p w14:paraId="3EA67C80" w14:textId="77777777" w:rsidR="007B2888" w:rsidRPr="006238F3" w:rsidRDefault="007B2888" w:rsidP="007B2888">
            <w:pPr>
              <w:rPr>
                <w:rFonts w:ascii="Arial" w:hAnsi="Arial" w:cs="Arial"/>
                <w:noProof w:val="0"/>
                <w:sz w:val="22"/>
                <w:szCs w:val="22"/>
              </w:rPr>
            </w:pPr>
          </w:p>
        </w:tc>
        <w:tc>
          <w:tcPr>
            <w:tcW w:w="2551" w:type="dxa"/>
            <w:shd w:val="clear" w:color="auto" w:fill="auto"/>
          </w:tcPr>
          <w:p w14:paraId="14030F66" w14:textId="77777777" w:rsidR="007B2888" w:rsidRPr="006238F3" w:rsidRDefault="007B2888" w:rsidP="007B2888">
            <w:pPr>
              <w:rPr>
                <w:rFonts w:ascii="Arial" w:hAnsi="Arial" w:cs="Arial"/>
                <w:i/>
                <w:noProof w:val="0"/>
                <w:sz w:val="22"/>
                <w:szCs w:val="22"/>
              </w:rPr>
            </w:pPr>
            <w:r w:rsidRPr="006238F3">
              <w:rPr>
                <w:rFonts w:ascii="Arial" w:hAnsi="Arial" w:cs="Arial"/>
                <w:i/>
                <w:iCs/>
                <w:caps/>
                <w:noProof w:val="0"/>
                <w:sz w:val="22"/>
                <w:szCs w:val="22"/>
              </w:rPr>
              <w:t>Generosity</w:t>
            </w:r>
            <w:r w:rsidRPr="006238F3">
              <w:rPr>
                <w:rFonts w:ascii="Arial" w:hAnsi="Arial" w:cs="Arial"/>
                <w:i/>
                <w:noProof w:val="0"/>
                <w:sz w:val="22"/>
                <w:szCs w:val="22"/>
              </w:rPr>
              <w:t xml:space="preserve"> </w:t>
            </w:r>
            <w:r w:rsidRPr="006238F3">
              <w:rPr>
                <w:rFonts w:ascii="Arial" w:hAnsi="Arial" w:cs="Arial"/>
                <w:noProof w:val="0"/>
                <w:sz w:val="22"/>
                <w:szCs w:val="22"/>
              </w:rPr>
              <w:t>measured by the duration and cost of compulsory education</w:t>
            </w:r>
          </w:p>
        </w:tc>
        <w:tc>
          <w:tcPr>
            <w:tcW w:w="1197" w:type="dxa"/>
            <w:shd w:val="clear" w:color="auto" w:fill="auto"/>
          </w:tcPr>
          <w:p w14:paraId="547267D0"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Twelve-year free education</w:t>
            </w:r>
          </w:p>
        </w:tc>
        <w:tc>
          <w:tcPr>
            <w:tcW w:w="1197" w:type="dxa"/>
            <w:shd w:val="clear" w:color="auto" w:fill="auto"/>
          </w:tcPr>
          <w:p w14:paraId="44057366"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2028EBEB"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Nine-year free education</w:t>
            </w:r>
          </w:p>
        </w:tc>
        <w:tc>
          <w:tcPr>
            <w:tcW w:w="1197" w:type="dxa"/>
            <w:shd w:val="clear" w:color="auto" w:fill="auto"/>
          </w:tcPr>
          <w:p w14:paraId="5CEF645F"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6EA6DB8"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Eight-year free education</w:t>
            </w:r>
          </w:p>
        </w:tc>
        <w:tc>
          <w:tcPr>
            <w:tcW w:w="1197" w:type="dxa"/>
            <w:shd w:val="clear" w:color="auto" w:fill="auto"/>
          </w:tcPr>
          <w:p w14:paraId="4A802A8C"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31ED1C9E"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Six-year free education</w:t>
            </w:r>
          </w:p>
        </w:tc>
        <w:tc>
          <w:tcPr>
            <w:tcW w:w="1197" w:type="dxa"/>
            <w:shd w:val="clear" w:color="auto" w:fill="auto"/>
          </w:tcPr>
          <w:p w14:paraId="706FB87B"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90533C8"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No free education</w:t>
            </w:r>
          </w:p>
        </w:tc>
      </w:tr>
      <w:tr w:rsidR="007B2888" w:rsidRPr="00FC2ED7" w14:paraId="5CA63417" w14:textId="77777777" w:rsidTr="007B2888">
        <w:trPr>
          <w:trHeight w:val="870"/>
        </w:trPr>
        <w:tc>
          <w:tcPr>
            <w:tcW w:w="1526" w:type="dxa"/>
            <w:vMerge/>
            <w:shd w:val="clear" w:color="auto" w:fill="auto"/>
          </w:tcPr>
          <w:p w14:paraId="4A8851FC" w14:textId="77777777" w:rsidR="007B2888" w:rsidRPr="006238F3" w:rsidRDefault="007B2888" w:rsidP="007B2888">
            <w:pPr>
              <w:rPr>
                <w:rFonts w:ascii="Arial" w:hAnsi="Arial" w:cs="Arial"/>
                <w:noProof w:val="0"/>
                <w:sz w:val="22"/>
                <w:szCs w:val="22"/>
              </w:rPr>
            </w:pPr>
          </w:p>
        </w:tc>
        <w:tc>
          <w:tcPr>
            <w:tcW w:w="2551" w:type="dxa"/>
            <w:shd w:val="clear" w:color="auto" w:fill="auto"/>
          </w:tcPr>
          <w:p w14:paraId="6ABE1253" w14:textId="77777777" w:rsidR="007B2888" w:rsidRPr="006238F3" w:rsidRDefault="007B2888" w:rsidP="007B2888">
            <w:pPr>
              <w:rPr>
                <w:rFonts w:ascii="Arial" w:hAnsi="Arial" w:cs="Arial"/>
                <w:i/>
                <w:noProof w:val="0"/>
                <w:sz w:val="22"/>
                <w:szCs w:val="22"/>
              </w:rPr>
            </w:pPr>
            <w:r w:rsidRPr="006238F3">
              <w:rPr>
                <w:rFonts w:ascii="Arial" w:hAnsi="Arial" w:cs="Arial"/>
                <w:i/>
                <w:iCs/>
                <w:caps/>
                <w:noProof w:val="0"/>
                <w:sz w:val="22"/>
                <w:szCs w:val="22"/>
              </w:rPr>
              <w:t>Accessibility</w:t>
            </w:r>
            <w:r w:rsidRPr="006238F3">
              <w:rPr>
                <w:rFonts w:ascii="Arial" w:hAnsi="Arial" w:cs="Arial"/>
                <w:i/>
                <w:noProof w:val="0"/>
                <w:sz w:val="22"/>
                <w:szCs w:val="22"/>
              </w:rPr>
              <w:t xml:space="preserve"> </w:t>
            </w:r>
            <w:r w:rsidRPr="006238F3">
              <w:rPr>
                <w:rFonts w:ascii="Arial" w:hAnsi="Arial" w:cs="Arial"/>
                <w:noProof w:val="0"/>
                <w:sz w:val="22"/>
                <w:szCs w:val="22"/>
              </w:rPr>
              <w:t>measured by the affordability of higher education</w:t>
            </w:r>
          </w:p>
        </w:tc>
        <w:tc>
          <w:tcPr>
            <w:tcW w:w="1197" w:type="dxa"/>
            <w:shd w:val="clear" w:color="auto" w:fill="auto"/>
          </w:tcPr>
          <w:p w14:paraId="18D1FBEE"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Easy to afford/</w:t>
            </w:r>
          </w:p>
          <w:p w14:paraId="4ABAA404"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unselective student loan,</w:t>
            </w:r>
          </w:p>
          <w:p w14:paraId="7532FD06" w14:textId="00329BFD" w:rsidR="00DC3968" w:rsidRPr="006238F3" w:rsidRDefault="007B2888" w:rsidP="00FC2ED7">
            <w:pPr>
              <w:jc w:val="center"/>
              <w:rPr>
                <w:rFonts w:ascii="Arial" w:hAnsi="Arial" w:cs="Arial"/>
                <w:noProof w:val="0"/>
                <w:sz w:val="22"/>
                <w:szCs w:val="22"/>
              </w:rPr>
            </w:pPr>
            <w:r w:rsidRPr="006238F3">
              <w:rPr>
                <w:rFonts w:ascii="Arial" w:hAnsi="Arial" w:cs="Arial"/>
                <w:noProof w:val="0"/>
                <w:sz w:val="22"/>
                <w:szCs w:val="22"/>
              </w:rPr>
              <w:t>Various financial aids available; easy for students with financial difficulties access to tertiary education</w:t>
            </w:r>
          </w:p>
        </w:tc>
        <w:tc>
          <w:tcPr>
            <w:tcW w:w="1197" w:type="dxa"/>
            <w:shd w:val="clear" w:color="auto" w:fill="auto"/>
          </w:tcPr>
          <w:p w14:paraId="4021CBA3"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t>
            </w:r>
          </w:p>
        </w:tc>
        <w:tc>
          <w:tcPr>
            <w:tcW w:w="1197" w:type="dxa"/>
            <w:shd w:val="clear" w:color="auto" w:fill="auto"/>
          </w:tcPr>
          <w:p w14:paraId="6B8DFAD0"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t>
            </w:r>
          </w:p>
        </w:tc>
        <w:tc>
          <w:tcPr>
            <w:tcW w:w="1197" w:type="dxa"/>
            <w:shd w:val="clear" w:color="auto" w:fill="auto"/>
          </w:tcPr>
          <w:p w14:paraId="40DBEC28"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t>
            </w:r>
          </w:p>
        </w:tc>
        <w:tc>
          <w:tcPr>
            <w:tcW w:w="1197" w:type="dxa"/>
            <w:shd w:val="clear" w:color="auto" w:fill="auto"/>
          </w:tcPr>
          <w:p w14:paraId="4FFF9844"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Moderate/</w:t>
            </w:r>
          </w:p>
          <w:p w14:paraId="1B814B76"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Relatively easy for students with financial difficulties access to tertiary education</w:t>
            </w:r>
          </w:p>
        </w:tc>
        <w:tc>
          <w:tcPr>
            <w:tcW w:w="1197" w:type="dxa"/>
            <w:shd w:val="clear" w:color="auto" w:fill="auto"/>
          </w:tcPr>
          <w:p w14:paraId="4A38B0C7"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t>
            </w:r>
          </w:p>
        </w:tc>
        <w:tc>
          <w:tcPr>
            <w:tcW w:w="1197" w:type="dxa"/>
            <w:shd w:val="clear" w:color="auto" w:fill="auto"/>
          </w:tcPr>
          <w:p w14:paraId="7BE2A3FF"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t>
            </w:r>
          </w:p>
        </w:tc>
        <w:tc>
          <w:tcPr>
            <w:tcW w:w="1197" w:type="dxa"/>
            <w:shd w:val="clear" w:color="auto" w:fill="auto"/>
          </w:tcPr>
          <w:p w14:paraId="40BA6872"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t>
            </w:r>
          </w:p>
        </w:tc>
        <w:tc>
          <w:tcPr>
            <w:tcW w:w="1197" w:type="dxa"/>
            <w:shd w:val="clear" w:color="auto" w:fill="auto"/>
          </w:tcPr>
          <w:p w14:paraId="4A45AC2A"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Difficult to afford/</w:t>
            </w:r>
          </w:p>
          <w:p w14:paraId="6DEA9D6C"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Very strict selective financial aids; hard for students with financial difficulties access to tertiary education</w:t>
            </w:r>
          </w:p>
        </w:tc>
      </w:tr>
    </w:tbl>
    <w:p w14:paraId="33A0DAFC" w14:textId="3C5BDA85" w:rsidR="00FC2ED7" w:rsidRDefault="00FC2ED7"/>
    <w:p w14:paraId="6E45C91F" w14:textId="6B9FCE44" w:rsidR="00FC2ED7" w:rsidRPr="006238F3" w:rsidRDefault="00FC2ED7" w:rsidP="006238F3">
      <w:pPr>
        <w:pStyle w:val="Caption"/>
        <w:keepNext/>
        <w:spacing w:after="120"/>
        <w:rPr>
          <w:rFonts w:ascii="Arial" w:hAnsi="Arial" w:cs="Arial"/>
          <w:noProof w:val="0"/>
          <w:sz w:val="22"/>
          <w:szCs w:val="22"/>
        </w:rPr>
      </w:pPr>
      <w:r w:rsidRPr="0049433E">
        <w:rPr>
          <w:rFonts w:ascii="Arial" w:hAnsi="Arial" w:cs="Arial"/>
          <w:noProof w:val="0"/>
          <w:color w:val="auto"/>
          <w:sz w:val="22"/>
          <w:szCs w:val="22"/>
        </w:rPr>
        <w:lastRenderedPageBreak/>
        <w:t>Table 1 Empirical indicators and fuzzy set interval scores</w:t>
      </w:r>
      <w:r>
        <w:rPr>
          <w:rFonts w:ascii="Arial" w:hAnsi="Arial" w:cs="Arial"/>
          <w:noProof w:val="0"/>
          <w:color w:val="auto"/>
          <w:sz w:val="22"/>
          <w:szCs w:val="22"/>
        </w:rPr>
        <w:t>, Cont.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1197"/>
        <w:gridCol w:w="1197"/>
        <w:gridCol w:w="1197"/>
        <w:gridCol w:w="1197"/>
        <w:gridCol w:w="1197"/>
        <w:gridCol w:w="1197"/>
        <w:gridCol w:w="1197"/>
        <w:gridCol w:w="1197"/>
        <w:gridCol w:w="1197"/>
      </w:tblGrid>
      <w:tr w:rsidR="009948CE" w:rsidRPr="009948CE" w14:paraId="7EE42AD7" w14:textId="77777777" w:rsidTr="007B2888">
        <w:trPr>
          <w:trHeight w:val="627"/>
        </w:trPr>
        <w:tc>
          <w:tcPr>
            <w:tcW w:w="1526" w:type="dxa"/>
            <w:shd w:val="clear" w:color="auto" w:fill="auto"/>
          </w:tcPr>
          <w:p w14:paraId="4AA73871" w14:textId="0C8AF5FA" w:rsidR="009948CE" w:rsidRPr="009948CE" w:rsidRDefault="009948CE" w:rsidP="009948CE">
            <w:pPr>
              <w:rPr>
                <w:rFonts w:ascii="Arial" w:hAnsi="Arial" w:cs="Arial"/>
                <w:noProof w:val="0"/>
                <w:sz w:val="22"/>
                <w:szCs w:val="22"/>
              </w:rPr>
            </w:pPr>
            <w:r>
              <w:rPr>
                <w:rFonts w:ascii="Arial" w:hAnsi="Arial" w:cs="Arial"/>
                <w:b/>
                <w:i/>
                <w:noProof w:val="0"/>
                <w:sz w:val="22"/>
                <w:szCs w:val="22"/>
              </w:rPr>
              <w:t>Domain</w:t>
            </w:r>
          </w:p>
        </w:tc>
        <w:tc>
          <w:tcPr>
            <w:tcW w:w="2551" w:type="dxa"/>
            <w:shd w:val="clear" w:color="auto" w:fill="auto"/>
          </w:tcPr>
          <w:p w14:paraId="0C2D343A" w14:textId="4911D2A1" w:rsidR="009948CE" w:rsidRPr="009948CE" w:rsidRDefault="009948CE" w:rsidP="009948CE">
            <w:pPr>
              <w:rPr>
                <w:rFonts w:ascii="Arial" w:hAnsi="Arial" w:cs="Arial"/>
                <w:i/>
                <w:iCs/>
                <w:caps/>
                <w:noProof w:val="0"/>
                <w:sz w:val="22"/>
                <w:szCs w:val="22"/>
              </w:rPr>
            </w:pPr>
            <w:r w:rsidRPr="0049433E">
              <w:rPr>
                <w:rFonts w:ascii="Arial" w:hAnsi="Arial" w:cs="Arial"/>
                <w:b/>
                <w:i/>
                <w:noProof w:val="0"/>
                <w:sz w:val="22"/>
                <w:szCs w:val="22"/>
              </w:rPr>
              <w:t>Indicator</w:t>
            </w:r>
          </w:p>
        </w:tc>
        <w:tc>
          <w:tcPr>
            <w:tcW w:w="1197" w:type="dxa"/>
            <w:shd w:val="clear" w:color="auto" w:fill="auto"/>
          </w:tcPr>
          <w:p w14:paraId="4BCA52F0"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Fully in the set</w:t>
            </w:r>
          </w:p>
          <w:p w14:paraId="2BDCA2F8" w14:textId="77777777" w:rsidR="009948CE" w:rsidRPr="0049433E" w:rsidRDefault="009948CE" w:rsidP="009948CE">
            <w:pPr>
              <w:jc w:val="center"/>
              <w:rPr>
                <w:rFonts w:ascii="Arial" w:hAnsi="Arial" w:cs="Arial"/>
                <w:b/>
                <w:i/>
                <w:noProof w:val="0"/>
                <w:sz w:val="22"/>
                <w:szCs w:val="22"/>
              </w:rPr>
            </w:pPr>
          </w:p>
          <w:p w14:paraId="3D393B22" w14:textId="4A64DF82"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1.00</w:t>
            </w:r>
          </w:p>
        </w:tc>
        <w:tc>
          <w:tcPr>
            <w:tcW w:w="1197" w:type="dxa"/>
            <w:shd w:val="clear" w:color="auto" w:fill="auto"/>
          </w:tcPr>
          <w:p w14:paraId="1ADF48C8"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Almost fully in the set</w:t>
            </w:r>
          </w:p>
          <w:p w14:paraId="579E6BAE" w14:textId="02F7F03C"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0.83-0.99</w:t>
            </w:r>
          </w:p>
        </w:tc>
        <w:tc>
          <w:tcPr>
            <w:tcW w:w="1197" w:type="dxa"/>
            <w:shd w:val="clear" w:color="auto" w:fill="auto"/>
          </w:tcPr>
          <w:p w14:paraId="7CC7DD86"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Fairly in the set</w:t>
            </w:r>
          </w:p>
          <w:p w14:paraId="7395D45D" w14:textId="1A8A5293"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0.67-0.82</w:t>
            </w:r>
          </w:p>
        </w:tc>
        <w:tc>
          <w:tcPr>
            <w:tcW w:w="1197" w:type="dxa"/>
            <w:shd w:val="clear" w:color="auto" w:fill="auto"/>
          </w:tcPr>
          <w:p w14:paraId="478E8361"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More or less in the set</w:t>
            </w:r>
          </w:p>
          <w:p w14:paraId="5600F20A" w14:textId="4152FFFF"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0.51-0.66</w:t>
            </w:r>
          </w:p>
        </w:tc>
        <w:tc>
          <w:tcPr>
            <w:tcW w:w="1197" w:type="dxa"/>
            <w:shd w:val="clear" w:color="auto" w:fill="auto"/>
          </w:tcPr>
          <w:p w14:paraId="2833B8B9"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Neither in nor out of the set</w:t>
            </w:r>
          </w:p>
          <w:p w14:paraId="7D524604" w14:textId="634257F0"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0.5</w:t>
            </w:r>
          </w:p>
        </w:tc>
        <w:tc>
          <w:tcPr>
            <w:tcW w:w="1197" w:type="dxa"/>
            <w:shd w:val="clear" w:color="auto" w:fill="auto"/>
          </w:tcPr>
          <w:p w14:paraId="03347E03"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Fairly out of the set</w:t>
            </w:r>
          </w:p>
          <w:p w14:paraId="5855063B" w14:textId="0FD2FB2E"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0.33-0.49</w:t>
            </w:r>
          </w:p>
        </w:tc>
        <w:tc>
          <w:tcPr>
            <w:tcW w:w="1197" w:type="dxa"/>
            <w:shd w:val="clear" w:color="auto" w:fill="auto"/>
          </w:tcPr>
          <w:p w14:paraId="2BFACF22"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Mostly out of the set</w:t>
            </w:r>
          </w:p>
          <w:p w14:paraId="50DCEC29" w14:textId="4FE91767"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0.17-0.32</w:t>
            </w:r>
          </w:p>
        </w:tc>
        <w:tc>
          <w:tcPr>
            <w:tcW w:w="1197" w:type="dxa"/>
            <w:shd w:val="clear" w:color="auto" w:fill="auto"/>
          </w:tcPr>
          <w:p w14:paraId="3C33B245"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Almost fully out of the set</w:t>
            </w:r>
          </w:p>
          <w:p w14:paraId="465CBBDB" w14:textId="264AD177"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0.01-0.16</w:t>
            </w:r>
          </w:p>
        </w:tc>
        <w:tc>
          <w:tcPr>
            <w:tcW w:w="1197" w:type="dxa"/>
            <w:shd w:val="clear" w:color="auto" w:fill="auto"/>
          </w:tcPr>
          <w:p w14:paraId="1F529840" w14:textId="77777777" w:rsidR="009948CE" w:rsidRPr="0049433E" w:rsidRDefault="009948CE" w:rsidP="009948CE">
            <w:pPr>
              <w:jc w:val="center"/>
              <w:rPr>
                <w:rFonts w:ascii="Arial" w:hAnsi="Arial" w:cs="Arial"/>
                <w:b/>
                <w:i/>
                <w:noProof w:val="0"/>
                <w:sz w:val="22"/>
                <w:szCs w:val="22"/>
              </w:rPr>
            </w:pPr>
            <w:r w:rsidRPr="0049433E">
              <w:rPr>
                <w:rFonts w:ascii="Arial" w:hAnsi="Arial" w:cs="Arial"/>
                <w:b/>
                <w:i/>
                <w:noProof w:val="0"/>
                <w:sz w:val="22"/>
                <w:szCs w:val="22"/>
              </w:rPr>
              <w:t>Fully out of the set</w:t>
            </w:r>
          </w:p>
          <w:p w14:paraId="6E9FAE07" w14:textId="3EA796CF" w:rsidR="009948CE" w:rsidRPr="009948CE" w:rsidRDefault="009948CE" w:rsidP="009948CE">
            <w:pPr>
              <w:jc w:val="center"/>
              <w:rPr>
                <w:rFonts w:ascii="Arial" w:hAnsi="Arial" w:cs="Arial"/>
                <w:noProof w:val="0"/>
                <w:sz w:val="22"/>
                <w:szCs w:val="22"/>
              </w:rPr>
            </w:pPr>
            <w:r w:rsidRPr="0049433E">
              <w:rPr>
                <w:rFonts w:ascii="Arial" w:hAnsi="Arial" w:cs="Arial"/>
                <w:b/>
                <w:i/>
                <w:noProof w:val="0"/>
                <w:sz w:val="22"/>
                <w:szCs w:val="22"/>
              </w:rPr>
              <w:t>0.00</w:t>
            </w:r>
          </w:p>
        </w:tc>
      </w:tr>
      <w:tr w:rsidR="007B2888" w:rsidRPr="00FC2ED7" w14:paraId="02972D54" w14:textId="77777777" w:rsidTr="007B2888">
        <w:trPr>
          <w:trHeight w:val="627"/>
        </w:trPr>
        <w:tc>
          <w:tcPr>
            <w:tcW w:w="1526" w:type="dxa"/>
            <w:vMerge w:val="restart"/>
            <w:shd w:val="clear" w:color="auto" w:fill="auto"/>
          </w:tcPr>
          <w:p w14:paraId="6F2939EF" w14:textId="3CFDD289" w:rsidR="007B2888" w:rsidRPr="006238F3" w:rsidRDefault="007B2888" w:rsidP="007B2888">
            <w:pPr>
              <w:rPr>
                <w:rFonts w:ascii="Arial" w:hAnsi="Arial" w:cs="Arial"/>
                <w:noProof w:val="0"/>
                <w:sz w:val="22"/>
                <w:szCs w:val="22"/>
              </w:rPr>
            </w:pPr>
            <w:r w:rsidRPr="006238F3">
              <w:rPr>
                <w:rFonts w:ascii="Arial" w:hAnsi="Arial" w:cs="Arial"/>
                <w:noProof w:val="0"/>
                <w:sz w:val="22"/>
                <w:szCs w:val="22"/>
              </w:rPr>
              <w:t>Health (H)</w:t>
            </w:r>
          </w:p>
        </w:tc>
        <w:tc>
          <w:tcPr>
            <w:tcW w:w="2551" w:type="dxa"/>
            <w:shd w:val="clear" w:color="auto" w:fill="auto"/>
          </w:tcPr>
          <w:p w14:paraId="1BA06F07"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Spending</w:t>
            </w:r>
            <w:r w:rsidRPr="006238F3">
              <w:rPr>
                <w:rFonts w:ascii="Arial" w:hAnsi="Arial" w:cs="Arial"/>
                <w:i/>
                <w:noProof w:val="0"/>
                <w:sz w:val="22"/>
                <w:szCs w:val="22"/>
              </w:rPr>
              <w:t xml:space="preserve"> </w:t>
            </w:r>
            <w:r w:rsidRPr="006238F3">
              <w:rPr>
                <w:rFonts w:ascii="Arial" w:hAnsi="Arial" w:cs="Arial"/>
                <w:noProof w:val="0"/>
                <w:sz w:val="22"/>
                <w:szCs w:val="22"/>
              </w:rPr>
              <w:t>measured by the proportion of public health expenditure in total public expenditure (%)</w:t>
            </w:r>
          </w:p>
        </w:tc>
        <w:tc>
          <w:tcPr>
            <w:tcW w:w="1197" w:type="dxa"/>
            <w:shd w:val="clear" w:color="auto" w:fill="auto"/>
          </w:tcPr>
          <w:p w14:paraId="74D013EA"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&gt;14</w:t>
            </w:r>
          </w:p>
        </w:tc>
        <w:tc>
          <w:tcPr>
            <w:tcW w:w="1197" w:type="dxa"/>
            <w:shd w:val="clear" w:color="auto" w:fill="auto"/>
          </w:tcPr>
          <w:p w14:paraId="6D98F6EF" w14:textId="77777777" w:rsidR="007B2888" w:rsidRPr="006238F3" w:rsidRDefault="007B2888" w:rsidP="007B2888">
            <w:pPr>
              <w:jc w:val="center"/>
              <w:rPr>
                <w:rFonts w:ascii="Arial" w:hAnsi="Arial" w:cs="Arial"/>
                <w:noProof w:val="0"/>
                <w:sz w:val="22"/>
                <w:szCs w:val="22"/>
              </w:rPr>
            </w:pPr>
          </w:p>
          <w:p w14:paraId="204623A4"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3DD204F3"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3D14A4DC"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5C0569CE"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10</w:t>
            </w:r>
          </w:p>
          <w:p w14:paraId="56B8F487"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089C014"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F9A7B5D"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347B45D3"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8327B7A"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&lt;6.9</w:t>
            </w:r>
          </w:p>
          <w:p w14:paraId="43B7F0A1" w14:textId="77777777" w:rsidR="007B2888" w:rsidRPr="006238F3" w:rsidRDefault="007B2888" w:rsidP="007B2888">
            <w:pPr>
              <w:jc w:val="center"/>
              <w:rPr>
                <w:rFonts w:ascii="Arial" w:hAnsi="Arial" w:cs="Arial"/>
                <w:noProof w:val="0"/>
                <w:sz w:val="22"/>
                <w:szCs w:val="22"/>
              </w:rPr>
            </w:pPr>
          </w:p>
        </w:tc>
      </w:tr>
      <w:tr w:rsidR="007B2888" w:rsidRPr="00FC2ED7" w14:paraId="4C2506E3" w14:textId="77777777" w:rsidTr="007B2888">
        <w:trPr>
          <w:trHeight w:val="615"/>
        </w:trPr>
        <w:tc>
          <w:tcPr>
            <w:tcW w:w="1526" w:type="dxa"/>
            <w:vMerge/>
            <w:shd w:val="clear" w:color="auto" w:fill="auto"/>
          </w:tcPr>
          <w:p w14:paraId="7CB2A503" w14:textId="77777777" w:rsidR="007B2888" w:rsidRPr="006238F3" w:rsidRDefault="007B2888" w:rsidP="007B2888">
            <w:pPr>
              <w:rPr>
                <w:rFonts w:ascii="Arial" w:hAnsi="Arial" w:cs="Arial"/>
                <w:noProof w:val="0"/>
                <w:sz w:val="22"/>
                <w:szCs w:val="22"/>
              </w:rPr>
            </w:pPr>
          </w:p>
        </w:tc>
        <w:tc>
          <w:tcPr>
            <w:tcW w:w="2551" w:type="dxa"/>
            <w:shd w:val="clear" w:color="auto" w:fill="auto"/>
          </w:tcPr>
          <w:p w14:paraId="6C715874"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Universality</w:t>
            </w:r>
            <w:r w:rsidRPr="006238F3">
              <w:rPr>
                <w:rFonts w:ascii="Arial" w:hAnsi="Arial" w:cs="Arial"/>
                <w:i/>
                <w:noProof w:val="0"/>
                <w:sz w:val="22"/>
                <w:szCs w:val="22"/>
              </w:rPr>
              <w:t xml:space="preserve"> </w:t>
            </w:r>
            <w:r w:rsidRPr="006238F3">
              <w:rPr>
                <w:rFonts w:ascii="Arial" w:hAnsi="Arial" w:cs="Arial"/>
                <w:noProof w:val="0"/>
                <w:sz w:val="22"/>
                <w:szCs w:val="22"/>
              </w:rPr>
              <w:t>measured by the coverage of public health services (%)</w:t>
            </w:r>
          </w:p>
        </w:tc>
        <w:tc>
          <w:tcPr>
            <w:tcW w:w="1197" w:type="dxa"/>
            <w:shd w:val="clear" w:color="auto" w:fill="auto"/>
          </w:tcPr>
          <w:p w14:paraId="535B4E5B"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&gt;80</w:t>
            </w:r>
          </w:p>
        </w:tc>
        <w:tc>
          <w:tcPr>
            <w:tcW w:w="1197" w:type="dxa"/>
            <w:shd w:val="clear" w:color="auto" w:fill="auto"/>
          </w:tcPr>
          <w:p w14:paraId="70D9C86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DEA2554"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4AA708EB"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50DED86"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50</w:t>
            </w:r>
          </w:p>
        </w:tc>
        <w:tc>
          <w:tcPr>
            <w:tcW w:w="1197" w:type="dxa"/>
            <w:shd w:val="clear" w:color="auto" w:fill="auto"/>
          </w:tcPr>
          <w:p w14:paraId="025DF27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92B8F54"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47266A07"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27BE573A"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&lt;20</w:t>
            </w:r>
          </w:p>
        </w:tc>
      </w:tr>
      <w:tr w:rsidR="007B2888" w:rsidRPr="00FC2ED7" w14:paraId="75BE446E" w14:textId="77777777" w:rsidTr="007B2888">
        <w:trPr>
          <w:trHeight w:val="615"/>
        </w:trPr>
        <w:tc>
          <w:tcPr>
            <w:tcW w:w="1526" w:type="dxa"/>
            <w:vMerge/>
            <w:shd w:val="clear" w:color="auto" w:fill="auto"/>
          </w:tcPr>
          <w:p w14:paraId="438622DB" w14:textId="77777777" w:rsidR="007B2888" w:rsidRPr="006238F3" w:rsidRDefault="007B2888" w:rsidP="007B2888">
            <w:pPr>
              <w:rPr>
                <w:rFonts w:ascii="Arial" w:hAnsi="Arial" w:cs="Arial"/>
                <w:noProof w:val="0"/>
                <w:sz w:val="22"/>
                <w:szCs w:val="22"/>
              </w:rPr>
            </w:pPr>
          </w:p>
        </w:tc>
        <w:tc>
          <w:tcPr>
            <w:tcW w:w="2551" w:type="dxa"/>
            <w:shd w:val="clear" w:color="auto" w:fill="auto"/>
          </w:tcPr>
          <w:p w14:paraId="0BF41716"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Affordability</w:t>
            </w:r>
            <w:r w:rsidRPr="006238F3">
              <w:rPr>
                <w:rFonts w:ascii="Arial" w:hAnsi="Arial" w:cs="Arial"/>
                <w:i/>
                <w:noProof w:val="0"/>
                <w:sz w:val="22"/>
                <w:szCs w:val="22"/>
              </w:rPr>
              <w:t xml:space="preserve"> </w:t>
            </w:r>
            <w:r w:rsidRPr="006238F3">
              <w:rPr>
                <w:rFonts w:ascii="Arial" w:hAnsi="Arial" w:cs="Arial"/>
                <w:noProof w:val="0"/>
                <w:sz w:val="22"/>
                <w:szCs w:val="22"/>
              </w:rPr>
              <w:t>measured by the percentage of private expenditure (% of total health expenditure)</w:t>
            </w:r>
          </w:p>
        </w:tc>
        <w:tc>
          <w:tcPr>
            <w:tcW w:w="1197" w:type="dxa"/>
            <w:shd w:val="clear" w:color="auto" w:fill="auto"/>
          </w:tcPr>
          <w:p w14:paraId="2E264D35"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&lt;31</w:t>
            </w:r>
          </w:p>
        </w:tc>
        <w:tc>
          <w:tcPr>
            <w:tcW w:w="1197" w:type="dxa"/>
            <w:shd w:val="clear" w:color="auto" w:fill="auto"/>
          </w:tcPr>
          <w:p w14:paraId="0E6CB629"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B94F671"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CBF4C0F"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1D58A6D"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35</w:t>
            </w:r>
          </w:p>
        </w:tc>
        <w:tc>
          <w:tcPr>
            <w:tcW w:w="1197" w:type="dxa"/>
            <w:shd w:val="clear" w:color="auto" w:fill="auto"/>
          </w:tcPr>
          <w:p w14:paraId="282C738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4C58ECAA"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A7C21CF"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5729B2D4"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&gt;52</w:t>
            </w:r>
          </w:p>
        </w:tc>
      </w:tr>
      <w:tr w:rsidR="007B2888" w:rsidRPr="00FC2ED7" w14:paraId="5740574E" w14:textId="77777777" w:rsidTr="007B2888">
        <w:trPr>
          <w:trHeight w:val="618"/>
        </w:trPr>
        <w:tc>
          <w:tcPr>
            <w:tcW w:w="1526" w:type="dxa"/>
            <w:vMerge w:val="restart"/>
            <w:shd w:val="clear" w:color="auto" w:fill="auto"/>
          </w:tcPr>
          <w:p w14:paraId="1F5432DD" w14:textId="77777777" w:rsidR="007B2888" w:rsidRPr="006238F3" w:rsidRDefault="007B2888" w:rsidP="007B2888">
            <w:pPr>
              <w:rPr>
                <w:rFonts w:ascii="Arial" w:hAnsi="Arial" w:cs="Arial"/>
                <w:noProof w:val="0"/>
                <w:sz w:val="22"/>
                <w:szCs w:val="22"/>
              </w:rPr>
            </w:pPr>
            <w:r w:rsidRPr="006238F3">
              <w:rPr>
                <w:rFonts w:ascii="Arial" w:hAnsi="Arial" w:cs="Arial"/>
                <w:noProof w:val="0"/>
                <w:sz w:val="22"/>
                <w:szCs w:val="22"/>
              </w:rPr>
              <w:t>Family (F)</w:t>
            </w:r>
          </w:p>
        </w:tc>
        <w:tc>
          <w:tcPr>
            <w:tcW w:w="2551" w:type="dxa"/>
            <w:shd w:val="clear" w:color="auto" w:fill="auto"/>
          </w:tcPr>
          <w:p w14:paraId="7C300858" w14:textId="77777777" w:rsidR="007B2888" w:rsidRPr="006238F3" w:rsidRDefault="007B2888" w:rsidP="007B2888">
            <w:pPr>
              <w:rPr>
                <w:rFonts w:ascii="Arial" w:hAnsi="Arial" w:cs="Arial"/>
                <w:i/>
                <w:noProof w:val="0"/>
                <w:sz w:val="22"/>
                <w:szCs w:val="22"/>
              </w:rPr>
            </w:pPr>
            <w:r w:rsidRPr="006238F3">
              <w:rPr>
                <w:rFonts w:ascii="Arial" w:hAnsi="Arial" w:cs="Arial"/>
                <w:i/>
                <w:iCs/>
                <w:caps/>
                <w:noProof w:val="0"/>
                <w:sz w:val="22"/>
                <w:szCs w:val="22"/>
              </w:rPr>
              <w:t>Generosity</w:t>
            </w:r>
            <w:r w:rsidRPr="006238F3">
              <w:rPr>
                <w:rFonts w:ascii="Arial" w:hAnsi="Arial" w:cs="Arial"/>
                <w:i/>
                <w:noProof w:val="0"/>
                <w:sz w:val="22"/>
                <w:szCs w:val="22"/>
              </w:rPr>
              <w:t xml:space="preserve"> </w:t>
            </w:r>
            <w:r w:rsidRPr="006238F3">
              <w:rPr>
                <w:rFonts w:ascii="Arial" w:hAnsi="Arial" w:cs="Arial"/>
                <w:noProof w:val="0"/>
                <w:sz w:val="22"/>
                <w:szCs w:val="22"/>
              </w:rPr>
              <w:t>measured by net replacement rate of maternity leave (%)</w:t>
            </w:r>
          </w:p>
        </w:tc>
        <w:tc>
          <w:tcPr>
            <w:tcW w:w="1197" w:type="dxa"/>
            <w:shd w:val="clear" w:color="auto" w:fill="auto"/>
          </w:tcPr>
          <w:p w14:paraId="59BD23C9"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&gt;75</w:t>
            </w:r>
          </w:p>
          <w:p w14:paraId="4812ADC3"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FA0E03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29C677AC"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3DE9C53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4C3FD6FA"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66</w:t>
            </w:r>
          </w:p>
          <w:p w14:paraId="4827024C"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B8FF06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C06949A"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237FDB72"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B1275DC"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&lt;20</w:t>
            </w:r>
          </w:p>
          <w:p w14:paraId="0E4063C6" w14:textId="77777777" w:rsidR="007B2888" w:rsidRPr="006238F3" w:rsidRDefault="007B2888" w:rsidP="007B2888">
            <w:pPr>
              <w:jc w:val="center"/>
              <w:rPr>
                <w:rFonts w:ascii="Arial" w:hAnsi="Arial" w:cs="Arial"/>
                <w:noProof w:val="0"/>
                <w:sz w:val="22"/>
                <w:szCs w:val="22"/>
              </w:rPr>
            </w:pPr>
          </w:p>
        </w:tc>
      </w:tr>
      <w:tr w:rsidR="007B2888" w:rsidRPr="00FC2ED7" w14:paraId="758E1553" w14:textId="77777777" w:rsidTr="007B2888">
        <w:trPr>
          <w:trHeight w:val="145"/>
        </w:trPr>
        <w:tc>
          <w:tcPr>
            <w:tcW w:w="1526" w:type="dxa"/>
            <w:vMerge/>
            <w:shd w:val="clear" w:color="auto" w:fill="auto"/>
          </w:tcPr>
          <w:p w14:paraId="5A6223E6" w14:textId="77777777" w:rsidR="007B2888" w:rsidRPr="006238F3" w:rsidRDefault="007B2888" w:rsidP="007B2888">
            <w:pPr>
              <w:rPr>
                <w:rFonts w:ascii="Arial" w:hAnsi="Arial" w:cs="Arial"/>
                <w:noProof w:val="0"/>
                <w:sz w:val="22"/>
                <w:szCs w:val="22"/>
              </w:rPr>
            </w:pPr>
          </w:p>
        </w:tc>
        <w:tc>
          <w:tcPr>
            <w:tcW w:w="2551" w:type="dxa"/>
            <w:shd w:val="clear" w:color="auto" w:fill="auto"/>
          </w:tcPr>
          <w:p w14:paraId="02082339"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Duration</w:t>
            </w:r>
            <w:r w:rsidRPr="006238F3">
              <w:rPr>
                <w:rFonts w:ascii="Arial" w:hAnsi="Arial" w:cs="Arial"/>
                <w:noProof w:val="0"/>
                <w:sz w:val="22"/>
                <w:szCs w:val="22"/>
              </w:rPr>
              <w:t xml:space="preserve"> in weeks</w:t>
            </w:r>
          </w:p>
        </w:tc>
        <w:tc>
          <w:tcPr>
            <w:tcW w:w="1197" w:type="dxa"/>
            <w:shd w:val="clear" w:color="auto" w:fill="auto"/>
          </w:tcPr>
          <w:p w14:paraId="0D3BEE11"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&gt;24</w:t>
            </w:r>
          </w:p>
        </w:tc>
        <w:tc>
          <w:tcPr>
            <w:tcW w:w="1197" w:type="dxa"/>
            <w:shd w:val="clear" w:color="auto" w:fill="auto"/>
          </w:tcPr>
          <w:p w14:paraId="4F28CA09"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ADB8D2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03C3168B"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E449242"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18</w:t>
            </w:r>
          </w:p>
        </w:tc>
        <w:tc>
          <w:tcPr>
            <w:tcW w:w="1197" w:type="dxa"/>
            <w:shd w:val="clear" w:color="auto" w:fill="auto"/>
          </w:tcPr>
          <w:p w14:paraId="57ABDDEB"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76D689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3B528276"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763AA6D"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&lt;14</w:t>
            </w:r>
          </w:p>
        </w:tc>
      </w:tr>
      <w:tr w:rsidR="007B2888" w:rsidRPr="00FC2ED7" w14:paraId="77611B3B" w14:textId="77777777" w:rsidTr="007B2888">
        <w:trPr>
          <w:trHeight w:val="510"/>
        </w:trPr>
        <w:tc>
          <w:tcPr>
            <w:tcW w:w="1526" w:type="dxa"/>
            <w:vMerge/>
            <w:shd w:val="clear" w:color="auto" w:fill="auto"/>
          </w:tcPr>
          <w:p w14:paraId="66D50969" w14:textId="77777777" w:rsidR="007B2888" w:rsidRPr="006238F3" w:rsidRDefault="007B2888" w:rsidP="007B2888">
            <w:pPr>
              <w:rPr>
                <w:rFonts w:ascii="Arial" w:hAnsi="Arial" w:cs="Arial"/>
                <w:noProof w:val="0"/>
                <w:sz w:val="22"/>
                <w:szCs w:val="22"/>
              </w:rPr>
            </w:pPr>
          </w:p>
        </w:tc>
        <w:tc>
          <w:tcPr>
            <w:tcW w:w="2551" w:type="dxa"/>
            <w:shd w:val="clear" w:color="auto" w:fill="auto"/>
          </w:tcPr>
          <w:p w14:paraId="15D6EF84" w14:textId="77777777" w:rsidR="007B2888" w:rsidRPr="006238F3" w:rsidRDefault="007B2888" w:rsidP="007B2888">
            <w:pPr>
              <w:rPr>
                <w:rFonts w:ascii="Arial" w:hAnsi="Arial" w:cs="Arial"/>
                <w:i/>
                <w:noProof w:val="0"/>
                <w:sz w:val="22"/>
                <w:szCs w:val="22"/>
              </w:rPr>
            </w:pPr>
            <w:r w:rsidRPr="006238F3">
              <w:rPr>
                <w:rFonts w:ascii="Arial" w:hAnsi="Arial" w:cs="Arial"/>
                <w:i/>
                <w:iCs/>
                <w:caps/>
                <w:noProof w:val="0"/>
                <w:sz w:val="22"/>
                <w:szCs w:val="22"/>
              </w:rPr>
              <w:t>Accessibility</w:t>
            </w:r>
            <w:r w:rsidRPr="006238F3">
              <w:rPr>
                <w:rFonts w:ascii="Arial" w:hAnsi="Arial" w:cs="Arial"/>
                <w:i/>
                <w:noProof w:val="0"/>
                <w:sz w:val="22"/>
                <w:szCs w:val="22"/>
              </w:rPr>
              <w:t xml:space="preserve"> </w:t>
            </w:r>
            <w:r w:rsidRPr="006238F3">
              <w:rPr>
                <w:rFonts w:ascii="Arial" w:hAnsi="Arial" w:cs="Arial"/>
                <w:noProof w:val="0"/>
                <w:sz w:val="22"/>
                <w:szCs w:val="22"/>
              </w:rPr>
              <w:t>measured by the proportion of insured employees (% of total employees)</w:t>
            </w:r>
          </w:p>
        </w:tc>
        <w:tc>
          <w:tcPr>
            <w:tcW w:w="1197" w:type="dxa"/>
            <w:shd w:val="clear" w:color="auto" w:fill="auto"/>
          </w:tcPr>
          <w:p w14:paraId="71AF63C8"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100</w:t>
            </w:r>
          </w:p>
        </w:tc>
        <w:tc>
          <w:tcPr>
            <w:tcW w:w="1197" w:type="dxa"/>
            <w:shd w:val="clear" w:color="auto" w:fill="auto"/>
          </w:tcPr>
          <w:p w14:paraId="7093DEC6"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73D63A27" w14:textId="77777777" w:rsidR="007B2888" w:rsidRPr="006238F3" w:rsidRDefault="007B2888" w:rsidP="007B2888">
            <w:pPr>
              <w:ind w:firstLine="160"/>
              <w:jc w:val="center"/>
              <w:rPr>
                <w:rFonts w:ascii="Arial" w:hAnsi="Arial" w:cs="Arial"/>
                <w:noProof w:val="0"/>
                <w:sz w:val="22"/>
                <w:szCs w:val="22"/>
              </w:rPr>
            </w:pPr>
          </w:p>
        </w:tc>
        <w:tc>
          <w:tcPr>
            <w:tcW w:w="1197" w:type="dxa"/>
            <w:shd w:val="clear" w:color="auto" w:fill="auto"/>
          </w:tcPr>
          <w:p w14:paraId="7C81DD7B"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D1AA681"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50</w:t>
            </w:r>
          </w:p>
        </w:tc>
        <w:tc>
          <w:tcPr>
            <w:tcW w:w="1197" w:type="dxa"/>
            <w:shd w:val="clear" w:color="auto" w:fill="auto"/>
          </w:tcPr>
          <w:p w14:paraId="22726F3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1B216E58"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6C92E5E1" w14:textId="77777777" w:rsidR="007B2888" w:rsidRPr="006238F3" w:rsidRDefault="007B2888" w:rsidP="007B2888">
            <w:pPr>
              <w:jc w:val="center"/>
              <w:rPr>
                <w:rFonts w:ascii="Arial" w:hAnsi="Arial" w:cs="Arial"/>
                <w:noProof w:val="0"/>
                <w:sz w:val="22"/>
                <w:szCs w:val="22"/>
              </w:rPr>
            </w:pPr>
          </w:p>
        </w:tc>
        <w:tc>
          <w:tcPr>
            <w:tcW w:w="1197" w:type="dxa"/>
            <w:shd w:val="clear" w:color="auto" w:fill="auto"/>
          </w:tcPr>
          <w:p w14:paraId="5A89E69E"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0</w:t>
            </w:r>
          </w:p>
        </w:tc>
      </w:tr>
    </w:tbl>
    <w:p w14:paraId="635E8C7C" w14:textId="77777777" w:rsidR="007B2888" w:rsidRPr="006238F3" w:rsidRDefault="007B2888" w:rsidP="007B2888">
      <w:pPr>
        <w:rPr>
          <w:rFonts w:ascii="Arial" w:hAnsi="Arial" w:cs="Arial"/>
          <w:noProof w:val="0"/>
          <w:sz w:val="22"/>
          <w:szCs w:val="22"/>
        </w:rPr>
      </w:pPr>
    </w:p>
    <w:p w14:paraId="3D405A2C" w14:textId="77777777" w:rsidR="007B2888" w:rsidRPr="006238F3" w:rsidRDefault="007B2888" w:rsidP="007B2888">
      <w:pPr>
        <w:rPr>
          <w:rFonts w:ascii="Arial" w:hAnsi="Arial" w:cs="Arial"/>
          <w:b/>
          <w:bCs/>
          <w:noProof w:val="0"/>
          <w:sz w:val="22"/>
          <w:szCs w:val="22"/>
        </w:rPr>
      </w:pPr>
      <w:r w:rsidRPr="006238F3">
        <w:rPr>
          <w:rFonts w:ascii="Arial" w:hAnsi="Arial" w:cs="Arial"/>
          <w:noProof w:val="0"/>
          <w:sz w:val="22"/>
          <w:szCs w:val="22"/>
        </w:rPr>
        <w:br w:type="page"/>
      </w:r>
    </w:p>
    <w:p w14:paraId="68D01DC1" w14:textId="58F11A7C" w:rsidR="007B2888" w:rsidRPr="006238F3" w:rsidRDefault="007B2888" w:rsidP="007B2888">
      <w:pPr>
        <w:pStyle w:val="Caption"/>
        <w:keepNext/>
        <w:spacing w:after="120"/>
        <w:rPr>
          <w:rFonts w:ascii="Arial" w:hAnsi="Arial" w:cs="Arial"/>
          <w:noProof w:val="0"/>
          <w:color w:val="auto"/>
          <w:sz w:val="22"/>
          <w:szCs w:val="22"/>
        </w:rPr>
      </w:pPr>
      <w:r w:rsidRPr="006238F3">
        <w:rPr>
          <w:rFonts w:ascii="Arial" w:hAnsi="Arial" w:cs="Arial"/>
          <w:noProof w:val="0"/>
          <w:color w:val="auto"/>
          <w:sz w:val="22"/>
          <w:szCs w:val="22"/>
        </w:rPr>
        <w:lastRenderedPageBreak/>
        <w:t>Table 1 Empirical indicators and fuzzy set interval scores, Cont.</w:t>
      </w:r>
    </w:p>
    <w:tbl>
      <w:tblPr>
        <w:tblStyle w:val="TableGrid"/>
        <w:tblW w:w="14850" w:type="dxa"/>
        <w:tblLayout w:type="fixed"/>
        <w:tblLook w:val="04A0" w:firstRow="1" w:lastRow="0" w:firstColumn="1" w:lastColumn="0" w:noHBand="0" w:noVBand="1"/>
      </w:tblPr>
      <w:tblGrid>
        <w:gridCol w:w="1256"/>
        <w:gridCol w:w="1262"/>
        <w:gridCol w:w="1559"/>
        <w:gridCol w:w="1197"/>
        <w:gridCol w:w="1197"/>
        <w:gridCol w:w="1197"/>
        <w:gridCol w:w="1197"/>
        <w:gridCol w:w="1197"/>
        <w:gridCol w:w="1197"/>
        <w:gridCol w:w="1197"/>
        <w:gridCol w:w="1197"/>
        <w:gridCol w:w="1197"/>
      </w:tblGrid>
      <w:tr w:rsidR="007B2888" w:rsidRPr="00DC3968" w14:paraId="00B9586C" w14:textId="77777777" w:rsidTr="007B2888">
        <w:tc>
          <w:tcPr>
            <w:tcW w:w="1256" w:type="dxa"/>
            <w:shd w:val="clear" w:color="auto" w:fill="D9D9D9" w:themeFill="background1" w:themeFillShade="D9"/>
          </w:tcPr>
          <w:p w14:paraId="131251CD" w14:textId="3491DA5E" w:rsidR="007B2888" w:rsidRPr="006238F3" w:rsidRDefault="009948CE" w:rsidP="007B2888">
            <w:pPr>
              <w:rPr>
                <w:rFonts w:ascii="Arial" w:hAnsi="Arial" w:cs="Arial"/>
                <w:b/>
                <w:i/>
                <w:noProof w:val="0"/>
                <w:sz w:val="22"/>
                <w:szCs w:val="22"/>
              </w:rPr>
            </w:pPr>
            <w:r>
              <w:rPr>
                <w:rFonts w:ascii="Arial" w:hAnsi="Arial" w:cs="Arial"/>
                <w:b/>
                <w:i/>
                <w:noProof w:val="0"/>
                <w:sz w:val="22"/>
                <w:szCs w:val="22"/>
              </w:rPr>
              <w:t>Domain</w:t>
            </w:r>
          </w:p>
        </w:tc>
        <w:tc>
          <w:tcPr>
            <w:tcW w:w="2821" w:type="dxa"/>
            <w:gridSpan w:val="2"/>
            <w:shd w:val="clear" w:color="auto" w:fill="D9D9D9" w:themeFill="background1" w:themeFillShade="D9"/>
          </w:tcPr>
          <w:p w14:paraId="40D8F366" w14:textId="77777777" w:rsidR="007B2888" w:rsidRPr="006238F3" w:rsidRDefault="007B2888" w:rsidP="007B2888">
            <w:pPr>
              <w:rPr>
                <w:rFonts w:ascii="Arial" w:hAnsi="Arial" w:cs="Arial"/>
                <w:b/>
                <w:i/>
                <w:noProof w:val="0"/>
                <w:sz w:val="22"/>
                <w:szCs w:val="22"/>
              </w:rPr>
            </w:pPr>
            <w:r w:rsidRPr="006238F3">
              <w:rPr>
                <w:rFonts w:ascii="Arial" w:hAnsi="Arial" w:cs="Arial"/>
                <w:b/>
                <w:i/>
                <w:noProof w:val="0"/>
                <w:sz w:val="22"/>
                <w:szCs w:val="22"/>
              </w:rPr>
              <w:t>Indicator</w:t>
            </w:r>
          </w:p>
        </w:tc>
        <w:tc>
          <w:tcPr>
            <w:tcW w:w="1197" w:type="dxa"/>
            <w:shd w:val="clear" w:color="auto" w:fill="D9D9D9" w:themeFill="background1" w:themeFillShade="D9"/>
          </w:tcPr>
          <w:p w14:paraId="5DFE664C"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Fully in the set</w:t>
            </w:r>
          </w:p>
          <w:p w14:paraId="03A74E13" w14:textId="77777777" w:rsidR="007B2888" w:rsidRPr="006238F3" w:rsidRDefault="007B2888" w:rsidP="007B2888">
            <w:pPr>
              <w:jc w:val="center"/>
              <w:rPr>
                <w:rFonts w:ascii="Arial" w:hAnsi="Arial" w:cs="Arial"/>
                <w:b/>
                <w:i/>
                <w:noProof w:val="0"/>
                <w:sz w:val="22"/>
                <w:szCs w:val="22"/>
              </w:rPr>
            </w:pPr>
          </w:p>
          <w:p w14:paraId="446AE7EC"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1.00</w:t>
            </w:r>
          </w:p>
        </w:tc>
        <w:tc>
          <w:tcPr>
            <w:tcW w:w="1197" w:type="dxa"/>
            <w:shd w:val="clear" w:color="auto" w:fill="D9D9D9" w:themeFill="background1" w:themeFillShade="D9"/>
          </w:tcPr>
          <w:p w14:paraId="54502B57"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Almost fully in the set</w:t>
            </w:r>
          </w:p>
          <w:p w14:paraId="229B83F2" w14:textId="77777777" w:rsidR="007B2888" w:rsidRPr="006238F3" w:rsidRDefault="007B2888" w:rsidP="007B2888">
            <w:pPr>
              <w:jc w:val="center"/>
              <w:rPr>
                <w:rFonts w:ascii="Arial" w:hAnsi="Arial" w:cs="Arial"/>
                <w:b/>
                <w:i/>
                <w:noProof w:val="0"/>
                <w:sz w:val="22"/>
                <w:szCs w:val="22"/>
              </w:rPr>
            </w:pPr>
          </w:p>
          <w:p w14:paraId="43219E80"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0.83-0.99</w:t>
            </w:r>
          </w:p>
        </w:tc>
        <w:tc>
          <w:tcPr>
            <w:tcW w:w="1197" w:type="dxa"/>
            <w:shd w:val="clear" w:color="auto" w:fill="D9D9D9" w:themeFill="background1" w:themeFillShade="D9"/>
          </w:tcPr>
          <w:p w14:paraId="7BCA6831"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Fairly in the set</w:t>
            </w:r>
          </w:p>
          <w:p w14:paraId="1F0C1BE2" w14:textId="77777777" w:rsidR="007B2888" w:rsidRPr="006238F3" w:rsidRDefault="007B2888" w:rsidP="007B2888">
            <w:pPr>
              <w:jc w:val="center"/>
              <w:rPr>
                <w:rFonts w:ascii="Arial" w:hAnsi="Arial" w:cs="Arial"/>
                <w:b/>
                <w:i/>
                <w:noProof w:val="0"/>
                <w:sz w:val="22"/>
                <w:szCs w:val="22"/>
              </w:rPr>
            </w:pPr>
          </w:p>
          <w:p w14:paraId="2E967F26"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0.67-0.82</w:t>
            </w:r>
          </w:p>
        </w:tc>
        <w:tc>
          <w:tcPr>
            <w:tcW w:w="1197" w:type="dxa"/>
            <w:shd w:val="clear" w:color="auto" w:fill="D9D9D9" w:themeFill="background1" w:themeFillShade="D9"/>
          </w:tcPr>
          <w:p w14:paraId="5E98AAAC"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More or less in the set</w:t>
            </w:r>
          </w:p>
          <w:p w14:paraId="21D86878" w14:textId="77777777" w:rsidR="007B2888" w:rsidRPr="006238F3" w:rsidRDefault="007B2888" w:rsidP="007B2888">
            <w:pPr>
              <w:jc w:val="center"/>
              <w:rPr>
                <w:rFonts w:ascii="Arial" w:hAnsi="Arial" w:cs="Arial"/>
                <w:b/>
                <w:i/>
                <w:noProof w:val="0"/>
                <w:sz w:val="22"/>
                <w:szCs w:val="22"/>
              </w:rPr>
            </w:pPr>
          </w:p>
          <w:p w14:paraId="062C9139"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0.51-0.66</w:t>
            </w:r>
          </w:p>
        </w:tc>
        <w:tc>
          <w:tcPr>
            <w:tcW w:w="1197" w:type="dxa"/>
            <w:shd w:val="clear" w:color="auto" w:fill="D9D9D9" w:themeFill="background1" w:themeFillShade="D9"/>
          </w:tcPr>
          <w:p w14:paraId="76CBF213"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Neither in nor out of the set</w:t>
            </w:r>
          </w:p>
          <w:p w14:paraId="0912AFDA"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0.5</w:t>
            </w:r>
          </w:p>
        </w:tc>
        <w:tc>
          <w:tcPr>
            <w:tcW w:w="1197" w:type="dxa"/>
            <w:shd w:val="clear" w:color="auto" w:fill="D9D9D9" w:themeFill="background1" w:themeFillShade="D9"/>
          </w:tcPr>
          <w:p w14:paraId="2CF0F5DE"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Fairly out of the set</w:t>
            </w:r>
          </w:p>
          <w:p w14:paraId="33151DEA" w14:textId="77777777" w:rsidR="007B2888" w:rsidRPr="006238F3" w:rsidRDefault="007B2888" w:rsidP="007B2888">
            <w:pPr>
              <w:jc w:val="center"/>
              <w:rPr>
                <w:rFonts w:ascii="Arial" w:hAnsi="Arial" w:cs="Arial"/>
                <w:b/>
                <w:i/>
                <w:noProof w:val="0"/>
                <w:sz w:val="22"/>
                <w:szCs w:val="22"/>
              </w:rPr>
            </w:pPr>
          </w:p>
          <w:p w14:paraId="4C2972CC"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0.33-0.49</w:t>
            </w:r>
          </w:p>
        </w:tc>
        <w:tc>
          <w:tcPr>
            <w:tcW w:w="1197" w:type="dxa"/>
            <w:shd w:val="clear" w:color="auto" w:fill="D9D9D9" w:themeFill="background1" w:themeFillShade="D9"/>
          </w:tcPr>
          <w:p w14:paraId="6D25DF50"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Mostly out of the set</w:t>
            </w:r>
          </w:p>
          <w:p w14:paraId="60F4ECC8" w14:textId="77777777" w:rsidR="007B2888" w:rsidRPr="006238F3" w:rsidRDefault="007B2888" w:rsidP="007B2888">
            <w:pPr>
              <w:jc w:val="center"/>
              <w:rPr>
                <w:rFonts w:ascii="Arial" w:hAnsi="Arial" w:cs="Arial"/>
                <w:b/>
                <w:i/>
                <w:noProof w:val="0"/>
                <w:sz w:val="22"/>
                <w:szCs w:val="22"/>
              </w:rPr>
            </w:pPr>
          </w:p>
          <w:p w14:paraId="2F2CA413"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0.17-0.32</w:t>
            </w:r>
          </w:p>
        </w:tc>
        <w:tc>
          <w:tcPr>
            <w:tcW w:w="1197" w:type="dxa"/>
            <w:shd w:val="clear" w:color="auto" w:fill="D9D9D9" w:themeFill="background1" w:themeFillShade="D9"/>
          </w:tcPr>
          <w:p w14:paraId="5E9F4A90"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Almost fully out of the set</w:t>
            </w:r>
          </w:p>
          <w:p w14:paraId="1FFC521A" w14:textId="77777777" w:rsidR="007B2888" w:rsidRPr="006238F3" w:rsidRDefault="007B2888" w:rsidP="007B2888">
            <w:pPr>
              <w:jc w:val="center"/>
              <w:rPr>
                <w:rFonts w:ascii="Arial" w:hAnsi="Arial" w:cs="Arial"/>
                <w:b/>
                <w:i/>
                <w:noProof w:val="0"/>
                <w:sz w:val="22"/>
                <w:szCs w:val="22"/>
              </w:rPr>
            </w:pPr>
          </w:p>
          <w:p w14:paraId="2DE6767B"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0.01-0.16</w:t>
            </w:r>
          </w:p>
        </w:tc>
        <w:tc>
          <w:tcPr>
            <w:tcW w:w="1197" w:type="dxa"/>
            <w:shd w:val="clear" w:color="auto" w:fill="D9D9D9" w:themeFill="background1" w:themeFillShade="D9"/>
          </w:tcPr>
          <w:p w14:paraId="7D5C07A6"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Fully out of the set</w:t>
            </w:r>
          </w:p>
          <w:p w14:paraId="4E9E69A2" w14:textId="77777777" w:rsidR="007B2888" w:rsidRPr="006238F3" w:rsidRDefault="007B2888" w:rsidP="007B2888">
            <w:pPr>
              <w:jc w:val="center"/>
              <w:rPr>
                <w:rFonts w:ascii="Arial" w:hAnsi="Arial" w:cs="Arial"/>
                <w:b/>
                <w:i/>
                <w:noProof w:val="0"/>
                <w:sz w:val="22"/>
                <w:szCs w:val="22"/>
              </w:rPr>
            </w:pPr>
          </w:p>
          <w:p w14:paraId="2E474F48" w14:textId="77777777" w:rsidR="007B2888" w:rsidRPr="006238F3" w:rsidRDefault="007B2888" w:rsidP="007B2888">
            <w:pPr>
              <w:jc w:val="center"/>
              <w:rPr>
                <w:rFonts w:ascii="Arial" w:hAnsi="Arial" w:cs="Arial"/>
                <w:b/>
                <w:i/>
                <w:noProof w:val="0"/>
                <w:sz w:val="22"/>
                <w:szCs w:val="22"/>
              </w:rPr>
            </w:pPr>
            <w:r w:rsidRPr="006238F3">
              <w:rPr>
                <w:rFonts w:ascii="Arial" w:hAnsi="Arial" w:cs="Arial"/>
                <w:b/>
                <w:i/>
                <w:noProof w:val="0"/>
                <w:sz w:val="22"/>
                <w:szCs w:val="22"/>
              </w:rPr>
              <w:t>0.00</w:t>
            </w:r>
          </w:p>
        </w:tc>
      </w:tr>
      <w:tr w:rsidR="007B2888" w:rsidRPr="00DC3968" w14:paraId="011EFA89" w14:textId="77777777" w:rsidTr="007B2888">
        <w:trPr>
          <w:trHeight w:val="171"/>
        </w:trPr>
        <w:tc>
          <w:tcPr>
            <w:tcW w:w="1256" w:type="dxa"/>
            <w:vMerge w:val="restart"/>
          </w:tcPr>
          <w:p w14:paraId="6181E3DA" w14:textId="77777777" w:rsidR="007B2888" w:rsidRPr="006238F3" w:rsidRDefault="007B2888" w:rsidP="007B2888">
            <w:pPr>
              <w:rPr>
                <w:rFonts w:ascii="Arial" w:hAnsi="Arial" w:cs="Arial"/>
                <w:noProof w:val="0"/>
                <w:sz w:val="22"/>
                <w:szCs w:val="22"/>
              </w:rPr>
            </w:pPr>
            <w:r w:rsidRPr="006238F3">
              <w:rPr>
                <w:rFonts w:ascii="Arial" w:hAnsi="Arial" w:cs="Arial"/>
                <w:noProof w:val="0"/>
                <w:sz w:val="22"/>
                <w:szCs w:val="22"/>
              </w:rPr>
              <w:t>Old-Age Income Protection (I)</w:t>
            </w:r>
          </w:p>
          <w:p w14:paraId="4F0EFA03" w14:textId="77777777" w:rsidR="007B2888" w:rsidRPr="006238F3" w:rsidRDefault="007B2888" w:rsidP="007B2888">
            <w:pPr>
              <w:rPr>
                <w:rFonts w:ascii="Arial" w:hAnsi="Arial" w:cs="Arial"/>
                <w:noProof w:val="0"/>
                <w:sz w:val="22"/>
                <w:szCs w:val="22"/>
              </w:rPr>
            </w:pPr>
          </w:p>
        </w:tc>
        <w:tc>
          <w:tcPr>
            <w:tcW w:w="1262" w:type="dxa"/>
          </w:tcPr>
          <w:p w14:paraId="0C9A25E7" w14:textId="77777777" w:rsidR="007B2888" w:rsidRPr="006238F3" w:rsidRDefault="007B2888" w:rsidP="007B2888">
            <w:pPr>
              <w:rPr>
                <w:rFonts w:ascii="Arial" w:hAnsi="Arial" w:cs="Arial"/>
                <w:i/>
                <w:iCs/>
                <w:caps/>
                <w:noProof w:val="0"/>
                <w:sz w:val="22"/>
                <w:szCs w:val="22"/>
                <w:lang w:eastAsia="zh-CN"/>
              </w:rPr>
            </w:pPr>
            <w:r w:rsidRPr="006238F3">
              <w:rPr>
                <w:rFonts w:ascii="Arial" w:hAnsi="Arial" w:cs="Arial"/>
                <w:i/>
                <w:iCs/>
                <w:caps/>
                <w:noProof w:val="0"/>
                <w:sz w:val="22"/>
                <w:szCs w:val="22"/>
                <w:lang w:eastAsia="zh-CN"/>
              </w:rPr>
              <w:t>zero PILLAR pension</w:t>
            </w:r>
          </w:p>
        </w:tc>
        <w:tc>
          <w:tcPr>
            <w:tcW w:w="1559" w:type="dxa"/>
          </w:tcPr>
          <w:p w14:paraId="10ACB61C" w14:textId="77777777" w:rsidR="007B2888" w:rsidRPr="006238F3" w:rsidRDefault="007B2888" w:rsidP="007B2888">
            <w:pPr>
              <w:rPr>
                <w:rFonts w:ascii="Arial" w:hAnsi="Arial" w:cs="Arial"/>
                <w:noProof w:val="0"/>
                <w:sz w:val="22"/>
                <w:szCs w:val="22"/>
                <w:lang w:eastAsia="zh-CN"/>
              </w:rPr>
            </w:pPr>
            <w:r w:rsidRPr="006238F3">
              <w:rPr>
                <w:rFonts w:ascii="Arial" w:hAnsi="Arial" w:cs="Arial"/>
                <w:noProof w:val="0"/>
                <w:sz w:val="22"/>
                <w:szCs w:val="22"/>
                <w:lang w:eastAsia="zh-CN"/>
              </w:rPr>
              <w:t>Pension programmes</w:t>
            </w:r>
          </w:p>
        </w:tc>
        <w:tc>
          <w:tcPr>
            <w:tcW w:w="1197" w:type="dxa"/>
          </w:tcPr>
          <w:p w14:paraId="4CD30392" w14:textId="77777777" w:rsidR="007B2888" w:rsidRPr="006238F3" w:rsidRDefault="007B2888" w:rsidP="007B2888">
            <w:pPr>
              <w:jc w:val="center"/>
              <w:rPr>
                <w:rFonts w:ascii="Arial" w:eastAsia="SimSun" w:hAnsi="Arial" w:cs="Arial"/>
                <w:noProof w:val="0"/>
                <w:sz w:val="22"/>
                <w:szCs w:val="22"/>
                <w:lang w:eastAsia="zh-CN"/>
              </w:rPr>
            </w:pPr>
            <w:r w:rsidRPr="006238F3">
              <w:rPr>
                <w:rFonts w:ascii="Arial" w:eastAsia="SimSun" w:hAnsi="Arial" w:cs="Arial"/>
                <w:noProof w:val="0"/>
                <w:sz w:val="22"/>
                <w:szCs w:val="22"/>
                <w:lang w:eastAsia="zh-CN"/>
              </w:rPr>
              <w:t>With zero pillar pension</w:t>
            </w:r>
          </w:p>
        </w:tc>
        <w:tc>
          <w:tcPr>
            <w:tcW w:w="1197" w:type="dxa"/>
          </w:tcPr>
          <w:p w14:paraId="563CE91B" w14:textId="77777777" w:rsidR="007B2888" w:rsidRPr="006238F3" w:rsidRDefault="007B2888" w:rsidP="007B2888">
            <w:pPr>
              <w:jc w:val="center"/>
              <w:rPr>
                <w:rFonts w:ascii="Arial" w:hAnsi="Arial" w:cs="Arial"/>
                <w:noProof w:val="0"/>
                <w:sz w:val="22"/>
                <w:szCs w:val="22"/>
              </w:rPr>
            </w:pPr>
          </w:p>
        </w:tc>
        <w:tc>
          <w:tcPr>
            <w:tcW w:w="1197" w:type="dxa"/>
          </w:tcPr>
          <w:p w14:paraId="79C78E51" w14:textId="77777777" w:rsidR="007B2888" w:rsidRPr="006238F3" w:rsidRDefault="007B2888" w:rsidP="007B2888">
            <w:pPr>
              <w:jc w:val="center"/>
              <w:rPr>
                <w:rFonts w:ascii="Arial" w:hAnsi="Arial" w:cs="Arial"/>
                <w:noProof w:val="0"/>
                <w:sz w:val="22"/>
                <w:szCs w:val="22"/>
              </w:rPr>
            </w:pPr>
          </w:p>
        </w:tc>
        <w:tc>
          <w:tcPr>
            <w:tcW w:w="1197" w:type="dxa"/>
          </w:tcPr>
          <w:p w14:paraId="77ABADA3" w14:textId="77777777" w:rsidR="007B2888" w:rsidRPr="006238F3" w:rsidRDefault="007B2888" w:rsidP="007B2888">
            <w:pPr>
              <w:jc w:val="center"/>
              <w:rPr>
                <w:rFonts w:ascii="Arial" w:hAnsi="Arial" w:cs="Arial"/>
                <w:noProof w:val="0"/>
                <w:sz w:val="22"/>
                <w:szCs w:val="22"/>
              </w:rPr>
            </w:pPr>
          </w:p>
        </w:tc>
        <w:tc>
          <w:tcPr>
            <w:tcW w:w="1197" w:type="dxa"/>
          </w:tcPr>
          <w:p w14:paraId="10313BEE" w14:textId="77777777" w:rsidR="007B2888" w:rsidRPr="006238F3" w:rsidRDefault="007B2888" w:rsidP="007B2888">
            <w:pPr>
              <w:jc w:val="center"/>
              <w:rPr>
                <w:rFonts w:ascii="Arial" w:hAnsi="Arial" w:cs="Arial"/>
                <w:noProof w:val="0"/>
                <w:sz w:val="22"/>
                <w:szCs w:val="22"/>
              </w:rPr>
            </w:pPr>
          </w:p>
        </w:tc>
        <w:tc>
          <w:tcPr>
            <w:tcW w:w="1197" w:type="dxa"/>
          </w:tcPr>
          <w:p w14:paraId="4BD4DAB9" w14:textId="77777777" w:rsidR="007B2888" w:rsidRPr="006238F3" w:rsidRDefault="007B2888" w:rsidP="007B2888">
            <w:pPr>
              <w:jc w:val="center"/>
              <w:rPr>
                <w:rFonts w:ascii="Arial" w:hAnsi="Arial" w:cs="Arial"/>
                <w:noProof w:val="0"/>
                <w:sz w:val="22"/>
                <w:szCs w:val="22"/>
              </w:rPr>
            </w:pPr>
          </w:p>
        </w:tc>
        <w:tc>
          <w:tcPr>
            <w:tcW w:w="1197" w:type="dxa"/>
          </w:tcPr>
          <w:p w14:paraId="3FD7CD10" w14:textId="77777777" w:rsidR="007B2888" w:rsidRPr="006238F3" w:rsidRDefault="007B2888" w:rsidP="007B2888">
            <w:pPr>
              <w:jc w:val="center"/>
              <w:rPr>
                <w:rFonts w:ascii="Arial" w:hAnsi="Arial" w:cs="Arial"/>
                <w:noProof w:val="0"/>
                <w:sz w:val="22"/>
                <w:szCs w:val="22"/>
              </w:rPr>
            </w:pPr>
          </w:p>
        </w:tc>
        <w:tc>
          <w:tcPr>
            <w:tcW w:w="1197" w:type="dxa"/>
          </w:tcPr>
          <w:p w14:paraId="54E2C131" w14:textId="77777777" w:rsidR="007B2888" w:rsidRPr="006238F3" w:rsidRDefault="007B2888" w:rsidP="007B2888">
            <w:pPr>
              <w:jc w:val="center"/>
              <w:rPr>
                <w:rFonts w:ascii="Arial" w:hAnsi="Arial" w:cs="Arial"/>
                <w:noProof w:val="0"/>
                <w:sz w:val="22"/>
                <w:szCs w:val="22"/>
              </w:rPr>
            </w:pPr>
          </w:p>
        </w:tc>
        <w:tc>
          <w:tcPr>
            <w:tcW w:w="1197" w:type="dxa"/>
          </w:tcPr>
          <w:p w14:paraId="1A1A6199" w14:textId="77777777" w:rsidR="007B2888" w:rsidRPr="006238F3" w:rsidRDefault="007B2888" w:rsidP="007B2888">
            <w:pPr>
              <w:jc w:val="center"/>
              <w:rPr>
                <w:rFonts w:ascii="Arial" w:eastAsia="SimSun" w:hAnsi="Arial" w:cs="Arial"/>
                <w:noProof w:val="0"/>
                <w:sz w:val="22"/>
                <w:szCs w:val="22"/>
                <w:lang w:eastAsia="zh-CN"/>
              </w:rPr>
            </w:pPr>
            <w:r w:rsidRPr="006238F3">
              <w:rPr>
                <w:rFonts w:ascii="Arial" w:eastAsia="SimSun" w:hAnsi="Arial" w:cs="Arial"/>
                <w:noProof w:val="0"/>
                <w:sz w:val="22"/>
                <w:szCs w:val="22"/>
                <w:lang w:eastAsia="zh-CN"/>
              </w:rPr>
              <w:t>No zero-pillar pension</w:t>
            </w:r>
          </w:p>
        </w:tc>
      </w:tr>
      <w:tr w:rsidR="007B2888" w:rsidRPr="00DC3968" w14:paraId="45E8774B" w14:textId="77777777" w:rsidTr="007B2888">
        <w:trPr>
          <w:trHeight w:val="1071"/>
        </w:trPr>
        <w:tc>
          <w:tcPr>
            <w:tcW w:w="1256" w:type="dxa"/>
            <w:vMerge/>
          </w:tcPr>
          <w:p w14:paraId="1C7E05FB" w14:textId="77777777" w:rsidR="007B2888" w:rsidRPr="006238F3" w:rsidRDefault="007B2888" w:rsidP="007B2888">
            <w:pPr>
              <w:rPr>
                <w:rFonts w:ascii="Arial" w:hAnsi="Arial" w:cs="Arial"/>
                <w:noProof w:val="0"/>
                <w:sz w:val="22"/>
                <w:szCs w:val="22"/>
              </w:rPr>
            </w:pPr>
          </w:p>
        </w:tc>
        <w:tc>
          <w:tcPr>
            <w:tcW w:w="1262" w:type="dxa"/>
            <w:vMerge w:val="restart"/>
          </w:tcPr>
          <w:p w14:paraId="29B8281B" w14:textId="77777777" w:rsidR="007B2888" w:rsidRPr="006238F3" w:rsidRDefault="007B2888" w:rsidP="007B2888">
            <w:pPr>
              <w:ind w:left="240"/>
              <w:rPr>
                <w:rFonts w:ascii="Arial" w:hAnsi="Arial" w:cs="Arial"/>
                <w:i/>
                <w:noProof w:val="0"/>
                <w:sz w:val="22"/>
                <w:szCs w:val="22"/>
                <w:lang w:eastAsia="zh-CN"/>
              </w:rPr>
            </w:pPr>
          </w:p>
          <w:p w14:paraId="18E76273" w14:textId="77777777" w:rsidR="007B2888" w:rsidRPr="006238F3" w:rsidRDefault="007B2888" w:rsidP="007B2888">
            <w:pPr>
              <w:ind w:left="240"/>
              <w:rPr>
                <w:rFonts w:ascii="Arial" w:hAnsi="Arial" w:cs="Arial"/>
                <w:i/>
                <w:noProof w:val="0"/>
                <w:sz w:val="22"/>
                <w:szCs w:val="22"/>
                <w:lang w:eastAsia="zh-CN"/>
              </w:rPr>
            </w:pPr>
          </w:p>
          <w:p w14:paraId="7FB88E4F" w14:textId="77777777" w:rsidR="007B2888" w:rsidRPr="006238F3" w:rsidRDefault="007B2888" w:rsidP="007B2888">
            <w:pPr>
              <w:rPr>
                <w:rFonts w:ascii="Arial" w:hAnsi="Arial" w:cs="Arial"/>
                <w:i/>
                <w:noProof w:val="0"/>
                <w:sz w:val="22"/>
                <w:szCs w:val="22"/>
                <w:lang w:eastAsia="zh-CN"/>
              </w:rPr>
            </w:pPr>
            <w:r w:rsidRPr="006238F3">
              <w:rPr>
                <w:rFonts w:ascii="Arial" w:hAnsi="Arial" w:cs="Arial"/>
                <w:i/>
                <w:noProof w:val="0"/>
                <w:sz w:val="22"/>
                <w:szCs w:val="22"/>
                <w:lang w:eastAsia="zh-CN"/>
              </w:rPr>
              <w:t>Mandatory pension</w:t>
            </w:r>
          </w:p>
          <w:p w14:paraId="66385B8E" w14:textId="77777777" w:rsidR="007B2888" w:rsidRPr="006238F3" w:rsidRDefault="007B2888" w:rsidP="007B2888">
            <w:pPr>
              <w:rPr>
                <w:rFonts w:ascii="Arial" w:hAnsi="Arial" w:cs="Arial"/>
                <w:i/>
                <w:noProof w:val="0"/>
                <w:sz w:val="22"/>
                <w:szCs w:val="22"/>
              </w:rPr>
            </w:pPr>
          </w:p>
        </w:tc>
        <w:tc>
          <w:tcPr>
            <w:tcW w:w="1559" w:type="dxa"/>
          </w:tcPr>
          <w:p w14:paraId="1B1D3992"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Generosity</w:t>
            </w:r>
            <w:r w:rsidRPr="006238F3">
              <w:rPr>
                <w:rFonts w:ascii="Arial" w:hAnsi="Arial" w:cs="Arial"/>
                <w:i/>
                <w:noProof w:val="0"/>
                <w:sz w:val="22"/>
                <w:szCs w:val="22"/>
              </w:rPr>
              <w:t xml:space="preserve"> </w:t>
            </w:r>
            <w:r w:rsidRPr="006238F3">
              <w:rPr>
                <w:rFonts w:ascii="Arial" w:hAnsi="Arial" w:cs="Arial"/>
                <w:noProof w:val="0"/>
                <w:sz w:val="22"/>
                <w:szCs w:val="22"/>
              </w:rPr>
              <w:t xml:space="preserve">measured by average net replacement rate (%) </w:t>
            </w:r>
          </w:p>
        </w:tc>
        <w:tc>
          <w:tcPr>
            <w:tcW w:w="1197" w:type="dxa"/>
          </w:tcPr>
          <w:p w14:paraId="4B36477E"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&gt;75</w:t>
            </w:r>
          </w:p>
          <w:p w14:paraId="7C61821D"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High</w:t>
            </w:r>
          </w:p>
        </w:tc>
        <w:tc>
          <w:tcPr>
            <w:tcW w:w="1197" w:type="dxa"/>
          </w:tcPr>
          <w:p w14:paraId="43C98E77" w14:textId="77777777" w:rsidR="007B2888" w:rsidRPr="006238F3" w:rsidRDefault="007B2888" w:rsidP="007B2888">
            <w:pPr>
              <w:jc w:val="center"/>
              <w:rPr>
                <w:rFonts w:ascii="Arial" w:hAnsi="Arial" w:cs="Arial"/>
                <w:noProof w:val="0"/>
                <w:sz w:val="22"/>
                <w:szCs w:val="22"/>
              </w:rPr>
            </w:pPr>
          </w:p>
        </w:tc>
        <w:tc>
          <w:tcPr>
            <w:tcW w:w="1197" w:type="dxa"/>
          </w:tcPr>
          <w:p w14:paraId="266B55DB" w14:textId="77777777" w:rsidR="007B2888" w:rsidRPr="006238F3" w:rsidRDefault="007B2888" w:rsidP="007B2888">
            <w:pPr>
              <w:jc w:val="center"/>
              <w:rPr>
                <w:rFonts w:ascii="Arial" w:hAnsi="Arial" w:cs="Arial"/>
                <w:noProof w:val="0"/>
                <w:sz w:val="22"/>
                <w:szCs w:val="22"/>
              </w:rPr>
            </w:pPr>
          </w:p>
        </w:tc>
        <w:tc>
          <w:tcPr>
            <w:tcW w:w="1197" w:type="dxa"/>
          </w:tcPr>
          <w:p w14:paraId="7EC9783D" w14:textId="77777777" w:rsidR="007B2888" w:rsidRPr="006238F3" w:rsidRDefault="007B2888" w:rsidP="007B2888">
            <w:pPr>
              <w:jc w:val="center"/>
              <w:rPr>
                <w:rFonts w:ascii="Arial" w:hAnsi="Arial" w:cs="Arial"/>
                <w:noProof w:val="0"/>
                <w:sz w:val="22"/>
                <w:szCs w:val="22"/>
              </w:rPr>
            </w:pPr>
          </w:p>
        </w:tc>
        <w:tc>
          <w:tcPr>
            <w:tcW w:w="1197" w:type="dxa"/>
          </w:tcPr>
          <w:p w14:paraId="1216B985"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50</w:t>
            </w:r>
          </w:p>
          <w:p w14:paraId="0CD7D273"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Medium</w:t>
            </w:r>
          </w:p>
        </w:tc>
        <w:tc>
          <w:tcPr>
            <w:tcW w:w="1197" w:type="dxa"/>
          </w:tcPr>
          <w:p w14:paraId="4EB142EB" w14:textId="77777777" w:rsidR="007B2888" w:rsidRPr="006238F3" w:rsidRDefault="007B2888" w:rsidP="007B2888">
            <w:pPr>
              <w:jc w:val="center"/>
              <w:rPr>
                <w:rFonts w:ascii="Arial" w:hAnsi="Arial" w:cs="Arial"/>
                <w:noProof w:val="0"/>
                <w:sz w:val="22"/>
                <w:szCs w:val="22"/>
              </w:rPr>
            </w:pPr>
          </w:p>
        </w:tc>
        <w:tc>
          <w:tcPr>
            <w:tcW w:w="1197" w:type="dxa"/>
          </w:tcPr>
          <w:p w14:paraId="0161139B" w14:textId="77777777" w:rsidR="007B2888" w:rsidRPr="006238F3" w:rsidRDefault="007B2888" w:rsidP="007B2888">
            <w:pPr>
              <w:jc w:val="center"/>
              <w:rPr>
                <w:rFonts w:ascii="Arial" w:hAnsi="Arial" w:cs="Arial"/>
                <w:noProof w:val="0"/>
                <w:sz w:val="22"/>
                <w:szCs w:val="22"/>
              </w:rPr>
            </w:pPr>
          </w:p>
        </w:tc>
        <w:tc>
          <w:tcPr>
            <w:tcW w:w="1197" w:type="dxa"/>
          </w:tcPr>
          <w:p w14:paraId="0439D9CF" w14:textId="77777777" w:rsidR="007B2888" w:rsidRPr="006238F3" w:rsidRDefault="007B2888" w:rsidP="007B2888">
            <w:pPr>
              <w:jc w:val="center"/>
              <w:rPr>
                <w:rFonts w:ascii="Arial" w:hAnsi="Arial" w:cs="Arial"/>
                <w:noProof w:val="0"/>
                <w:sz w:val="22"/>
                <w:szCs w:val="22"/>
              </w:rPr>
            </w:pPr>
          </w:p>
        </w:tc>
        <w:tc>
          <w:tcPr>
            <w:tcW w:w="1197" w:type="dxa"/>
          </w:tcPr>
          <w:p w14:paraId="3A658C07"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&lt;20</w:t>
            </w:r>
          </w:p>
          <w:p w14:paraId="64B9C5DC"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Low</w:t>
            </w:r>
          </w:p>
        </w:tc>
      </w:tr>
      <w:tr w:rsidR="007B2888" w:rsidRPr="00DC3968" w14:paraId="70EB09E2" w14:textId="77777777" w:rsidTr="007B2888">
        <w:trPr>
          <w:trHeight w:val="625"/>
        </w:trPr>
        <w:tc>
          <w:tcPr>
            <w:tcW w:w="1256" w:type="dxa"/>
            <w:vMerge/>
          </w:tcPr>
          <w:p w14:paraId="02354115" w14:textId="77777777" w:rsidR="007B2888" w:rsidRPr="006238F3" w:rsidRDefault="007B2888" w:rsidP="007B2888">
            <w:pPr>
              <w:rPr>
                <w:rFonts w:ascii="Arial" w:hAnsi="Arial" w:cs="Arial"/>
                <w:noProof w:val="0"/>
                <w:sz w:val="22"/>
                <w:szCs w:val="22"/>
              </w:rPr>
            </w:pPr>
          </w:p>
        </w:tc>
        <w:tc>
          <w:tcPr>
            <w:tcW w:w="1262" w:type="dxa"/>
            <w:vMerge/>
          </w:tcPr>
          <w:p w14:paraId="500E6505" w14:textId="77777777" w:rsidR="007B2888" w:rsidRPr="006238F3" w:rsidRDefault="007B2888" w:rsidP="007B2888">
            <w:pPr>
              <w:rPr>
                <w:rFonts w:ascii="Arial" w:hAnsi="Arial" w:cs="Arial"/>
                <w:i/>
                <w:noProof w:val="0"/>
                <w:sz w:val="22"/>
                <w:szCs w:val="22"/>
              </w:rPr>
            </w:pPr>
          </w:p>
        </w:tc>
        <w:tc>
          <w:tcPr>
            <w:tcW w:w="1559" w:type="dxa"/>
          </w:tcPr>
          <w:p w14:paraId="534658F8"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Universality</w:t>
            </w:r>
            <w:r w:rsidRPr="006238F3">
              <w:rPr>
                <w:rFonts w:ascii="Arial" w:hAnsi="Arial" w:cs="Arial"/>
                <w:i/>
                <w:noProof w:val="0"/>
                <w:sz w:val="22"/>
                <w:szCs w:val="22"/>
              </w:rPr>
              <w:t xml:space="preserve"> </w:t>
            </w:r>
            <w:r w:rsidRPr="006238F3">
              <w:rPr>
                <w:rFonts w:ascii="Arial" w:hAnsi="Arial" w:cs="Arial"/>
                <w:noProof w:val="0"/>
                <w:sz w:val="22"/>
                <w:szCs w:val="22"/>
              </w:rPr>
              <w:t>of old-age pension (%)</w:t>
            </w:r>
          </w:p>
        </w:tc>
        <w:tc>
          <w:tcPr>
            <w:tcW w:w="1197" w:type="dxa"/>
          </w:tcPr>
          <w:p w14:paraId="4CCFFF01"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Universal</w:t>
            </w:r>
          </w:p>
          <w:p w14:paraId="6276AC31"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83</w:t>
            </w:r>
          </w:p>
        </w:tc>
        <w:tc>
          <w:tcPr>
            <w:tcW w:w="1197" w:type="dxa"/>
          </w:tcPr>
          <w:p w14:paraId="7DB8C40A" w14:textId="77777777" w:rsidR="007B2888" w:rsidRPr="006238F3" w:rsidRDefault="007B2888" w:rsidP="007B2888">
            <w:pPr>
              <w:jc w:val="center"/>
              <w:rPr>
                <w:rFonts w:ascii="Arial" w:hAnsi="Arial" w:cs="Arial"/>
                <w:noProof w:val="0"/>
                <w:sz w:val="22"/>
                <w:szCs w:val="22"/>
              </w:rPr>
            </w:pPr>
          </w:p>
        </w:tc>
        <w:tc>
          <w:tcPr>
            <w:tcW w:w="1197" w:type="dxa"/>
          </w:tcPr>
          <w:p w14:paraId="3445B795" w14:textId="77777777" w:rsidR="007B2888" w:rsidRPr="006238F3" w:rsidRDefault="007B2888" w:rsidP="007B2888">
            <w:pPr>
              <w:jc w:val="center"/>
              <w:rPr>
                <w:rFonts w:ascii="Arial" w:hAnsi="Arial" w:cs="Arial"/>
                <w:noProof w:val="0"/>
                <w:sz w:val="22"/>
                <w:szCs w:val="22"/>
              </w:rPr>
            </w:pPr>
          </w:p>
        </w:tc>
        <w:tc>
          <w:tcPr>
            <w:tcW w:w="1197" w:type="dxa"/>
          </w:tcPr>
          <w:p w14:paraId="71A0A405" w14:textId="77777777" w:rsidR="007B2888" w:rsidRPr="006238F3" w:rsidRDefault="007B2888" w:rsidP="007B2888">
            <w:pPr>
              <w:jc w:val="center"/>
              <w:rPr>
                <w:rFonts w:ascii="Arial" w:hAnsi="Arial" w:cs="Arial"/>
                <w:noProof w:val="0"/>
                <w:sz w:val="22"/>
                <w:szCs w:val="22"/>
              </w:rPr>
            </w:pPr>
          </w:p>
        </w:tc>
        <w:tc>
          <w:tcPr>
            <w:tcW w:w="1197" w:type="dxa"/>
          </w:tcPr>
          <w:p w14:paraId="3AC14C4D"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Selective</w:t>
            </w:r>
          </w:p>
          <w:p w14:paraId="249902D0"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50</w:t>
            </w:r>
          </w:p>
        </w:tc>
        <w:tc>
          <w:tcPr>
            <w:tcW w:w="1197" w:type="dxa"/>
          </w:tcPr>
          <w:p w14:paraId="1D0D9B10" w14:textId="77777777" w:rsidR="007B2888" w:rsidRPr="006238F3" w:rsidRDefault="007B2888" w:rsidP="007B2888">
            <w:pPr>
              <w:jc w:val="center"/>
              <w:rPr>
                <w:rFonts w:ascii="Arial" w:hAnsi="Arial" w:cs="Arial"/>
                <w:noProof w:val="0"/>
                <w:sz w:val="22"/>
                <w:szCs w:val="22"/>
              </w:rPr>
            </w:pPr>
          </w:p>
        </w:tc>
        <w:tc>
          <w:tcPr>
            <w:tcW w:w="1197" w:type="dxa"/>
          </w:tcPr>
          <w:p w14:paraId="2E0282D0" w14:textId="77777777" w:rsidR="007B2888" w:rsidRPr="006238F3" w:rsidRDefault="007B2888" w:rsidP="007B2888">
            <w:pPr>
              <w:jc w:val="center"/>
              <w:rPr>
                <w:rFonts w:ascii="Arial" w:hAnsi="Arial" w:cs="Arial"/>
                <w:noProof w:val="0"/>
                <w:sz w:val="22"/>
                <w:szCs w:val="22"/>
              </w:rPr>
            </w:pPr>
          </w:p>
        </w:tc>
        <w:tc>
          <w:tcPr>
            <w:tcW w:w="1197" w:type="dxa"/>
          </w:tcPr>
          <w:p w14:paraId="316142C6" w14:textId="77777777" w:rsidR="007B2888" w:rsidRPr="006238F3" w:rsidRDefault="007B2888" w:rsidP="007B2888">
            <w:pPr>
              <w:jc w:val="center"/>
              <w:rPr>
                <w:rFonts w:ascii="Arial" w:hAnsi="Arial" w:cs="Arial"/>
                <w:noProof w:val="0"/>
                <w:sz w:val="22"/>
                <w:szCs w:val="22"/>
              </w:rPr>
            </w:pPr>
          </w:p>
        </w:tc>
        <w:tc>
          <w:tcPr>
            <w:tcW w:w="1197" w:type="dxa"/>
          </w:tcPr>
          <w:p w14:paraId="7B4B7E44"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Residual</w:t>
            </w:r>
          </w:p>
          <w:p w14:paraId="1A37FCD4"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&lt;10</w:t>
            </w:r>
          </w:p>
        </w:tc>
      </w:tr>
      <w:tr w:rsidR="007B2888" w:rsidRPr="00DC3968" w14:paraId="5E4F5377" w14:textId="77777777" w:rsidTr="007B2888">
        <w:trPr>
          <w:trHeight w:val="627"/>
        </w:trPr>
        <w:tc>
          <w:tcPr>
            <w:tcW w:w="1256" w:type="dxa"/>
          </w:tcPr>
          <w:p w14:paraId="03E71E23" w14:textId="77777777" w:rsidR="007B2888" w:rsidRPr="006238F3" w:rsidRDefault="007B2888" w:rsidP="007B2888">
            <w:pPr>
              <w:rPr>
                <w:rFonts w:ascii="Arial" w:hAnsi="Arial" w:cs="Arial"/>
                <w:noProof w:val="0"/>
                <w:sz w:val="22"/>
                <w:szCs w:val="22"/>
              </w:rPr>
            </w:pPr>
            <w:r w:rsidRPr="006238F3">
              <w:rPr>
                <w:rFonts w:ascii="Arial" w:hAnsi="Arial" w:cs="Arial"/>
                <w:noProof w:val="0"/>
                <w:sz w:val="22"/>
                <w:szCs w:val="22"/>
              </w:rPr>
              <w:t>Public Housing (P)</w:t>
            </w:r>
          </w:p>
          <w:p w14:paraId="547BE215" w14:textId="77777777" w:rsidR="007B2888" w:rsidRPr="006238F3" w:rsidRDefault="007B2888" w:rsidP="007B2888">
            <w:pPr>
              <w:rPr>
                <w:rFonts w:ascii="Arial" w:hAnsi="Arial" w:cs="Arial"/>
                <w:noProof w:val="0"/>
                <w:sz w:val="22"/>
                <w:szCs w:val="22"/>
              </w:rPr>
            </w:pPr>
          </w:p>
        </w:tc>
        <w:tc>
          <w:tcPr>
            <w:tcW w:w="2821" w:type="dxa"/>
            <w:gridSpan w:val="2"/>
          </w:tcPr>
          <w:p w14:paraId="2F9D1067" w14:textId="77777777" w:rsidR="007B2888" w:rsidRPr="006238F3" w:rsidRDefault="007B2888" w:rsidP="007B2888">
            <w:pPr>
              <w:rPr>
                <w:rFonts w:ascii="Arial" w:hAnsi="Arial" w:cs="Arial"/>
                <w:iCs/>
                <w:caps/>
                <w:noProof w:val="0"/>
                <w:sz w:val="22"/>
                <w:szCs w:val="22"/>
              </w:rPr>
            </w:pPr>
            <w:r w:rsidRPr="006238F3">
              <w:rPr>
                <w:rFonts w:ascii="Arial" w:hAnsi="Arial" w:cs="Arial"/>
                <w:i/>
                <w:iCs/>
                <w:caps/>
                <w:noProof w:val="0"/>
                <w:sz w:val="22"/>
                <w:szCs w:val="22"/>
              </w:rPr>
              <w:t>Public rental policy</w:t>
            </w:r>
          </w:p>
        </w:tc>
        <w:tc>
          <w:tcPr>
            <w:tcW w:w="1197" w:type="dxa"/>
          </w:tcPr>
          <w:p w14:paraId="378B11EA" w14:textId="77777777" w:rsidR="007B2888" w:rsidRPr="006238F3" w:rsidRDefault="007B2888" w:rsidP="007B2888">
            <w:pPr>
              <w:jc w:val="center"/>
              <w:rPr>
                <w:rFonts w:ascii="Arial" w:hAnsi="Arial" w:cs="Arial"/>
                <w:noProof w:val="0"/>
                <w:sz w:val="22"/>
                <w:szCs w:val="22"/>
                <w:lang w:eastAsia="zh-CN"/>
              </w:rPr>
            </w:pPr>
            <w:r w:rsidRPr="006238F3">
              <w:rPr>
                <w:rFonts w:ascii="Arial" w:hAnsi="Arial" w:cs="Arial"/>
                <w:noProof w:val="0"/>
                <w:sz w:val="22"/>
                <w:szCs w:val="22"/>
                <w:lang w:eastAsia="zh-CN"/>
              </w:rPr>
              <w:t>With well- developed public rental housing</w:t>
            </w:r>
          </w:p>
        </w:tc>
        <w:tc>
          <w:tcPr>
            <w:tcW w:w="1197" w:type="dxa"/>
          </w:tcPr>
          <w:p w14:paraId="6D3B1752" w14:textId="77777777" w:rsidR="007B2888" w:rsidRPr="006238F3" w:rsidRDefault="007B2888" w:rsidP="007B2888">
            <w:pPr>
              <w:jc w:val="center"/>
              <w:rPr>
                <w:rFonts w:ascii="Arial" w:hAnsi="Arial" w:cs="Arial"/>
                <w:noProof w:val="0"/>
                <w:sz w:val="22"/>
                <w:szCs w:val="22"/>
              </w:rPr>
            </w:pPr>
          </w:p>
        </w:tc>
        <w:tc>
          <w:tcPr>
            <w:tcW w:w="1197" w:type="dxa"/>
          </w:tcPr>
          <w:p w14:paraId="0EFA926A" w14:textId="77777777" w:rsidR="007B2888" w:rsidRPr="006238F3" w:rsidRDefault="007B2888" w:rsidP="007B2888">
            <w:pPr>
              <w:jc w:val="center"/>
              <w:rPr>
                <w:rFonts w:ascii="Arial" w:hAnsi="Arial" w:cs="Arial"/>
                <w:noProof w:val="0"/>
                <w:sz w:val="22"/>
                <w:szCs w:val="22"/>
              </w:rPr>
            </w:pPr>
          </w:p>
        </w:tc>
        <w:tc>
          <w:tcPr>
            <w:tcW w:w="1197" w:type="dxa"/>
          </w:tcPr>
          <w:p w14:paraId="3DCF9618" w14:textId="77777777" w:rsidR="007B2888" w:rsidRPr="006238F3" w:rsidRDefault="007B2888" w:rsidP="007B2888">
            <w:pPr>
              <w:jc w:val="center"/>
              <w:rPr>
                <w:rFonts w:ascii="Arial" w:hAnsi="Arial" w:cs="Arial"/>
                <w:noProof w:val="0"/>
                <w:sz w:val="22"/>
                <w:szCs w:val="22"/>
              </w:rPr>
            </w:pPr>
          </w:p>
        </w:tc>
        <w:tc>
          <w:tcPr>
            <w:tcW w:w="1197" w:type="dxa"/>
          </w:tcPr>
          <w:p w14:paraId="5FBDE94A"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With public rental housing, but under-developed</w:t>
            </w:r>
          </w:p>
        </w:tc>
        <w:tc>
          <w:tcPr>
            <w:tcW w:w="1197" w:type="dxa"/>
          </w:tcPr>
          <w:p w14:paraId="13AB9C2B" w14:textId="77777777" w:rsidR="007B2888" w:rsidRPr="006238F3" w:rsidRDefault="007B2888" w:rsidP="007B2888">
            <w:pPr>
              <w:jc w:val="center"/>
              <w:rPr>
                <w:rFonts w:ascii="Arial" w:hAnsi="Arial" w:cs="Arial"/>
                <w:noProof w:val="0"/>
                <w:sz w:val="22"/>
                <w:szCs w:val="22"/>
              </w:rPr>
            </w:pPr>
          </w:p>
        </w:tc>
        <w:tc>
          <w:tcPr>
            <w:tcW w:w="1197" w:type="dxa"/>
          </w:tcPr>
          <w:p w14:paraId="3992E0C2" w14:textId="77777777" w:rsidR="007B2888" w:rsidRPr="006238F3" w:rsidRDefault="007B2888" w:rsidP="007B2888">
            <w:pPr>
              <w:jc w:val="center"/>
              <w:rPr>
                <w:rFonts w:ascii="Arial" w:hAnsi="Arial" w:cs="Arial"/>
                <w:noProof w:val="0"/>
                <w:sz w:val="22"/>
                <w:szCs w:val="22"/>
              </w:rPr>
            </w:pPr>
          </w:p>
        </w:tc>
        <w:tc>
          <w:tcPr>
            <w:tcW w:w="1197" w:type="dxa"/>
          </w:tcPr>
          <w:p w14:paraId="52C542B9" w14:textId="77777777" w:rsidR="007B2888" w:rsidRPr="006238F3" w:rsidRDefault="007B2888" w:rsidP="007B2888">
            <w:pPr>
              <w:jc w:val="center"/>
              <w:rPr>
                <w:rFonts w:ascii="Arial" w:hAnsi="Arial" w:cs="Arial"/>
                <w:noProof w:val="0"/>
                <w:sz w:val="22"/>
                <w:szCs w:val="22"/>
              </w:rPr>
            </w:pPr>
          </w:p>
        </w:tc>
        <w:tc>
          <w:tcPr>
            <w:tcW w:w="1197" w:type="dxa"/>
          </w:tcPr>
          <w:p w14:paraId="749DA1A6" w14:textId="77777777" w:rsidR="007B2888" w:rsidRPr="006238F3" w:rsidRDefault="007B2888" w:rsidP="007B2888">
            <w:pPr>
              <w:jc w:val="center"/>
              <w:rPr>
                <w:rFonts w:ascii="Arial" w:hAnsi="Arial" w:cs="Arial"/>
                <w:noProof w:val="0"/>
                <w:sz w:val="22"/>
                <w:szCs w:val="22"/>
                <w:lang w:eastAsia="zh-CN"/>
              </w:rPr>
            </w:pPr>
            <w:r w:rsidRPr="006238F3">
              <w:rPr>
                <w:rFonts w:ascii="Arial" w:hAnsi="Arial" w:cs="Arial"/>
                <w:noProof w:val="0"/>
                <w:sz w:val="22"/>
                <w:szCs w:val="22"/>
                <w:lang w:eastAsia="zh-CN"/>
              </w:rPr>
              <w:t>Without any public rental policy</w:t>
            </w:r>
          </w:p>
        </w:tc>
      </w:tr>
      <w:tr w:rsidR="007B2888" w:rsidRPr="00DC3968" w14:paraId="25D3F73E" w14:textId="77777777" w:rsidTr="007B2888">
        <w:trPr>
          <w:trHeight w:val="615"/>
        </w:trPr>
        <w:tc>
          <w:tcPr>
            <w:tcW w:w="1256" w:type="dxa"/>
            <w:vMerge w:val="restart"/>
          </w:tcPr>
          <w:p w14:paraId="2441E74E" w14:textId="77777777" w:rsidR="007B2888" w:rsidRPr="006238F3" w:rsidRDefault="007B2888" w:rsidP="007B2888">
            <w:pPr>
              <w:rPr>
                <w:rFonts w:ascii="Arial" w:hAnsi="Arial" w:cs="Arial"/>
                <w:noProof w:val="0"/>
                <w:sz w:val="22"/>
                <w:szCs w:val="22"/>
              </w:rPr>
            </w:pPr>
            <w:r w:rsidRPr="006238F3">
              <w:rPr>
                <w:rFonts w:ascii="Arial" w:hAnsi="Arial" w:cs="Arial"/>
                <w:noProof w:val="0"/>
                <w:sz w:val="22"/>
                <w:szCs w:val="22"/>
              </w:rPr>
              <w:t>Passive Labour Market Policy (L)</w:t>
            </w:r>
          </w:p>
        </w:tc>
        <w:tc>
          <w:tcPr>
            <w:tcW w:w="2821" w:type="dxa"/>
            <w:gridSpan w:val="2"/>
          </w:tcPr>
          <w:p w14:paraId="0F536478"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Generosity</w:t>
            </w:r>
            <w:r w:rsidRPr="006238F3">
              <w:rPr>
                <w:rFonts w:ascii="Arial" w:hAnsi="Arial" w:cs="Arial"/>
                <w:i/>
                <w:noProof w:val="0"/>
                <w:sz w:val="22"/>
                <w:szCs w:val="22"/>
              </w:rPr>
              <w:t xml:space="preserve"> </w:t>
            </w:r>
            <w:r w:rsidRPr="006238F3">
              <w:rPr>
                <w:rFonts w:ascii="Arial" w:hAnsi="Arial" w:cs="Arial"/>
                <w:noProof w:val="0"/>
                <w:sz w:val="22"/>
                <w:szCs w:val="22"/>
              </w:rPr>
              <w:t>measured by average net replacement rate (%)</w:t>
            </w:r>
          </w:p>
        </w:tc>
        <w:tc>
          <w:tcPr>
            <w:tcW w:w="1197" w:type="dxa"/>
          </w:tcPr>
          <w:p w14:paraId="0D420DDD"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&gt;75</w:t>
            </w:r>
          </w:p>
          <w:p w14:paraId="3A1A8897" w14:textId="77777777" w:rsidR="007B2888" w:rsidRPr="006238F3" w:rsidRDefault="007B2888" w:rsidP="007B2888">
            <w:pPr>
              <w:jc w:val="center"/>
              <w:rPr>
                <w:rFonts w:ascii="Arial" w:hAnsi="Arial" w:cs="Arial"/>
                <w:noProof w:val="0"/>
                <w:sz w:val="22"/>
                <w:szCs w:val="22"/>
              </w:rPr>
            </w:pPr>
          </w:p>
        </w:tc>
        <w:tc>
          <w:tcPr>
            <w:tcW w:w="1197" w:type="dxa"/>
          </w:tcPr>
          <w:p w14:paraId="26F6D044" w14:textId="77777777" w:rsidR="007B2888" w:rsidRPr="006238F3" w:rsidRDefault="007B2888" w:rsidP="007B2888">
            <w:pPr>
              <w:jc w:val="center"/>
              <w:rPr>
                <w:rFonts w:ascii="Arial" w:hAnsi="Arial" w:cs="Arial"/>
                <w:noProof w:val="0"/>
                <w:sz w:val="22"/>
                <w:szCs w:val="22"/>
              </w:rPr>
            </w:pPr>
          </w:p>
        </w:tc>
        <w:tc>
          <w:tcPr>
            <w:tcW w:w="1197" w:type="dxa"/>
          </w:tcPr>
          <w:p w14:paraId="65A07826" w14:textId="77777777" w:rsidR="007B2888" w:rsidRPr="006238F3" w:rsidRDefault="007B2888" w:rsidP="007B2888">
            <w:pPr>
              <w:jc w:val="center"/>
              <w:rPr>
                <w:rFonts w:ascii="Arial" w:hAnsi="Arial" w:cs="Arial"/>
                <w:noProof w:val="0"/>
                <w:sz w:val="22"/>
                <w:szCs w:val="22"/>
              </w:rPr>
            </w:pPr>
          </w:p>
        </w:tc>
        <w:tc>
          <w:tcPr>
            <w:tcW w:w="1197" w:type="dxa"/>
          </w:tcPr>
          <w:p w14:paraId="582E3387" w14:textId="77777777" w:rsidR="007B2888" w:rsidRPr="006238F3" w:rsidRDefault="007B2888" w:rsidP="007B2888">
            <w:pPr>
              <w:jc w:val="center"/>
              <w:rPr>
                <w:rFonts w:ascii="Arial" w:hAnsi="Arial" w:cs="Arial"/>
                <w:noProof w:val="0"/>
                <w:sz w:val="22"/>
                <w:szCs w:val="22"/>
              </w:rPr>
            </w:pPr>
          </w:p>
        </w:tc>
        <w:tc>
          <w:tcPr>
            <w:tcW w:w="1197" w:type="dxa"/>
          </w:tcPr>
          <w:p w14:paraId="7F7BA731"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50</w:t>
            </w:r>
          </w:p>
          <w:p w14:paraId="45CA0B3F" w14:textId="77777777" w:rsidR="007B2888" w:rsidRPr="006238F3" w:rsidRDefault="007B2888" w:rsidP="007B2888">
            <w:pPr>
              <w:jc w:val="center"/>
              <w:rPr>
                <w:rFonts w:ascii="Arial" w:hAnsi="Arial" w:cs="Arial"/>
                <w:noProof w:val="0"/>
                <w:sz w:val="22"/>
                <w:szCs w:val="22"/>
              </w:rPr>
            </w:pPr>
          </w:p>
        </w:tc>
        <w:tc>
          <w:tcPr>
            <w:tcW w:w="1197" w:type="dxa"/>
          </w:tcPr>
          <w:p w14:paraId="731E40E2" w14:textId="77777777" w:rsidR="007B2888" w:rsidRPr="006238F3" w:rsidRDefault="007B2888" w:rsidP="007B2888">
            <w:pPr>
              <w:jc w:val="center"/>
              <w:rPr>
                <w:rFonts w:ascii="Arial" w:hAnsi="Arial" w:cs="Arial"/>
                <w:noProof w:val="0"/>
                <w:sz w:val="22"/>
                <w:szCs w:val="22"/>
              </w:rPr>
            </w:pPr>
          </w:p>
        </w:tc>
        <w:tc>
          <w:tcPr>
            <w:tcW w:w="1197" w:type="dxa"/>
          </w:tcPr>
          <w:p w14:paraId="6AAC0580" w14:textId="77777777" w:rsidR="007B2888" w:rsidRPr="006238F3" w:rsidRDefault="007B2888" w:rsidP="007B2888">
            <w:pPr>
              <w:jc w:val="center"/>
              <w:rPr>
                <w:rFonts w:ascii="Arial" w:hAnsi="Arial" w:cs="Arial"/>
                <w:noProof w:val="0"/>
                <w:sz w:val="22"/>
                <w:szCs w:val="22"/>
              </w:rPr>
            </w:pPr>
          </w:p>
        </w:tc>
        <w:tc>
          <w:tcPr>
            <w:tcW w:w="1197" w:type="dxa"/>
          </w:tcPr>
          <w:p w14:paraId="645BF2D0" w14:textId="77777777" w:rsidR="007B2888" w:rsidRPr="006238F3" w:rsidRDefault="007B2888" w:rsidP="007B2888">
            <w:pPr>
              <w:jc w:val="center"/>
              <w:rPr>
                <w:rFonts w:ascii="Arial" w:hAnsi="Arial" w:cs="Arial"/>
                <w:noProof w:val="0"/>
                <w:sz w:val="22"/>
                <w:szCs w:val="22"/>
              </w:rPr>
            </w:pPr>
          </w:p>
        </w:tc>
        <w:tc>
          <w:tcPr>
            <w:tcW w:w="1197" w:type="dxa"/>
          </w:tcPr>
          <w:p w14:paraId="367F044F"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&lt;20</w:t>
            </w:r>
          </w:p>
          <w:p w14:paraId="41D51002" w14:textId="77777777" w:rsidR="007B2888" w:rsidRPr="006238F3" w:rsidRDefault="007B2888" w:rsidP="007B2888">
            <w:pPr>
              <w:jc w:val="center"/>
              <w:rPr>
                <w:rFonts w:ascii="Arial" w:hAnsi="Arial" w:cs="Arial"/>
                <w:noProof w:val="0"/>
                <w:sz w:val="22"/>
                <w:szCs w:val="22"/>
              </w:rPr>
            </w:pPr>
          </w:p>
        </w:tc>
      </w:tr>
      <w:tr w:rsidR="007B2888" w:rsidRPr="00DC3968" w14:paraId="14B38F00" w14:textId="77777777" w:rsidTr="007B2888">
        <w:trPr>
          <w:trHeight w:val="615"/>
        </w:trPr>
        <w:tc>
          <w:tcPr>
            <w:tcW w:w="1256" w:type="dxa"/>
            <w:vMerge/>
          </w:tcPr>
          <w:p w14:paraId="4FC0C92F" w14:textId="77777777" w:rsidR="007B2888" w:rsidRPr="006238F3" w:rsidRDefault="007B2888" w:rsidP="007B2888">
            <w:pPr>
              <w:rPr>
                <w:rFonts w:ascii="Arial" w:hAnsi="Arial" w:cs="Arial"/>
                <w:noProof w:val="0"/>
                <w:sz w:val="22"/>
                <w:szCs w:val="22"/>
              </w:rPr>
            </w:pPr>
          </w:p>
        </w:tc>
        <w:tc>
          <w:tcPr>
            <w:tcW w:w="2821" w:type="dxa"/>
            <w:gridSpan w:val="2"/>
          </w:tcPr>
          <w:p w14:paraId="31F2EABD" w14:textId="77777777" w:rsidR="007B2888" w:rsidRPr="006238F3" w:rsidRDefault="007B2888" w:rsidP="007B2888">
            <w:pPr>
              <w:rPr>
                <w:rFonts w:ascii="Arial" w:hAnsi="Arial" w:cs="Arial"/>
                <w:i/>
                <w:noProof w:val="0"/>
                <w:sz w:val="22"/>
                <w:szCs w:val="22"/>
                <w:lang w:eastAsia="zh-CN"/>
              </w:rPr>
            </w:pPr>
            <w:r w:rsidRPr="006238F3">
              <w:rPr>
                <w:rFonts w:ascii="Arial" w:hAnsi="Arial" w:cs="Arial"/>
                <w:i/>
                <w:iCs/>
                <w:caps/>
                <w:noProof w:val="0"/>
                <w:sz w:val="22"/>
                <w:szCs w:val="22"/>
                <w:lang w:eastAsia="zh-CN"/>
              </w:rPr>
              <w:t>Coverage</w:t>
            </w:r>
            <w:r w:rsidRPr="006238F3">
              <w:rPr>
                <w:rFonts w:ascii="Arial" w:hAnsi="Arial" w:cs="Arial"/>
                <w:i/>
                <w:noProof w:val="0"/>
                <w:sz w:val="22"/>
                <w:szCs w:val="22"/>
                <w:lang w:eastAsia="zh-CN"/>
              </w:rPr>
              <w:t xml:space="preserve"> </w:t>
            </w:r>
            <w:r w:rsidRPr="006238F3">
              <w:rPr>
                <w:rFonts w:ascii="Arial" w:hAnsi="Arial" w:cs="Arial"/>
                <w:noProof w:val="0"/>
                <w:sz w:val="22"/>
                <w:szCs w:val="22"/>
                <w:lang w:eastAsia="zh-CN"/>
              </w:rPr>
              <w:t>measured as the percentage of unemployed (%)</w:t>
            </w:r>
          </w:p>
        </w:tc>
        <w:tc>
          <w:tcPr>
            <w:tcW w:w="1197" w:type="dxa"/>
          </w:tcPr>
          <w:p w14:paraId="4F242642"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73</w:t>
            </w:r>
          </w:p>
        </w:tc>
        <w:tc>
          <w:tcPr>
            <w:tcW w:w="1197" w:type="dxa"/>
          </w:tcPr>
          <w:p w14:paraId="38DC8466" w14:textId="77777777" w:rsidR="007B2888" w:rsidRPr="006238F3" w:rsidRDefault="007B2888" w:rsidP="007B2888">
            <w:pPr>
              <w:jc w:val="center"/>
              <w:rPr>
                <w:rFonts w:ascii="Arial" w:hAnsi="Arial" w:cs="Arial"/>
                <w:noProof w:val="0"/>
                <w:sz w:val="22"/>
                <w:szCs w:val="22"/>
              </w:rPr>
            </w:pPr>
          </w:p>
        </w:tc>
        <w:tc>
          <w:tcPr>
            <w:tcW w:w="1197" w:type="dxa"/>
          </w:tcPr>
          <w:p w14:paraId="7ED00F66" w14:textId="77777777" w:rsidR="007B2888" w:rsidRPr="006238F3" w:rsidRDefault="007B2888" w:rsidP="007B2888">
            <w:pPr>
              <w:jc w:val="center"/>
              <w:rPr>
                <w:rFonts w:ascii="Arial" w:hAnsi="Arial" w:cs="Arial"/>
                <w:noProof w:val="0"/>
                <w:sz w:val="22"/>
                <w:szCs w:val="22"/>
              </w:rPr>
            </w:pPr>
          </w:p>
        </w:tc>
        <w:tc>
          <w:tcPr>
            <w:tcW w:w="1197" w:type="dxa"/>
          </w:tcPr>
          <w:p w14:paraId="0EEBADCD" w14:textId="77777777" w:rsidR="007B2888" w:rsidRPr="006238F3" w:rsidRDefault="007B2888" w:rsidP="007B2888">
            <w:pPr>
              <w:jc w:val="center"/>
              <w:rPr>
                <w:rFonts w:ascii="Arial" w:hAnsi="Arial" w:cs="Arial"/>
                <w:noProof w:val="0"/>
                <w:sz w:val="22"/>
                <w:szCs w:val="22"/>
              </w:rPr>
            </w:pPr>
          </w:p>
        </w:tc>
        <w:tc>
          <w:tcPr>
            <w:tcW w:w="1197" w:type="dxa"/>
          </w:tcPr>
          <w:p w14:paraId="02773AC3"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50</w:t>
            </w:r>
          </w:p>
        </w:tc>
        <w:tc>
          <w:tcPr>
            <w:tcW w:w="1197" w:type="dxa"/>
          </w:tcPr>
          <w:p w14:paraId="3316018A" w14:textId="77777777" w:rsidR="007B2888" w:rsidRPr="006238F3" w:rsidRDefault="007B2888" w:rsidP="007B2888">
            <w:pPr>
              <w:jc w:val="center"/>
              <w:rPr>
                <w:rFonts w:ascii="Arial" w:hAnsi="Arial" w:cs="Arial"/>
                <w:noProof w:val="0"/>
                <w:sz w:val="22"/>
                <w:szCs w:val="22"/>
              </w:rPr>
            </w:pPr>
          </w:p>
        </w:tc>
        <w:tc>
          <w:tcPr>
            <w:tcW w:w="1197" w:type="dxa"/>
          </w:tcPr>
          <w:p w14:paraId="6E45D589" w14:textId="77777777" w:rsidR="007B2888" w:rsidRPr="006238F3" w:rsidRDefault="007B2888" w:rsidP="007B2888">
            <w:pPr>
              <w:jc w:val="center"/>
              <w:rPr>
                <w:rFonts w:ascii="Arial" w:hAnsi="Arial" w:cs="Arial"/>
                <w:noProof w:val="0"/>
                <w:sz w:val="22"/>
                <w:szCs w:val="22"/>
              </w:rPr>
            </w:pPr>
          </w:p>
        </w:tc>
        <w:tc>
          <w:tcPr>
            <w:tcW w:w="1197" w:type="dxa"/>
          </w:tcPr>
          <w:p w14:paraId="081DE7C7" w14:textId="77777777" w:rsidR="007B2888" w:rsidRPr="006238F3" w:rsidRDefault="007B2888" w:rsidP="007B2888">
            <w:pPr>
              <w:jc w:val="center"/>
              <w:rPr>
                <w:rFonts w:ascii="Arial" w:hAnsi="Arial" w:cs="Arial"/>
                <w:noProof w:val="0"/>
                <w:sz w:val="22"/>
                <w:szCs w:val="22"/>
              </w:rPr>
            </w:pPr>
          </w:p>
        </w:tc>
        <w:tc>
          <w:tcPr>
            <w:tcW w:w="1197" w:type="dxa"/>
          </w:tcPr>
          <w:p w14:paraId="7E516C45"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&lt;10</w:t>
            </w:r>
          </w:p>
        </w:tc>
      </w:tr>
      <w:tr w:rsidR="007B2888" w:rsidRPr="00DC3968" w14:paraId="09AAFDDE" w14:textId="77777777" w:rsidTr="007B2888">
        <w:trPr>
          <w:trHeight w:val="615"/>
        </w:trPr>
        <w:tc>
          <w:tcPr>
            <w:tcW w:w="1256" w:type="dxa"/>
            <w:vMerge/>
          </w:tcPr>
          <w:p w14:paraId="4781B742" w14:textId="77777777" w:rsidR="007B2888" w:rsidRPr="006238F3" w:rsidRDefault="007B2888" w:rsidP="007B2888">
            <w:pPr>
              <w:rPr>
                <w:rFonts w:ascii="Arial" w:hAnsi="Arial" w:cs="Arial"/>
                <w:noProof w:val="0"/>
                <w:sz w:val="22"/>
                <w:szCs w:val="22"/>
              </w:rPr>
            </w:pPr>
          </w:p>
        </w:tc>
        <w:tc>
          <w:tcPr>
            <w:tcW w:w="2821" w:type="dxa"/>
            <w:gridSpan w:val="2"/>
          </w:tcPr>
          <w:p w14:paraId="56604B06" w14:textId="77777777" w:rsidR="007B2888" w:rsidRPr="006238F3" w:rsidRDefault="007B2888" w:rsidP="007B2888">
            <w:pPr>
              <w:rPr>
                <w:rFonts w:ascii="Arial" w:hAnsi="Arial" w:cs="Arial"/>
                <w:noProof w:val="0"/>
                <w:sz w:val="22"/>
                <w:szCs w:val="22"/>
              </w:rPr>
            </w:pPr>
            <w:r w:rsidRPr="006238F3">
              <w:rPr>
                <w:rFonts w:ascii="Arial" w:hAnsi="Arial" w:cs="Arial"/>
                <w:i/>
                <w:iCs/>
                <w:caps/>
                <w:noProof w:val="0"/>
                <w:sz w:val="22"/>
                <w:szCs w:val="22"/>
              </w:rPr>
              <w:t>Duration</w:t>
            </w:r>
            <w:r w:rsidRPr="006238F3">
              <w:rPr>
                <w:rFonts w:ascii="Arial" w:hAnsi="Arial" w:cs="Arial"/>
                <w:noProof w:val="0"/>
                <w:sz w:val="22"/>
                <w:szCs w:val="22"/>
              </w:rPr>
              <w:t xml:space="preserve"> measured in total weeks paid </w:t>
            </w:r>
          </w:p>
        </w:tc>
        <w:tc>
          <w:tcPr>
            <w:tcW w:w="1197" w:type="dxa"/>
          </w:tcPr>
          <w:p w14:paraId="472AFC2C" w14:textId="77777777" w:rsidR="007B2888" w:rsidRPr="006238F3" w:rsidRDefault="007B2888" w:rsidP="007B2888">
            <w:pPr>
              <w:jc w:val="center"/>
              <w:rPr>
                <w:rFonts w:ascii="Arial" w:eastAsia="SimSun" w:hAnsi="Arial" w:cs="Arial"/>
                <w:noProof w:val="0"/>
                <w:sz w:val="22"/>
                <w:szCs w:val="22"/>
              </w:rPr>
            </w:pPr>
            <w:r w:rsidRPr="006238F3">
              <w:rPr>
                <w:rFonts w:ascii="Arial" w:hAnsi="Arial" w:cs="Arial"/>
                <w:noProof w:val="0"/>
                <w:sz w:val="22"/>
                <w:szCs w:val="22"/>
              </w:rPr>
              <w:t>14.8</w:t>
            </w:r>
          </w:p>
        </w:tc>
        <w:tc>
          <w:tcPr>
            <w:tcW w:w="1197" w:type="dxa"/>
          </w:tcPr>
          <w:p w14:paraId="5718F967" w14:textId="77777777" w:rsidR="007B2888" w:rsidRPr="006238F3" w:rsidRDefault="007B2888" w:rsidP="007B2888">
            <w:pPr>
              <w:jc w:val="center"/>
              <w:rPr>
                <w:rFonts w:ascii="Arial" w:hAnsi="Arial" w:cs="Arial"/>
                <w:noProof w:val="0"/>
                <w:sz w:val="22"/>
                <w:szCs w:val="22"/>
              </w:rPr>
            </w:pPr>
          </w:p>
        </w:tc>
        <w:tc>
          <w:tcPr>
            <w:tcW w:w="1197" w:type="dxa"/>
          </w:tcPr>
          <w:p w14:paraId="7424C0F4" w14:textId="77777777" w:rsidR="007B2888" w:rsidRPr="006238F3" w:rsidRDefault="007B2888" w:rsidP="007B2888">
            <w:pPr>
              <w:jc w:val="center"/>
              <w:rPr>
                <w:rFonts w:ascii="Arial" w:hAnsi="Arial" w:cs="Arial"/>
                <w:noProof w:val="0"/>
                <w:sz w:val="22"/>
                <w:szCs w:val="22"/>
              </w:rPr>
            </w:pPr>
          </w:p>
        </w:tc>
        <w:tc>
          <w:tcPr>
            <w:tcW w:w="1197" w:type="dxa"/>
          </w:tcPr>
          <w:p w14:paraId="410B36FE" w14:textId="77777777" w:rsidR="007B2888" w:rsidRPr="006238F3" w:rsidRDefault="007B2888" w:rsidP="007B2888">
            <w:pPr>
              <w:jc w:val="center"/>
              <w:rPr>
                <w:rFonts w:ascii="Arial" w:hAnsi="Arial" w:cs="Arial"/>
                <w:noProof w:val="0"/>
                <w:sz w:val="22"/>
                <w:szCs w:val="22"/>
              </w:rPr>
            </w:pPr>
          </w:p>
        </w:tc>
        <w:tc>
          <w:tcPr>
            <w:tcW w:w="1197" w:type="dxa"/>
          </w:tcPr>
          <w:p w14:paraId="66498CE8" w14:textId="77777777" w:rsidR="007B2888" w:rsidRPr="006238F3" w:rsidRDefault="007B2888" w:rsidP="007B2888">
            <w:pPr>
              <w:jc w:val="center"/>
              <w:rPr>
                <w:rFonts w:ascii="Arial" w:hAnsi="Arial" w:cs="Arial"/>
                <w:noProof w:val="0"/>
                <w:sz w:val="22"/>
                <w:szCs w:val="22"/>
              </w:rPr>
            </w:pPr>
            <w:r w:rsidRPr="006238F3">
              <w:rPr>
                <w:rFonts w:ascii="Arial" w:hAnsi="Arial" w:cs="Arial"/>
                <w:noProof w:val="0"/>
                <w:sz w:val="22"/>
                <w:szCs w:val="22"/>
              </w:rPr>
              <w:t>13</w:t>
            </w:r>
          </w:p>
        </w:tc>
        <w:tc>
          <w:tcPr>
            <w:tcW w:w="1197" w:type="dxa"/>
          </w:tcPr>
          <w:p w14:paraId="2EAF89EE" w14:textId="77777777" w:rsidR="007B2888" w:rsidRPr="006238F3" w:rsidRDefault="007B2888" w:rsidP="007B2888">
            <w:pPr>
              <w:jc w:val="center"/>
              <w:rPr>
                <w:rFonts w:ascii="Arial" w:hAnsi="Arial" w:cs="Arial"/>
                <w:noProof w:val="0"/>
                <w:sz w:val="22"/>
                <w:szCs w:val="22"/>
              </w:rPr>
            </w:pPr>
          </w:p>
        </w:tc>
        <w:tc>
          <w:tcPr>
            <w:tcW w:w="1197" w:type="dxa"/>
          </w:tcPr>
          <w:p w14:paraId="1F4B4DA6" w14:textId="77777777" w:rsidR="007B2888" w:rsidRPr="006238F3" w:rsidRDefault="007B2888" w:rsidP="007B2888">
            <w:pPr>
              <w:jc w:val="center"/>
              <w:rPr>
                <w:rFonts w:ascii="Arial" w:hAnsi="Arial" w:cs="Arial"/>
                <w:noProof w:val="0"/>
                <w:sz w:val="22"/>
                <w:szCs w:val="22"/>
              </w:rPr>
            </w:pPr>
          </w:p>
        </w:tc>
        <w:tc>
          <w:tcPr>
            <w:tcW w:w="1197" w:type="dxa"/>
          </w:tcPr>
          <w:p w14:paraId="26EE9925" w14:textId="77777777" w:rsidR="007B2888" w:rsidRPr="006238F3" w:rsidRDefault="007B2888" w:rsidP="007B2888">
            <w:pPr>
              <w:jc w:val="center"/>
              <w:rPr>
                <w:rFonts w:ascii="Arial" w:hAnsi="Arial" w:cs="Arial"/>
                <w:noProof w:val="0"/>
                <w:sz w:val="22"/>
                <w:szCs w:val="22"/>
              </w:rPr>
            </w:pPr>
          </w:p>
        </w:tc>
        <w:tc>
          <w:tcPr>
            <w:tcW w:w="1197" w:type="dxa"/>
          </w:tcPr>
          <w:p w14:paraId="2A75F0FE" w14:textId="77777777" w:rsidR="007B2888" w:rsidRPr="006238F3" w:rsidRDefault="007B2888" w:rsidP="007B2888">
            <w:pPr>
              <w:jc w:val="center"/>
              <w:rPr>
                <w:rFonts w:ascii="Arial" w:eastAsia="SimSun" w:hAnsi="Arial" w:cs="Arial"/>
                <w:noProof w:val="0"/>
                <w:sz w:val="22"/>
                <w:szCs w:val="22"/>
              </w:rPr>
            </w:pPr>
            <w:r w:rsidRPr="006238F3">
              <w:rPr>
                <w:rFonts w:ascii="Arial" w:hAnsi="Arial" w:cs="Arial"/>
                <w:noProof w:val="0"/>
                <w:sz w:val="22"/>
                <w:szCs w:val="22"/>
              </w:rPr>
              <w:t>0</w:t>
            </w:r>
          </w:p>
        </w:tc>
      </w:tr>
    </w:tbl>
    <w:p w14:paraId="23C92144" w14:textId="0DD4B99F" w:rsidR="00E65B18" w:rsidRPr="006238F3" w:rsidRDefault="00055A2E" w:rsidP="007250CA">
      <w:pPr>
        <w:pStyle w:val="Caption"/>
        <w:keepNext/>
        <w:snapToGrid w:val="0"/>
        <w:spacing w:after="120"/>
        <w:rPr>
          <w:rFonts w:ascii="Arial" w:hAnsi="Arial" w:cs="Arial"/>
          <w:color w:val="000000" w:themeColor="text1"/>
          <w:sz w:val="22"/>
          <w:szCs w:val="22"/>
        </w:rPr>
      </w:pPr>
      <w:r w:rsidRPr="006238F3">
        <w:rPr>
          <w:rFonts w:ascii="Arial" w:hAnsi="Arial" w:cs="Arial"/>
          <w:color w:val="000000" w:themeColor="text1"/>
          <w:sz w:val="22"/>
          <w:szCs w:val="22"/>
        </w:rPr>
        <w:lastRenderedPageBreak/>
        <w:t xml:space="preserve">Table </w:t>
      </w:r>
      <w:r w:rsidR="007B2888" w:rsidRPr="006238F3">
        <w:rPr>
          <w:rFonts w:ascii="Arial" w:hAnsi="Arial" w:cs="Arial"/>
          <w:color w:val="000000" w:themeColor="text1"/>
          <w:sz w:val="22"/>
          <w:szCs w:val="22"/>
        </w:rPr>
        <w:t xml:space="preserve">2 </w:t>
      </w:r>
      <w:r w:rsidRPr="006238F3">
        <w:rPr>
          <w:rFonts w:ascii="Arial" w:hAnsi="Arial" w:cs="Arial"/>
          <w:color w:val="000000" w:themeColor="text1"/>
          <w:sz w:val="22"/>
          <w:szCs w:val="22"/>
        </w:rPr>
        <w:t>Summary of the r</w:t>
      </w:r>
      <w:r w:rsidR="00324A31" w:rsidRPr="006238F3">
        <w:rPr>
          <w:rFonts w:ascii="Arial" w:hAnsi="Arial" w:cs="Arial"/>
          <w:color w:val="000000" w:themeColor="text1"/>
          <w:sz w:val="22"/>
          <w:szCs w:val="22"/>
        </w:rPr>
        <w:t>easoning behind the breakpoints for the sets</w:t>
      </w:r>
    </w:p>
    <w:tbl>
      <w:tblPr>
        <w:tblStyle w:val="TableGrid"/>
        <w:tblW w:w="5000" w:type="pct"/>
        <w:tblLook w:val="04A0" w:firstRow="1" w:lastRow="0" w:firstColumn="1" w:lastColumn="0" w:noHBand="0" w:noVBand="1"/>
      </w:tblPr>
      <w:tblGrid>
        <w:gridCol w:w="1292"/>
        <w:gridCol w:w="3190"/>
        <w:gridCol w:w="9694"/>
      </w:tblGrid>
      <w:tr w:rsidR="00486FBB" w:rsidRPr="00DC3968" w14:paraId="16F53EE2" w14:textId="77777777" w:rsidTr="006238F3">
        <w:trPr>
          <w:trHeight w:val="478"/>
        </w:trPr>
        <w:tc>
          <w:tcPr>
            <w:tcW w:w="456" w:type="pct"/>
            <w:shd w:val="clear" w:color="auto" w:fill="D9D9D9" w:themeFill="background1" w:themeFillShade="D9"/>
          </w:tcPr>
          <w:p w14:paraId="760DE61F" w14:textId="34E1B665" w:rsidR="00E65B18" w:rsidRPr="006238F3" w:rsidRDefault="009948CE" w:rsidP="00806413">
            <w:pPr>
              <w:jc w:val="both"/>
              <w:rPr>
                <w:rFonts w:ascii="Arial" w:hAnsi="Arial" w:cs="Arial"/>
                <w:b/>
                <w:i/>
                <w:sz w:val="22"/>
                <w:szCs w:val="22"/>
              </w:rPr>
            </w:pPr>
            <w:r>
              <w:rPr>
                <w:rFonts w:ascii="Arial" w:hAnsi="Arial" w:cs="Arial"/>
                <w:b/>
                <w:i/>
                <w:sz w:val="22"/>
                <w:szCs w:val="22"/>
              </w:rPr>
              <w:t>Domain</w:t>
            </w:r>
          </w:p>
        </w:tc>
        <w:tc>
          <w:tcPr>
            <w:tcW w:w="1125" w:type="pct"/>
            <w:shd w:val="clear" w:color="auto" w:fill="D9D9D9" w:themeFill="background1" w:themeFillShade="D9"/>
          </w:tcPr>
          <w:p w14:paraId="0E422ADA" w14:textId="77777777" w:rsidR="00E65B18" w:rsidRPr="006238F3" w:rsidRDefault="005C61DE" w:rsidP="007250CA">
            <w:pPr>
              <w:rPr>
                <w:rFonts w:ascii="Arial" w:hAnsi="Arial" w:cs="Arial"/>
                <w:b/>
                <w:i/>
                <w:sz w:val="22"/>
                <w:szCs w:val="22"/>
              </w:rPr>
            </w:pPr>
            <w:r w:rsidRPr="006238F3">
              <w:rPr>
                <w:rFonts w:ascii="Arial" w:hAnsi="Arial" w:cs="Arial"/>
                <w:b/>
                <w:i/>
                <w:sz w:val="22"/>
                <w:szCs w:val="22"/>
              </w:rPr>
              <w:t>I</w:t>
            </w:r>
            <w:r w:rsidR="00055A2E" w:rsidRPr="006238F3">
              <w:rPr>
                <w:rFonts w:ascii="Arial" w:hAnsi="Arial" w:cs="Arial"/>
                <w:b/>
                <w:i/>
                <w:sz w:val="22"/>
                <w:szCs w:val="22"/>
              </w:rPr>
              <w:t>ndicator</w:t>
            </w:r>
          </w:p>
        </w:tc>
        <w:tc>
          <w:tcPr>
            <w:tcW w:w="3419" w:type="pct"/>
            <w:shd w:val="clear" w:color="auto" w:fill="D9D9D9" w:themeFill="background1" w:themeFillShade="D9"/>
          </w:tcPr>
          <w:p w14:paraId="1B729CC7" w14:textId="77777777" w:rsidR="00E65B18" w:rsidRPr="006238F3" w:rsidRDefault="00055A2E" w:rsidP="00806413">
            <w:pPr>
              <w:jc w:val="center"/>
              <w:rPr>
                <w:rFonts w:ascii="Arial" w:hAnsi="Arial" w:cs="Arial"/>
                <w:b/>
                <w:i/>
                <w:sz w:val="22"/>
                <w:szCs w:val="22"/>
              </w:rPr>
            </w:pPr>
            <w:r w:rsidRPr="006238F3">
              <w:rPr>
                <w:rFonts w:ascii="Arial" w:hAnsi="Arial" w:cs="Arial"/>
                <w:b/>
                <w:i/>
                <w:sz w:val="22"/>
                <w:szCs w:val="22"/>
              </w:rPr>
              <w:t>Rational</w:t>
            </w:r>
            <w:r w:rsidR="0039534E" w:rsidRPr="006238F3">
              <w:rPr>
                <w:rFonts w:ascii="Arial" w:hAnsi="Arial" w:cs="Arial"/>
                <w:b/>
                <w:i/>
                <w:sz w:val="22"/>
                <w:szCs w:val="22"/>
              </w:rPr>
              <w:t xml:space="preserve">e for </w:t>
            </w:r>
            <w:r w:rsidRPr="006238F3">
              <w:rPr>
                <w:rFonts w:ascii="Arial" w:hAnsi="Arial" w:cs="Arial"/>
                <w:b/>
                <w:i/>
                <w:sz w:val="22"/>
                <w:szCs w:val="22"/>
              </w:rPr>
              <w:t>choices of qualitative anchors</w:t>
            </w:r>
          </w:p>
        </w:tc>
      </w:tr>
      <w:tr w:rsidR="00486FBB" w:rsidRPr="00DC3968" w14:paraId="209B6D1B" w14:textId="77777777" w:rsidTr="006238F3">
        <w:tc>
          <w:tcPr>
            <w:tcW w:w="456" w:type="pct"/>
            <w:vMerge w:val="restart"/>
          </w:tcPr>
          <w:p w14:paraId="597A2D9B" w14:textId="77777777" w:rsidR="00264C40" w:rsidRPr="006238F3" w:rsidRDefault="00055A2E" w:rsidP="00264C40">
            <w:pPr>
              <w:jc w:val="both"/>
              <w:rPr>
                <w:rFonts w:ascii="Arial" w:hAnsi="Arial" w:cs="Arial"/>
                <w:sz w:val="22"/>
                <w:szCs w:val="22"/>
              </w:rPr>
            </w:pPr>
            <w:r w:rsidRPr="006238F3">
              <w:rPr>
                <w:rFonts w:ascii="Arial" w:hAnsi="Arial" w:cs="Arial"/>
                <w:noProof w:val="0"/>
                <w:sz w:val="22"/>
                <w:szCs w:val="22"/>
              </w:rPr>
              <w:t>Education (E)</w:t>
            </w:r>
          </w:p>
        </w:tc>
        <w:tc>
          <w:tcPr>
            <w:tcW w:w="1125" w:type="pct"/>
          </w:tcPr>
          <w:p w14:paraId="3F34746B" w14:textId="77777777" w:rsidR="00264C40" w:rsidRPr="006238F3" w:rsidRDefault="00055A2E" w:rsidP="007250CA">
            <w:pPr>
              <w:rPr>
                <w:rFonts w:ascii="Arial" w:hAnsi="Arial" w:cs="Arial"/>
                <w:sz w:val="22"/>
                <w:szCs w:val="22"/>
              </w:rPr>
            </w:pPr>
            <w:r w:rsidRPr="006238F3">
              <w:rPr>
                <w:rFonts w:ascii="Arial" w:hAnsi="Arial" w:cs="Arial"/>
                <w:i/>
                <w:iCs/>
                <w:caps/>
                <w:noProof w:val="0"/>
                <w:sz w:val="22"/>
                <w:szCs w:val="22"/>
              </w:rPr>
              <w:t>Spending</w:t>
            </w:r>
            <w:r w:rsidRPr="006238F3">
              <w:rPr>
                <w:rFonts w:ascii="Arial" w:hAnsi="Arial" w:cs="Arial"/>
                <w:i/>
                <w:noProof w:val="0"/>
                <w:sz w:val="22"/>
                <w:szCs w:val="22"/>
              </w:rPr>
              <w:t xml:space="preserve"> </w:t>
            </w:r>
            <w:r w:rsidRPr="006238F3">
              <w:rPr>
                <w:rFonts w:ascii="Arial" w:hAnsi="Arial" w:cs="Arial"/>
                <w:noProof w:val="0"/>
                <w:sz w:val="22"/>
                <w:szCs w:val="22"/>
              </w:rPr>
              <w:t>measured by the ratio of public education expenditure in total public expenditure (%)</w:t>
            </w:r>
          </w:p>
        </w:tc>
        <w:tc>
          <w:tcPr>
            <w:tcW w:w="3419" w:type="pct"/>
          </w:tcPr>
          <w:p w14:paraId="5A62EFEE" w14:textId="77777777" w:rsidR="00264C40" w:rsidRPr="006238F3" w:rsidRDefault="00055A2E" w:rsidP="00264C40">
            <w:pPr>
              <w:jc w:val="both"/>
              <w:rPr>
                <w:rFonts w:ascii="Arial" w:hAnsi="Arial" w:cs="Arial"/>
                <w:sz w:val="22"/>
                <w:szCs w:val="22"/>
              </w:rPr>
            </w:pPr>
            <w:r w:rsidRPr="006238F3">
              <w:rPr>
                <w:rFonts w:ascii="Arial" w:hAnsi="Arial" w:cs="Arial"/>
                <w:sz w:val="22"/>
                <w:szCs w:val="22"/>
              </w:rPr>
              <w:t>Following Hudson and Kühner's (2009), education as one of the five most important aspects of social policy should account about one-fifth of public welfare spending. However, compared with other social aspects, education spending is significantly lower. During the last two decades, the education spending of the OECD average has never reached 20%. Therefore, in this research, 20% was set as the 'fully-in' point, with 15% as 'cross-over' point and 10% as 'fully-out' point.</w:t>
            </w:r>
          </w:p>
        </w:tc>
      </w:tr>
      <w:tr w:rsidR="00486FBB" w:rsidRPr="00DC3968" w14:paraId="103B5FF1" w14:textId="77777777" w:rsidTr="006238F3">
        <w:tc>
          <w:tcPr>
            <w:tcW w:w="456" w:type="pct"/>
            <w:vMerge/>
          </w:tcPr>
          <w:p w14:paraId="05B57104" w14:textId="77777777" w:rsidR="00264C40" w:rsidRPr="006238F3" w:rsidRDefault="00264C40" w:rsidP="00264C40">
            <w:pPr>
              <w:jc w:val="both"/>
              <w:rPr>
                <w:rFonts w:ascii="Arial" w:hAnsi="Arial" w:cs="Arial"/>
                <w:sz w:val="22"/>
                <w:szCs w:val="22"/>
              </w:rPr>
            </w:pPr>
          </w:p>
        </w:tc>
        <w:tc>
          <w:tcPr>
            <w:tcW w:w="1125" w:type="pct"/>
          </w:tcPr>
          <w:p w14:paraId="1CBD4F84" w14:textId="77777777" w:rsidR="00264C40" w:rsidRPr="006238F3" w:rsidRDefault="00055A2E" w:rsidP="007250CA">
            <w:pPr>
              <w:rPr>
                <w:rFonts w:ascii="Arial" w:hAnsi="Arial" w:cs="Arial"/>
                <w:sz w:val="22"/>
                <w:szCs w:val="22"/>
              </w:rPr>
            </w:pPr>
            <w:r w:rsidRPr="006238F3">
              <w:rPr>
                <w:rFonts w:ascii="Arial" w:hAnsi="Arial" w:cs="Arial"/>
                <w:i/>
                <w:iCs/>
                <w:caps/>
                <w:noProof w:val="0"/>
                <w:sz w:val="22"/>
                <w:szCs w:val="22"/>
              </w:rPr>
              <w:t>Generosity</w:t>
            </w:r>
            <w:r w:rsidRPr="006238F3">
              <w:rPr>
                <w:rFonts w:ascii="Arial" w:hAnsi="Arial" w:cs="Arial"/>
                <w:i/>
                <w:noProof w:val="0"/>
                <w:sz w:val="22"/>
                <w:szCs w:val="22"/>
              </w:rPr>
              <w:t xml:space="preserve"> </w:t>
            </w:r>
            <w:r w:rsidRPr="006238F3">
              <w:rPr>
                <w:rFonts w:ascii="Arial" w:hAnsi="Arial" w:cs="Arial"/>
                <w:noProof w:val="0"/>
                <w:sz w:val="22"/>
                <w:szCs w:val="22"/>
              </w:rPr>
              <w:t>measured by the duration and cost of compulsory education</w:t>
            </w:r>
          </w:p>
        </w:tc>
        <w:tc>
          <w:tcPr>
            <w:tcW w:w="3419" w:type="pct"/>
          </w:tcPr>
          <w:p w14:paraId="25A0431C" w14:textId="77777777" w:rsidR="00264C40" w:rsidRPr="006238F3" w:rsidRDefault="00055A2E" w:rsidP="00264C40">
            <w:pPr>
              <w:jc w:val="both"/>
              <w:rPr>
                <w:rFonts w:ascii="Arial" w:hAnsi="Arial" w:cs="Arial"/>
                <w:sz w:val="22"/>
                <w:szCs w:val="22"/>
              </w:rPr>
            </w:pPr>
            <w:r w:rsidRPr="006238F3">
              <w:rPr>
                <w:rFonts w:ascii="Arial" w:hAnsi="Arial" w:cs="Arial"/>
                <w:sz w:val="22"/>
                <w:szCs w:val="22"/>
              </w:rPr>
              <w:t>The cross over point is set based on the average world level (nine-year compulsory education) according to the World Bank (2012). ‘Fully-in' is set at the most extended duration within the cases, which is twelve years. The ‘fully-out' point was set as no free compulsory education.</w:t>
            </w:r>
          </w:p>
        </w:tc>
      </w:tr>
      <w:tr w:rsidR="00486FBB" w:rsidRPr="00DC3968" w14:paraId="5FC3DB04" w14:textId="77777777" w:rsidTr="006238F3">
        <w:tc>
          <w:tcPr>
            <w:tcW w:w="456" w:type="pct"/>
            <w:vMerge/>
          </w:tcPr>
          <w:p w14:paraId="50DC6110" w14:textId="77777777" w:rsidR="00264C40" w:rsidRPr="006238F3" w:rsidRDefault="00264C40" w:rsidP="00264C40">
            <w:pPr>
              <w:jc w:val="both"/>
              <w:rPr>
                <w:rFonts w:ascii="Arial" w:hAnsi="Arial" w:cs="Arial"/>
                <w:sz w:val="22"/>
                <w:szCs w:val="22"/>
              </w:rPr>
            </w:pPr>
          </w:p>
        </w:tc>
        <w:tc>
          <w:tcPr>
            <w:tcW w:w="1125" w:type="pct"/>
          </w:tcPr>
          <w:p w14:paraId="31848BB7" w14:textId="77777777" w:rsidR="00264C40" w:rsidRPr="006238F3" w:rsidRDefault="00055A2E" w:rsidP="007250CA">
            <w:pPr>
              <w:rPr>
                <w:rFonts w:ascii="Arial" w:hAnsi="Arial" w:cs="Arial"/>
                <w:sz w:val="22"/>
                <w:szCs w:val="22"/>
              </w:rPr>
            </w:pPr>
            <w:r w:rsidRPr="006238F3">
              <w:rPr>
                <w:rFonts w:ascii="Arial" w:hAnsi="Arial" w:cs="Arial"/>
                <w:i/>
                <w:iCs/>
                <w:caps/>
                <w:noProof w:val="0"/>
                <w:sz w:val="22"/>
                <w:szCs w:val="22"/>
              </w:rPr>
              <w:t>Accessibility</w:t>
            </w:r>
            <w:r w:rsidRPr="006238F3">
              <w:rPr>
                <w:rFonts w:ascii="Arial" w:hAnsi="Arial" w:cs="Arial"/>
                <w:i/>
                <w:noProof w:val="0"/>
                <w:sz w:val="22"/>
                <w:szCs w:val="22"/>
              </w:rPr>
              <w:t xml:space="preserve"> </w:t>
            </w:r>
            <w:r w:rsidRPr="006238F3">
              <w:rPr>
                <w:rFonts w:ascii="Arial" w:hAnsi="Arial" w:cs="Arial"/>
                <w:noProof w:val="0"/>
                <w:sz w:val="22"/>
                <w:szCs w:val="22"/>
              </w:rPr>
              <w:t>measured by the affordability of higher education</w:t>
            </w:r>
          </w:p>
        </w:tc>
        <w:tc>
          <w:tcPr>
            <w:tcW w:w="3419" w:type="pct"/>
          </w:tcPr>
          <w:p w14:paraId="44F0AA58" w14:textId="77777777" w:rsidR="00264C40" w:rsidRPr="006238F3" w:rsidRDefault="00055A2E" w:rsidP="00264C40">
            <w:pPr>
              <w:jc w:val="both"/>
              <w:rPr>
                <w:rFonts w:ascii="Arial" w:hAnsi="Arial" w:cs="Arial"/>
                <w:sz w:val="22"/>
                <w:szCs w:val="22"/>
              </w:rPr>
            </w:pPr>
            <w:r w:rsidRPr="006238F3">
              <w:rPr>
                <w:rFonts w:ascii="Arial" w:hAnsi="Arial" w:cs="Arial"/>
                <w:sz w:val="22"/>
                <w:szCs w:val="22"/>
              </w:rPr>
              <w:t>The cut-off points are set entirely based on case knowledge. Easy to afford tuition fees with unselective student loan and various financial aids was set as ‘fully-in' point. Moderate tuition fees with fairly strict selective financial aid were set as the 'cross-over' point. Difficult to afford tuition fees with very strict selective financial aid were set as the ‘fully-out' point.</w:t>
            </w:r>
          </w:p>
        </w:tc>
      </w:tr>
      <w:tr w:rsidR="00486FBB" w:rsidRPr="00DC3968" w14:paraId="2118C39A" w14:textId="77777777" w:rsidTr="006238F3">
        <w:tc>
          <w:tcPr>
            <w:tcW w:w="456" w:type="pct"/>
            <w:vMerge w:val="restart"/>
          </w:tcPr>
          <w:p w14:paraId="77B61B9D" w14:textId="77777777" w:rsidR="00264C40" w:rsidRPr="006238F3" w:rsidRDefault="00055A2E" w:rsidP="00264C40">
            <w:pPr>
              <w:jc w:val="both"/>
              <w:rPr>
                <w:rFonts w:ascii="Arial" w:hAnsi="Arial" w:cs="Arial"/>
                <w:sz w:val="22"/>
                <w:szCs w:val="22"/>
              </w:rPr>
            </w:pPr>
            <w:r w:rsidRPr="006238F3">
              <w:rPr>
                <w:rFonts w:ascii="Arial" w:hAnsi="Arial" w:cs="Arial"/>
                <w:noProof w:val="0"/>
                <w:sz w:val="22"/>
                <w:szCs w:val="22"/>
              </w:rPr>
              <w:t>Health (H)</w:t>
            </w:r>
          </w:p>
        </w:tc>
        <w:tc>
          <w:tcPr>
            <w:tcW w:w="1125" w:type="pct"/>
          </w:tcPr>
          <w:p w14:paraId="204E5D35" w14:textId="77777777" w:rsidR="00264C40" w:rsidRPr="006238F3" w:rsidRDefault="00055A2E" w:rsidP="007250CA">
            <w:pPr>
              <w:rPr>
                <w:rFonts w:ascii="Arial" w:hAnsi="Arial" w:cs="Arial"/>
                <w:sz w:val="22"/>
                <w:szCs w:val="22"/>
              </w:rPr>
            </w:pPr>
            <w:r w:rsidRPr="006238F3">
              <w:rPr>
                <w:rFonts w:ascii="Arial" w:hAnsi="Arial" w:cs="Arial"/>
                <w:i/>
                <w:iCs/>
                <w:caps/>
                <w:noProof w:val="0"/>
                <w:sz w:val="22"/>
                <w:szCs w:val="22"/>
              </w:rPr>
              <w:t>Spending</w:t>
            </w:r>
            <w:r w:rsidRPr="006238F3">
              <w:rPr>
                <w:rFonts w:ascii="Arial" w:hAnsi="Arial" w:cs="Arial"/>
                <w:i/>
                <w:noProof w:val="0"/>
                <w:sz w:val="22"/>
                <w:szCs w:val="22"/>
              </w:rPr>
              <w:t xml:space="preserve"> </w:t>
            </w:r>
            <w:r w:rsidRPr="006238F3">
              <w:rPr>
                <w:rFonts w:ascii="Arial" w:hAnsi="Arial" w:cs="Arial"/>
                <w:noProof w:val="0"/>
                <w:sz w:val="22"/>
                <w:szCs w:val="22"/>
              </w:rPr>
              <w:t>measured by the proportion of public health expenditure in total public expenditure (%)</w:t>
            </w:r>
          </w:p>
        </w:tc>
        <w:tc>
          <w:tcPr>
            <w:tcW w:w="3419" w:type="pct"/>
          </w:tcPr>
          <w:p w14:paraId="795A87CD" w14:textId="77777777" w:rsidR="00264C40" w:rsidRPr="006238F3" w:rsidRDefault="00055A2E" w:rsidP="00264C40">
            <w:pPr>
              <w:jc w:val="both"/>
              <w:rPr>
                <w:rFonts w:ascii="Arial" w:hAnsi="Arial" w:cs="Arial"/>
                <w:sz w:val="22"/>
                <w:szCs w:val="22"/>
              </w:rPr>
            </w:pPr>
            <w:r w:rsidRPr="006238F3">
              <w:rPr>
                <w:rFonts w:ascii="Arial" w:hAnsi="Arial" w:cs="Arial"/>
                <w:sz w:val="22"/>
                <w:szCs w:val="22"/>
              </w:rPr>
              <w:t>The cut-off points are set based on the average share of government spending on health across the world. According to a WHO (2011) report, the average share of public spending on health across the world was between 7% and 14% from 2000 to 2007. So the 'fully-in' point for this thesis was set at 14%, the 'fully-out' point at 6.9% and the 'cross-over' point at 10%.</w:t>
            </w:r>
          </w:p>
        </w:tc>
      </w:tr>
      <w:tr w:rsidR="00486FBB" w:rsidRPr="00DC3968" w14:paraId="205E72FA" w14:textId="77777777" w:rsidTr="006238F3">
        <w:trPr>
          <w:trHeight w:val="580"/>
        </w:trPr>
        <w:tc>
          <w:tcPr>
            <w:tcW w:w="456" w:type="pct"/>
            <w:vMerge/>
          </w:tcPr>
          <w:p w14:paraId="4E14B5CC" w14:textId="77777777" w:rsidR="00264C40" w:rsidRPr="006238F3" w:rsidRDefault="00264C40" w:rsidP="00264C40">
            <w:pPr>
              <w:jc w:val="both"/>
              <w:rPr>
                <w:rFonts w:ascii="Arial" w:hAnsi="Arial" w:cs="Arial"/>
                <w:sz w:val="22"/>
                <w:szCs w:val="22"/>
              </w:rPr>
            </w:pPr>
          </w:p>
        </w:tc>
        <w:tc>
          <w:tcPr>
            <w:tcW w:w="1125" w:type="pct"/>
          </w:tcPr>
          <w:p w14:paraId="0B8F3E8F" w14:textId="77777777" w:rsidR="00264C40" w:rsidRPr="006238F3" w:rsidRDefault="00055A2E" w:rsidP="007250CA">
            <w:pPr>
              <w:rPr>
                <w:rFonts w:ascii="Arial" w:hAnsi="Arial" w:cs="Arial"/>
                <w:sz w:val="22"/>
                <w:szCs w:val="22"/>
              </w:rPr>
            </w:pPr>
            <w:r w:rsidRPr="006238F3">
              <w:rPr>
                <w:rFonts w:ascii="Arial" w:hAnsi="Arial" w:cs="Arial"/>
                <w:i/>
                <w:iCs/>
                <w:caps/>
                <w:noProof w:val="0"/>
                <w:sz w:val="22"/>
                <w:szCs w:val="22"/>
              </w:rPr>
              <w:t>Universality</w:t>
            </w:r>
            <w:r w:rsidRPr="006238F3">
              <w:rPr>
                <w:rFonts w:ascii="Arial" w:hAnsi="Arial" w:cs="Arial"/>
                <w:i/>
                <w:noProof w:val="0"/>
                <w:sz w:val="22"/>
                <w:szCs w:val="22"/>
              </w:rPr>
              <w:t xml:space="preserve"> </w:t>
            </w:r>
            <w:r w:rsidRPr="006238F3">
              <w:rPr>
                <w:rFonts w:ascii="Arial" w:hAnsi="Arial" w:cs="Arial"/>
                <w:noProof w:val="0"/>
                <w:sz w:val="22"/>
                <w:szCs w:val="22"/>
              </w:rPr>
              <w:t>measured by the coverage of public health services (%)</w:t>
            </w:r>
          </w:p>
        </w:tc>
        <w:tc>
          <w:tcPr>
            <w:tcW w:w="3419" w:type="pct"/>
          </w:tcPr>
          <w:p w14:paraId="115FB990" w14:textId="77777777" w:rsidR="00264C40" w:rsidRPr="006238F3" w:rsidRDefault="00055A2E" w:rsidP="00264C40">
            <w:pPr>
              <w:jc w:val="both"/>
              <w:rPr>
                <w:rFonts w:ascii="Arial" w:hAnsi="Arial" w:cs="Arial"/>
                <w:sz w:val="22"/>
                <w:szCs w:val="22"/>
              </w:rPr>
            </w:pPr>
            <w:r w:rsidRPr="006238F3">
              <w:rPr>
                <w:rFonts w:ascii="Arial" w:hAnsi="Arial" w:cs="Arial"/>
                <w:sz w:val="22"/>
                <w:szCs w:val="22"/>
              </w:rPr>
              <w:t>There is no theoretical guideline for setting the breakpoints of this set. We use a relatively high cut-off point of 80% to emphasize the importance of public health care service. 50% is set as 'cross-over point' in accordance with other coverage sets in this research. Moreover, 10</w:t>
            </w:r>
            <w:r w:rsidRPr="006238F3">
              <w:rPr>
                <w:rFonts w:ascii="Arial" w:hAnsi="Arial" w:cs="Arial"/>
                <w:sz w:val="22"/>
                <w:szCs w:val="22"/>
                <w:lang w:eastAsia="zh-CN"/>
              </w:rPr>
              <w:t>%</w:t>
            </w:r>
            <w:r w:rsidRPr="006238F3">
              <w:rPr>
                <w:rFonts w:ascii="Arial" w:hAnsi="Arial" w:cs="Arial"/>
                <w:sz w:val="22"/>
                <w:szCs w:val="22"/>
              </w:rPr>
              <w:t xml:space="preserve"> </w:t>
            </w:r>
            <w:r w:rsidRPr="006238F3">
              <w:rPr>
                <w:rFonts w:ascii="Arial" w:hAnsi="Arial" w:cs="Arial"/>
                <w:sz w:val="22"/>
                <w:szCs w:val="22"/>
                <w:lang w:eastAsia="zh-CN"/>
              </w:rPr>
              <w:t>is</w:t>
            </w:r>
            <w:r w:rsidRPr="006238F3">
              <w:rPr>
                <w:rFonts w:ascii="Arial" w:hAnsi="Arial" w:cs="Arial"/>
                <w:sz w:val="22"/>
                <w:szCs w:val="22"/>
              </w:rPr>
              <w:t xml:space="preserve"> </w:t>
            </w:r>
            <w:r w:rsidRPr="006238F3">
              <w:rPr>
                <w:rFonts w:ascii="Arial" w:hAnsi="Arial" w:cs="Arial"/>
                <w:sz w:val="22"/>
                <w:szCs w:val="22"/>
                <w:lang w:eastAsia="zh-CN"/>
              </w:rPr>
              <w:t>'fully</w:t>
            </w:r>
            <w:r w:rsidRPr="006238F3">
              <w:rPr>
                <w:rFonts w:ascii="Arial" w:hAnsi="Arial" w:cs="Arial"/>
                <w:sz w:val="22"/>
                <w:szCs w:val="22"/>
              </w:rPr>
              <w:t>-out' of the set.</w:t>
            </w:r>
          </w:p>
        </w:tc>
      </w:tr>
      <w:tr w:rsidR="00486FBB" w:rsidRPr="00DC3968" w14:paraId="1B9F4047" w14:textId="77777777" w:rsidTr="006238F3">
        <w:trPr>
          <w:trHeight w:val="516"/>
        </w:trPr>
        <w:tc>
          <w:tcPr>
            <w:tcW w:w="456" w:type="pct"/>
            <w:vMerge/>
          </w:tcPr>
          <w:p w14:paraId="626D93FF" w14:textId="77777777" w:rsidR="00264C40" w:rsidRPr="006238F3" w:rsidRDefault="00264C40" w:rsidP="00264C40">
            <w:pPr>
              <w:jc w:val="both"/>
              <w:rPr>
                <w:rFonts w:ascii="Arial" w:hAnsi="Arial" w:cs="Arial"/>
                <w:sz w:val="22"/>
                <w:szCs w:val="22"/>
              </w:rPr>
            </w:pPr>
          </w:p>
        </w:tc>
        <w:tc>
          <w:tcPr>
            <w:tcW w:w="1125" w:type="pct"/>
          </w:tcPr>
          <w:p w14:paraId="20D379CD" w14:textId="77777777" w:rsidR="00264C40" w:rsidRPr="006238F3" w:rsidRDefault="00055A2E" w:rsidP="007250CA">
            <w:pPr>
              <w:rPr>
                <w:rFonts w:ascii="Arial" w:hAnsi="Arial" w:cs="Arial"/>
                <w:sz w:val="22"/>
                <w:szCs w:val="22"/>
              </w:rPr>
            </w:pPr>
            <w:r w:rsidRPr="006238F3">
              <w:rPr>
                <w:rFonts w:ascii="Arial" w:hAnsi="Arial" w:cs="Arial"/>
                <w:i/>
                <w:iCs/>
                <w:caps/>
                <w:noProof w:val="0"/>
                <w:sz w:val="22"/>
                <w:szCs w:val="22"/>
              </w:rPr>
              <w:t>Affordability</w:t>
            </w:r>
            <w:r w:rsidRPr="006238F3">
              <w:rPr>
                <w:rFonts w:ascii="Arial" w:hAnsi="Arial" w:cs="Arial"/>
                <w:i/>
                <w:noProof w:val="0"/>
                <w:sz w:val="22"/>
                <w:szCs w:val="22"/>
              </w:rPr>
              <w:t xml:space="preserve"> </w:t>
            </w:r>
            <w:r w:rsidRPr="006238F3">
              <w:rPr>
                <w:rFonts w:ascii="Arial" w:hAnsi="Arial" w:cs="Arial"/>
                <w:noProof w:val="0"/>
                <w:sz w:val="22"/>
                <w:szCs w:val="22"/>
              </w:rPr>
              <w:t>measured by the percentage of private expenditure (% of total health expenditure)</w:t>
            </w:r>
          </w:p>
        </w:tc>
        <w:tc>
          <w:tcPr>
            <w:tcW w:w="3419" w:type="pct"/>
          </w:tcPr>
          <w:p w14:paraId="6BF470FB" w14:textId="77777777" w:rsidR="00324A31" w:rsidRPr="006238F3" w:rsidRDefault="00055A2E" w:rsidP="00264C40">
            <w:pPr>
              <w:jc w:val="both"/>
              <w:rPr>
                <w:rFonts w:ascii="Arial" w:hAnsi="Arial" w:cs="Arial"/>
                <w:sz w:val="22"/>
                <w:szCs w:val="22"/>
              </w:rPr>
            </w:pPr>
            <w:r w:rsidRPr="006238F3">
              <w:rPr>
                <w:rFonts w:ascii="Arial" w:hAnsi="Arial" w:cs="Arial"/>
                <w:sz w:val="22"/>
                <w:szCs w:val="22"/>
                <w:lang w:eastAsia="zh-CN"/>
              </w:rPr>
              <w:t>The</w:t>
            </w:r>
            <w:r w:rsidRPr="006238F3">
              <w:rPr>
                <w:rFonts w:ascii="Arial" w:hAnsi="Arial" w:cs="Arial"/>
                <w:sz w:val="22"/>
                <w:szCs w:val="22"/>
              </w:rPr>
              <w:t xml:space="preserve"> cut-off points are set based on the ratio of private health expenditure in countries at different income level. According to the WHO World Health Report 2006 (WHO, 2006), the ratio of private health expenditure is higher in poorer countries than in more affluent countries. The 'fully-in' point was set at 31% which is the average share of private health expenditure in high-income countries; the 'fully-out' point at 52% which is the average share of low-income countries; and the 'cross-over' point at 40% which is about the average level of high and low income countries (WHO, 2006). </w:t>
            </w:r>
          </w:p>
        </w:tc>
      </w:tr>
    </w:tbl>
    <w:p w14:paraId="50678C54" w14:textId="77777777" w:rsidR="00FC2ED7" w:rsidRDefault="00FC2ED7" w:rsidP="00FC2ED7">
      <w:pPr>
        <w:pStyle w:val="Caption"/>
        <w:keepNext/>
        <w:snapToGrid w:val="0"/>
        <w:spacing w:after="120"/>
        <w:rPr>
          <w:rFonts w:ascii="Arial" w:hAnsi="Arial" w:cs="Arial"/>
          <w:color w:val="000000" w:themeColor="text1"/>
          <w:sz w:val="22"/>
          <w:szCs w:val="22"/>
        </w:rPr>
      </w:pPr>
    </w:p>
    <w:p w14:paraId="6886AB4F" w14:textId="16FF04CB" w:rsidR="00FC2ED7" w:rsidRPr="0049433E" w:rsidRDefault="00FC2ED7" w:rsidP="00FC2ED7">
      <w:pPr>
        <w:pStyle w:val="Caption"/>
        <w:keepNext/>
        <w:snapToGrid w:val="0"/>
        <w:spacing w:after="120"/>
        <w:rPr>
          <w:rFonts w:ascii="Arial" w:hAnsi="Arial" w:cs="Arial"/>
          <w:color w:val="000000" w:themeColor="text1"/>
          <w:sz w:val="22"/>
          <w:szCs w:val="22"/>
        </w:rPr>
      </w:pPr>
      <w:r w:rsidRPr="0049433E">
        <w:rPr>
          <w:rFonts w:ascii="Arial" w:hAnsi="Arial" w:cs="Arial"/>
          <w:color w:val="000000" w:themeColor="text1"/>
          <w:sz w:val="22"/>
          <w:szCs w:val="22"/>
        </w:rPr>
        <w:t>Table 2 Summary of the reasoning behind the breakpoints for the sets</w:t>
      </w:r>
      <w:r>
        <w:rPr>
          <w:rFonts w:ascii="Arial" w:hAnsi="Arial" w:cs="Arial"/>
          <w:color w:val="000000" w:themeColor="text1"/>
          <w:sz w:val="22"/>
          <w:szCs w:val="22"/>
        </w:rPr>
        <w:t>, Cont.</w:t>
      </w:r>
    </w:p>
    <w:tbl>
      <w:tblPr>
        <w:tblStyle w:val="TableGrid"/>
        <w:tblW w:w="5000" w:type="pct"/>
        <w:tblLook w:val="04A0" w:firstRow="1" w:lastRow="0" w:firstColumn="1" w:lastColumn="0" w:noHBand="0" w:noVBand="1"/>
      </w:tblPr>
      <w:tblGrid>
        <w:gridCol w:w="1341"/>
        <w:gridCol w:w="2688"/>
        <w:gridCol w:w="10147"/>
      </w:tblGrid>
      <w:tr w:rsidR="00FC2ED7" w:rsidRPr="009948CE" w14:paraId="65738DE7" w14:textId="77777777" w:rsidTr="006238F3">
        <w:tc>
          <w:tcPr>
            <w:tcW w:w="473" w:type="pct"/>
            <w:shd w:val="pct30" w:color="auto" w:fill="auto"/>
          </w:tcPr>
          <w:p w14:paraId="01F52987" w14:textId="77777777" w:rsidR="00FC2ED7" w:rsidRPr="006238F3" w:rsidRDefault="009948CE" w:rsidP="00FC2ED7">
            <w:pPr>
              <w:jc w:val="both"/>
              <w:rPr>
                <w:rFonts w:ascii="Arial" w:hAnsi="Arial" w:cs="Arial"/>
                <w:i/>
                <w:iCs/>
                <w:sz w:val="22"/>
                <w:szCs w:val="22"/>
              </w:rPr>
            </w:pPr>
            <w:r w:rsidRPr="006238F3">
              <w:rPr>
                <w:rFonts w:ascii="Arial" w:hAnsi="Arial" w:cs="Arial"/>
                <w:b/>
                <w:bCs/>
                <w:i/>
                <w:iCs/>
                <w:sz w:val="22"/>
                <w:szCs w:val="22"/>
              </w:rPr>
              <w:t xml:space="preserve">Domain </w:t>
            </w:r>
          </w:p>
          <w:p w14:paraId="404BA50B" w14:textId="183D47B8" w:rsidR="009948CE" w:rsidRPr="006238F3" w:rsidRDefault="009948CE" w:rsidP="00FC2ED7">
            <w:pPr>
              <w:jc w:val="both"/>
              <w:rPr>
                <w:rFonts w:ascii="Arial" w:hAnsi="Arial" w:cs="Arial"/>
                <w:i/>
                <w:iCs/>
                <w:noProof w:val="0"/>
                <w:sz w:val="22"/>
                <w:szCs w:val="22"/>
              </w:rPr>
            </w:pPr>
          </w:p>
        </w:tc>
        <w:tc>
          <w:tcPr>
            <w:tcW w:w="948" w:type="pct"/>
            <w:shd w:val="pct30" w:color="auto" w:fill="auto"/>
          </w:tcPr>
          <w:p w14:paraId="31077F39" w14:textId="68E432C3" w:rsidR="00FC2ED7" w:rsidRPr="009948CE" w:rsidRDefault="00FC2ED7" w:rsidP="00FC2ED7">
            <w:pPr>
              <w:rPr>
                <w:rFonts w:ascii="Arial" w:hAnsi="Arial" w:cs="Arial"/>
                <w:i/>
                <w:iCs/>
                <w:caps/>
                <w:noProof w:val="0"/>
                <w:sz w:val="22"/>
                <w:szCs w:val="22"/>
              </w:rPr>
            </w:pPr>
            <w:r w:rsidRPr="009948CE">
              <w:rPr>
                <w:rFonts w:ascii="Arial" w:hAnsi="Arial" w:cs="Arial"/>
                <w:b/>
                <w:i/>
                <w:iCs/>
                <w:sz w:val="22"/>
                <w:szCs w:val="22"/>
              </w:rPr>
              <w:lastRenderedPageBreak/>
              <w:t>Indicator</w:t>
            </w:r>
          </w:p>
        </w:tc>
        <w:tc>
          <w:tcPr>
            <w:tcW w:w="3579" w:type="pct"/>
            <w:shd w:val="pct30" w:color="auto" w:fill="auto"/>
          </w:tcPr>
          <w:p w14:paraId="07A87A96" w14:textId="157C5F4D" w:rsidR="00FC2ED7" w:rsidRPr="006238F3" w:rsidRDefault="00FC2ED7" w:rsidP="00FC2ED7">
            <w:pPr>
              <w:jc w:val="both"/>
              <w:rPr>
                <w:rFonts w:ascii="Arial" w:hAnsi="Arial" w:cs="Arial"/>
                <w:i/>
                <w:iCs/>
                <w:sz w:val="22"/>
                <w:szCs w:val="22"/>
              </w:rPr>
            </w:pPr>
            <w:r w:rsidRPr="009948CE">
              <w:rPr>
                <w:rFonts w:ascii="Arial" w:hAnsi="Arial" w:cs="Arial"/>
                <w:b/>
                <w:i/>
                <w:iCs/>
                <w:sz w:val="22"/>
                <w:szCs w:val="22"/>
              </w:rPr>
              <w:t>Rationale for choices of qualitative anchors</w:t>
            </w:r>
          </w:p>
        </w:tc>
      </w:tr>
      <w:tr w:rsidR="00FC2ED7" w:rsidRPr="0049433E" w14:paraId="59650960" w14:textId="77777777" w:rsidTr="006238F3">
        <w:tc>
          <w:tcPr>
            <w:tcW w:w="473" w:type="pct"/>
          </w:tcPr>
          <w:p w14:paraId="043E4190" w14:textId="77777777" w:rsidR="00FC2ED7" w:rsidRPr="0049433E" w:rsidRDefault="00FC2ED7" w:rsidP="00FC2ED7">
            <w:pPr>
              <w:jc w:val="both"/>
              <w:rPr>
                <w:rFonts w:ascii="Arial" w:hAnsi="Arial" w:cs="Arial"/>
                <w:sz w:val="22"/>
                <w:szCs w:val="22"/>
              </w:rPr>
            </w:pPr>
            <w:r w:rsidRPr="0049433E">
              <w:rPr>
                <w:rFonts w:ascii="Arial" w:hAnsi="Arial" w:cs="Arial"/>
                <w:noProof w:val="0"/>
                <w:sz w:val="22"/>
                <w:szCs w:val="22"/>
              </w:rPr>
              <w:lastRenderedPageBreak/>
              <w:t>Family (F)</w:t>
            </w:r>
          </w:p>
        </w:tc>
        <w:tc>
          <w:tcPr>
            <w:tcW w:w="948" w:type="pct"/>
          </w:tcPr>
          <w:p w14:paraId="6365D726" w14:textId="77777777" w:rsidR="00FC2ED7" w:rsidRPr="0049433E" w:rsidRDefault="00FC2ED7" w:rsidP="00FC2ED7">
            <w:pPr>
              <w:rPr>
                <w:rFonts w:ascii="Arial" w:hAnsi="Arial" w:cs="Arial"/>
                <w:sz w:val="22"/>
                <w:szCs w:val="22"/>
              </w:rPr>
            </w:pPr>
            <w:r w:rsidRPr="0049433E">
              <w:rPr>
                <w:rFonts w:ascii="Arial" w:hAnsi="Arial" w:cs="Arial"/>
                <w:i/>
                <w:iCs/>
                <w:caps/>
                <w:noProof w:val="0"/>
                <w:sz w:val="22"/>
                <w:szCs w:val="22"/>
              </w:rPr>
              <w:t>Generosity</w:t>
            </w:r>
            <w:r w:rsidRPr="0049433E">
              <w:rPr>
                <w:rFonts w:ascii="Arial" w:hAnsi="Arial" w:cs="Arial"/>
                <w:i/>
                <w:noProof w:val="0"/>
                <w:sz w:val="22"/>
                <w:szCs w:val="22"/>
              </w:rPr>
              <w:t xml:space="preserve"> </w:t>
            </w:r>
            <w:r w:rsidRPr="0049433E">
              <w:rPr>
                <w:rFonts w:ascii="Arial" w:hAnsi="Arial" w:cs="Arial"/>
                <w:noProof w:val="0"/>
                <w:sz w:val="22"/>
                <w:szCs w:val="22"/>
              </w:rPr>
              <w:t>measured by net replacement rate of maternity leave (%)</w:t>
            </w:r>
          </w:p>
        </w:tc>
        <w:tc>
          <w:tcPr>
            <w:tcW w:w="3579" w:type="pct"/>
          </w:tcPr>
          <w:p w14:paraId="54FBC297" w14:textId="77777777" w:rsidR="00FC2ED7" w:rsidRPr="0049433E" w:rsidRDefault="00FC2ED7" w:rsidP="00FC2ED7">
            <w:pPr>
              <w:jc w:val="both"/>
              <w:rPr>
                <w:rFonts w:ascii="Arial" w:hAnsi="Arial" w:cs="Arial"/>
                <w:sz w:val="22"/>
                <w:szCs w:val="22"/>
              </w:rPr>
            </w:pPr>
            <w:r w:rsidRPr="0049433E">
              <w:rPr>
                <w:rFonts w:ascii="Arial" w:hAnsi="Arial" w:cs="Arial"/>
                <w:sz w:val="22"/>
                <w:szCs w:val="22"/>
              </w:rPr>
              <w:t>The ILO Convention No. 183 suggests that cash benefit should be equal at least two-thirds of a woman's previous earnings. Hence, 66% was set as 'cross-over point'. The 'fully-in' point was set at 75% based on Asher's (1998) finding that the replacement rate of around 75% is considered adequate for financial security for a middle-income earner. The 'fully-out' point was set at 20% based on the strategy of Vis (2008) that 20% is the minimum net replacement rate for an individual to remain the same standard of living.</w:t>
            </w:r>
          </w:p>
        </w:tc>
      </w:tr>
      <w:tr w:rsidR="00FC2ED7" w:rsidRPr="0049433E" w14:paraId="5FF1E3E6" w14:textId="77777777" w:rsidTr="006238F3">
        <w:tc>
          <w:tcPr>
            <w:tcW w:w="473" w:type="pct"/>
          </w:tcPr>
          <w:p w14:paraId="160E2C29" w14:textId="77777777" w:rsidR="00FC2ED7" w:rsidRPr="0049433E" w:rsidRDefault="00FC2ED7" w:rsidP="00FC2ED7">
            <w:pPr>
              <w:jc w:val="both"/>
              <w:rPr>
                <w:rFonts w:ascii="Arial" w:hAnsi="Arial" w:cs="Arial"/>
                <w:sz w:val="22"/>
                <w:szCs w:val="22"/>
              </w:rPr>
            </w:pPr>
          </w:p>
        </w:tc>
        <w:tc>
          <w:tcPr>
            <w:tcW w:w="948" w:type="pct"/>
          </w:tcPr>
          <w:p w14:paraId="38C0F02B" w14:textId="77777777" w:rsidR="00FC2ED7" w:rsidRPr="0049433E" w:rsidRDefault="00FC2ED7" w:rsidP="00FC2ED7">
            <w:pPr>
              <w:rPr>
                <w:rFonts w:ascii="Arial" w:hAnsi="Arial" w:cs="Arial"/>
                <w:sz w:val="22"/>
                <w:szCs w:val="22"/>
              </w:rPr>
            </w:pPr>
            <w:r w:rsidRPr="0049433E">
              <w:rPr>
                <w:rFonts w:ascii="Arial" w:hAnsi="Arial" w:cs="Arial"/>
                <w:i/>
                <w:iCs/>
                <w:caps/>
                <w:noProof w:val="0"/>
                <w:sz w:val="22"/>
                <w:szCs w:val="22"/>
              </w:rPr>
              <w:t>Duration</w:t>
            </w:r>
            <w:r w:rsidRPr="0049433E">
              <w:rPr>
                <w:rFonts w:ascii="Arial" w:hAnsi="Arial" w:cs="Arial"/>
                <w:noProof w:val="0"/>
                <w:sz w:val="22"/>
                <w:szCs w:val="22"/>
              </w:rPr>
              <w:t xml:space="preserve"> in weeks</w:t>
            </w:r>
          </w:p>
        </w:tc>
        <w:tc>
          <w:tcPr>
            <w:tcW w:w="3579" w:type="pct"/>
          </w:tcPr>
          <w:p w14:paraId="5CCA8234" w14:textId="77777777" w:rsidR="00FC2ED7" w:rsidRPr="0049433E" w:rsidRDefault="00FC2ED7" w:rsidP="00FC2ED7">
            <w:pPr>
              <w:jc w:val="both"/>
              <w:rPr>
                <w:rFonts w:ascii="Arial" w:hAnsi="Arial" w:cs="Arial"/>
                <w:sz w:val="22"/>
                <w:szCs w:val="22"/>
              </w:rPr>
            </w:pPr>
            <w:r w:rsidRPr="0049433E">
              <w:rPr>
                <w:rFonts w:ascii="Arial" w:hAnsi="Arial" w:cs="Arial"/>
                <w:sz w:val="22"/>
                <w:szCs w:val="22"/>
              </w:rPr>
              <w:t>According to the ILO Convention No.183, maternity leave should be no less than fourteen weeks (the ILO recommendation is eighteen weeks). Moreover, the UNICEF (2013) suggested that six months (equal to twenty-four weeks) of maternity leave could encourage breastfeeding, healthier children and health-care savings. Therefore, the 'fully-out' point of the duration set was set at fourteen weeks, the 'fully-in' point at twenty-four weeks and the 'cross-over' point at eighteen weeks.</w:t>
            </w:r>
          </w:p>
        </w:tc>
      </w:tr>
      <w:tr w:rsidR="00FC2ED7" w:rsidRPr="0049433E" w14:paraId="56724A1E" w14:textId="77777777" w:rsidTr="006238F3">
        <w:trPr>
          <w:tblHeader/>
        </w:trPr>
        <w:tc>
          <w:tcPr>
            <w:tcW w:w="473" w:type="pct"/>
            <w:shd w:val="clear" w:color="auto" w:fill="D9D9D9" w:themeFill="background1" w:themeFillShade="D9"/>
          </w:tcPr>
          <w:p w14:paraId="25785EE2" w14:textId="77777777" w:rsidR="00FC2ED7" w:rsidRPr="0049433E" w:rsidRDefault="00FC2ED7" w:rsidP="00FC2ED7">
            <w:pPr>
              <w:rPr>
                <w:rFonts w:ascii="Arial" w:hAnsi="Arial" w:cs="Arial"/>
                <w:b/>
                <w:i/>
                <w:sz w:val="22"/>
                <w:szCs w:val="22"/>
              </w:rPr>
            </w:pPr>
          </w:p>
        </w:tc>
        <w:tc>
          <w:tcPr>
            <w:tcW w:w="948" w:type="pct"/>
            <w:shd w:val="clear" w:color="auto" w:fill="D9D9D9" w:themeFill="background1" w:themeFillShade="D9"/>
          </w:tcPr>
          <w:p w14:paraId="15DCCC1C" w14:textId="7ED0D504" w:rsidR="00FC2ED7" w:rsidRPr="0049433E" w:rsidRDefault="00FC2ED7" w:rsidP="00FC2ED7">
            <w:pPr>
              <w:rPr>
                <w:rFonts w:ascii="Arial" w:hAnsi="Arial" w:cs="Arial"/>
                <w:b/>
                <w:i/>
                <w:sz w:val="22"/>
                <w:szCs w:val="22"/>
              </w:rPr>
            </w:pPr>
            <w:r w:rsidRPr="0049433E">
              <w:rPr>
                <w:rFonts w:ascii="Arial" w:hAnsi="Arial" w:cs="Arial"/>
                <w:i/>
                <w:iCs/>
                <w:caps/>
                <w:noProof w:val="0"/>
                <w:sz w:val="22"/>
                <w:szCs w:val="22"/>
              </w:rPr>
              <w:t>Accessibility</w:t>
            </w:r>
            <w:r w:rsidRPr="0049433E">
              <w:rPr>
                <w:rFonts w:ascii="Arial" w:hAnsi="Arial" w:cs="Arial"/>
                <w:i/>
                <w:noProof w:val="0"/>
                <w:sz w:val="22"/>
                <w:szCs w:val="22"/>
              </w:rPr>
              <w:t xml:space="preserve"> </w:t>
            </w:r>
            <w:r w:rsidRPr="0049433E">
              <w:rPr>
                <w:rFonts w:ascii="Arial" w:hAnsi="Arial" w:cs="Arial"/>
                <w:noProof w:val="0"/>
                <w:sz w:val="22"/>
                <w:szCs w:val="22"/>
              </w:rPr>
              <w:t>measured by the proportion of insured employees (% of total employees)</w:t>
            </w:r>
          </w:p>
        </w:tc>
        <w:tc>
          <w:tcPr>
            <w:tcW w:w="3579" w:type="pct"/>
            <w:shd w:val="clear" w:color="auto" w:fill="D9D9D9" w:themeFill="background1" w:themeFillShade="D9"/>
          </w:tcPr>
          <w:p w14:paraId="528F1700" w14:textId="2C88E3BB" w:rsidR="00FC2ED7" w:rsidRPr="0049433E" w:rsidRDefault="00FC2ED7" w:rsidP="006238F3">
            <w:pPr>
              <w:rPr>
                <w:rFonts w:ascii="Arial" w:hAnsi="Arial" w:cs="Arial"/>
                <w:b/>
                <w:i/>
                <w:sz w:val="22"/>
                <w:szCs w:val="22"/>
              </w:rPr>
            </w:pPr>
            <w:r w:rsidRPr="0049433E">
              <w:rPr>
                <w:rFonts w:ascii="Arial" w:hAnsi="Arial" w:cs="Arial"/>
                <w:sz w:val="22"/>
                <w:szCs w:val="22"/>
              </w:rPr>
              <w:t>As with the accessibility set of the education service, case knowledge was used for calibration. The 'fully-in' point was set as no requirement for accessing the benefit. The 'cross-over' point was set as covered by all female employees. Moreover, rigorous requirements for accessing the benefit were set as 'fully out' of the set</w:t>
            </w:r>
          </w:p>
        </w:tc>
      </w:tr>
      <w:tr w:rsidR="00FC2ED7" w:rsidRPr="0049433E" w14:paraId="7DA26B22" w14:textId="77777777" w:rsidTr="006238F3">
        <w:trPr>
          <w:tblHeader/>
        </w:trPr>
        <w:tc>
          <w:tcPr>
            <w:tcW w:w="473" w:type="pct"/>
            <w:shd w:val="clear" w:color="auto" w:fill="D9D9D9" w:themeFill="background1" w:themeFillShade="D9"/>
          </w:tcPr>
          <w:p w14:paraId="1B1C587E" w14:textId="77777777" w:rsidR="00FC2ED7" w:rsidRPr="0049433E" w:rsidRDefault="00FC2ED7" w:rsidP="00FC2ED7">
            <w:pPr>
              <w:rPr>
                <w:rFonts w:ascii="Arial" w:hAnsi="Arial" w:cs="Arial"/>
                <w:noProof w:val="0"/>
                <w:sz w:val="22"/>
                <w:szCs w:val="22"/>
              </w:rPr>
            </w:pPr>
            <w:r w:rsidRPr="0049433E">
              <w:rPr>
                <w:rFonts w:ascii="Arial" w:hAnsi="Arial" w:cs="Arial"/>
                <w:noProof w:val="0"/>
                <w:sz w:val="22"/>
                <w:szCs w:val="22"/>
              </w:rPr>
              <w:t>Old-Age Income Protection (I)</w:t>
            </w:r>
          </w:p>
          <w:p w14:paraId="620292D8" w14:textId="77777777" w:rsidR="00FC2ED7" w:rsidRPr="0049433E" w:rsidRDefault="00FC2ED7" w:rsidP="00FC2ED7">
            <w:pPr>
              <w:rPr>
                <w:rFonts w:ascii="Arial" w:hAnsi="Arial" w:cs="Arial"/>
                <w:b/>
                <w:i/>
                <w:sz w:val="22"/>
                <w:szCs w:val="22"/>
              </w:rPr>
            </w:pPr>
          </w:p>
        </w:tc>
        <w:tc>
          <w:tcPr>
            <w:tcW w:w="948" w:type="pct"/>
            <w:shd w:val="clear" w:color="auto" w:fill="D9D9D9" w:themeFill="background1" w:themeFillShade="D9"/>
          </w:tcPr>
          <w:p w14:paraId="17C863BB" w14:textId="297B975E" w:rsidR="00FC2ED7" w:rsidRPr="0049433E" w:rsidRDefault="00FC2ED7" w:rsidP="00FC2ED7">
            <w:pPr>
              <w:rPr>
                <w:rFonts w:ascii="Arial" w:hAnsi="Arial" w:cs="Arial"/>
                <w:i/>
                <w:iCs/>
                <w:caps/>
                <w:noProof w:val="0"/>
                <w:sz w:val="22"/>
                <w:szCs w:val="22"/>
              </w:rPr>
            </w:pPr>
            <w:r w:rsidRPr="0049433E">
              <w:rPr>
                <w:rFonts w:ascii="Arial" w:hAnsi="Arial" w:cs="Arial"/>
                <w:i/>
                <w:iCs/>
                <w:caps/>
                <w:noProof w:val="0"/>
                <w:sz w:val="22"/>
                <w:szCs w:val="22"/>
                <w:lang w:eastAsia="zh-CN"/>
              </w:rPr>
              <w:t>zero PILLAR pension</w:t>
            </w:r>
          </w:p>
        </w:tc>
        <w:tc>
          <w:tcPr>
            <w:tcW w:w="3579" w:type="pct"/>
            <w:shd w:val="clear" w:color="auto" w:fill="D9D9D9" w:themeFill="background1" w:themeFillShade="D9"/>
          </w:tcPr>
          <w:p w14:paraId="056AB077" w14:textId="77777777" w:rsidR="00FC2ED7" w:rsidRPr="0049433E" w:rsidRDefault="00FC2ED7" w:rsidP="00FC2ED7">
            <w:pPr>
              <w:jc w:val="both"/>
              <w:rPr>
                <w:rFonts w:ascii="Arial" w:hAnsi="Arial" w:cs="Arial"/>
                <w:sz w:val="22"/>
                <w:szCs w:val="22"/>
              </w:rPr>
            </w:pPr>
            <w:r w:rsidRPr="0049433E">
              <w:rPr>
                <w:rFonts w:ascii="Arial" w:hAnsi="Arial" w:cs="Arial"/>
                <w:sz w:val="22"/>
                <w:szCs w:val="22"/>
              </w:rPr>
              <w:t>Cases with basic zero-pillar pensions were scored as 'fully in' the set and those without are scored as 'fully out'.</w:t>
            </w:r>
          </w:p>
          <w:p w14:paraId="7DA6A8B0" w14:textId="77777777" w:rsidR="00FC2ED7" w:rsidRPr="0049433E" w:rsidRDefault="00FC2ED7" w:rsidP="00FC2ED7">
            <w:pPr>
              <w:rPr>
                <w:rFonts w:ascii="Arial" w:hAnsi="Arial" w:cs="Arial"/>
                <w:sz w:val="22"/>
                <w:szCs w:val="22"/>
              </w:rPr>
            </w:pPr>
          </w:p>
        </w:tc>
      </w:tr>
      <w:tr w:rsidR="00FC2ED7" w:rsidRPr="0049433E" w14:paraId="69510E49" w14:textId="77777777" w:rsidTr="006238F3">
        <w:trPr>
          <w:tblHeader/>
        </w:trPr>
        <w:tc>
          <w:tcPr>
            <w:tcW w:w="473" w:type="pct"/>
            <w:shd w:val="clear" w:color="auto" w:fill="D9D9D9" w:themeFill="background1" w:themeFillShade="D9"/>
          </w:tcPr>
          <w:p w14:paraId="200AAE59" w14:textId="77777777" w:rsidR="00FC2ED7" w:rsidRPr="0049433E" w:rsidRDefault="00FC2ED7" w:rsidP="00FC2ED7">
            <w:pPr>
              <w:rPr>
                <w:rFonts w:ascii="Arial" w:hAnsi="Arial" w:cs="Arial"/>
                <w:noProof w:val="0"/>
                <w:sz w:val="22"/>
                <w:szCs w:val="22"/>
              </w:rPr>
            </w:pPr>
          </w:p>
        </w:tc>
        <w:tc>
          <w:tcPr>
            <w:tcW w:w="948" w:type="pct"/>
            <w:shd w:val="clear" w:color="auto" w:fill="D9D9D9" w:themeFill="background1" w:themeFillShade="D9"/>
          </w:tcPr>
          <w:p w14:paraId="54CF5264" w14:textId="2CD5DB22" w:rsidR="00FC2ED7" w:rsidRPr="0049433E" w:rsidRDefault="00FC2ED7" w:rsidP="00FC2ED7">
            <w:pPr>
              <w:rPr>
                <w:rFonts w:ascii="Arial" w:hAnsi="Arial" w:cs="Arial"/>
                <w:i/>
                <w:iCs/>
                <w:caps/>
                <w:noProof w:val="0"/>
                <w:sz w:val="22"/>
                <w:szCs w:val="22"/>
                <w:lang w:eastAsia="zh-CN"/>
              </w:rPr>
            </w:pPr>
            <w:r w:rsidRPr="0049433E">
              <w:rPr>
                <w:rFonts w:ascii="Arial" w:hAnsi="Arial" w:cs="Arial"/>
                <w:i/>
                <w:iCs/>
                <w:caps/>
                <w:noProof w:val="0"/>
                <w:sz w:val="22"/>
                <w:szCs w:val="22"/>
              </w:rPr>
              <w:t>Generosity</w:t>
            </w:r>
            <w:r w:rsidRPr="0049433E">
              <w:rPr>
                <w:rFonts w:ascii="Arial" w:hAnsi="Arial" w:cs="Arial"/>
                <w:i/>
                <w:noProof w:val="0"/>
                <w:sz w:val="22"/>
                <w:szCs w:val="22"/>
              </w:rPr>
              <w:t xml:space="preserve"> </w:t>
            </w:r>
            <w:r w:rsidRPr="0049433E">
              <w:rPr>
                <w:rFonts w:ascii="Arial" w:hAnsi="Arial" w:cs="Arial"/>
                <w:noProof w:val="0"/>
                <w:sz w:val="22"/>
                <w:szCs w:val="22"/>
              </w:rPr>
              <w:t xml:space="preserve">measured by average net replacement rate (%) </w:t>
            </w:r>
          </w:p>
        </w:tc>
        <w:tc>
          <w:tcPr>
            <w:tcW w:w="3579" w:type="pct"/>
            <w:shd w:val="clear" w:color="auto" w:fill="D9D9D9" w:themeFill="background1" w:themeFillShade="D9"/>
          </w:tcPr>
          <w:p w14:paraId="309899CD" w14:textId="23446339" w:rsidR="00FC2ED7" w:rsidRPr="0049433E" w:rsidRDefault="00FC2ED7" w:rsidP="00FC2ED7">
            <w:pPr>
              <w:jc w:val="both"/>
              <w:rPr>
                <w:rFonts w:ascii="Arial" w:hAnsi="Arial" w:cs="Arial"/>
                <w:sz w:val="22"/>
                <w:szCs w:val="22"/>
              </w:rPr>
            </w:pPr>
            <w:r w:rsidRPr="0049433E">
              <w:rPr>
                <w:rFonts w:ascii="Arial" w:hAnsi="Arial" w:cs="Arial"/>
                <w:sz w:val="22"/>
                <w:szCs w:val="22"/>
              </w:rPr>
              <w:t>The strategy of 'fully-in' and 'fully-out' points is the same as the net replacement of maternity benefits set, with fully-in point is 75% and 'fully-out' point is 20%. The 'cross-over' point was set as 50% based on the ILO's Social Security (Minimum Standard) Convention (ILO, 1952).</w:t>
            </w:r>
          </w:p>
        </w:tc>
      </w:tr>
      <w:tr w:rsidR="00FC2ED7" w:rsidRPr="0049433E" w14:paraId="3F5D7B39" w14:textId="77777777" w:rsidTr="006238F3">
        <w:trPr>
          <w:tblHeader/>
        </w:trPr>
        <w:tc>
          <w:tcPr>
            <w:tcW w:w="473" w:type="pct"/>
            <w:shd w:val="clear" w:color="auto" w:fill="D9D9D9" w:themeFill="background1" w:themeFillShade="D9"/>
          </w:tcPr>
          <w:p w14:paraId="2F967D9B" w14:textId="77777777" w:rsidR="00FC2ED7" w:rsidRPr="0049433E" w:rsidRDefault="00FC2ED7" w:rsidP="00FC2ED7">
            <w:pPr>
              <w:rPr>
                <w:rFonts w:ascii="Arial" w:hAnsi="Arial" w:cs="Arial"/>
                <w:noProof w:val="0"/>
                <w:sz w:val="22"/>
                <w:szCs w:val="22"/>
              </w:rPr>
            </w:pPr>
          </w:p>
        </w:tc>
        <w:tc>
          <w:tcPr>
            <w:tcW w:w="948" w:type="pct"/>
            <w:shd w:val="clear" w:color="auto" w:fill="D9D9D9" w:themeFill="background1" w:themeFillShade="D9"/>
          </w:tcPr>
          <w:p w14:paraId="3B5D5ECD" w14:textId="77777777" w:rsidR="00FC2ED7" w:rsidRPr="0049433E" w:rsidRDefault="00FC2ED7" w:rsidP="00FC2ED7">
            <w:pPr>
              <w:rPr>
                <w:rFonts w:ascii="Arial" w:hAnsi="Arial" w:cs="Arial"/>
                <w:i/>
                <w:iCs/>
                <w:caps/>
                <w:noProof w:val="0"/>
                <w:sz w:val="22"/>
                <w:szCs w:val="22"/>
              </w:rPr>
            </w:pPr>
            <w:r w:rsidRPr="0049433E">
              <w:rPr>
                <w:rFonts w:ascii="Arial" w:hAnsi="Arial" w:cs="Arial"/>
                <w:i/>
                <w:iCs/>
                <w:caps/>
                <w:noProof w:val="0"/>
                <w:sz w:val="22"/>
                <w:szCs w:val="22"/>
              </w:rPr>
              <w:t>Universality</w:t>
            </w:r>
            <w:r w:rsidRPr="0049433E">
              <w:rPr>
                <w:rFonts w:ascii="Arial" w:hAnsi="Arial" w:cs="Arial"/>
                <w:i/>
                <w:noProof w:val="0"/>
                <w:sz w:val="22"/>
                <w:szCs w:val="22"/>
              </w:rPr>
              <w:t xml:space="preserve"> </w:t>
            </w:r>
            <w:r w:rsidRPr="0049433E">
              <w:rPr>
                <w:rFonts w:ascii="Arial" w:hAnsi="Arial" w:cs="Arial"/>
                <w:noProof w:val="0"/>
                <w:sz w:val="22"/>
                <w:szCs w:val="22"/>
              </w:rPr>
              <w:t>of old-age pension (%)</w:t>
            </w:r>
          </w:p>
        </w:tc>
        <w:tc>
          <w:tcPr>
            <w:tcW w:w="3579" w:type="pct"/>
            <w:shd w:val="clear" w:color="auto" w:fill="D9D9D9" w:themeFill="background1" w:themeFillShade="D9"/>
          </w:tcPr>
          <w:p w14:paraId="080AC0DB" w14:textId="77777777" w:rsidR="00FC2ED7" w:rsidRPr="0049433E" w:rsidRDefault="00FC2ED7" w:rsidP="00FC2ED7">
            <w:pPr>
              <w:jc w:val="both"/>
              <w:rPr>
                <w:rFonts w:ascii="Arial" w:hAnsi="Arial" w:cs="Arial"/>
                <w:sz w:val="22"/>
                <w:szCs w:val="22"/>
              </w:rPr>
            </w:pPr>
            <w:r w:rsidRPr="0049433E">
              <w:rPr>
                <w:rFonts w:ascii="Arial" w:hAnsi="Arial" w:cs="Arial"/>
                <w:sz w:val="22"/>
                <w:szCs w:val="22"/>
              </w:rPr>
              <w:t>Setting the cut-off points is difficult as there is no official guideline. In this research, the cut-off points are set mainly in accordance with the pension coverage in OECD countries. The fully-in point was set at the OECD average, which is 83% in 2005 (OECD, 2012). The 'cross-over' point of the set is 50% based on the ILO's Social Security (Minimum Standard) Convention (ILO, 1952). The fully-out point was set at 10%.</w:t>
            </w:r>
          </w:p>
          <w:p w14:paraId="1F9557FE" w14:textId="77777777" w:rsidR="00FC2ED7" w:rsidRPr="0049433E" w:rsidRDefault="00FC2ED7" w:rsidP="00FC2ED7">
            <w:pPr>
              <w:jc w:val="both"/>
              <w:rPr>
                <w:rFonts w:ascii="Arial" w:hAnsi="Arial" w:cs="Arial"/>
                <w:sz w:val="22"/>
                <w:szCs w:val="22"/>
              </w:rPr>
            </w:pPr>
          </w:p>
        </w:tc>
      </w:tr>
    </w:tbl>
    <w:p w14:paraId="31581D75" w14:textId="77777777" w:rsidR="00FC2ED7" w:rsidRPr="0049433E" w:rsidRDefault="00FC2ED7" w:rsidP="00FC2ED7">
      <w:pPr>
        <w:pStyle w:val="Caption"/>
        <w:keepNext/>
        <w:snapToGrid w:val="0"/>
        <w:spacing w:after="120"/>
        <w:rPr>
          <w:rFonts w:ascii="Arial" w:hAnsi="Arial" w:cs="Arial"/>
          <w:color w:val="000000" w:themeColor="text1"/>
          <w:sz w:val="22"/>
          <w:szCs w:val="22"/>
        </w:rPr>
      </w:pPr>
      <w:r w:rsidRPr="0049433E">
        <w:rPr>
          <w:rFonts w:ascii="Arial" w:hAnsi="Arial" w:cs="Arial"/>
          <w:color w:val="000000" w:themeColor="text1"/>
          <w:sz w:val="22"/>
          <w:szCs w:val="22"/>
        </w:rPr>
        <w:t>Table 2 Summary of the reasoning behind the breakpoints for the sets</w:t>
      </w:r>
      <w:r>
        <w:rPr>
          <w:rFonts w:ascii="Arial" w:hAnsi="Arial" w:cs="Arial"/>
          <w:color w:val="000000" w:themeColor="text1"/>
          <w:sz w:val="22"/>
          <w:szCs w:val="22"/>
        </w:rPr>
        <w:t>, Cont.</w:t>
      </w:r>
    </w:p>
    <w:tbl>
      <w:tblPr>
        <w:tblStyle w:val="TableGrid"/>
        <w:tblW w:w="5000" w:type="pct"/>
        <w:tblLook w:val="04A0" w:firstRow="1" w:lastRow="0" w:firstColumn="1" w:lastColumn="0" w:noHBand="0" w:noVBand="1"/>
      </w:tblPr>
      <w:tblGrid>
        <w:gridCol w:w="1341"/>
        <w:gridCol w:w="2688"/>
        <w:gridCol w:w="10147"/>
      </w:tblGrid>
      <w:tr w:rsidR="00FC2ED7" w:rsidRPr="0049433E" w14:paraId="30544851" w14:textId="77777777" w:rsidTr="006238F3">
        <w:trPr>
          <w:trHeight w:val="478"/>
        </w:trPr>
        <w:tc>
          <w:tcPr>
            <w:tcW w:w="473" w:type="pct"/>
            <w:shd w:val="pct30" w:color="auto" w:fill="auto"/>
          </w:tcPr>
          <w:p w14:paraId="0174C1F4" w14:textId="538BD683" w:rsidR="00FC2ED7" w:rsidRPr="0049433E" w:rsidRDefault="009948CE" w:rsidP="00FC2ED7">
            <w:pPr>
              <w:jc w:val="both"/>
              <w:rPr>
                <w:rFonts w:ascii="Arial" w:hAnsi="Arial" w:cs="Arial"/>
                <w:b/>
                <w:i/>
                <w:sz w:val="22"/>
                <w:szCs w:val="22"/>
              </w:rPr>
            </w:pPr>
            <w:r>
              <w:rPr>
                <w:rFonts w:ascii="Arial" w:hAnsi="Arial" w:cs="Arial"/>
                <w:b/>
                <w:i/>
                <w:sz w:val="22"/>
                <w:szCs w:val="22"/>
              </w:rPr>
              <w:t>Domain</w:t>
            </w:r>
          </w:p>
        </w:tc>
        <w:tc>
          <w:tcPr>
            <w:tcW w:w="948" w:type="pct"/>
            <w:shd w:val="pct30" w:color="auto" w:fill="auto"/>
          </w:tcPr>
          <w:p w14:paraId="77416C94" w14:textId="77777777" w:rsidR="00FC2ED7" w:rsidRPr="0049433E" w:rsidRDefault="00FC2ED7" w:rsidP="00FC2ED7">
            <w:pPr>
              <w:rPr>
                <w:rFonts w:ascii="Arial" w:hAnsi="Arial" w:cs="Arial"/>
                <w:b/>
                <w:i/>
                <w:sz w:val="22"/>
                <w:szCs w:val="22"/>
              </w:rPr>
            </w:pPr>
            <w:r w:rsidRPr="0049433E">
              <w:rPr>
                <w:rFonts w:ascii="Arial" w:hAnsi="Arial" w:cs="Arial"/>
                <w:b/>
                <w:i/>
                <w:sz w:val="22"/>
                <w:szCs w:val="22"/>
              </w:rPr>
              <w:t>Indicator</w:t>
            </w:r>
          </w:p>
        </w:tc>
        <w:tc>
          <w:tcPr>
            <w:tcW w:w="3579" w:type="pct"/>
            <w:shd w:val="pct30" w:color="auto" w:fill="auto"/>
          </w:tcPr>
          <w:p w14:paraId="23EF59C9" w14:textId="77777777" w:rsidR="00FC2ED7" w:rsidRPr="0049433E" w:rsidRDefault="00FC2ED7" w:rsidP="00FC2ED7">
            <w:pPr>
              <w:jc w:val="center"/>
              <w:rPr>
                <w:rFonts w:ascii="Arial" w:hAnsi="Arial" w:cs="Arial"/>
                <w:b/>
                <w:i/>
                <w:sz w:val="22"/>
                <w:szCs w:val="22"/>
              </w:rPr>
            </w:pPr>
            <w:r w:rsidRPr="0049433E">
              <w:rPr>
                <w:rFonts w:ascii="Arial" w:hAnsi="Arial" w:cs="Arial"/>
                <w:b/>
                <w:i/>
                <w:sz w:val="22"/>
                <w:szCs w:val="22"/>
              </w:rPr>
              <w:t>Rationale for choices of qualitative anchors</w:t>
            </w:r>
          </w:p>
        </w:tc>
      </w:tr>
      <w:tr w:rsidR="00486FBB" w:rsidRPr="00DC3968" w14:paraId="40169435" w14:textId="77777777" w:rsidTr="006238F3">
        <w:tc>
          <w:tcPr>
            <w:tcW w:w="473" w:type="pct"/>
          </w:tcPr>
          <w:p w14:paraId="29C3C894" w14:textId="77777777" w:rsidR="00324A31" w:rsidRPr="006238F3" w:rsidRDefault="00055A2E">
            <w:pPr>
              <w:rPr>
                <w:rFonts w:ascii="Arial" w:hAnsi="Arial" w:cs="Arial"/>
                <w:noProof w:val="0"/>
                <w:sz w:val="22"/>
                <w:szCs w:val="22"/>
              </w:rPr>
            </w:pPr>
            <w:r w:rsidRPr="006238F3">
              <w:rPr>
                <w:rFonts w:ascii="Arial" w:hAnsi="Arial" w:cs="Arial"/>
                <w:noProof w:val="0"/>
                <w:sz w:val="22"/>
                <w:szCs w:val="22"/>
              </w:rPr>
              <w:lastRenderedPageBreak/>
              <w:t>Public Housing (P)</w:t>
            </w:r>
          </w:p>
          <w:p w14:paraId="56F29ED2" w14:textId="77777777" w:rsidR="00324A31" w:rsidRPr="006238F3" w:rsidRDefault="00324A31" w:rsidP="007250CA">
            <w:pPr>
              <w:rPr>
                <w:rFonts w:ascii="Arial" w:hAnsi="Arial" w:cs="Arial"/>
                <w:sz w:val="22"/>
                <w:szCs w:val="22"/>
              </w:rPr>
            </w:pPr>
          </w:p>
        </w:tc>
        <w:tc>
          <w:tcPr>
            <w:tcW w:w="948" w:type="pct"/>
          </w:tcPr>
          <w:p w14:paraId="34C3BBF3" w14:textId="77777777" w:rsidR="00324A31" w:rsidRPr="006238F3" w:rsidRDefault="00055A2E" w:rsidP="007250CA">
            <w:pPr>
              <w:rPr>
                <w:rFonts w:ascii="Arial" w:hAnsi="Arial" w:cs="Arial"/>
                <w:sz w:val="22"/>
                <w:szCs w:val="22"/>
              </w:rPr>
            </w:pPr>
            <w:r w:rsidRPr="006238F3">
              <w:rPr>
                <w:rFonts w:ascii="Arial" w:hAnsi="Arial" w:cs="Arial"/>
                <w:i/>
                <w:iCs/>
                <w:caps/>
                <w:noProof w:val="0"/>
                <w:sz w:val="22"/>
                <w:szCs w:val="22"/>
              </w:rPr>
              <w:t>Public rental policy</w:t>
            </w:r>
          </w:p>
        </w:tc>
        <w:tc>
          <w:tcPr>
            <w:tcW w:w="3579" w:type="pct"/>
          </w:tcPr>
          <w:p w14:paraId="540E3510" w14:textId="77777777" w:rsidR="00324A31" w:rsidRPr="006238F3" w:rsidRDefault="00055A2E" w:rsidP="00324A31">
            <w:pPr>
              <w:jc w:val="both"/>
              <w:rPr>
                <w:rFonts w:ascii="Arial" w:hAnsi="Arial" w:cs="Arial"/>
                <w:sz w:val="22"/>
                <w:szCs w:val="22"/>
              </w:rPr>
            </w:pPr>
            <w:r w:rsidRPr="006238F3">
              <w:rPr>
                <w:rFonts w:ascii="Arial" w:hAnsi="Arial" w:cs="Arial"/>
                <w:sz w:val="22"/>
                <w:szCs w:val="22"/>
              </w:rPr>
              <w:t>Cases are calibrated entirely based on empirical knowledge. A well-developed public rental housing sector was set as 'fully in' the set. The 'cross-over point' was set as underdeveloped public rental housing policy, and the 'fully-out' point of the set was set as no public rental housing policy.</w:t>
            </w:r>
          </w:p>
        </w:tc>
      </w:tr>
      <w:tr w:rsidR="00486FBB" w:rsidRPr="00DC3968" w14:paraId="52D21B6B" w14:textId="77777777" w:rsidTr="006238F3">
        <w:tc>
          <w:tcPr>
            <w:tcW w:w="473" w:type="pct"/>
            <w:vMerge w:val="restart"/>
          </w:tcPr>
          <w:p w14:paraId="3D409696" w14:textId="77777777" w:rsidR="00324A31" w:rsidRPr="006238F3" w:rsidRDefault="00055A2E" w:rsidP="007250CA">
            <w:pPr>
              <w:rPr>
                <w:rFonts w:ascii="Arial" w:hAnsi="Arial" w:cs="Arial"/>
                <w:sz w:val="22"/>
                <w:szCs w:val="22"/>
              </w:rPr>
            </w:pPr>
            <w:r w:rsidRPr="006238F3">
              <w:rPr>
                <w:rFonts w:ascii="Arial" w:hAnsi="Arial" w:cs="Arial"/>
                <w:noProof w:val="0"/>
                <w:sz w:val="22"/>
                <w:szCs w:val="22"/>
              </w:rPr>
              <w:t>Passive L</w:t>
            </w:r>
            <w:r w:rsidR="00BC56C5" w:rsidRPr="006238F3">
              <w:rPr>
                <w:rFonts w:ascii="Arial" w:hAnsi="Arial" w:cs="Arial"/>
                <w:noProof w:val="0"/>
                <w:sz w:val="22"/>
                <w:szCs w:val="22"/>
              </w:rPr>
              <w:t>MP</w:t>
            </w:r>
            <w:r w:rsidRPr="006238F3">
              <w:rPr>
                <w:rFonts w:ascii="Arial" w:hAnsi="Arial" w:cs="Arial"/>
                <w:noProof w:val="0"/>
                <w:sz w:val="22"/>
                <w:szCs w:val="22"/>
              </w:rPr>
              <w:t xml:space="preserve"> (L)</w:t>
            </w:r>
          </w:p>
        </w:tc>
        <w:tc>
          <w:tcPr>
            <w:tcW w:w="948" w:type="pct"/>
          </w:tcPr>
          <w:p w14:paraId="71DDD075" w14:textId="77777777" w:rsidR="00324A31" w:rsidRPr="006238F3" w:rsidRDefault="00055A2E" w:rsidP="007250CA">
            <w:pPr>
              <w:rPr>
                <w:rFonts w:ascii="Arial" w:hAnsi="Arial" w:cs="Arial"/>
                <w:sz w:val="22"/>
                <w:szCs w:val="22"/>
              </w:rPr>
            </w:pPr>
            <w:r w:rsidRPr="006238F3">
              <w:rPr>
                <w:rFonts w:ascii="Arial" w:hAnsi="Arial" w:cs="Arial"/>
                <w:i/>
                <w:iCs/>
                <w:caps/>
                <w:noProof w:val="0"/>
                <w:sz w:val="22"/>
                <w:szCs w:val="22"/>
              </w:rPr>
              <w:t>Generosity</w:t>
            </w:r>
            <w:r w:rsidRPr="006238F3">
              <w:rPr>
                <w:rFonts w:ascii="Arial" w:hAnsi="Arial" w:cs="Arial"/>
                <w:i/>
                <w:noProof w:val="0"/>
                <w:sz w:val="22"/>
                <w:szCs w:val="22"/>
              </w:rPr>
              <w:t xml:space="preserve"> </w:t>
            </w:r>
            <w:r w:rsidRPr="006238F3">
              <w:rPr>
                <w:rFonts w:ascii="Arial" w:hAnsi="Arial" w:cs="Arial"/>
                <w:noProof w:val="0"/>
                <w:sz w:val="22"/>
                <w:szCs w:val="22"/>
              </w:rPr>
              <w:t>measured by average net replacement rate (%)</w:t>
            </w:r>
          </w:p>
        </w:tc>
        <w:tc>
          <w:tcPr>
            <w:tcW w:w="3579" w:type="pct"/>
          </w:tcPr>
          <w:p w14:paraId="6592FBC8" w14:textId="77777777" w:rsidR="00324A31" w:rsidRPr="006238F3" w:rsidRDefault="00055A2E" w:rsidP="00324A31">
            <w:pPr>
              <w:jc w:val="both"/>
              <w:rPr>
                <w:rFonts w:ascii="Arial" w:hAnsi="Arial" w:cs="Arial"/>
                <w:sz w:val="22"/>
                <w:szCs w:val="22"/>
              </w:rPr>
            </w:pPr>
            <w:r w:rsidRPr="006238F3">
              <w:rPr>
                <w:rFonts w:ascii="Arial" w:hAnsi="Arial" w:cs="Arial"/>
                <w:sz w:val="22"/>
                <w:szCs w:val="22"/>
              </w:rPr>
              <w:t>Following the same strategy as for the pension replacement rate, the 'fully-out' point was set at 20%, and the 75% net replacement rate was regarded as the 'fully-in' point. 50% was set as the 'cross-over' point.</w:t>
            </w:r>
          </w:p>
        </w:tc>
      </w:tr>
      <w:tr w:rsidR="00486FBB" w:rsidRPr="00DC3968" w14:paraId="60690935" w14:textId="77777777" w:rsidTr="006238F3">
        <w:tc>
          <w:tcPr>
            <w:tcW w:w="473" w:type="pct"/>
            <w:vMerge/>
          </w:tcPr>
          <w:p w14:paraId="6172CA0F" w14:textId="77777777" w:rsidR="00324A31" w:rsidRPr="006238F3" w:rsidRDefault="00324A31" w:rsidP="007250CA">
            <w:pPr>
              <w:rPr>
                <w:rFonts w:ascii="Arial" w:hAnsi="Arial" w:cs="Arial"/>
                <w:sz w:val="22"/>
                <w:szCs w:val="22"/>
              </w:rPr>
            </w:pPr>
          </w:p>
        </w:tc>
        <w:tc>
          <w:tcPr>
            <w:tcW w:w="948" w:type="pct"/>
          </w:tcPr>
          <w:p w14:paraId="0BBE9AC3" w14:textId="77777777" w:rsidR="00324A31" w:rsidRPr="006238F3" w:rsidRDefault="00055A2E" w:rsidP="007250CA">
            <w:pPr>
              <w:rPr>
                <w:rFonts w:ascii="Arial" w:hAnsi="Arial" w:cs="Arial"/>
                <w:sz w:val="22"/>
                <w:szCs w:val="22"/>
              </w:rPr>
            </w:pPr>
            <w:r w:rsidRPr="006238F3">
              <w:rPr>
                <w:rFonts w:ascii="Arial" w:hAnsi="Arial" w:cs="Arial"/>
                <w:i/>
                <w:iCs/>
                <w:caps/>
                <w:noProof w:val="0"/>
                <w:sz w:val="22"/>
                <w:szCs w:val="22"/>
                <w:lang w:eastAsia="zh-CN"/>
              </w:rPr>
              <w:t>Coverage</w:t>
            </w:r>
            <w:r w:rsidRPr="006238F3">
              <w:rPr>
                <w:rFonts w:ascii="Arial" w:hAnsi="Arial" w:cs="Arial"/>
                <w:i/>
                <w:noProof w:val="0"/>
                <w:sz w:val="22"/>
                <w:szCs w:val="22"/>
                <w:lang w:eastAsia="zh-CN"/>
              </w:rPr>
              <w:t xml:space="preserve"> </w:t>
            </w:r>
            <w:r w:rsidRPr="006238F3">
              <w:rPr>
                <w:rFonts w:ascii="Arial" w:hAnsi="Arial" w:cs="Arial"/>
                <w:noProof w:val="0"/>
                <w:sz w:val="22"/>
                <w:szCs w:val="22"/>
                <w:lang w:eastAsia="zh-CN"/>
              </w:rPr>
              <w:t>measured as the percentage of unemployed (%)</w:t>
            </w:r>
          </w:p>
        </w:tc>
        <w:tc>
          <w:tcPr>
            <w:tcW w:w="3579" w:type="pct"/>
          </w:tcPr>
          <w:p w14:paraId="2A43E13D" w14:textId="77777777" w:rsidR="00324A31" w:rsidRPr="006238F3" w:rsidRDefault="00055A2E" w:rsidP="00324A31">
            <w:pPr>
              <w:jc w:val="both"/>
              <w:rPr>
                <w:rFonts w:ascii="Arial" w:hAnsi="Arial" w:cs="Arial"/>
                <w:sz w:val="22"/>
                <w:szCs w:val="22"/>
              </w:rPr>
            </w:pPr>
            <w:r w:rsidRPr="006238F3">
              <w:rPr>
                <w:rFonts w:ascii="Arial" w:hAnsi="Arial" w:cs="Arial"/>
                <w:sz w:val="22"/>
                <w:szCs w:val="22"/>
              </w:rPr>
              <w:t>Similar to the coverage of old-age income protection set, for the fully-in and fully-out points, there are no formal guidelines. OECD unemployment benefit coverage was used as the benchmark. The 'fully-in' point was set at 73% in accordance with the average coverage of 27 EU member states in 2010. Moreover, the 'fully-out' point was set at 10%. The 'cross-over' point of the set was 50% based on the ILO's Social Security (Minimum Standard) Convention (ILO, 1952) which indicates that unemployment benefit should cover not less than 50% of all employees.</w:t>
            </w:r>
          </w:p>
          <w:p w14:paraId="0924B60F" w14:textId="77777777" w:rsidR="00324A31" w:rsidRPr="006238F3" w:rsidRDefault="00324A31" w:rsidP="00324A31">
            <w:pPr>
              <w:jc w:val="both"/>
              <w:rPr>
                <w:rFonts w:ascii="Arial" w:hAnsi="Arial" w:cs="Arial"/>
                <w:sz w:val="22"/>
                <w:szCs w:val="22"/>
              </w:rPr>
            </w:pPr>
          </w:p>
        </w:tc>
      </w:tr>
      <w:tr w:rsidR="00486FBB" w:rsidRPr="00DC3968" w14:paraId="5402A0EC" w14:textId="77777777" w:rsidTr="006238F3">
        <w:tc>
          <w:tcPr>
            <w:tcW w:w="473" w:type="pct"/>
            <w:vMerge/>
          </w:tcPr>
          <w:p w14:paraId="38931317" w14:textId="77777777" w:rsidR="00324A31" w:rsidRPr="006238F3" w:rsidRDefault="00324A31" w:rsidP="007250CA">
            <w:pPr>
              <w:rPr>
                <w:rFonts w:ascii="Arial" w:hAnsi="Arial" w:cs="Arial"/>
                <w:sz w:val="22"/>
                <w:szCs w:val="22"/>
              </w:rPr>
            </w:pPr>
          </w:p>
        </w:tc>
        <w:tc>
          <w:tcPr>
            <w:tcW w:w="948" w:type="pct"/>
          </w:tcPr>
          <w:p w14:paraId="7D503537" w14:textId="77777777" w:rsidR="00324A31" w:rsidRPr="006238F3" w:rsidRDefault="00055A2E" w:rsidP="007250CA">
            <w:pPr>
              <w:rPr>
                <w:rFonts w:ascii="Arial" w:hAnsi="Arial" w:cs="Arial"/>
                <w:sz w:val="22"/>
                <w:szCs w:val="22"/>
              </w:rPr>
            </w:pPr>
            <w:r w:rsidRPr="006238F3">
              <w:rPr>
                <w:rFonts w:ascii="Arial" w:hAnsi="Arial" w:cs="Arial"/>
                <w:i/>
                <w:iCs/>
                <w:caps/>
                <w:noProof w:val="0"/>
                <w:sz w:val="22"/>
                <w:szCs w:val="22"/>
              </w:rPr>
              <w:t>Duration</w:t>
            </w:r>
            <w:r w:rsidRPr="006238F3">
              <w:rPr>
                <w:rFonts w:ascii="Arial" w:hAnsi="Arial" w:cs="Arial"/>
                <w:noProof w:val="0"/>
                <w:sz w:val="22"/>
                <w:szCs w:val="22"/>
              </w:rPr>
              <w:t xml:space="preserve"> measured in total weeks paid </w:t>
            </w:r>
          </w:p>
        </w:tc>
        <w:tc>
          <w:tcPr>
            <w:tcW w:w="3579" w:type="pct"/>
          </w:tcPr>
          <w:p w14:paraId="09167359" w14:textId="77777777" w:rsidR="00324A31" w:rsidRPr="006238F3" w:rsidRDefault="00055A2E" w:rsidP="00324A31">
            <w:pPr>
              <w:jc w:val="both"/>
              <w:rPr>
                <w:rFonts w:ascii="Arial" w:hAnsi="Arial" w:cs="Arial"/>
                <w:sz w:val="22"/>
                <w:szCs w:val="22"/>
              </w:rPr>
            </w:pPr>
            <w:r w:rsidRPr="006238F3">
              <w:rPr>
                <w:rFonts w:ascii="Arial" w:hAnsi="Arial" w:cs="Arial"/>
                <w:sz w:val="22"/>
                <w:szCs w:val="22"/>
              </w:rPr>
              <w:t>According to the ILO convention (ILO, 1952), the minimum duration should be thirteen weeks within a twelve-month period. So thirteen weeks was set as the 'cross-over' point of duration. The 'fully-in' point of duration was set in accordance with the average unemployment benefit period in the 27 EU countries, which is 14.8 weeks in 2010. The 'fully-out' was set as no unemployment benefits.</w:t>
            </w:r>
          </w:p>
          <w:p w14:paraId="3D53D441" w14:textId="77777777" w:rsidR="00324A31" w:rsidRPr="006238F3" w:rsidRDefault="00324A31" w:rsidP="00324A31">
            <w:pPr>
              <w:jc w:val="both"/>
              <w:rPr>
                <w:rFonts w:ascii="Arial" w:hAnsi="Arial" w:cs="Arial"/>
                <w:sz w:val="22"/>
                <w:szCs w:val="22"/>
              </w:rPr>
            </w:pPr>
          </w:p>
        </w:tc>
      </w:tr>
    </w:tbl>
    <w:p w14:paraId="03E45960" w14:textId="77777777" w:rsidR="00E65B18" w:rsidRPr="006238F3" w:rsidRDefault="00E65B18" w:rsidP="00E65B18">
      <w:pPr>
        <w:rPr>
          <w:rFonts w:ascii="Arial" w:hAnsi="Arial" w:cs="Arial"/>
          <w:sz w:val="22"/>
          <w:szCs w:val="22"/>
        </w:rPr>
        <w:sectPr w:rsidR="00E65B18" w:rsidRPr="006238F3" w:rsidSect="00E65B18">
          <w:pgSz w:w="16840" w:h="11900" w:orient="landscape"/>
          <w:pgMar w:top="1440" w:right="1440" w:bottom="1440" w:left="1440" w:header="709" w:footer="709" w:gutter="0"/>
          <w:cols w:space="708"/>
          <w:docGrid w:linePitch="360"/>
        </w:sectPr>
      </w:pPr>
    </w:p>
    <w:p w14:paraId="6A4570F8" w14:textId="77777777" w:rsidR="00805DD7" w:rsidRPr="006238F3" w:rsidRDefault="00055A2E" w:rsidP="006238F3">
      <w:pPr>
        <w:widowControl w:val="0"/>
        <w:autoSpaceDE w:val="0"/>
        <w:autoSpaceDN w:val="0"/>
        <w:adjustRightInd w:val="0"/>
        <w:spacing w:line="360" w:lineRule="auto"/>
        <w:ind w:firstLine="720"/>
        <w:rPr>
          <w:rFonts w:ascii="Arial" w:hAnsi="Arial" w:cs="Arial"/>
          <w:b/>
          <w:bCs/>
          <w:noProof w:val="0"/>
          <w:color w:val="000000"/>
          <w:sz w:val="22"/>
          <w:szCs w:val="22"/>
        </w:rPr>
      </w:pPr>
      <w:r w:rsidRPr="006238F3">
        <w:rPr>
          <w:rFonts w:ascii="Arial" w:hAnsi="Arial" w:cs="Arial"/>
          <w:b/>
          <w:bCs/>
          <w:noProof w:val="0"/>
          <w:color w:val="000000"/>
          <w:sz w:val="22"/>
          <w:szCs w:val="22"/>
        </w:rPr>
        <w:lastRenderedPageBreak/>
        <w:t xml:space="preserve">Robustness of findings </w:t>
      </w:r>
    </w:p>
    <w:p w14:paraId="050BC3AC" w14:textId="77777777" w:rsidR="00805DD7" w:rsidRPr="006238F3" w:rsidRDefault="00055A2E" w:rsidP="00805DD7">
      <w:pPr>
        <w:widowControl w:val="0"/>
        <w:autoSpaceDE w:val="0"/>
        <w:autoSpaceDN w:val="0"/>
        <w:adjustRightInd w:val="0"/>
        <w:spacing w:line="360" w:lineRule="auto"/>
        <w:jc w:val="both"/>
        <w:rPr>
          <w:rFonts w:ascii="Arial" w:hAnsi="Arial" w:cs="Arial"/>
          <w:noProof w:val="0"/>
          <w:color w:val="000000"/>
          <w:sz w:val="22"/>
          <w:szCs w:val="22"/>
        </w:rPr>
      </w:pPr>
      <w:r w:rsidRPr="006238F3">
        <w:rPr>
          <w:rFonts w:ascii="Arial" w:hAnsi="Arial" w:cs="Arial"/>
          <w:noProof w:val="0"/>
          <w:color w:val="000000"/>
          <w:sz w:val="22"/>
          <w:szCs w:val="22"/>
        </w:rPr>
        <w:t xml:space="preserve">The robustness of </w:t>
      </w:r>
      <w:proofErr w:type="spellStart"/>
      <w:r w:rsidRPr="006238F3">
        <w:rPr>
          <w:rFonts w:ascii="Arial" w:hAnsi="Arial" w:cs="Arial"/>
          <w:noProof w:val="0"/>
          <w:color w:val="000000"/>
          <w:sz w:val="22"/>
          <w:szCs w:val="22"/>
        </w:rPr>
        <w:t>FsITA</w:t>
      </w:r>
      <w:proofErr w:type="spellEnd"/>
      <w:r w:rsidRPr="006238F3">
        <w:rPr>
          <w:rFonts w:ascii="Arial" w:hAnsi="Arial" w:cs="Arial"/>
          <w:noProof w:val="0"/>
          <w:color w:val="000000"/>
          <w:sz w:val="22"/>
          <w:szCs w:val="22"/>
        </w:rPr>
        <w:t xml:space="preserve"> analysis has been debated by scholars, who point towards the process of calibration as potentially introducing bias into the analysis (</w:t>
      </w:r>
      <w:proofErr w:type="spellStart"/>
      <w:r w:rsidRPr="006238F3">
        <w:rPr>
          <w:rFonts w:ascii="Arial" w:hAnsi="Arial" w:cs="Arial"/>
          <w:bCs/>
          <w:noProof w:val="0"/>
          <w:sz w:val="22"/>
          <w:szCs w:val="22"/>
        </w:rPr>
        <w:t>Krogslund</w:t>
      </w:r>
      <w:proofErr w:type="spellEnd"/>
      <w:r w:rsidRPr="006238F3">
        <w:rPr>
          <w:rFonts w:ascii="Arial" w:hAnsi="Arial" w:cs="Arial"/>
          <w:bCs/>
          <w:noProof w:val="0"/>
          <w:sz w:val="22"/>
          <w:szCs w:val="22"/>
        </w:rPr>
        <w:t xml:space="preserve"> et al., 2015</w:t>
      </w:r>
      <w:r w:rsidRPr="006238F3">
        <w:rPr>
          <w:rFonts w:ascii="Arial" w:hAnsi="Arial" w:cs="Arial"/>
          <w:noProof w:val="0"/>
          <w:color w:val="000000"/>
          <w:sz w:val="22"/>
          <w:szCs w:val="22"/>
        </w:rPr>
        <w:t>). Cases around the margin of membership/non-membership (‘.50') need to be considered with extra care, particularly when the minimum principle is used to combine marginal fuzzy-set scores. This is because of marginal membership scores, e.g. ‘.51' or ‘.49', may lead to very different results of combined sets, and therefore ideal-type membership to welfare models and sub-models.</w:t>
      </w:r>
    </w:p>
    <w:p w14:paraId="2F5E4E57" w14:textId="0EBF7A6E" w:rsidR="009B21E8" w:rsidRPr="006238F3" w:rsidRDefault="00055A2E" w:rsidP="002477FD">
      <w:pPr>
        <w:widowControl w:val="0"/>
        <w:autoSpaceDE w:val="0"/>
        <w:autoSpaceDN w:val="0"/>
        <w:adjustRightInd w:val="0"/>
        <w:spacing w:line="360" w:lineRule="auto"/>
        <w:ind w:firstLine="720"/>
        <w:jc w:val="both"/>
        <w:rPr>
          <w:rFonts w:ascii="Arial" w:hAnsi="Arial" w:cs="Arial"/>
          <w:noProof w:val="0"/>
          <w:color w:val="000000"/>
          <w:sz w:val="22"/>
          <w:szCs w:val="22"/>
        </w:rPr>
        <w:sectPr w:rsidR="009B21E8" w:rsidRPr="006238F3" w:rsidSect="00E65B18">
          <w:pgSz w:w="11900" w:h="16840"/>
          <w:pgMar w:top="1440" w:right="1440" w:bottom="1440" w:left="1440" w:header="709" w:footer="709" w:gutter="0"/>
          <w:cols w:space="708"/>
          <w:docGrid w:linePitch="360"/>
        </w:sectPr>
      </w:pPr>
      <w:r w:rsidRPr="006238F3">
        <w:rPr>
          <w:rFonts w:ascii="Arial" w:hAnsi="Arial" w:cs="Arial"/>
          <w:noProof w:val="0"/>
          <w:color w:val="000000"/>
          <w:sz w:val="22"/>
          <w:szCs w:val="22"/>
        </w:rPr>
        <w:t xml:space="preserve">There are few marginal scores in our </w:t>
      </w:r>
      <w:proofErr w:type="gramStart"/>
      <w:r w:rsidRPr="006238F3">
        <w:rPr>
          <w:rFonts w:ascii="Arial" w:hAnsi="Arial" w:cs="Arial"/>
          <w:noProof w:val="0"/>
          <w:color w:val="000000"/>
          <w:sz w:val="22"/>
          <w:szCs w:val="22"/>
        </w:rPr>
        <w:t>analysis, that</w:t>
      </w:r>
      <w:proofErr w:type="gramEnd"/>
      <w:r w:rsidRPr="006238F3">
        <w:rPr>
          <w:rFonts w:ascii="Arial" w:hAnsi="Arial" w:cs="Arial"/>
          <w:noProof w:val="0"/>
          <w:color w:val="000000"/>
          <w:sz w:val="22"/>
          <w:szCs w:val="22"/>
        </w:rPr>
        <w:t xml:space="preserve"> may affect our final results. The share of public spending on education of Korea in 2010 was 15%, which is right at the </w:t>
      </w:r>
      <w:r w:rsidR="008D6793" w:rsidRPr="008D6793">
        <w:rPr>
          <w:rFonts w:ascii="Arial" w:hAnsi="Arial" w:cs="Arial"/>
          <w:noProof w:val="0"/>
          <w:color w:val="000000"/>
          <w:sz w:val="22"/>
          <w:szCs w:val="22"/>
        </w:rPr>
        <w:t>theoretically defined</w:t>
      </w:r>
      <w:r w:rsidRPr="006238F3">
        <w:rPr>
          <w:rFonts w:ascii="Arial" w:hAnsi="Arial" w:cs="Arial"/>
          <w:noProof w:val="0"/>
          <w:color w:val="000000"/>
          <w:sz w:val="22"/>
          <w:szCs w:val="22"/>
        </w:rPr>
        <w:t xml:space="preserve"> cross-over point of the set. In this case, Korea was given a score of ‘.51' (‘more or less in'), because the actual share of spending was slightly higher than 15% and not reflected in our data due to a rounding error. For China in 2016, most provinces had more than 18 weeks of maternity leave, which means the DURATION score was adjusted upwards to ‘.55' (‘more or less in') to avoid any cross</w:t>
      </w:r>
      <w:r w:rsidR="0039534E" w:rsidRPr="006238F3">
        <w:rPr>
          <w:rFonts w:ascii="Arial" w:hAnsi="Arial" w:cs="Arial"/>
          <w:noProof w:val="0"/>
          <w:color w:val="000000"/>
          <w:sz w:val="22"/>
          <w:szCs w:val="22"/>
        </w:rPr>
        <w:t>-</w:t>
      </w:r>
      <w:r w:rsidRPr="006238F3">
        <w:rPr>
          <w:rFonts w:ascii="Arial" w:hAnsi="Arial" w:cs="Arial"/>
          <w:noProof w:val="0"/>
          <w:color w:val="000000"/>
          <w:sz w:val="22"/>
          <w:szCs w:val="22"/>
        </w:rPr>
        <w:t xml:space="preserve">over issues. As previously discussed, the same score – ‘.55' - ‘more or less in' – was assigned for the family policy set in Japan (2016) due to the expansion of parental leave, which is not otherwise reflected in our data. Finally, marginal scores ‘.49' for both old age pension protection in Korea (2000) and passive LMP in China (2010 and 2016) are due to actual coverage rates falling just below the </w:t>
      </w:r>
      <w:r w:rsidR="008D6793" w:rsidRPr="008D6793">
        <w:rPr>
          <w:rFonts w:ascii="Arial" w:hAnsi="Arial" w:cs="Arial"/>
          <w:noProof w:val="0"/>
          <w:color w:val="000000"/>
          <w:sz w:val="22"/>
          <w:szCs w:val="22"/>
        </w:rPr>
        <w:t>theoretically defined</w:t>
      </w:r>
      <w:r w:rsidRPr="006238F3">
        <w:rPr>
          <w:rFonts w:ascii="Arial" w:hAnsi="Arial" w:cs="Arial"/>
          <w:noProof w:val="0"/>
          <w:color w:val="000000"/>
          <w:sz w:val="22"/>
          <w:szCs w:val="22"/>
        </w:rPr>
        <w:t xml:space="preserve"> crossover point of membership of the UNIVERSALITY and COVERAGE sets, respectively. No further adjustments were made in both instances and all cases where located as ‘more or less out' of the respective sets, accordingly.</w:t>
      </w:r>
    </w:p>
    <w:p w14:paraId="4FF02391" w14:textId="77777777" w:rsidR="003A5907" w:rsidRPr="006238F3" w:rsidRDefault="00055A2E" w:rsidP="006238F3">
      <w:pPr>
        <w:pStyle w:val="ListParagraph"/>
        <w:ind w:left="360"/>
        <w:rPr>
          <w:rFonts w:ascii="Arial" w:hAnsi="Arial" w:cs="Arial"/>
          <w:b/>
          <w:bCs/>
          <w:noProof w:val="0"/>
          <w:color w:val="000000"/>
          <w:sz w:val="22"/>
          <w:szCs w:val="22"/>
        </w:rPr>
      </w:pPr>
      <w:r w:rsidRPr="006238F3">
        <w:rPr>
          <w:rFonts w:ascii="Arial" w:hAnsi="Arial" w:cs="Arial"/>
          <w:b/>
          <w:bCs/>
          <w:noProof w:val="0"/>
          <w:color w:val="000000"/>
          <w:sz w:val="22"/>
          <w:szCs w:val="22"/>
        </w:rPr>
        <w:lastRenderedPageBreak/>
        <w:t>Fuzzy set scores and overall level of change</w:t>
      </w:r>
    </w:p>
    <w:p w14:paraId="4A9141D9" w14:textId="77777777" w:rsidR="003A5907" w:rsidRPr="006238F3" w:rsidRDefault="003A5907" w:rsidP="007250CA">
      <w:pPr>
        <w:pStyle w:val="ListParagraph"/>
        <w:ind w:left="360"/>
        <w:rPr>
          <w:rFonts w:ascii="Arial" w:hAnsi="Arial" w:cs="Arial"/>
          <w:b/>
          <w:bCs/>
          <w:noProof w:val="0"/>
          <w:color w:val="000000"/>
          <w:sz w:val="22"/>
          <w:szCs w:val="22"/>
        </w:rPr>
      </w:pPr>
    </w:p>
    <w:p w14:paraId="4198094F" w14:textId="77777777" w:rsidR="00806413" w:rsidRPr="006238F3" w:rsidRDefault="00055A2E" w:rsidP="007250CA">
      <w:pPr>
        <w:snapToGrid w:val="0"/>
        <w:spacing w:after="120"/>
        <w:rPr>
          <w:rFonts w:ascii="Arial" w:hAnsi="Arial" w:cs="Arial"/>
          <w:sz w:val="22"/>
          <w:szCs w:val="22"/>
        </w:rPr>
      </w:pPr>
      <w:r w:rsidRPr="006238F3">
        <w:rPr>
          <w:rFonts w:ascii="Arial" w:hAnsi="Arial" w:cs="Arial"/>
          <w:b/>
          <w:bCs/>
          <w:noProof w:val="0"/>
          <w:color w:val="000000"/>
          <w:sz w:val="22"/>
          <w:szCs w:val="22"/>
        </w:rPr>
        <w:t>China's welfare development trajectory, 1990-2016</w:t>
      </w:r>
    </w:p>
    <w:tbl>
      <w:tblPr>
        <w:tblW w:w="9072" w:type="dxa"/>
        <w:tblInd w:w="-10" w:type="dxa"/>
        <w:tblBorders>
          <w:top w:val="nil"/>
          <w:left w:val="nil"/>
          <w:right w:val="nil"/>
        </w:tblBorders>
        <w:tblLayout w:type="fixed"/>
        <w:tblLook w:val="0000" w:firstRow="0" w:lastRow="0" w:firstColumn="0" w:lastColumn="0" w:noHBand="0" w:noVBand="0"/>
      </w:tblPr>
      <w:tblGrid>
        <w:gridCol w:w="1536"/>
        <w:gridCol w:w="1441"/>
        <w:gridCol w:w="992"/>
        <w:gridCol w:w="992"/>
        <w:gridCol w:w="992"/>
        <w:gridCol w:w="993"/>
        <w:gridCol w:w="2126"/>
      </w:tblGrid>
      <w:tr w:rsidR="00486FBB" w:rsidRPr="00DC3968" w14:paraId="007B7669" w14:textId="77777777" w:rsidTr="007250CA">
        <w:tc>
          <w:tcPr>
            <w:tcW w:w="1536"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00A9EFA0" w14:textId="77777777" w:rsidR="00BC56C5"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Domain</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125A6B06" w14:textId="77777777" w:rsidR="00BC56C5"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Indicators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D0D0D0"/>
          </w:tcPr>
          <w:p w14:paraId="31C88ADE" w14:textId="77777777" w:rsidR="00BC56C5"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Fuzzy set score</w:t>
            </w:r>
            <w:r w:rsidR="00E46A23" w:rsidRPr="006238F3">
              <w:rPr>
                <w:rFonts w:ascii="Arial" w:hAnsi="Arial" w:cs="Arial"/>
                <w:i/>
                <w:iCs/>
                <w:noProof w:val="0"/>
                <w:color w:val="000000"/>
                <w:sz w:val="22"/>
                <w:szCs w:val="22"/>
              </w:rPr>
              <w:t>s</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758422C7" w14:textId="77777777" w:rsidR="00BC56C5" w:rsidRPr="006238F3" w:rsidRDefault="0039534E" w:rsidP="0039534E">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O</w:t>
            </w:r>
            <w:r w:rsidR="00055A2E" w:rsidRPr="006238F3">
              <w:rPr>
                <w:rFonts w:ascii="Arial" w:hAnsi="Arial" w:cs="Arial"/>
                <w:i/>
                <w:iCs/>
                <w:noProof w:val="0"/>
                <w:color w:val="000000"/>
                <w:sz w:val="22"/>
                <w:szCs w:val="22"/>
              </w:rPr>
              <w:t>verall change</w:t>
            </w:r>
            <w:r w:rsidR="004A6779" w:rsidRPr="006238F3">
              <w:rPr>
                <w:rFonts w:ascii="Arial" w:hAnsi="Arial" w:cs="Arial"/>
                <w:i/>
                <w:iCs/>
                <w:noProof w:val="0"/>
                <w:color w:val="000000"/>
                <w:sz w:val="22"/>
                <w:szCs w:val="22"/>
              </w:rPr>
              <w:t xml:space="preserve"> </w:t>
            </w:r>
            <w:r w:rsidR="00055A2E" w:rsidRPr="006238F3">
              <w:rPr>
                <w:rFonts w:ascii="Arial" w:hAnsi="Arial" w:cs="Arial"/>
                <w:i/>
                <w:iCs/>
                <w:noProof w:val="0"/>
                <w:color w:val="000000"/>
                <w:sz w:val="22"/>
                <w:szCs w:val="22"/>
              </w:rPr>
              <w:t>of</w:t>
            </w:r>
            <w:r w:rsidR="004A6779" w:rsidRPr="006238F3">
              <w:rPr>
                <w:rFonts w:ascii="Arial" w:hAnsi="Arial" w:cs="Arial"/>
                <w:i/>
                <w:iCs/>
                <w:noProof w:val="0"/>
                <w:color w:val="000000"/>
                <w:sz w:val="22"/>
                <w:szCs w:val="22"/>
              </w:rPr>
              <w:t xml:space="preserve"> </w:t>
            </w:r>
            <w:r w:rsidR="00055A2E" w:rsidRPr="006238F3">
              <w:rPr>
                <w:rFonts w:ascii="Arial" w:hAnsi="Arial" w:cs="Arial"/>
                <w:i/>
                <w:iCs/>
                <w:noProof w:val="0"/>
                <w:color w:val="000000"/>
                <w:sz w:val="22"/>
                <w:szCs w:val="22"/>
              </w:rPr>
              <w:t>intersection</w:t>
            </w:r>
          </w:p>
          <w:p w14:paraId="6937105C" w14:textId="77777777" w:rsidR="00BC56C5"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1990-2016</w:t>
            </w:r>
          </w:p>
        </w:tc>
      </w:tr>
      <w:tr w:rsidR="00486FBB" w:rsidRPr="00DC3968" w14:paraId="79782F99" w14:textId="77777777" w:rsidTr="0039534E">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1B7A5D95" w14:textId="77777777" w:rsidR="00BC56C5" w:rsidRPr="006238F3" w:rsidRDefault="00BC56C5" w:rsidP="00806413">
            <w:pPr>
              <w:widowControl w:val="0"/>
              <w:autoSpaceDE w:val="0"/>
              <w:autoSpaceDN w:val="0"/>
              <w:adjustRightInd w:val="0"/>
              <w:contextualSpacing/>
              <w:rPr>
                <w:rFonts w:ascii="Arial" w:hAnsi="Arial" w:cs="Arial"/>
                <w:noProof w:val="0"/>
                <w:color w:val="000000"/>
                <w:sz w:val="22"/>
                <w:szCs w:val="22"/>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4064E2E3" w14:textId="77777777" w:rsidR="00BC56C5" w:rsidRPr="006238F3" w:rsidRDefault="00BC56C5" w:rsidP="00806413">
            <w:pPr>
              <w:widowControl w:val="0"/>
              <w:autoSpaceDE w:val="0"/>
              <w:autoSpaceDN w:val="0"/>
              <w:adjustRightInd w:val="0"/>
              <w:contextualSpacing/>
              <w:rPr>
                <w:rFonts w:ascii="Arial" w:hAnsi="Arial" w:cs="Arial"/>
                <w:noProof w:val="0"/>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796107EC" w14:textId="77777777" w:rsidR="00BC56C5" w:rsidRPr="006238F3" w:rsidRDefault="00055A2E" w:rsidP="0039534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1A79EF02" w14:textId="77777777" w:rsidR="00BC56C5" w:rsidRPr="006238F3" w:rsidRDefault="00055A2E" w:rsidP="0039534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52D2E662" w14:textId="77777777" w:rsidR="00BC56C5" w:rsidRPr="006238F3" w:rsidRDefault="00055A2E" w:rsidP="0039534E">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2010</w:t>
            </w:r>
          </w:p>
        </w:tc>
        <w:tc>
          <w:tcPr>
            <w:tcW w:w="993"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7FDD2274" w14:textId="77777777" w:rsidR="00BC56C5" w:rsidRPr="006238F3" w:rsidRDefault="00055A2E" w:rsidP="0039534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2016</w:t>
            </w:r>
          </w:p>
        </w:tc>
        <w:tc>
          <w:tcPr>
            <w:tcW w:w="212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617FA8B6" w14:textId="77777777" w:rsidR="00BC56C5" w:rsidRPr="006238F3" w:rsidRDefault="00BC56C5" w:rsidP="0080641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5C4DBA0"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12C6E67D" w14:textId="77777777" w:rsidR="00BC56C5" w:rsidRPr="006238F3" w:rsidRDefault="00055A2E" w:rsidP="00BC56C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Education</w:t>
            </w:r>
          </w:p>
        </w:tc>
        <w:tc>
          <w:tcPr>
            <w:tcW w:w="1441" w:type="dxa"/>
            <w:tcBorders>
              <w:top w:val="single" w:sz="8" w:space="0" w:color="000000"/>
              <w:left w:val="single" w:sz="8" w:space="0" w:color="000000"/>
              <w:bottom w:val="single" w:sz="8" w:space="0" w:color="000000"/>
              <w:right w:val="single" w:sz="8" w:space="0" w:color="000000"/>
            </w:tcBorders>
            <w:vAlign w:val="center"/>
          </w:tcPr>
          <w:p w14:paraId="7384FE15" w14:textId="77777777" w:rsidR="00BC56C5" w:rsidRPr="006238F3" w:rsidRDefault="00055A2E" w:rsidP="00BC56C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50146011" w14:textId="77777777" w:rsidR="00BC56C5" w:rsidRPr="006238F3" w:rsidRDefault="00055A2E" w:rsidP="00BC56C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.93</w:t>
            </w:r>
          </w:p>
        </w:tc>
        <w:tc>
          <w:tcPr>
            <w:tcW w:w="992" w:type="dxa"/>
            <w:tcBorders>
              <w:top w:val="single" w:sz="8" w:space="0" w:color="000000"/>
              <w:left w:val="single" w:sz="8" w:space="0" w:color="000000"/>
              <w:bottom w:val="single" w:sz="8" w:space="0" w:color="000000"/>
              <w:right w:val="single" w:sz="8" w:space="0" w:color="000000"/>
            </w:tcBorders>
            <w:vAlign w:val="center"/>
          </w:tcPr>
          <w:p w14:paraId="38B65081"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.66</w:t>
            </w:r>
          </w:p>
        </w:tc>
        <w:tc>
          <w:tcPr>
            <w:tcW w:w="992" w:type="dxa"/>
            <w:tcBorders>
              <w:top w:val="single" w:sz="8" w:space="0" w:color="000000"/>
              <w:left w:val="single" w:sz="8" w:space="0" w:color="000000"/>
              <w:bottom w:val="single" w:sz="8" w:space="0" w:color="000000"/>
              <w:right w:val="single" w:sz="8" w:space="0" w:color="000000"/>
            </w:tcBorders>
            <w:vAlign w:val="center"/>
          </w:tcPr>
          <w:p w14:paraId="453B4705"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.35</w:t>
            </w:r>
          </w:p>
        </w:tc>
        <w:tc>
          <w:tcPr>
            <w:tcW w:w="993" w:type="dxa"/>
            <w:tcBorders>
              <w:top w:val="single" w:sz="8" w:space="0" w:color="000000"/>
              <w:left w:val="single" w:sz="8" w:space="0" w:color="000000"/>
              <w:bottom w:val="single" w:sz="8" w:space="0" w:color="000000"/>
              <w:right w:val="single" w:sz="8" w:space="0" w:color="000000"/>
            </w:tcBorders>
            <w:vAlign w:val="center"/>
          </w:tcPr>
          <w:p w14:paraId="0E2062B6"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0B779612"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.75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.45 (Out)</w:t>
            </w:r>
          </w:p>
        </w:tc>
      </w:tr>
      <w:tr w:rsidR="00486FBB" w:rsidRPr="00DC3968" w14:paraId="1067447E"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C2A4D9B" w14:textId="77777777" w:rsidR="00BC56C5" w:rsidRPr="006238F3" w:rsidRDefault="00BC56C5" w:rsidP="00BC56C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2DF03443" w14:textId="77777777" w:rsidR="00BC56C5" w:rsidRPr="006238F3" w:rsidRDefault="00055A2E" w:rsidP="00BC56C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7311B90A" w14:textId="77777777" w:rsidR="00BC56C5" w:rsidRPr="006238F3" w:rsidRDefault="00055A2E" w:rsidP="00BC56C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.75</w:t>
            </w:r>
          </w:p>
        </w:tc>
        <w:tc>
          <w:tcPr>
            <w:tcW w:w="992" w:type="dxa"/>
            <w:tcBorders>
              <w:top w:val="single" w:sz="8" w:space="0" w:color="000000"/>
              <w:left w:val="single" w:sz="8" w:space="0" w:color="000000"/>
              <w:bottom w:val="single" w:sz="8" w:space="0" w:color="000000"/>
              <w:right w:val="single" w:sz="8" w:space="0" w:color="000000"/>
            </w:tcBorders>
            <w:vAlign w:val="center"/>
          </w:tcPr>
          <w:p w14:paraId="09F4B883"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.67</w:t>
            </w:r>
          </w:p>
        </w:tc>
        <w:tc>
          <w:tcPr>
            <w:tcW w:w="992" w:type="dxa"/>
            <w:tcBorders>
              <w:top w:val="single" w:sz="8" w:space="0" w:color="000000"/>
              <w:left w:val="single" w:sz="8" w:space="0" w:color="000000"/>
              <w:bottom w:val="single" w:sz="8" w:space="0" w:color="000000"/>
              <w:right w:val="single" w:sz="8" w:space="0" w:color="000000"/>
            </w:tcBorders>
            <w:vAlign w:val="center"/>
          </w:tcPr>
          <w:p w14:paraId="0C572115"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.82</w:t>
            </w:r>
          </w:p>
        </w:tc>
        <w:tc>
          <w:tcPr>
            <w:tcW w:w="993" w:type="dxa"/>
            <w:tcBorders>
              <w:top w:val="single" w:sz="8" w:space="0" w:color="000000"/>
              <w:left w:val="single" w:sz="8" w:space="0" w:color="000000"/>
              <w:bottom w:val="single" w:sz="8" w:space="0" w:color="000000"/>
              <w:right w:val="single" w:sz="8" w:space="0" w:color="000000"/>
            </w:tcBorders>
            <w:vAlign w:val="center"/>
          </w:tcPr>
          <w:p w14:paraId="059CCB8B"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.82</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B394DB7" w14:textId="77777777" w:rsidR="00BC56C5" w:rsidRPr="006238F3" w:rsidRDefault="00BC56C5" w:rsidP="00BC56C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5376E54B"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4BB5589" w14:textId="77777777" w:rsidR="00BC56C5" w:rsidRPr="006238F3" w:rsidRDefault="00BC56C5" w:rsidP="00BC56C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01CD58B7" w14:textId="77777777" w:rsidR="00BC56C5" w:rsidRPr="006238F3" w:rsidRDefault="00055A2E" w:rsidP="00BC56C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DD12631" w14:textId="77777777" w:rsidR="00BC56C5" w:rsidRPr="006238F3" w:rsidRDefault="00055A2E" w:rsidP="00BC56C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4A6779" w:rsidRPr="006238F3">
              <w:rPr>
                <w:rFonts w:ascii="Arial" w:hAnsi="Arial" w:cs="Arial"/>
                <w:b/>
                <w:bCs/>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BB30B1C"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w:t>
            </w:r>
            <w:r w:rsidR="004A6779" w:rsidRPr="006238F3">
              <w:rPr>
                <w:rFonts w:ascii="Arial" w:hAnsi="Arial" w:cs="Arial"/>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3EBDEB77"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993" w:type="dxa"/>
            <w:tcBorders>
              <w:top w:val="single" w:sz="8" w:space="0" w:color="000000"/>
              <w:left w:val="single" w:sz="8" w:space="0" w:color="000000"/>
              <w:bottom w:val="single" w:sz="8" w:space="0" w:color="000000"/>
              <w:right w:val="single" w:sz="8" w:space="0" w:color="000000"/>
            </w:tcBorders>
            <w:vAlign w:val="center"/>
          </w:tcPr>
          <w:p w14:paraId="16FF1A36" w14:textId="77777777" w:rsidR="00BC56C5" w:rsidRPr="006238F3" w:rsidRDefault="00055A2E" w:rsidP="00BC56C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539D4542" w14:textId="77777777" w:rsidR="00BC56C5" w:rsidRPr="006238F3" w:rsidRDefault="00BC56C5" w:rsidP="00BC56C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CC97936"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134752CE"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Health</w:t>
            </w:r>
          </w:p>
        </w:tc>
        <w:tc>
          <w:tcPr>
            <w:tcW w:w="1441" w:type="dxa"/>
            <w:tcBorders>
              <w:top w:val="single" w:sz="8" w:space="0" w:color="000000"/>
              <w:left w:val="single" w:sz="8" w:space="0" w:color="000000"/>
              <w:bottom w:val="single" w:sz="8" w:space="0" w:color="000000"/>
              <w:right w:val="single" w:sz="8" w:space="0" w:color="000000"/>
            </w:tcBorders>
            <w:vAlign w:val="center"/>
          </w:tcPr>
          <w:p w14:paraId="3240532C"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68C38A8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.98</w:t>
            </w:r>
          </w:p>
        </w:tc>
        <w:tc>
          <w:tcPr>
            <w:tcW w:w="992" w:type="dxa"/>
            <w:tcBorders>
              <w:top w:val="single" w:sz="8" w:space="0" w:color="000000"/>
              <w:left w:val="single" w:sz="8" w:space="0" w:color="000000"/>
              <w:bottom w:val="single" w:sz="8" w:space="0" w:color="000000"/>
              <w:right w:val="single" w:sz="8" w:space="0" w:color="000000"/>
            </w:tcBorders>
            <w:vAlign w:val="center"/>
          </w:tcPr>
          <w:p w14:paraId="30A5A107"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.02</w:t>
            </w:r>
          </w:p>
        </w:tc>
        <w:tc>
          <w:tcPr>
            <w:tcW w:w="992" w:type="dxa"/>
            <w:tcBorders>
              <w:top w:val="single" w:sz="8" w:space="0" w:color="000000"/>
              <w:left w:val="single" w:sz="8" w:space="0" w:color="000000"/>
              <w:bottom w:val="single" w:sz="8" w:space="0" w:color="000000"/>
              <w:right w:val="single" w:sz="8" w:space="0" w:color="000000"/>
            </w:tcBorders>
            <w:vAlign w:val="center"/>
          </w:tcPr>
          <w:p w14:paraId="5D1F506C"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.23</w:t>
            </w:r>
          </w:p>
        </w:tc>
        <w:tc>
          <w:tcPr>
            <w:tcW w:w="993" w:type="dxa"/>
            <w:tcBorders>
              <w:top w:val="single" w:sz="8" w:space="0" w:color="000000"/>
              <w:left w:val="single" w:sz="8" w:space="0" w:color="000000"/>
              <w:bottom w:val="single" w:sz="8" w:space="0" w:color="000000"/>
              <w:right w:val="single" w:sz="8" w:space="0" w:color="000000"/>
            </w:tcBorders>
            <w:vAlign w:val="center"/>
          </w:tcPr>
          <w:p w14:paraId="155D38FF"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.23</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3460487B"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.13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.23 (Out)</w:t>
            </w:r>
          </w:p>
        </w:tc>
      </w:tr>
      <w:tr w:rsidR="00486FBB" w:rsidRPr="00DC3968" w14:paraId="1D0767CE"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083C075A"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01F2CF8E"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Universality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5B11357A"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E3D80AF"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w:t>
            </w:r>
          </w:p>
        </w:tc>
        <w:tc>
          <w:tcPr>
            <w:tcW w:w="992" w:type="dxa"/>
            <w:tcBorders>
              <w:top w:val="single" w:sz="8" w:space="0" w:color="000000"/>
              <w:left w:val="single" w:sz="8" w:space="0" w:color="000000"/>
              <w:bottom w:val="single" w:sz="8" w:space="0" w:color="000000"/>
              <w:right w:val="single" w:sz="8" w:space="0" w:color="000000"/>
            </w:tcBorders>
            <w:vAlign w:val="center"/>
          </w:tcPr>
          <w:p w14:paraId="587E919D"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0AA51E49"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B879FB9"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C6EC00E"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40261D62"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1420063"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Affordability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C1589E4"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.13</w:t>
            </w:r>
          </w:p>
        </w:tc>
        <w:tc>
          <w:tcPr>
            <w:tcW w:w="992" w:type="dxa"/>
            <w:tcBorders>
              <w:top w:val="single" w:sz="8" w:space="0" w:color="000000"/>
              <w:left w:val="single" w:sz="8" w:space="0" w:color="000000"/>
              <w:bottom w:val="single" w:sz="8" w:space="0" w:color="000000"/>
              <w:right w:val="single" w:sz="8" w:space="0" w:color="000000"/>
            </w:tcBorders>
            <w:vAlign w:val="center"/>
          </w:tcPr>
          <w:p w14:paraId="5157C4F2"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2F2B5EF1"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w:t>
            </w:r>
          </w:p>
        </w:tc>
        <w:tc>
          <w:tcPr>
            <w:tcW w:w="993" w:type="dxa"/>
            <w:tcBorders>
              <w:top w:val="single" w:sz="8" w:space="0" w:color="000000"/>
              <w:left w:val="single" w:sz="8" w:space="0" w:color="000000"/>
              <w:bottom w:val="single" w:sz="8" w:space="0" w:color="000000"/>
              <w:right w:val="single" w:sz="8" w:space="0" w:color="000000"/>
            </w:tcBorders>
            <w:vAlign w:val="center"/>
          </w:tcPr>
          <w:p w14:paraId="2DE61406"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.23</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E9B072A"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577F38F9"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4FCAC535"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Family</w:t>
            </w:r>
          </w:p>
        </w:tc>
        <w:tc>
          <w:tcPr>
            <w:tcW w:w="1441" w:type="dxa"/>
            <w:tcBorders>
              <w:top w:val="single" w:sz="8" w:space="0" w:color="000000"/>
              <w:left w:val="single" w:sz="8" w:space="0" w:color="000000"/>
              <w:bottom w:val="single" w:sz="8" w:space="0" w:color="000000"/>
              <w:right w:val="single" w:sz="8" w:space="0" w:color="000000"/>
            </w:tcBorders>
            <w:vAlign w:val="center"/>
          </w:tcPr>
          <w:p w14:paraId="30FC6037"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5D03EF47"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7AFF53B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03B0339"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62F76BA9"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48EA16F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.53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.72 (In)</w:t>
            </w:r>
          </w:p>
        </w:tc>
      </w:tr>
      <w:tr w:rsidR="00486FBB" w:rsidRPr="00DC3968" w14:paraId="570525F5"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46B99A59"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596325C4"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Duration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4BACBD7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3CECB82C"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.02</w:t>
            </w:r>
          </w:p>
        </w:tc>
        <w:tc>
          <w:tcPr>
            <w:tcW w:w="992" w:type="dxa"/>
            <w:tcBorders>
              <w:top w:val="single" w:sz="8" w:space="0" w:color="000000"/>
              <w:left w:val="single" w:sz="8" w:space="0" w:color="000000"/>
              <w:bottom w:val="single" w:sz="8" w:space="0" w:color="000000"/>
              <w:right w:val="single" w:sz="8" w:space="0" w:color="000000"/>
            </w:tcBorders>
            <w:vAlign w:val="center"/>
          </w:tcPr>
          <w:p w14:paraId="60625031"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3" w:type="dxa"/>
            <w:tcBorders>
              <w:top w:val="single" w:sz="8" w:space="0" w:color="000000"/>
              <w:left w:val="single" w:sz="8" w:space="0" w:color="000000"/>
              <w:bottom w:val="single" w:sz="8" w:space="0" w:color="000000"/>
              <w:right w:val="single" w:sz="8" w:space="0" w:color="000000"/>
            </w:tcBorders>
            <w:vAlign w:val="center"/>
          </w:tcPr>
          <w:p w14:paraId="36AB4A55"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themeColor="text1"/>
                <w:sz w:val="22"/>
                <w:szCs w:val="22"/>
              </w:rPr>
              <w:t>.55</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44F733F"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193A7AB9"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7B8DFB52"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0EF7865"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4DEA7B0E"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.60</w:t>
            </w:r>
          </w:p>
        </w:tc>
        <w:tc>
          <w:tcPr>
            <w:tcW w:w="992" w:type="dxa"/>
            <w:tcBorders>
              <w:top w:val="single" w:sz="8" w:space="0" w:color="000000"/>
              <w:left w:val="single" w:sz="8" w:space="0" w:color="000000"/>
              <w:bottom w:val="single" w:sz="8" w:space="0" w:color="000000"/>
              <w:right w:val="single" w:sz="8" w:space="0" w:color="000000"/>
            </w:tcBorders>
            <w:vAlign w:val="center"/>
          </w:tcPr>
          <w:p w14:paraId="377FA30D"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.60</w:t>
            </w:r>
          </w:p>
        </w:tc>
        <w:tc>
          <w:tcPr>
            <w:tcW w:w="992" w:type="dxa"/>
            <w:tcBorders>
              <w:top w:val="single" w:sz="8" w:space="0" w:color="000000"/>
              <w:left w:val="single" w:sz="8" w:space="0" w:color="000000"/>
              <w:bottom w:val="single" w:sz="8" w:space="0" w:color="000000"/>
              <w:right w:val="single" w:sz="8" w:space="0" w:color="000000"/>
            </w:tcBorders>
            <w:vAlign w:val="center"/>
          </w:tcPr>
          <w:p w14:paraId="369EF0D5"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.60</w:t>
            </w:r>
          </w:p>
        </w:tc>
        <w:tc>
          <w:tcPr>
            <w:tcW w:w="993" w:type="dxa"/>
            <w:tcBorders>
              <w:top w:val="single" w:sz="8" w:space="0" w:color="000000"/>
              <w:left w:val="single" w:sz="8" w:space="0" w:color="000000"/>
              <w:bottom w:val="single" w:sz="8" w:space="0" w:color="000000"/>
              <w:right w:val="single" w:sz="8" w:space="0" w:color="000000"/>
            </w:tcBorders>
            <w:vAlign w:val="center"/>
          </w:tcPr>
          <w:p w14:paraId="0A89DD52"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.60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5FC4045"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E6EC8FF"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7382D502"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Old-age</w:t>
            </w:r>
          </w:p>
        </w:tc>
        <w:tc>
          <w:tcPr>
            <w:tcW w:w="1441" w:type="dxa"/>
            <w:tcBorders>
              <w:top w:val="single" w:sz="8" w:space="0" w:color="000000"/>
              <w:left w:val="single" w:sz="8" w:space="0" w:color="000000"/>
              <w:bottom w:val="single" w:sz="8" w:space="0" w:color="000000"/>
              <w:right w:val="single" w:sz="8" w:space="0" w:color="000000"/>
            </w:tcBorders>
            <w:vAlign w:val="center"/>
          </w:tcPr>
          <w:p w14:paraId="7D32AAB4"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Basic pension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1BCBBAB2"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71C60984"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5567F866"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10B14D2E"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7CEA954E"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lang w:eastAsia="en-GB"/>
              </w:rPr>
              <w:drawing>
                <wp:inline distT="0" distB="0" distL="0" distR="0" wp14:anchorId="0582B0F0" wp14:editId="01CAA77B">
                  <wp:extent cx="8255" cy="8255"/>
                  <wp:effectExtent l="0" t="0" r="0" b="0"/>
                  <wp:docPr id="45" name="Picture 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981794" name="Picture 4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r w:rsidRPr="006238F3">
              <w:rPr>
                <w:rFonts w:ascii="Arial" w:hAnsi="Arial" w:cs="Arial"/>
                <w:noProof w:val="0"/>
                <w:color w:val="000000"/>
                <w:sz w:val="22"/>
                <w:szCs w:val="22"/>
              </w:rPr>
              <w:t>.0</w:t>
            </w:r>
            <w:r w:rsidR="009E32F1" w:rsidRPr="006238F3">
              <w:rPr>
                <w:rFonts w:ascii="Arial" w:hAnsi="Arial" w:cs="Arial"/>
                <w:noProof w:val="0"/>
                <w:color w:val="000000"/>
                <w:sz w:val="22"/>
                <w:szCs w:val="22"/>
              </w:rPr>
              <w:t>0</w:t>
            </w:r>
            <w:r w:rsidRPr="006238F3">
              <w:rPr>
                <w:rFonts w:ascii="Arial" w:hAnsi="Arial" w:cs="Arial"/>
                <w:noProof w:val="0"/>
                <w:color w:val="000000"/>
                <w:sz w:val="22"/>
                <w:szCs w:val="22"/>
              </w:rPr>
              <w:t xml:space="preserve">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.80 (In)</w:t>
            </w:r>
          </w:p>
        </w:tc>
      </w:tr>
      <w:tr w:rsidR="00486FBB" w:rsidRPr="00DC3968" w14:paraId="4334542F"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0B21BBA0"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2827AC90"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Generosity</w:t>
            </w:r>
          </w:p>
        </w:tc>
        <w:tc>
          <w:tcPr>
            <w:tcW w:w="992" w:type="dxa"/>
            <w:tcBorders>
              <w:top w:val="single" w:sz="8" w:space="0" w:color="000000"/>
              <w:left w:val="single" w:sz="8" w:space="0" w:color="000000"/>
              <w:bottom w:val="single" w:sz="8" w:space="0" w:color="000000"/>
              <w:right w:val="single" w:sz="8" w:space="0" w:color="000000"/>
            </w:tcBorders>
            <w:vAlign w:val="center"/>
          </w:tcPr>
          <w:p w14:paraId="1513D61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.85</w:t>
            </w:r>
          </w:p>
        </w:tc>
        <w:tc>
          <w:tcPr>
            <w:tcW w:w="992" w:type="dxa"/>
            <w:tcBorders>
              <w:top w:val="single" w:sz="8" w:space="0" w:color="000000"/>
              <w:left w:val="single" w:sz="8" w:space="0" w:color="000000"/>
              <w:bottom w:val="single" w:sz="8" w:space="0" w:color="000000"/>
              <w:right w:val="single" w:sz="8" w:space="0" w:color="000000"/>
            </w:tcBorders>
            <w:vAlign w:val="center"/>
          </w:tcPr>
          <w:p w14:paraId="35084E80"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.75</w:t>
            </w:r>
          </w:p>
        </w:tc>
        <w:tc>
          <w:tcPr>
            <w:tcW w:w="992" w:type="dxa"/>
            <w:tcBorders>
              <w:top w:val="single" w:sz="8" w:space="0" w:color="000000"/>
              <w:left w:val="single" w:sz="8" w:space="0" w:color="000000"/>
              <w:bottom w:val="single" w:sz="8" w:space="0" w:color="000000"/>
              <w:right w:val="single" w:sz="8" w:space="0" w:color="000000"/>
            </w:tcBorders>
            <w:vAlign w:val="center"/>
          </w:tcPr>
          <w:p w14:paraId="1AB855CD"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.80</w:t>
            </w:r>
          </w:p>
        </w:tc>
        <w:tc>
          <w:tcPr>
            <w:tcW w:w="993" w:type="dxa"/>
            <w:tcBorders>
              <w:top w:val="single" w:sz="8" w:space="0" w:color="000000"/>
              <w:left w:val="single" w:sz="8" w:space="0" w:color="000000"/>
              <w:bottom w:val="single" w:sz="8" w:space="0" w:color="000000"/>
              <w:right w:val="single" w:sz="8" w:space="0" w:color="000000"/>
            </w:tcBorders>
            <w:vAlign w:val="center"/>
          </w:tcPr>
          <w:p w14:paraId="2CC05006"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8CAB2A5"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3AF9C1F"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498E6CA9"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77EB6436"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Universality</w:t>
            </w:r>
          </w:p>
        </w:tc>
        <w:tc>
          <w:tcPr>
            <w:tcW w:w="992" w:type="dxa"/>
            <w:tcBorders>
              <w:top w:val="single" w:sz="8" w:space="0" w:color="000000"/>
              <w:left w:val="single" w:sz="8" w:space="0" w:color="000000"/>
              <w:bottom w:val="single" w:sz="8" w:space="0" w:color="000000"/>
              <w:right w:val="single" w:sz="8" w:space="0" w:color="000000"/>
            </w:tcBorders>
            <w:vAlign w:val="center"/>
          </w:tcPr>
          <w:p w14:paraId="1C705D2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.09</w:t>
            </w:r>
          </w:p>
        </w:tc>
        <w:tc>
          <w:tcPr>
            <w:tcW w:w="992" w:type="dxa"/>
            <w:tcBorders>
              <w:top w:val="single" w:sz="8" w:space="0" w:color="000000"/>
              <w:left w:val="single" w:sz="8" w:space="0" w:color="000000"/>
              <w:bottom w:val="single" w:sz="8" w:space="0" w:color="000000"/>
              <w:right w:val="single" w:sz="8" w:space="0" w:color="000000"/>
            </w:tcBorders>
            <w:vAlign w:val="center"/>
          </w:tcPr>
          <w:p w14:paraId="1DB1C26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.15</w:t>
            </w:r>
          </w:p>
        </w:tc>
        <w:tc>
          <w:tcPr>
            <w:tcW w:w="992" w:type="dxa"/>
            <w:tcBorders>
              <w:top w:val="single" w:sz="8" w:space="0" w:color="000000"/>
              <w:left w:val="single" w:sz="8" w:space="0" w:color="000000"/>
              <w:bottom w:val="single" w:sz="8" w:space="0" w:color="000000"/>
              <w:right w:val="single" w:sz="8" w:space="0" w:color="000000"/>
            </w:tcBorders>
            <w:vAlign w:val="center"/>
          </w:tcPr>
          <w:p w14:paraId="477B0C0F"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.27</w:t>
            </w:r>
          </w:p>
        </w:tc>
        <w:tc>
          <w:tcPr>
            <w:tcW w:w="993" w:type="dxa"/>
            <w:tcBorders>
              <w:top w:val="single" w:sz="8" w:space="0" w:color="000000"/>
              <w:left w:val="single" w:sz="8" w:space="0" w:color="000000"/>
              <w:bottom w:val="single" w:sz="8" w:space="0" w:color="000000"/>
              <w:right w:val="single" w:sz="8" w:space="0" w:color="000000"/>
            </w:tcBorders>
            <w:vAlign w:val="center"/>
          </w:tcPr>
          <w:p w14:paraId="568A68D9"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.97</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16E53F07"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AD21C37" w14:textId="77777777" w:rsidTr="007250CA">
        <w:tblPrEx>
          <w:tblBorders>
            <w:top w:val="none" w:sz="0" w:space="0" w:color="auto"/>
          </w:tblBorders>
        </w:tblPrEx>
        <w:tc>
          <w:tcPr>
            <w:tcW w:w="1536" w:type="dxa"/>
            <w:tcBorders>
              <w:top w:val="single" w:sz="8" w:space="0" w:color="000000"/>
              <w:left w:val="single" w:sz="8" w:space="0" w:color="000000"/>
              <w:bottom w:val="single" w:sz="8" w:space="0" w:color="000000"/>
              <w:right w:val="single" w:sz="8" w:space="0" w:color="000000"/>
            </w:tcBorders>
            <w:vAlign w:val="center"/>
          </w:tcPr>
          <w:p w14:paraId="33055463"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Public housing</w:t>
            </w:r>
          </w:p>
        </w:tc>
        <w:tc>
          <w:tcPr>
            <w:tcW w:w="1441" w:type="dxa"/>
            <w:tcBorders>
              <w:top w:val="single" w:sz="8" w:space="0" w:color="000000"/>
              <w:left w:val="single" w:sz="8" w:space="0" w:color="000000"/>
              <w:bottom w:val="single" w:sz="8" w:space="0" w:color="000000"/>
              <w:right w:val="single" w:sz="8" w:space="0" w:color="000000"/>
            </w:tcBorders>
            <w:vAlign w:val="center"/>
          </w:tcPr>
          <w:p w14:paraId="6E832F02"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Policy </w:t>
            </w:r>
          </w:p>
        </w:tc>
        <w:tc>
          <w:tcPr>
            <w:tcW w:w="992" w:type="dxa"/>
            <w:tcBorders>
              <w:top w:val="single" w:sz="8" w:space="0" w:color="000000"/>
              <w:left w:val="single" w:sz="8" w:space="0" w:color="000000"/>
              <w:bottom w:val="single" w:sz="8" w:space="0" w:color="000000"/>
              <w:right w:val="single" w:sz="8" w:space="0" w:color="000000"/>
            </w:tcBorders>
            <w:vAlign w:val="center"/>
          </w:tcPr>
          <w:p w14:paraId="39AF3FC9" w14:textId="77777777" w:rsidR="004A6779" w:rsidRPr="006238F3" w:rsidRDefault="00055A2E" w:rsidP="004A6779">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132ED6C4"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.34</w:t>
            </w:r>
          </w:p>
        </w:tc>
        <w:tc>
          <w:tcPr>
            <w:tcW w:w="992" w:type="dxa"/>
            <w:tcBorders>
              <w:top w:val="single" w:sz="8" w:space="0" w:color="000000"/>
              <w:left w:val="single" w:sz="8" w:space="0" w:color="000000"/>
              <w:bottom w:val="single" w:sz="8" w:space="0" w:color="000000"/>
              <w:right w:val="single" w:sz="8" w:space="0" w:color="000000"/>
            </w:tcBorders>
            <w:vAlign w:val="center"/>
          </w:tcPr>
          <w:p w14:paraId="06F1E164"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.41</w:t>
            </w:r>
          </w:p>
        </w:tc>
        <w:tc>
          <w:tcPr>
            <w:tcW w:w="993" w:type="dxa"/>
            <w:tcBorders>
              <w:top w:val="single" w:sz="8" w:space="0" w:color="000000"/>
              <w:left w:val="single" w:sz="8" w:space="0" w:color="000000"/>
              <w:bottom w:val="single" w:sz="8" w:space="0" w:color="000000"/>
              <w:right w:val="single" w:sz="8" w:space="0" w:color="000000"/>
            </w:tcBorders>
            <w:vAlign w:val="center"/>
          </w:tcPr>
          <w:p w14:paraId="0860780C"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.48</w:t>
            </w:r>
          </w:p>
        </w:tc>
        <w:tc>
          <w:tcPr>
            <w:tcW w:w="2126" w:type="dxa"/>
            <w:tcBorders>
              <w:top w:val="single" w:sz="8" w:space="0" w:color="000000"/>
              <w:left w:val="single" w:sz="8" w:space="0" w:color="000000"/>
              <w:bottom w:val="single" w:sz="8" w:space="0" w:color="000000"/>
              <w:right w:val="single" w:sz="8" w:space="0" w:color="000000"/>
            </w:tcBorders>
            <w:vAlign w:val="center"/>
          </w:tcPr>
          <w:p w14:paraId="77EA191B"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1.00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.48 (Out)</w:t>
            </w:r>
          </w:p>
        </w:tc>
      </w:tr>
      <w:tr w:rsidR="00486FBB" w:rsidRPr="00DC3968" w14:paraId="7B43B810"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19914A1E"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Passive LMP </w:t>
            </w:r>
          </w:p>
        </w:tc>
        <w:tc>
          <w:tcPr>
            <w:tcW w:w="1441" w:type="dxa"/>
            <w:tcBorders>
              <w:top w:val="single" w:sz="8" w:space="0" w:color="000000"/>
              <w:left w:val="single" w:sz="8" w:space="0" w:color="000000"/>
              <w:bottom w:val="single" w:sz="8" w:space="0" w:color="000000"/>
              <w:right w:val="single" w:sz="8" w:space="0" w:color="000000"/>
            </w:tcBorders>
            <w:vAlign w:val="center"/>
          </w:tcPr>
          <w:p w14:paraId="75D5162B"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AC07572"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146659C7"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.83</w:t>
            </w:r>
          </w:p>
        </w:tc>
        <w:tc>
          <w:tcPr>
            <w:tcW w:w="992" w:type="dxa"/>
            <w:tcBorders>
              <w:top w:val="single" w:sz="8" w:space="0" w:color="000000"/>
              <w:left w:val="single" w:sz="8" w:space="0" w:color="000000"/>
              <w:bottom w:val="single" w:sz="8" w:space="0" w:color="000000"/>
              <w:right w:val="single" w:sz="8" w:space="0" w:color="000000"/>
            </w:tcBorders>
            <w:vAlign w:val="center"/>
          </w:tcPr>
          <w:p w14:paraId="358EE615"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.83</w:t>
            </w:r>
          </w:p>
        </w:tc>
        <w:tc>
          <w:tcPr>
            <w:tcW w:w="993" w:type="dxa"/>
            <w:tcBorders>
              <w:top w:val="single" w:sz="8" w:space="0" w:color="000000"/>
              <w:left w:val="single" w:sz="8" w:space="0" w:color="000000"/>
              <w:bottom w:val="single" w:sz="8" w:space="0" w:color="000000"/>
              <w:right w:val="single" w:sz="8" w:space="0" w:color="000000"/>
            </w:tcBorders>
            <w:vAlign w:val="center"/>
          </w:tcPr>
          <w:p w14:paraId="461D95B6"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.83</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78053809"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.13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.49 (Out)</w:t>
            </w:r>
          </w:p>
        </w:tc>
      </w:tr>
      <w:tr w:rsidR="00486FBB" w:rsidRPr="00DC3968" w14:paraId="482C919B"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FF93552"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67F8034"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Duration</w:t>
            </w:r>
          </w:p>
        </w:tc>
        <w:tc>
          <w:tcPr>
            <w:tcW w:w="992" w:type="dxa"/>
            <w:tcBorders>
              <w:top w:val="single" w:sz="8" w:space="0" w:color="000000"/>
              <w:left w:val="single" w:sz="8" w:space="0" w:color="000000"/>
              <w:bottom w:val="single" w:sz="8" w:space="0" w:color="000000"/>
              <w:right w:val="single" w:sz="8" w:space="0" w:color="000000"/>
            </w:tcBorders>
            <w:vAlign w:val="center"/>
          </w:tcPr>
          <w:p w14:paraId="246616A5"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7B7F83EA"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65F4AF40"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76F42534"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0F443EDE"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1FC33531" w14:textId="77777777" w:rsidTr="007250CA">
        <w:tc>
          <w:tcPr>
            <w:tcW w:w="1536" w:type="dxa"/>
            <w:vMerge/>
            <w:tcBorders>
              <w:top w:val="single" w:sz="8" w:space="0" w:color="000000"/>
              <w:left w:val="single" w:sz="8" w:space="0" w:color="000000"/>
              <w:bottom w:val="single" w:sz="8" w:space="0" w:color="000000"/>
              <w:right w:val="single" w:sz="8" w:space="0" w:color="000000"/>
            </w:tcBorders>
            <w:vAlign w:val="center"/>
          </w:tcPr>
          <w:p w14:paraId="70DAC1AB" w14:textId="77777777" w:rsidR="004A6779" w:rsidRPr="006238F3" w:rsidRDefault="004A6779" w:rsidP="004A6779">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344BF93" w14:textId="77777777" w:rsidR="004A6779" w:rsidRPr="006238F3" w:rsidRDefault="00055A2E" w:rsidP="004A6779">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Coverage</w:t>
            </w:r>
          </w:p>
        </w:tc>
        <w:tc>
          <w:tcPr>
            <w:tcW w:w="992" w:type="dxa"/>
            <w:tcBorders>
              <w:top w:val="single" w:sz="8" w:space="0" w:color="000000"/>
              <w:left w:val="single" w:sz="8" w:space="0" w:color="000000"/>
              <w:bottom w:val="single" w:sz="8" w:space="0" w:color="000000"/>
              <w:right w:val="single" w:sz="8" w:space="0" w:color="000000"/>
            </w:tcBorders>
            <w:vAlign w:val="center"/>
          </w:tcPr>
          <w:p w14:paraId="4F762705"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.13</w:t>
            </w:r>
          </w:p>
        </w:tc>
        <w:tc>
          <w:tcPr>
            <w:tcW w:w="992" w:type="dxa"/>
            <w:tcBorders>
              <w:top w:val="single" w:sz="8" w:space="0" w:color="000000"/>
              <w:left w:val="single" w:sz="8" w:space="0" w:color="000000"/>
              <w:bottom w:val="single" w:sz="8" w:space="0" w:color="000000"/>
              <w:right w:val="single" w:sz="8" w:space="0" w:color="000000"/>
            </w:tcBorders>
            <w:vAlign w:val="center"/>
          </w:tcPr>
          <w:p w14:paraId="02C3C2A3"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.44</w:t>
            </w:r>
          </w:p>
        </w:tc>
        <w:tc>
          <w:tcPr>
            <w:tcW w:w="992" w:type="dxa"/>
            <w:tcBorders>
              <w:top w:val="single" w:sz="8" w:space="0" w:color="000000"/>
              <w:left w:val="single" w:sz="8" w:space="0" w:color="000000"/>
              <w:bottom w:val="single" w:sz="8" w:space="0" w:color="000000"/>
              <w:right w:val="single" w:sz="8" w:space="0" w:color="000000"/>
            </w:tcBorders>
            <w:vAlign w:val="center"/>
          </w:tcPr>
          <w:p w14:paraId="2B0E9632"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3" w:type="dxa"/>
            <w:tcBorders>
              <w:top w:val="single" w:sz="8" w:space="0" w:color="000000"/>
              <w:left w:val="single" w:sz="8" w:space="0" w:color="000000"/>
              <w:bottom w:val="single" w:sz="8" w:space="0" w:color="000000"/>
              <w:right w:val="single" w:sz="8" w:space="0" w:color="000000"/>
            </w:tcBorders>
            <w:vAlign w:val="center"/>
          </w:tcPr>
          <w:p w14:paraId="69A4D1BB" w14:textId="77777777" w:rsidR="004A6779" w:rsidRPr="006238F3" w:rsidRDefault="00055A2E" w:rsidP="004A6779">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30EF468" w14:textId="77777777" w:rsidR="004A6779" w:rsidRPr="006238F3" w:rsidRDefault="004A6779" w:rsidP="004A6779">
            <w:pPr>
              <w:widowControl w:val="0"/>
              <w:autoSpaceDE w:val="0"/>
              <w:autoSpaceDN w:val="0"/>
              <w:adjustRightInd w:val="0"/>
              <w:contextualSpacing/>
              <w:jc w:val="center"/>
              <w:rPr>
                <w:rFonts w:ascii="Arial" w:hAnsi="Arial" w:cs="Arial"/>
                <w:noProof w:val="0"/>
                <w:color w:val="000000"/>
                <w:sz w:val="22"/>
                <w:szCs w:val="22"/>
              </w:rPr>
            </w:pPr>
          </w:p>
        </w:tc>
      </w:tr>
    </w:tbl>
    <w:p w14:paraId="1EDC5293" w14:textId="77777777" w:rsidR="004E372A" w:rsidRPr="006238F3" w:rsidRDefault="004E372A" w:rsidP="004E372A">
      <w:pPr>
        <w:rPr>
          <w:rFonts w:ascii="Arial" w:hAnsi="Arial" w:cs="Arial"/>
          <w:sz w:val="22"/>
          <w:szCs w:val="22"/>
        </w:rPr>
      </w:pPr>
    </w:p>
    <w:p w14:paraId="0558869B" w14:textId="77777777" w:rsidR="00E46A23" w:rsidRPr="006238F3" w:rsidRDefault="00E46A23" w:rsidP="003A5907">
      <w:pPr>
        <w:snapToGrid w:val="0"/>
        <w:spacing w:after="120"/>
        <w:rPr>
          <w:rFonts w:ascii="Arial" w:hAnsi="Arial" w:cs="Arial"/>
          <w:b/>
          <w:bCs/>
          <w:sz w:val="22"/>
          <w:szCs w:val="22"/>
        </w:rPr>
      </w:pPr>
    </w:p>
    <w:p w14:paraId="30309A70" w14:textId="77777777" w:rsidR="004E372A" w:rsidRPr="006238F3" w:rsidRDefault="00055A2E" w:rsidP="007250CA">
      <w:pPr>
        <w:snapToGrid w:val="0"/>
        <w:spacing w:after="120"/>
        <w:rPr>
          <w:rFonts w:ascii="Arial" w:hAnsi="Arial" w:cs="Arial"/>
          <w:sz w:val="22"/>
          <w:szCs w:val="22"/>
        </w:rPr>
      </w:pPr>
      <w:r w:rsidRPr="006238F3">
        <w:rPr>
          <w:rFonts w:ascii="Arial" w:hAnsi="Arial" w:cs="Arial"/>
          <w:b/>
          <w:bCs/>
          <w:sz w:val="22"/>
          <w:szCs w:val="22"/>
        </w:rPr>
        <w:t>Hong Kong’s</w:t>
      </w:r>
      <w:r w:rsidRPr="006238F3">
        <w:rPr>
          <w:rFonts w:ascii="Arial" w:hAnsi="Arial" w:cs="Arial"/>
          <w:sz w:val="22"/>
          <w:szCs w:val="22"/>
        </w:rPr>
        <w:t xml:space="preserve"> </w:t>
      </w:r>
      <w:r w:rsidRPr="006238F3">
        <w:rPr>
          <w:rFonts w:ascii="Arial" w:hAnsi="Arial" w:cs="Arial"/>
          <w:b/>
          <w:bCs/>
          <w:noProof w:val="0"/>
          <w:color w:val="000000"/>
          <w:sz w:val="22"/>
          <w:szCs w:val="22"/>
        </w:rPr>
        <w:t>welfare development trajectory, 1990-2016</w:t>
      </w:r>
    </w:p>
    <w:tbl>
      <w:tblPr>
        <w:tblW w:w="9072" w:type="dxa"/>
        <w:tblInd w:w="-10" w:type="dxa"/>
        <w:tblBorders>
          <w:top w:val="nil"/>
          <w:left w:val="nil"/>
          <w:right w:val="nil"/>
        </w:tblBorders>
        <w:tblLayout w:type="fixed"/>
        <w:tblLook w:val="0000" w:firstRow="0" w:lastRow="0" w:firstColumn="0" w:lastColumn="0" w:noHBand="0" w:noVBand="0"/>
      </w:tblPr>
      <w:tblGrid>
        <w:gridCol w:w="1536"/>
        <w:gridCol w:w="1441"/>
        <w:gridCol w:w="992"/>
        <w:gridCol w:w="992"/>
        <w:gridCol w:w="993"/>
        <w:gridCol w:w="992"/>
        <w:gridCol w:w="2126"/>
      </w:tblGrid>
      <w:tr w:rsidR="00486FBB" w:rsidRPr="00DC3968" w14:paraId="2FA9DFE0" w14:textId="77777777" w:rsidTr="007250CA">
        <w:tc>
          <w:tcPr>
            <w:tcW w:w="1536"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53A18205" w14:textId="77777777" w:rsidR="00E46A23" w:rsidRPr="006238F3" w:rsidRDefault="00055A2E" w:rsidP="00E46A2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Domain </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7605D0A8" w14:textId="77777777" w:rsidR="00E46A23" w:rsidRPr="006238F3" w:rsidRDefault="00055A2E" w:rsidP="00E46A2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Indicators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D0D0D0"/>
          </w:tcPr>
          <w:p w14:paraId="5822AAE0"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Fuzzy set scores</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D0D0D0"/>
          </w:tcPr>
          <w:p w14:paraId="4502384E" w14:textId="77777777" w:rsidR="00E46A23" w:rsidRPr="006238F3" w:rsidRDefault="0039534E" w:rsidP="00E46A23">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O</w:t>
            </w:r>
            <w:r w:rsidR="00055A2E" w:rsidRPr="006238F3">
              <w:rPr>
                <w:rFonts w:ascii="Arial" w:hAnsi="Arial" w:cs="Arial"/>
                <w:i/>
                <w:iCs/>
                <w:noProof w:val="0"/>
                <w:color w:val="000000"/>
                <w:sz w:val="22"/>
                <w:szCs w:val="22"/>
              </w:rPr>
              <w:t>verall change of intersection</w:t>
            </w:r>
          </w:p>
          <w:p w14:paraId="0136D584"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1990-2016</w:t>
            </w:r>
          </w:p>
        </w:tc>
      </w:tr>
      <w:tr w:rsidR="00486FBB" w:rsidRPr="00DC3968" w14:paraId="1D61E01E" w14:textId="77777777" w:rsidTr="0039534E">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22FE73B0"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16A8E7B7"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68CE1F39" w14:textId="77777777" w:rsidR="00E46A23" w:rsidRPr="006238F3" w:rsidRDefault="00055A2E" w:rsidP="0039534E">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1990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4690B7B1" w14:textId="77777777" w:rsidR="00E46A23" w:rsidRPr="006238F3" w:rsidRDefault="00055A2E" w:rsidP="0039534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2000</w:t>
            </w:r>
          </w:p>
        </w:tc>
        <w:tc>
          <w:tcPr>
            <w:tcW w:w="993"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38E3EBB3" w14:textId="77777777" w:rsidR="00E46A23" w:rsidRPr="006238F3" w:rsidRDefault="00055A2E" w:rsidP="0039534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1AD6092C" w14:textId="77777777" w:rsidR="00E46A23" w:rsidRPr="006238F3" w:rsidRDefault="00055A2E" w:rsidP="0039534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2016</w:t>
            </w:r>
          </w:p>
        </w:tc>
        <w:tc>
          <w:tcPr>
            <w:tcW w:w="212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202A99FA"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017E131"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4EDF9FA3"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Education</w:t>
            </w:r>
          </w:p>
        </w:tc>
        <w:tc>
          <w:tcPr>
            <w:tcW w:w="1441" w:type="dxa"/>
            <w:tcBorders>
              <w:top w:val="single" w:sz="8" w:space="0" w:color="000000"/>
              <w:left w:val="single" w:sz="8" w:space="0" w:color="000000"/>
              <w:bottom w:val="single" w:sz="8" w:space="0" w:color="000000"/>
              <w:right w:val="single" w:sz="8" w:space="0" w:color="000000"/>
            </w:tcBorders>
            <w:vAlign w:val="center"/>
          </w:tcPr>
          <w:p w14:paraId="73FC07A7"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26BE90E6"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.75</w:t>
            </w:r>
          </w:p>
        </w:tc>
        <w:tc>
          <w:tcPr>
            <w:tcW w:w="992" w:type="dxa"/>
            <w:tcBorders>
              <w:top w:val="single" w:sz="8" w:space="0" w:color="000000"/>
              <w:left w:val="single" w:sz="8" w:space="0" w:color="000000"/>
              <w:bottom w:val="single" w:sz="8" w:space="0" w:color="000000"/>
              <w:right w:val="single" w:sz="8" w:space="0" w:color="000000"/>
            </w:tcBorders>
            <w:vAlign w:val="center"/>
          </w:tcPr>
          <w:p w14:paraId="77C98B83"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.91</w:t>
            </w:r>
          </w:p>
        </w:tc>
        <w:tc>
          <w:tcPr>
            <w:tcW w:w="993" w:type="dxa"/>
            <w:tcBorders>
              <w:top w:val="single" w:sz="8" w:space="0" w:color="000000"/>
              <w:left w:val="single" w:sz="8" w:space="0" w:color="000000"/>
              <w:bottom w:val="single" w:sz="8" w:space="0" w:color="000000"/>
              <w:right w:val="single" w:sz="8" w:space="0" w:color="000000"/>
            </w:tcBorders>
            <w:vAlign w:val="center"/>
          </w:tcPr>
          <w:p w14:paraId="09FA1721"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.91</w:t>
            </w:r>
          </w:p>
        </w:tc>
        <w:tc>
          <w:tcPr>
            <w:tcW w:w="992" w:type="dxa"/>
            <w:tcBorders>
              <w:top w:val="single" w:sz="8" w:space="0" w:color="000000"/>
              <w:left w:val="single" w:sz="8" w:space="0" w:color="000000"/>
              <w:bottom w:val="single" w:sz="8" w:space="0" w:color="000000"/>
              <w:right w:val="single" w:sz="8" w:space="0" w:color="000000"/>
            </w:tcBorders>
            <w:vAlign w:val="center"/>
          </w:tcPr>
          <w:p w14:paraId="5A560E40"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.73</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326D8F1C"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.75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.73 (In)</w:t>
            </w:r>
          </w:p>
        </w:tc>
      </w:tr>
      <w:tr w:rsidR="00486FBB" w:rsidRPr="00DC3968" w14:paraId="10EA69C7"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1F26DB3C"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30B55CBF"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8B3DDF5"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.82</w:t>
            </w:r>
          </w:p>
        </w:tc>
        <w:tc>
          <w:tcPr>
            <w:tcW w:w="992" w:type="dxa"/>
            <w:tcBorders>
              <w:top w:val="single" w:sz="8" w:space="0" w:color="000000"/>
              <w:left w:val="single" w:sz="8" w:space="0" w:color="000000"/>
              <w:bottom w:val="single" w:sz="8" w:space="0" w:color="000000"/>
              <w:right w:val="single" w:sz="8" w:space="0" w:color="000000"/>
            </w:tcBorders>
            <w:vAlign w:val="center"/>
          </w:tcPr>
          <w:p w14:paraId="6756E049"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.82</w:t>
            </w:r>
          </w:p>
        </w:tc>
        <w:tc>
          <w:tcPr>
            <w:tcW w:w="993" w:type="dxa"/>
            <w:tcBorders>
              <w:top w:val="single" w:sz="8" w:space="0" w:color="000000"/>
              <w:left w:val="single" w:sz="8" w:space="0" w:color="000000"/>
              <w:bottom w:val="single" w:sz="8" w:space="0" w:color="000000"/>
              <w:right w:val="single" w:sz="8" w:space="0" w:color="000000"/>
            </w:tcBorders>
            <w:vAlign w:val="center"/>
          </w:tcPr>
          <w:p w14:paraId="0AE73A06"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63A9A210"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DBB2E41"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6EF2E41"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0BE8BC01"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7A813B7D"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4AD43567"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.83</w:t>
            </w:r>
          </w:p>
        </w:tc>
        <w:tc>
          <w:tcPr>
            <w:tcW w:w="992" w:type="dxa"/>
            <w:tcBorders>
              <w:top w:val="single" w:sz="8" w:space="0" w:color="000000"/>
              <w:left w:val="single" w:sz="8" w:space="0" w:color="000000"/>
              <w:bottom w:val="single" w:sz="8" w:space="0" w:color="000000"/>
              <w:right w:val="single" w:sz="8" w:space="0" w:color="000000"/>
            </w:tcBorders>
            <w:vAlign w:val="center"/>
          </w:tcPr>
          <w:p w14:paraId="4A118829"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1DA15B46"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52373FC1" w14:textId="77777777" w:rsidR="00E46A23" w:rsidRPr="006238F3" w:rsidRDefault="00055A2E" w:rsidP="00E46A2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2C95B937"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24F06FC"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20CE1ABA"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Health</w:t>
            </w:r>
          </w:p>
        </w:tc>
        <w:tc>
          <w:tcPr>
            <w:tcW w:w="1441" w:type="dxa"/>
            <w:tcBorders>
              <w:top w:val="single" w:sz="8" w:space="0" w:color="000000"/>
              <w:left w:val="single" w:sz="8" w:space="0" w:color="000000"/>
              <w:bottom w:val="single" w:sz="8" w:space="0" w:color="000000"/>
              <w:right w:val="single" w:sz="8" w:space="0" w:color="000000"/>
            </w:tcBorders>
            <w:vAlign w:val="center"/>
          </w:tcPr>
          <w:p w14:paraId="1DE4245E"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5453F8F9"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.35</w:t>
            </w:r>
          </w:p>
        </w:tc>
        <w:tc>
          <w:tcPr>
            <w:tcW w:w="992" w:type="dxa"/>
            <w:tcBorders>
              <w:top w:val="single" w:sz="8" w:space="0" w:color="000000"/>
              <w:left w:val="single" w:sz="8" w:space="0" w:color="000000"/>
              <w:bottom w:val="single" w:sz="8" w:space="0" w:color="000000"/>
              <w:right w:val="single" w:sz="8" w:space="0" w:color="000000"/>
            </w:tcBorders>
            <w:vAlign w:val="center"/>
          </w:tcPr>
          <w:p w14:paraId="3483459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.76</w:t>
            </w:r>
          </w:p>
        </w:tc>
        <w:tc>
          <w:tcPr>
            <w:tcW w:w="993" w:type="dxa"/>
            <w:tcBorders>
              <w:top w:val="single" w:sz="8" w:space="0" w:color="000000"/>
              <w:left w:val="single" w:sz="8" w:space="0" w:color="000000"/>
              <w:bottom w:val="single" w:sz="8" w:space="0" w:color="000000"/>
              <w:right w:val="single" w:sz="8" w:space="0" w:color="000000"/>
            </w:tcBorders>
            <w:vAlign w:val="center"/>
          </w:tcPr>
          <w:p w14:paraId="2B11A99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.84</w:t>
            </w:r>
          </w:p>
        </w:tc>
        <w:tc>
          <w:tcPr>
            <w:tcW w:w="992" w:type="dxa"/>
            <w:tcBorders>
              <w:top w:val="single" w:sz="8" w:space="0" w:color="000000"/>
              <w:left w:val="single" w:sz="8" w:space="0" w:color="000000"/>
              <w:bottom w:val="single" w:sz="8" w:space="0" w:color="000000"/>
              <w:right w:val="single" w:sz="8" w:space="0" w:color="000000"/>
            </w:tcBorders>
            <w:vAlign w:val="center"/>
          </w:tcPr>
          <w:p w14:paraId="5FA3E9BC"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.91</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2E4AB002"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.01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.07 (Out)</w:t>
            </w:r>
          </w:p>
        </w:tc>
      </w:tr>
      <w:tr w:rsidR="00486FBB" w:rsidRPr="00DC3968" w14:paraId="0B62D3F3"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2CCBA540"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B8F4878"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Universality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62DBE142"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285D8DA0"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280EF52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60DF1A8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A098C93"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FF0754F"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969BE02"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8AB3D6D"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Affordability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7C604B3F"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.01</w:t>
            </w:r>
          </w:p>
        </w:tc>
        <w:tc>
          <w:tcPr>
            <w:tcW w:w="992" w:type="dxa"/>
            <w:tcBorders>
              <w:top w:val="single" w:sz="8" w:space="0" w:color="000000"/>
              <w:left w:val="single" w:sz="8" w:space="0" w:color="000000"/>
              <w:bottom w:val="single" w:sz="8" w:space="0" w:color="000000"/>
              <w:right w:val="single" w:sz="8" w:space="0" w:color="000000"/>
            </w:tcBorders>
            <w:vAlign w:val="center"/>
          </w:tcPr>
          <w:p w14:paraId="1533A920"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.17</w:t>
            </w:r>
          </w:p>
        </w:tc>
        <w:tc>
          <w:tcPr>
            <w:tcW w:w="993" w:type="dxa"/>
            <w:tcBorders>
              <w:top w:val="single" w:sz="8" w:space="0" w:color="000000"/>
              <w:left w:val="single" w:sz="8" w:space="0" w:color="000000"/>
              <w:bottom w:val="single" w:sz="8" w:space="0" w:color="000000"/>
              <w:right w:val="single" w:sz="8" w:space="0" w:color="000000"/>
            </w:tcBorders>
            <w:vAlign w:val="center"/>
          </w:tcPr>
          <w:p w14:paraId="79EBE03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.07</w:t>
            </w:r>
          </w:p>
        </w:tc>
        <w:tc>
          <w:tcPr>
            <w:tcW w:w="992" w:type="dxa"/>
            <w:tcBorders>
              <w:top w:val="single" w:sz="8" w:space="0" w:color="000000"/>
              <w:left w:val="single" w:sz="8" w:space="0" w:color="000000"/>
              <w:bottom w:val="single" w:sz="8" w:space="0" w:color="000000"/>
              <w:right w:val="single" w:sz="8" w:space="0" w:color="000000"/>
            </w:tcBorders>
            <w:vAlign w:val="center"/>
          </w:tcPr>
          <w:p w14:paraId="690511D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.07</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028A5521"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6BA1F80"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16D11286"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Family</w:t>
            </w:r>
          </w:p>
        </w:tc>
        <w:tc>
          <w:tcPr>
            <w:tcW w:w="1441" w:type="dxa"/>
            <w:tcBorders>
              <w:top w:val="single" w:sz="8" w:space="0" w:color="000000"/>
              <w:left w:val="single" w:sz="8" w:space="0" w:color="000000"/>
              <w:bottom w:val="single" w:sz="8" w:space="0" w:color="000000"/>
              <w:right w:val="single" w:sz="8" w:space="0" w:color="000000"/>
            </w:tcBorders>
            <w:vAlign w:val="center"/>
          </w:tcPr>
          <w:p w14:paraId="6DC05959"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7308DC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.99</w:t>
            </w:r>
          </w:p>
        </w:tc>
        <w:tc>
          <w:tcPr>
            <w:tcW w:w="992" w:type="dxa"/>
            <w:tcBorders>
              <w:top w:val="single" w:sz="8" w:space="0" w:color="000000"/>
              <w:left w:val="single" w:sz="8" w:space="0" w:color="000000"/>
              <w:bottom w:val="single" w:sz="8" w:space="0" w:color="000000"/>
              <w:right w:val="single" w:sz="8" w:space="0" w:color="000000"/>
            </w:tcBorders>
            <w:vAlign w:val="center"/>
          </w:tcPr>
          <w:p w14:paraId="6CBC4BEE"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.99</w:t>
            </w:r>
          </w:p>
        </w:tc>
        <w:tc>
          <w:tcPr>
            <w:tcW w:w="993" w:type="dxa"/>
            <w:tcBorders>
              <w:top w:val="single" w:sz="8" w:space="0" w:color="000000"/>
              <w:left w:val="single" w:sz="8" w:space="0" w:color="000000"/>
              <w:bottom w:val="single" w:sz="8" w:space="0" w:color="000000"/>
              <w:right w:val="single" w:sz="8" w:space="0" w:color="000000"/>
            </w:tcBorders>
            <w:vAlign w:val="center"/>
          </w:tcPr>
          <w:p w14:paraId="0EB9E99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.99</w:t>
            </w:r>
          </w:p>
        </w:tc>
        <w:tc>
          <w:tcPr>
            <w:tcW w:w="992" w:type="dxa"/>
            <w:tcBorders>
              <w:top w:val="single" w:sz="8" w:space="0" w:color="000000"/>
              <w:left w:val="single" w:sz="8" w:space="0" w:color="000000"/>
              <w:bottom w:val="single" w:sz="8" w:space="0" w:color="000000"/>
              <w:right w:val="single" w:sz="8" w:space="0" w:color="000000"/>
            </w:tcBorders>
            <w:vAlign w:val="center"/>
          </w:tcPr>
          <w:p w14:paraId="0D4310B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.99</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60E4DB3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.46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.46 (Out)</w:t>
            </w:r>
          </w:p>
        </w:tc>
      </w:tr>
      <w:tr w:rsidR="00486FBB" w:rsidRPr="00DC3968" w14:paraId="3C39FA99"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D574185"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7798B38"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Duration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1CDEBF95"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2868819C"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4C41064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759AAC01"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49C596E0"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C8C191B"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174F96A7"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63533AB0"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AFF70B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.40</w:t>
            </w:r>
          </w:p>
        </w:tc>
        <w:tc>
          <w:tcPr>
            <w:tcW w:w="992" w:type="dxa"/>
            <w:tcBorders>
              <w:top w:val="single" w:sz="8" w:space="0" w:color="000000"/>
              <w:left w:val="single" w:sz="8" w:space="0" w:color="000000"/>
              <w:bottom w:val="single" w:sz="8" w:space="0" w:color="000000"/>
              <w:right w:val="single" w:sz="8" w:space="0" w:color="000000"/>
            </w:tcBorders>
            <w:vAlign w:val="center"/>
          </w:tcPr>
          <w:p w14:paraId="0494033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.40</w:t>
            </w:r>
          </w:p>
        </w:tc>
        <w:tc>
          <w:tcPr>
            <w:tcW w:w="993" w:type="dxa"/>
            <w:tcBorders>
              <w:top w:val="single" w:sz="8" w:space="0" w:color="000000"/>
              <w:left w:val="single" w:sz="8" w:space="0" w:color="000000"/>
              <w:bottom w:val="single" w:sz="8" w:space="0" w:color="000000"/>
              <w:right w:val="single" w:sz="8" w:space="0" w:color="000000"/>
            </w:tcBorders>
            <w:vAlign w:val="center"/>
          </w:tcPr>
          <w:p w14:paraId="3D4BE33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.40</w:t>
            </w:r>
          </w:p>
        </w:tc>
        <w:tc>
          <w:tcPr>
            <w:tcW w:w="992" w:type="dxa"/>
            <w:tcBorders>
              <w:top w:val="single" w:sz="8" w:space="0" w:color="000000"/>
              <w:left w:val="single" w:sz="8" w:space="0" w:color="000000"/>
              <w:bottom w:val="single" w:sz="8" w:space="0" w:color="000000"/>
              <w:right w:val="single" w:sz="8" w:space="0" w:color="000000"/>
            </w:tcBorders>
            <w:vAlign w:val="center"/>
          </w:tcPr>
          <w:p w14:paraId="2358A27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1A5CFE15"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AF0ACD5"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25AC2AD4"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Old-age</w:t>
            </w:r>
          </w:p>
        </w:tc>
        <w:tc>
          <w:tcPr>
            <w:tcW w:w="1441" w:type="dxa"/>
            <w:tcBorders>
              <w:top w:val="single" w:sz="8" w:space="0" w:color="000000"/>
              <w:left w:val="single" w:sz="8" w:space="0" w:color="000000"/>
              <w:bottom w:val="single" w:sz="8" w:space="0" w:color="000000"/>
              <w:right w:val="single" w:sz="8" w:space="0" w:color="000000"/>
            </w:tcBorders>
            <w:vAlign w:val="center"/>
          </w:tcPr>
          <w:p w14:paraId="58F3D0F8"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Basic pension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1CA49EA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72671700"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77EA4CE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7294A44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4B6E8BA9"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.28 (Out)</w:t>
            </w:r>
          </w:p>
        </w:tc>
      </w:tr>
      <w:tr w:rsidR="00486FBB" w:rsidRPr="00DC3968" w14:paraId="1EA664DA"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2E234A6F"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AEB6343"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Generosity</w:t>
            </w:r>
          </w:p>
        </w:tc>
        <w:tc>
          <w:tcPr>
            <w:tcW w:w="992" w:type="dxa"/>
            <w:tcBorders>
              <w:top w:val="single" w:sz="8" w:space="0" w:color="000000"/>
              <w:left w:val="single" w:sz="8" w:space="0" w:color="000000"/>
              <w:bottom w:val="single" w:sz="8" w:space="0" w:color="000000"/>
              <w:right w:val="single" w:sz="8" w:space="0" w:color="000000"/>
            </w:tcBorders>
            <w:vAlign w:val="center"/>
          </w:tcPr>
          <w:p w14:paraId="534BBA22"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B309E6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.28</w:t>
            </w:r>
          </w:p>
        </w:tc>
        <w:tc>
          <w:tcPr>
            <w:tcW w:w="993" w:type="dxa"/>
            <w:tcBorders>
              <w:top w:val="single" w:sz="8" w:space="0" w:color="000000"/>
              <w:left w:val="single" w:sz="8" w:space="0" w:color="000000"/>
              <w:bottom w:val="single" w:sz="8" w:space="0" w:color="000000"/>
              <w:right w:val="single" w:sz="8" w:space="0" w:color="000000"/>
            </w:tcBorders>
            <w:vAlign w:val="center"/>
          </w:tcPr>
          <w:p w14:paraId="333A303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.28</w:t>
            </w:r>
          </w:p>
        </w:tc>
        <w:tc>
          <w:tcPr>
            <w:tcW w:w="992" w:type="dxa"/>
            <w:tcBorders>
              <w:top w:val="single" w:sz="8" w:space="0" w:color="000000"/>
              <w:left w:val="single" w:sz="8" w:space="0" w:color="000000"/>
              <w:bottom w:val="single" w:sz="8" w:space="0" w:color="000000"/>
              <w:right w:val="single" w:sz="8" w:space="0" w:color="000000"/>
            </w:tcBorders>
            <w:vAlign w:val="center"/>
          </w:tcPr>
          <w:p w14:paraId="5A584A1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.28</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081EBF87"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51AF1BD0"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7077CB9F"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3ECB7717"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Universality</w:t>
            </w:r>
          </w:p>
        </w:tc>
        <w:tc>
          <w:tcPr>
            <w:tcW w:w="992" w:type="dxa"/>
            <w:tcBorders>
              <w:top w:val="single" w:sz="8" w:space="0" w:color="000000"/>
              <w:left w:val="single" w:sz="8" w:space="0" w:color="000000"/>
              <w:bottom w:val="single" w:sz="8" w:space="0" w:color="000000"/>
              <w:right w:val="single" w:sz="8" w:space="0" w:color="000000"/>
            </w:tcBorders>
            <w:vAlign w:val="center"/>
          </w:tcPr>
          <w:p w14:paraId="1EA48F9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2A254C5A"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.92</w:t>
            </w:r>
          </w:p>
        </w:tc>
        <w:tc>
          <w:tcPr>
            <w:tcW w:w="993" w:type="dxa"/>
            <w:tcBorders>
              <w:top w:val="single" w:sz="8" w:space="0" w:color="000000"/>
              <w:left w:val="single" w:sz="8" w:space="0" w:color="000000"/>
              <w:bottom w:val="single" w:sz="8" w:space="0" w:color="000000"/>
              <w:right w:val="single" w:sz="8" w:space="0" w:color="000000"/>
            </w:tcBorders>
            <w:vAlign w:val="center"/>
          </w:tcPr>
          <w:p w14:paraId="73EEF0E2"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.92</w:t>
            </w:r>
          </w:p>
        </w:tc>
        <w:tc>
          <w:tcPr>
            <w:tcW w:w="992" w:type="dxa"/>
            <w:tcBorders>
              <w:top w:val="single" w:sz="8" w:space="0" w:color="000000"/>
              <w:left w:val="single" w:sz="8" w:space="0" w:color="000000"/>
              <w:bottom w:val="single" w:sz="8" w:space="0" w:color="000000"/>
              <w:right w:val="single" w:sz="8" w:space="0" w:color="000000"/>
            </w:tcBorders>
            <w:vAlign w:val="center"/>
          </w:tcPr>
          <w:p w14:paraId="309C064A"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.92</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CAA05D8"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2325917" w14:textId="77777777" w:rsidTr="007250CA">
        <w:tblPrEx>
          <w:tblBorders>
            <w:top w:val="none" w:sz="0" w:space="0" w:color="auto"/>
          </w:tblBorders>
        </w:tblPrEx>
        <w:tc>
          <w:tcPr>
            <w:tcW w:w="1536" w:type="dxa"/>
            <w:tcBorders>
              <w:top w:val="single" w:sz="8" w:space="0" w:color="000000"/>
              <w:left w:val="single" w:sz="8" w:space="0" w:color="000000"/>
              <w:bottom w:val="single" w:sz="8" w:space="0" w:color="000000"/>
              <w:right w:val="single" w:sz="8" w:space="0" w:color="000000"/>
            </w:tcBorders>
            <w:vAlign w:val="center"/>
          </w:tcPr>
          <w:p w14:paraId="45CAED94" w14:textId="77777777" w:rsidR="00FC75C8" w:rsidRPr="006238F3" w:rsidRDefault="00055A2E" w:rsidP="0080641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Public housing </w:t>
            </w:r>
          </w:p>
        </w:tc>
        <w:tc>
          <w:tcPr>
            <w:tcW w:w="1441" w:type="dxa"/>
            <w:tcBorders>
              <w:top w:val="single" w:sz="8" w:space="0" w:color="000000"/>
              <w:left w:val="single" w:sz="8" w:space="0" w:color="000000"/>
              <w:bottom w:val="single" w:sz="8" w:space="0" w:color="000000"/>
              <w:right w:val="single" w:sz="8" w:space="0" w:color="000000"/>
            </w:tcBorders>
            <w:vAlign w:val="center"/>
          </w:tcPr>
          <w:p w14:paraId="150919A4" w14:textId="77777777" w:rsidR="004A6779" w:rsidRPr="006238F3" w:rsidRDefault="00055A2E" w:rsidP="0080641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Policy </w:t>
            </w:r>
          </w:p>
        </w:tc>
        <w:tc>
          <w:tcPr>
            <w:tcW w:w="992" w:type="dxa"/>
            <w:tcBorders>
              <w:top w:val="single" w:sz="8" w:space="0" w:color="000000"/>
              <w:left w:val="single" w:sz="8" w:space="0" w:color="000000"/>
              <w:bottom w:val="single" w:sz="8" w:space="0" w:color="000000"/>
              <w:right w:val="single" w:sz="8" w:space="0" w:color="000000"/>
            </w:tcBorders>
          </w:tcPr>
          <w:p w14:paraId="19295803" w14:textId="77777777" w:rsidR="004A6779"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62221DBD" w14:textId="77777777" w:rsidR="004A6779"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51DBD3C5" w14:textId="77777777" w:rsidR="004A6779"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79580CEC" w14:textId="77777777" w:rsidR="004A6779"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14:paraId="41F4AA34" w14:textId="77777777" w:rsidR="004A6779" w:rsidRPr="006238F3" w:rsidRDefault="00055A2E" w:rsidP="0080641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1.00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1.00 (In)</w:t>
            </w:r>
          </w:p>
        </w:tc>
      </w:tr>
      <w:tr w:rsidR="00486FBB" w:rsidRPr="00DC3968" w14:paraId="4062C8D3"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4090BD25"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Passive LMP</w:t>
            </w:r>
          </w:p>
        </w:tc>
        <w:tc>
          <w:tcPr>
            <w:tcW w:w="1441" w:type="dxa"/>
            <w:tcBorders>
              <w:top w:val="single" w:sz="8" w:space="0" w:color="000000"/>
              <w:left w:val="single" w:sz="8" w:space="0" w:color="000000"/>
              <w:bottom w:val="single" w:sz="8" w:space="0" w:color="000000"/>
              <w:right w:val="single" w:sz="8" w:space="0" w:color="000000"/>
            </w:tcBorders>
            <w:vAlign w:val="center"/>
          </w:tcPr>
          <w:p w14:paraId="0BB4FC9A"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94B505A"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9564D3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1EDCD32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89D646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69215FBD"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.00 (Out)</w:t>
            </w:r>
          </w:p>
        </w:tc>
      </w:tr>
      <w:tr w:rsidR="00486FBB" w:rsidRPr="00DC3968" w14:paraId="5E568B97"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28BF2776"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859A76B"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Duration</w:t>
            </w:r>
          </w:p>
        </w:tc>
        <w:tc>
          <w:tcPr>
            <w:tcW w:w="992" w:type="dxa"/>
            <w:tcBorders>
              <w:top w:val="single" w:sz="8" w:space="0" w:color="000000"/>
              <w:left w:val="single" w:sz="8" w:space="0" w:color="000000"/>
              <w:bottom w:val="single" w:sz="8" w:space="0" w:color="000000"/>
              <w:right w:val="single" w:sz="8" w:space="0" w:color="000000"/>
            </w:tcBorders>
            <w:vAlign w:val="center"/>
          </w:tcPr>
          <w:p w14:paraId="32788DA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55DE70E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3" w:type="dxa"/>
            <w:tcBorders>
              <w:top w:val="single" w:sz="8" w:space="0" w:color="000000"/>
              <w:left w:val="single" w:sz="8" w:space="0" w:color="000000"/>
              <w:bottom w:val="single" w:sz="8" w:space="0" w:color="000000"/>
              <w:right w:val="single" w:sz="8" w:space="0" w:color="000000"/>
            </w:tcBorders>
            <w:vAlign w:val="center"/>
          </w:tcPr>
          <w:p w14:paraId="519EC4E1"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52F3DFF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0E362E9"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14B4DFA1" w14:textId="77777777" w:rsidTr="007250CA">
        <w:tc>
          <w:tcPr>
            <w:tcW w:w="1536" w:type="dxa"/>
            <w:vMerge/>
            <w:tcBorders>
              <w:top w:val="single" w:sz="8" w:space="0" w:color="000000"/>
              <w:left w:val="single" w:sz="8" w:space="0" w:color="000000"/>
              <w:bottom w:val="single" w:sz="8" w:space="0" w:color="000000"/>
              <w:right w:val="single" w:sz="8" w:space="0" w:color="000000"/>
            </w:tcBorders>
            <w:vAlign w:val="center"/>
          </w:tcPr>
          <w:p w14:paraId="3935FEF1"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67822A48"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Coverage</w:t>
            </w:r>
          </w:p>
        </w:tc>
        <w:tc>
          <w:tcPr>
            <w:tcW w:w="992" w:type="dxa"/>
            <w:tcBorders>
              <w:top w:val="single" w:sz="8" w:space="0" w:color="000000"/>
              <w:left w:val="single" w:sz="8" w:space="0" w:color="000000"/>
              <w:bottom w:val="single" w:sz="8" w:space="0" w:color="000000"/>
              <w:right w:val="single" w:sz="8" w:space="0" w:color="000000"/>
            </w:tcBorders>
            <w:vAlign w:val="center"/>
          </w:tcPr>
          <w:p w14:paraId="079CF7F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2BE21A4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1C16AADA"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2CA5223F"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561F9570"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bl>
    <w:p w14:paraId="79F3D337" w14:textId="77777777" w:rsidR="004E372A" w:rsidRPr="006238F3" w:rsidRDefault="004E372A">
      <w:pPr>
        <w:rPr>
          <w:rFonts w:ascii="Arial" w:hAnsi="Arial" w:cs="Arial"/>
          <w:sz w:val="22"/>
          <w:szCs w:val="22"/>
        </w:rPr>
      </w:pPr>
    </w:p>
    <w:p w14:paraId="19FAD9DF" w14:textId="77777777" w:rsidR="003A5907" w:rsidRPr="006238F3" w:rsidRDefault="00055A2E">
      <w:pPr>
        <w:rPr>
          <w:rFonts w:ascii="Arial" w:hAnsi="Arial" w:cs="Arial"/>
          <w:b/>
          <w:bCs/>
          <w:sz w:val="22"/>
          <w:szCs w:val="22"/>
        </w:rPr>
      </w:pPr>
      <w:r w:rsidRPr="006238F3">
        <w:rPr>
          <w:rFonts w:ascii="Arial" w:hAnsi="Arial" w:cs="Arial"/>
          <w:b/>
          <w:bCs/>
          <w:sz w:val="22"/>
          <w:szCs w:val="22"/>
        </w:rPr>
        <w:br w:type="page"/>
      </w:r>
    </w:p>
    <w:p w14:paraId="47850146" w14:textId="77777777" w:rsidR="004E372A" w:rsidRPr="006238F3" w:rsidRDefault="00055A2E" w:rsidP="007250CA">
      <w:pPr>
        <w:snapToGrid w:val="0"/>
        <w:spacing w:after="120"/>
        <w:rPr>
          <w:rFonts w:ascii="Arial" w:hAnsi="Arial" w:cs="Arial"/>
          <w:sz w:val="22"/>
          <w:szCs w:val="22"/>
        </w:rPr>
      </w:pPr>
      <w:r w:rsidRPr="006238F3">
        <w:rPr>
          <w:rFonts w:ascii="Arial" w:hAnsi="Arial" w:cs="Arial"/>
          <w:b/>
          <w:bCs/>
          <w:sz w:val="22"/>
          <w:szCs w:val="22"/>
        </w:rPr>
        <w:lastRenderedPageBreak/>
        <w:t xml:space="preserve">Japan’s </w:t>
      </w:r>
      <w:r w:rsidRPr="006238F3">
        <w:rPr>
          <w:rFonts w:ascii="Arial" w:hAnsi="Arial" w:cs="Arial"/>
          <w:b/>
          <w:bCs/>
          <w:noProof w:val="0"/>
          <w:color w:val="000000"/>
          <w:sz w:val="22"/>
          <w:szCs w:val="22"/>
        </w:rPr>
        <w:t>welfare development trajectory, 1990-2016</w:t>
      </w:r>
    </w:p>
    <w:tbl>
      <w:tblPr>
        <w:tblW w:w="9072" w:type="dxa"/>
        <w:tblInd w:w="-10" w:type="dxa"/>
        <w:tblBorders>
          <w:top w:val="nil"/>
          <w:left w:val="nil"/>
          <w:right w:val="nil"/>
        </w:tblBorders>
        <w:tblLayout w:type="fixed"/>
        <w:tblLook w:val="0000" w:firstRow="0" w:lastRow="0" w:firstColumn="0" w:lastColumn="0" w:noHBand="0" w:noVBand="0"/>
      </w:tblPr>
      <w:tblGrid>
        <w:gridCol w:w="1536"/>
        <w:gridCol w:w="1441"/>
        <w:gridCol w:w="992"/>
        <w:gridCol w:w="993"/>
        <w:gridCol w:w="992"/>
        <w:gridCol w:w="992"/>
        <w:gridCol w:w="2126"/>
      </w:tblGrid>
      <w:tr w:rsidR="00486FBB" w:rsidRPr="00DC3968" w14:paraId="43F19832" w14:textId="77777777" w:rsidTr="007250CA">
        <w:tc>
          <w:tcPr>
            <w:tcW w:w="1536"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548EBC49" w14:textId="77777777" w:rsidR="00E46A23" w:rsidRPr="006238F3" w:rsidRDefault="00055A2E" w:rsidP="00E46A2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Domain</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02DA1EE8" w14:textId="77777777" w:rsidR="00E46A23" w:rsidRPr="006238F3" w:rsidRDefault="00055A2E" w:rsidP="00E46A2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Indicators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D0D0D0"/>
          </w:tcPr>
          <w:p w14:paraId="04E04A5B"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Fuzzy set scores</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D0D0D0"/>
          </w:tcPr>
          <w:p w14:paraId="2B912EA6" w14:textId="77777777" w:rsidR="00E46A23" w:rsidRPr="006238F3" w:rsidRDefault="0039534E" w:rsidP="0039534E">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O</w:t>
            </w:r>
            <w:r w:rsidR="00055A2E" w:rsidRPr="006238F3">
              <w:rPr>
                <w:rFonts w:ascii="Arial" w:hAnsi="Arial" w:cs="Arial"/>
                <w:i/>
                <w:iCs/>
                <w:noProof w:val="0"/>
                <w:color w:val="000000"/>
                <w:sz w:val="22"/>
                <w:szCs w:val="22"/>
              </w:rPr>
              <w:t>verall change of intersection</w:t>
            </w:r>
          </w:p>
          <w:p w14:paraId="7BB75981"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1990-2016</w:t>
            </w:r>
          </w:p>
        </w:tc>
      </w:tr>
      <w:tr w:rsidR="00486FBB" w:rsidRPr="00DC3968" w14:paraId="3D797DB8"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26688ECE"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143B4A1B"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4196BC69" w14:textId="77777777" w:rsidR="00E46A23" w:rsidRPr="006238F3" w:rsidRDefault="00055A2E" w:rsidP="00E46A23">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1990</w:t>
            </w:r>
          </w:p>
        </w:tc>
        <w:tc>
          <w:tcPr>
            <w:tcW w:w="993"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4EC6D060"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3C34D09C"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5133D36D" w14:textId="77777777" w:rsidR="00E46A23" w:rsidRPr="006238F3" w:rsidRDefault="00055A2E" w:rsidP="00E46A2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2016</w:t>
            </w:r>
          </w:p>
        </w:tc>
        <w:tc>
          <w:tcPr>
            <w:tcW w:w="212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4C42E5DF"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ED7E2DF"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78D8D049"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Education</w:t>
            </w:r>
          </w:p>
        </w:tc>
        <w:tc>
          <w:tcPr>
            <w:tcW w:w="1441" w:type="dxa"/>
            <w:tcBorders>
              <w:top w:val="single" w:sz="8" w:space="0" w:color="000000"/>
              <w:left w:val="single" w:sz="8" w:space="0" w:color="000000"/>
              <w:bottom w:val="single" w:sz="8" w:space="0" w:color="000000"/>
              <w:right w:val="single" w:sz="8" w:space="0" w:color="000000"/>
            </w:tcBorders>
            <w:vAlign w:val="center"/>
          </w:tcPr>
          <w:p w14:paraId="30BB758F"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2299BE4D"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.65</w:t>
            </w:r>
          </w:p>
        </w:tc>
        <w:tc>
          <w:tcPr>
            <w:tcW w:w="993" w:type="dxa"/>
            <w:tcBorders>
              <w:top w:val="single" w:sz="8" w:space="0" w:color="000000"/>
              <w:left w:val="single" w:sz="8" w:space="0" w:color="000000"/>
              <w:bottom w:val="single" w:sz="8" w:space="0" w:color="000000"/>
              <w:right w:val="single" w:sz="8" w:space="0" w:color="000000"/>
            </w:tcBorders>
            <w:vAlign w:val="center"/>
          </w:tcPr>
          <w:p w14:paraId="7F26512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.29</w:t>
            </w:r>
          </w:p>
        </w:tc>
        <w:tc>
          <w:tcPr>
            <w:tcW w:w="992" w:type="dxa"/>
            <w:tcBorders>
              <w:top w:val="single" w:sz="8" w:space="0" w:color="000000"/>
              <w:left w:val="single" w:sz="8" w:space="0" w:color="000000"/>
              <w:bottom w:val="single" w:sz="8" w:space="0" w:color="000000"/>
              <w:right w:val="single" w:sz="8" w:space="0" w:color="000000"/>
            </w:tcBorders>
            <w:vAlign w:val="center"/>
          </w:tcPr>
          <w:p w14:paraId="7C046CC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50CE1B3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0DF799E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.00 (Out)</w:t>
            </w:r>
          </w:p>
        </w:tc>
      </w:tr>
      <w:tr w:rsidR="00486FBB" w:rsidRPr="00DC3968" w14:paraId="6CC1B481"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B276870"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61DE9263"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2A2C9FD"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.82</w:t>
            </w:r>
          </w:p>
        </w:tc>
        <w:tc>
          <w:tcPr>
            <w:tcW w:w="993" w:type="dxa"/>
            <w:tcBorders>
              <w:top w:val="single" w:sz="8" w:space="0" w:color="000000"/>
              <w:left w:val="single" w:sz="8" w:space="0" w:color="000000"/>
              <w:bottom w:val="single" w:sz="8" w:space="0" w:color="000000"/>
              <w:right w:val="single" w:sz="8" w:space="0" w:color="000000"/>
            </w:tcBorders>
            <w:vAlign w:val="center"/>
          </w:tcPr>
          <w:p w14:paraId="2A2BC99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.82</w:t>
            </w:r>
          </w:p>
        </w:tc>
        <w:tc>
          <w:tcPr>
            <w:tcW w:w="992" w:type="dxa"/>
            <w:tcBorders>
              <w:top w:val="single" w:sz="8" w:space="0" w:color="000000"/>
              <w:left w:val="single" w:sz="8" w:space="0" w:color="000000"/>
              <w:bottom w:val="single" w:sz="8" w:space="0" w:color="000000"/>
              <w:right w:val="single" w:sz="8" w:space="0" w:color="000000"/>
            </w:tcBorders>
            <w:vAlign w:val="center"/>
          </w:tcPr>
          <w:p w14:paraId="6CE0DDFF"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.82</w:t>
            </w:r>
          </w:p>
        </w:tc>
        <w:tc>
          <w:tcPr>
            <w:tcW w:w="992" w:type="dxa"/>
            <w:tcBorders>
              <w:top w:val="single" w:sz="8" w:space="0" w:color="000000"/>
              <w:left w:val="single" w:sz="8" w:space="0" w:color="000000"/>
              <w:bottom w:val="single" w:sz="8" w:space="0" w:color="000000"/>
              <w:right w:val="single" w:sz="8" w:space="0" w:color="000000"/>
            </w:tcBorders>
            <w:vAlign w:val="center"/>
          </w:tcPr>
          <w:p w14:paraId="09B1786D"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.82</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8659994"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D98FFEF"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5E36AEE0"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72DFA482"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8B706F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7092EF65"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.17</w:t>
            </w:r>
          </w:p>
        </w:tc>
        <w:tc>
          <w:tcPr>
            <w:tcW w:w="992" w:type="dxa"/>
            <w:tcBorders>
              <w:top w:val="single" w:sz="8" w:space="0" w:color="000000"/>
              <w:left w:val="single" w:sz="8" w:space="0" w:color="000000"/>
              <w:bottom w:val="single" w:sz="8" w:space="0" w:color="000000"/>
              <w:right w:val="single" w:sz="8" w:space="0" w:color="000000"/>
            </w:tcBorders>
            <w:vAlign w:val="center"/>
          </w:tcPr>
          <w:p w14:paraId="4FF6E25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.23</w:t>
            </w:r>
          </w:p>
        </w:tc>
        <w:tc>
          <w:tcPr>
            <w:tcW w:w="992" w:type="dxa"/>
            <w:tcBorders>
              <w:top w:val="single" w:sz="8" w:space="0" w:color="000000"/>
              <w:left w:val="single" w:sz="8" w:space="0" w:color="000000"/>
              <w:bottom w:val="single" w:sz="8" w:space="0" w:color="000000"/>
              <w:right w:val="single" w:sz="8" w:space="0" w:color="000000"/>
            </w:tcBorders>
            <w:vAlign w:val="center"/>
          </w:tcPr>
          <w:p w14:paraId="4D55E5C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35C78F3"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15D94394"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319F3ED4"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Health</w:t>
            </w:r>
          </w:p>
        </w:tc>
        <w:tc>
          <w:tcPr>
            <w:tcW w:w="1441" w:type="dxa"/>
            <w:tcBorders>
              <w:top w:val="single" w:sz="8" w:space="0" w:color="000000"/>
              <w:left w:val="single" w:sz="8" w:space="0" w:color="000000"/>
              <w:bottom w:val="single" w:sz="8" w:space="0" w:color="000000"/>
              <w:right w:val="single" w:sz="8" w:space="0" w:color="000000"/>
            </w:tcBorders>
            <w:vAlign w:val="center"/>
          </w:tcPr>
          <w:p w14:paraId="453A1E09"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tcPr>
          <w:p w14:paraId="619F22FF"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tcPr>
          <w:p w14:paraId="310E87C6"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tcPr>
          <w:p w14:paraId="157B896E"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tcPr>
          <w:p w14:paraId="3F53F3EA"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12C11F45"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1.00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1.00 (In)</w:t>
            </w:r>
          </w:p>
        </w:tc>
      </w:tr>
      <w:tr w:rsidR="00486FBB" w:rsidRPr="00DC3968" w14:paraId="1577D7A0"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4B02505E"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32D20A8E"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Universality </w:t>
            </w:r>
          </w:p>
        </w:tc>
        <w:tc>
          <w:tcPr>
            <w:tcW w:w="992" w:type="dxa"/>
            <w:tcBorders>
              <w:top w:val="single" w:sz="8" w:space="0" w:color="000000"/>
              <w:left w:val="single" w:sz="8" w:space="0" w:color="000000"/>
              <w:bottom w:val="single" w:sz="8" w:space="0" w:color="000000"/>
              <w:right w:val="single" w:sz="8" w:space="0" w:color="000000"/>
            </w:tcBorders>
          </w:tcPr>
          <w:p w14:paraId="3EEBAC59"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tcPr>
          <w:p w14:paraId="723FA619"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tcPr>
          <w:p w14:paraId="0ED41023"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tcPr>
          <w:p w14:paraId="787BB659"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3D0F77E8"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FAE58BF"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3197CE85"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27DAA367"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Affordability </w:t>
            </w:r>
          </w:p>
        </w:tc>
        <w:tc>
          <w:tcPr>
            <w:tcW w:w="992" w:type="dxa"/>
            <w:tcBorders>
              <w:top w:val="single" w:sz="8" w:space="0" w:color="000000"/>
              <w:left w:val="single" w:sz="8" w:space="0" w:color="000000"/>
              <w:bottom w:val="single" w:sz="8" w:space="0" w:color="000000"/>
              <w:right w:val="single" w:sz="8" w:space="0" w:color="000000"/>
            </w:tcBorders>
          </w:tcPr>
          <w:p w14:paraId="09BB6D27"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tcPr>
          <w:p w14:paraId="765736A0"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tcPr>
          <w:p w14:paraId="0AD78094"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tcPr>
          <w:p w14:paraId="086C6956"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4211CB3A"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572042AB"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1E8F67B6"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Family</w:t>
            </w:r>
          </w:p>
        </w:tc>
        <w:tc>
          <w:tcPr>
            <w:tcW w:w="1441" w:type="dxa"/>
            <w:tcBorders>
              <w:top w:val="single" w:sz="8" w:space="0" w:color="000000"/>
              <w:left w:val="single" w:sz="8" w:space="0" w:color="000000"/>
              <w:bottom w:val="single" w:sz="8" w:space="0" w:color="000000"/>
              <w:right w:val="single" w:sz="8" w:space="0" w:color="000000"/>
            </w:tcBorders>
            <w:vAlign w:val="center"/>
          </w:tcPr>
          <w:p w14:paraId="7E8A802A"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263BD4D"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.41</w:t>
            </w:r>
          </w:p>
        </w:tc>
        <w:tc>
          <w:tcPr>
            <w:tcW w:w="993" w:type="dxa"/>
            <w:tcBorders>
              <w:top w:val="single" w:sz="8" w:space="0" w:color="000000"/>
              <w:left w:val="single" w:sz="8" w:space="0" w:color="000000"/>
              <w:bottom w:val="single" w:sz="8" w:space="0" w:color="000000"/>
              <w:right w:val="single" w:sz="8" w:space="0" w:color="000000"/>
            </w:tcBorders>
            <w:vAlign w:val="center"/>
          </w:tcPr>
          <w:p w14:paraId="6761F821"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.41</w:t>
            </w:r>
          </w:p>
        </w:tc>
        <w:tc>
          <w:tcPr>
            <w:tcW w:w="992" w:type="dxa"/>
            <w:tcBorders>
              <w:top w:val="single" w:sz="8" w:space="0" w:color="000000"/>
              <w:left w:val="single" w:sz="8" w:space="0" w:color="000000"/>
              <w:bottom w:val="single" w:sz="8" w:space="0" w:color="000000"/>
              <w:right w:val="single" w:sz="8" w:space="0" w:color="000000"/>
            </w:tcBorders>
            <w:vAlign w:val="center"/>
          </w:tcPr>
          <w:p w14:paraId="3478FCEE"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.58</w:t>
            </w:r>
          </w:p>
        </w:tc>
        <w:tc>
          <w:tcPr>
            <w:tcW w:w="992" w:type="dxa"/>
            <w:tcBorders>
              <w:top w:val="single" w:sz="8" w:space="0" w:color="000000"/>
              <w:left w:val="single" w:sz="8" w:space="0" w:color="000000"/>
              <w:bottom w:val="single" w:sz="8" w:space="0" w:color="000000"/>
              <w:right w:val="single" w:sz="8" w:space="0" w:color="000000"/>
            </w:tcBorders>
            <w:vAlign w:val="center"/>
          </w:tcPr>
          <w:p w14:paraId="208C025E"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.58</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364383B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0.55 (In)</w:t>
            </w:r>
          </w:p>
        </w:tc>
      </w:tr>
      <w:tr w:rsidR="00486FBB" w:rsidRPr="00DC3968" w14:paraId="66F86646"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0BAA6F65"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24801DEE"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Duration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6208FBB1"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3" w:type="dxa"/>
            <w:tcBorders>
              <w:top w:val="single" w:sz="8" w:space="0" w:color="000000"/>
              <w:left w:val="single" w:sz="8" w:space="0" w:color="000000"/>
              <w:bottom w:val="single" w:sz="8" w:space="0" w:color="000000"/>
              <w:right w:val="single" w:sz="8" w:space="0" w:color="000000"/>
            </w:tcBorders>
            <w:vAlign w:val="center"/>
          </w:tcPr>
          <w:p w14:paraId="0DAC930A"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3091A307"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5E28067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408C71D9"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3CAFA27"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2788077"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3E54ACB"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4E73275C"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32B9D78E"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w:t>
            </w:r>
            <w:r w:rsidR="001701FA" w:rsidRPr="006238F3">
              <w:rPr>
                <w:rFonts w:ascii="Arial" w:hAnsi="Arial" w:cs="Arial"/>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1E8F21FA"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w:t>
            </w:r>
            <w:r w:rsidR="001701FA" w:rsidRPr="006238F3">
              <w:rPr>
                <w:rFonts w:ascii="Arial" w:hAnsi="Arial" w:cs="Arial"/>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741740E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w:t>
            </w:r>
            <w:r w:rsidR="001701FA" w:rsidRPr="006238F3">
              <w:rPr>
                <w:rFonts w:ascii="Arial" w:hAnsi="Arial" w:cs="Arial"/>
                <w:color w:val="000000"/>
                <w:sz w:val="22"/>
                <w:szCs w:val="22"/>
              </w:rPr>
              <w:t>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3B22740D"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C28751B"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0CEB856F"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Old-age</w:t>
            </w:r>
          </w:p>
        </w:tc>
        <w:tc>
          <w:tcPr>
            <w:tcW w:w="1441" w:type="dxa"/>
            <w:tcBorders>
              <w:top w:val="single" w:sz="8" w:space="0" w:color="000000"/>
              <w:left w:val="single" w:sz="8" w:space="0" w:color="000000"/>
              <w:bottom w:val="single" w:sz="8" w:space="0" w:color="000000"/>
              <w:right w:val="single" w:sz="8" w:space="0" w:color="000000"/>
            </w:tcBorders>
            <w:vAlign w:val="center"/>
          </w:tcPr>
          <w:p w14:paraId="426AAFF1"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Basic pension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11EC885F"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w:t>
            </w:r>
            <w:r w:rsidR="001701FA"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3A38537E"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w:t>
            </w:r>
            <w:r w:rsidR="001701FA"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DE7DE5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w:t>
            </w:r>
            <w:r w:rsidR="001701FA"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63499A14"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w:t>
            </w:r>
            <w:r w:rsidR="001701FA" w:rsidRPr="006238F3">
              <w:rPr>
                <w:rFonts w:ascii="Arial" w:hAnsi="Arial" w:cs="Arial"/>
                <w:color w:val="000000"/>
                <w:sz w:val="22"/>
                <w:szCs w:val="22"/>
              </w:rPr>
              <w:t>.00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19A8CF61"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.35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.33 (Out)</w:t>
            </w:r>
          </w:p>
        </w:tc>
      </w:tr>
      <w:tr w:rsidR="00486FBB" w:rsidRPr="00DC3968" w14:paraId="63374A5C"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372187D7"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C6526D6"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Generosity</w:t>
            </w:r>
          </w:p>
        </w:tc>
        <w:tc>
          <w:tcPr>
            <w:tcW w:w="992" w:type="dxa"/>
            <w:tcBorders>
              <w:top w:val="single" w:sz="8" w:space="0" w:color="000000"/>
              <w:left w:val="single" w:sz="8" w:space="0" w:color="000000"/>
              <w:bottom w:val="single" w:sz="8" w:space="0" w:color="000000"/>
              <w:right w:val="single" w:sz="8" w:space="0" w:color="000000"/>
            </w:tcBorders>
            <w:vAlign w:val="center"/>
          </w:tcPr>
          <w:p w14:paraId="6F8FB083"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.35</w:t>
            </w:r>
          </w:p>
        </w:tc>
        <w:tc>
          <w:tcPr>
            <w:tcW w:w="993" w:type="dxa"/>
            <w:tcBorders>
              <w:top w:val="single" w:sz="8" w:space="0" w:color="000000"/>
              <w:left w:val="single" w:sz="8" w:space="0" w:color="000000"/>
              <w:bottom w:val="single" w:sz="8" w:space="0" w:color="000000"/>
              <w:right w:val="single" w:sz="8" w:space="0" w:color="000000"/>
            </w:tcBorders>
            <w:vAlign w:val="center"/>
          </w:tcPr>
          <w:p w14:paraId="76738A72"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.35</w:t>
            </w:r>
          </w:p>
        </w:tc>
        <w:tc>
          <w:tcPr>
            <w:tcW w:w="992" w:type="dxa"/>
            <w:tcBorders>
              <w:top w:val="single" w:sz="8" w:space="0" w:color="000000"/>
              <w:left w:val="single" w:sz="8" w:space="0" w:color="000000"/>
              <w:bottom w:val="single" w:sz="8" w:space="0" w:color="000000"/>
              <w:right w:val="single" w:sz="8" w:space="0" w:color="000000"/>
            </w:tcBorders>
            <w:vAlign w:val="center"/>
          </w:tcPr>
          <w:p w14:paraId="4993372B"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w:t>
            </w:r>
            <w:r w:rsidR="001701FA" w:rsidRPr="006238F3">
              <w:rPr>
                <w:rFonts w:ascii="Arial" w:hAnsi="Arial" w:cs="Arial"/>
                <w:color w:val="000000"/>
                <w:sz w:val="22"/>
                <w:szCs w:val="22"/>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2FB83AEC"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.33</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49B94274"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546A849"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5B2C8CAD" w14:textId="77777777" w:rsidR="00E46A23" w:rsidRPr="006238F3" w:rsidRDefault="00E46A23" w:rsidP="00E46A23">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571DC035" w14:textId="77777777" w:rsidR="00E46A23" w:rsidRPr="006238F3" w:rsidRDefault="00055A2E" w:rsidP="00E46A2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Universality</w:t>
            </w:r>
          </w:p>
        </w:tc>
        <w:tc>
          <w:tcPr>
            <w:tcW w:w="992" w:type="dxa"/>
            <w:tcBorders>
              <w:top w:val="single" w:sz="8" w:space="0" w:color="000000"/>
              <w:left w:val="single" w:sz="8" w:space="0" w:color="000000"/>
              <w:bottom w:val="single" w:sz="8" w:space="0" w:color="000000"/>
              <w:right w:val="single" w:sz="8" w:space="0" w:color="000000"/>
            </w:tcBorders>
            <w:vAlign w:val="center"/>
          </w:tcPr>
          <w:p w14:paraId="2B6398A8"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.98</w:t>
            </w:r>
          </w:p>
        </w:tc>
        <w:tc>
          <w:tcPr>
            <w:tcW w:w="993" w:type="dxa"/>
            <w:tcBorders>
              <w:top w:val="single" w:sz="8" w:space="0" w:color="000000"/>
              <w:left w:val="single" w:sz="8" w:space="0" w:color="000000"/>
              <w:bottom w:val="single" w:sz="8" w:space="0" w:color="000000"/>
              <w:right w:val="single" w:sz="8" w:space="0" w:color="000000"/>
            </w:tcBorders>
            <w:vAlign w:val="center"/>
          </w:tcPr>
          <w:p w14:paraId="26E431FC"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.98</w:t>
            </w:r>
          </w:p>
        </w:tc>
        <w:tc>
          <w:tcPr>
            <w:tcW w:w="992" w:type="dxa"/>
            <w:tcBorders>
              <w:top w:val="single" w:sz="8" w:space="0" w:color="000000"/>
              <w:left w:val="single" w:sz="8" w:space="0" w:color="000000"/>
              <w:bottom w:val="single" w:sz="8" w:space="0" w:color="000000"/>
              <w:right w:val="single" w:sz="8" w:space="0" w:color="000000"/>
            </w:tcBorders>
            <w:vAlign w:val="center"/>
          </w:tcPr>
          <w:p w14:paraId="1B5E58EE"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.98</w:t>
            </w:r>
          </w:p>
        </w:tc>
        <w:tc>
          <w:tcPr>
            <w:tcW w:w="992" w:type="dxa"/>
            <w:tcBorders>
              <w:top w:val="single" w:sz="8" w:space="0" w:color="000000"/>
              <w:left w:val="single" w:sz="8" w:space="0" w:color="000000"/>
              <w:bottom w:val="single" w:sz="8" w:space="0" w:color="000000"/>
              <w:right w:val="single" w:sz="8" w:space="0" w:color="000000"/>
            </w:tcBorders>
            <w:vAlign w:val="center"/>
          </w:tcPr>
          <w:p w14:paraId="0D8667C6" w14:textId="77777777" w:rsidR="00E46A23" w:rsidRPr="006238F3" w:rsidRDefault="00055A2E" w:rsidP="00E46A2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.98</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847CB14" w14:textId="77777777" w:rsidR="00E46A23" w:rsidRPr="006238F3" w:rsidRDefault="00E46A23" w:rsidP="00E46A2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AB086D0" w14:textId="77777777" w:rsidTr="007250CA">
        <w:tblPrEx>
          <w:tblBorders>
            <w:top w:val="none" w:sz="0" w:space="0" w:color="auto"/>
          </w:tblBorders>
        </w:tblPrEx>
        <w:tc>
          <w:tcPr>
            <w:tcW w:w="1536" w:type="dxa"/>
            <w:tcBorders>
              <w:top w:val="single" w:sz="8" w:space="0" w:color="000000"/>
              <w:left w:val="single" w:sz="8" w:space="0" w:color="000000"/>
              <w:bottom w:val="single" w:sz="8" w:space="0" w:color="000000"/>
              <w:right w:val="single" w:sz="8" w:space="0" w:color="000000"/>
            </w:tcBorders>
            <w:vAlign w:val="center"/>
          </w:tcPr>
          <w:p w14:paraId="32B2F99F" w14:textId="77777777" w:rsidR="00FC75C8"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Public housing </w:t>
            </w:r>
          </w:p>
        </w:tc>
        <w:tc>
          <w:tcPr>
            <w:tcW w:w="1441" w:type="dxa"/>
            <w:tcBorders>
              <w:top w:val="single" w:sz="8" w:space="0" w:color="000000"/>
              <w:left w:val="single" w:sz="8" w:space="0" w:color="000000"/>
              <w:bottom w:val="single" w:sz="8" w:space="0" w:color="000000"/>
              <w:right w:val="single" w:sz="8" w:space="0" w:color="000000"/>
            </w:tcBorders>
            <w:vAlign w:val="center"/>
          </w:tcPr>
          <w:p w14:paraId="171F2168"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Policy </w:t>
            </w:r>
          </w:p>
        </w:tc>
        <w:tc>
          <w:tcPr>
            <w:tcW w:w="992" w:type="dxa"/>
            <w:tcBorders>
              <w:top w:val="single" w:sz="8" w:space="0" w:color="000000"/>
              <w:left w:val="single" w:sz="8" w:space="0" w:color="000000"/>
              <w:bottom w:val="single" w:sz="8" w:space="0" w:color="000000"/>
              <w:right w:val="single" w:sz="8" w:space="0" w:color="000000"/>
            </w:tcBorders>
            <w:vAlign w:val="center"/>
          </w:tcPr>
          <w:p w14:paraId="205141B0"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.53</w:t>
            </w:r>
          </w:p>
        </w:tc>
        <w:tc>
          <w:tcPr>
            <w:tcW w:w="993" w:type="dxa"/>
            <w:tcBorders>
              <w:top w:val="single" w:sz="8" w:space="0" w:color="000000"/>
              <w:left w:val="single" w:sz="8" w:space="0" w:color="000000"/>
              <w:bottom w:val="single" w:sz="8" w:space="0" w:color="000000"/>
              <w:right w:val="single" w:sz="8" w:space="0" w:color="000000"/>
            </w:tcBorders>
            <w:vAlign w:val="center"/>
          </w:tcPr>
          <w:p w14:paraId="6851CB89"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.39</w:t>
            </w:r>
          </w:p>
        </w:tc>
        <w:tc>
          <w:tcPr>
            <w:tcW w:w="992" w:type="dxa"/>
            <w:tcBorders>
              <w:top w:val="single" w:sz="8" w:space="0" w:color="000000"/>
              <w:left w:val="single" w:sz="8" w:space="0" w:color="000000"/>
              <w:bottom w:val="single" w:sz="8" w:space="0" w:color="000000"/>
              <w:right w:val="single" w:sz="8" w:space="0" w:color="000000"/>
            </w:tcBorders>
            <w:vAlign w:val="center"/>
          </w:tcPr>
          <w:p w14:paraId="24FA355E"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.36</w:t>
            </w:r>
          </w:p>
        </w:tc>
        <w:tc>
          <w:tcPr>
            <w:tcW w:w="992" w:type="dxa"/>
            <w:tcBorders>
              <w:top w:val="single" w:sz="8" w:space="0" w:color="000000"/>
              <w:left w:val="single" w:sz="8" w:space="0" w:color="000000"/>
              <w:bottom w:val="single" w:sz="8" w:space="0" w:color="000000"/>
              <w:right w:val="single" w:sz="8" w:space="0" w:color="000000"/>
            </w:tcBorders>
            <w:vAlign w:val="center"/>
          </w:tcPr>
          <w:p w14:paraId="2DDE0E86"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2126" w:type="dxa"/>
            <w:tcBorders>
              <w:top w:val="single" w:sz="8" w:space="0" w:color="000000"/>
              <w:left w:val="single" w:sz="8" w:space="0" w:color="000000"/>
              <w:bottom w:val="single" w:sz="8" w:space="0" w:color="000000"/>
              <w:right w:val="single" w:sz="8" w:space="0" w:color="000000"/>
            </w:tcBorders>
            <w:vAlign w:val="center"/>
          </w:tcPr>
          <w:p w14:paraId="3ADFE713"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.53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.45 (Out)</w:t>
            </w:r>
          </w:p>
        </w:tc>
      </w:tr>
      <w:tr w:rsidR="00486FBB" w:rsidRPr="00DC3968" w14:paraId="1985EAFD"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2130BB45"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Passive LMP</w:t>
            </w:r>
          </w:p>
        </w:tc>
        <w:tc>
          <w:tcPr>
            <w:tcW w:w="1441" w:type="dxa"/>
            <w:tcBorders>
              <w:top w:val="single" w:sz="8" w:space="0" w:color="000000"/>
              <w:left w:val="single" w:sz="8" w:space="0" w:color="000000"/>
              <w:bottom w:val="single" w:sz="8" w:space="0" w:color="000000"/>
              <w:right w:val="single" w:sz="8" w:space="0" w:color="000000"/>
            </w:tcBorders>
            <w:vAlign w:val="center"/>
          </w:tcPr>
          <w:p w14:paraId="658D1A82"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713EE243"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147B19E8"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.48</w:t>
            </w:r>
          </w:p>
        </w:tc>
        <w:tc>
          <w:tcPr>
            <w:tcW w:w="992" w:type="dxa"/>
            <w:tcBorders>
              <w:top w:val="single" w:sz="8" w:space="0" w:color="000000"/>
              <w:left w:val="single" w:sz="8" w:space="0" w:color="000000"/>
              <w:bottom w:val="single" w:sz="8" w:space="0" w:color="000000"/>
              <w:right w:val="single" w:sz="8" w:space="0" w:color="000000"/>
            </w:tcBorders>
            <w:vAlign w:val="center"/>
          </w:tcPr>
          <w:p w14:paraId="519D8C9B"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.48</w:t>
            </w:r>
          </w:p>
        </w:tc>
        <w:tc>
          <w:tcPr>
            <w:tcW w:w="992" w:type="dxa"/>
            <w:tcBorders>
              <w:top w:val="single" w:sz="8" w:space="0" w:color="000000"/>
              <w:left w:val="single" w:sz="8" w:space="0" w:color="000000"/>
              <w:bottom w:val="single" w:sz="8" w:space="0" w:color="000000"/>
              <w:right w:val="single" w:sz="8" w:space="0" w:color="000000"/>
            </w:tcBorders>
            <w:vAlign w:val="center"/>
          </w:tcPr>
          <w:p w14:paraId="24280069"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.48</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2DA4776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.13 (Out)</w:t>
            </w:r>
          </w:p>
        </w:tc>
      </w:tr>
      <w:tr w:rsidR="00486FBB" w:rsidRPr="00DC3968" w14:paraId="1BB305FF"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41949858"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7CA536CA"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Duration</w:t>
            </w:r>
          </w:p>
        </w:tc>
        <w:tc>
          <w:tcPr>
            <w:tcW w:w="992" w:type="dxa"/>
            <w:tcBorders>
              <w:top w:val="single" w:sz="8" w:space="0" w:color="000000"/>
              <w:left w:val="single" w:sz="8" w:space="0" w:color="000000"/>
              <w:bottom w:val="single" w:sz="8" w:space="0" w:color="000000"/>
              <w:right w:val="single" w:sz="8" w:space="0" w:color="000000"/>
            </w:tcBorders>
            <w:vAlign w:val="center"/>
          </w:tcPr>
          <w:p w14:paraId="6933E6E1"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3" w:type="dxa"/>
            <w:tcBorders>
              <w:top w:val="single" w:sz="8" w:space="0" w:color="000000"/>
              <w:left w:val="single" w:sz="8" w:space="0" w:color="000000"/>
              <w:bottom w:val="single" w:sz="8" w:space="0" w:color="000000"/>
              <w:right w:val="single" w:sz="8" w:space="0" w:color="000000"/>
            </w:tcBorders>
            <w:vAlign w:val="center"/>
          </w:tcPr>
          <w:p w14:paraId="072D3D8D"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2" w:type="dxa"/>
            <w:tcBorders>
              <w:top w:val="single" w:sz="8" w:space="0" w:color="000000"/>
              <w:left w:val="single" w:sz="8" w:space="0" w:color="000000"/>
              <w:bottom w:val="single" w:sz="8" w:space="0" w:color="000000"/>
              <w:right w:val="single" w:sz="8" w:space="0" w:color="000000"/>
            </w:tcBorders>
            <w:vAlign w:val="center"/>
          </w:tcPr>
          <w:p w14:paraId="6D9F0EB4"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2" w:type="dxa"/>
            <w:tcBorders>
              <w:top w:val="single" w:sz="8" w:space="0" w:color="000000"/>
              <w:left w:val="single" w:sz="8" w:space="0" w:color="000000"/>
              <w:bottom w:val="single" w:sz="8" w:space="0" w:color="000000"/>
              <w:right w:val="single" w:sz="8" w:space="0" w:color="000000"/>
            </w:tcBorders>
            <w:vAlign w:val="center"/>
          </w:tcPr>
          <w:p w14:paraId="0A041059"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58F3CAAC"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93DFE75" w14:textId="77777777" w:rsidTr="007250CA">
        <w:tc>
          <w:tcPr>
            <w:tcW w:w="1536" w:type="dxa"/>
            <w:vMerge/>
            <w:tcBorders>
              <w:top w:val="single" w:sz="8" w:space="0" w:color="000000"/>
              <w:left w:val="single" w:sz="8" w:space="0" w:color="000000"/>
              <w:bottom w:val="single" w:sz="8" w:space="0" w:color="000000"/>
              <w:right w:val="single" w:sz="8" w:space="0" w:color="000000"/>
            </w:tcBorders>
            <w:vAlign w:val="center"/>
          </w:tcPr>
          <w:p w14:paraId="3DF9D57D"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347FEBAF"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Coverage</w:t>
            </w:r>
          </w:p>
        </w:tc>
        <w:tc>
          <w:tcPr>
            <w:tcW w:w="992" w:type="dxa"/>
            <w:tcBorders>
              <w:top w:val="single" w:sz="8" w:space="0" w:color="000000"/>
              <w:left w:val="single" w:sz="8" w:space="0" w:color="000000"/>
              <w:bottom w:val="single" w:sz="8" w:space="0" w:color="000000"/>
              <w:right w:val="single" w:sz="8" w:space="0" w:color="000000"/>
            </w:tcBorders>
            <w:vAlign w:val="center"/>
          </w:tcPr>
          <w:p w14:paraId="2A817929"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.25</w:t>
            </w:r>
          </w:p>
        </w:tc>
        <w:tc>
          <w:tcPr>
            <w:tcW w:w="993" w:type="dxa"/>
            <w:tcBorders>
              <w:top w:val="single" w:sz="8" w:space="0" w:color="000000"/>
              <w:left w:val="single" w:sz="8" w:space="0" w:color="000000"/>
              <w:bottom w:val="single" w:sz="8" w:space="0" w:color="000000"/>
              <w:right w:val="single" w:sz="8" w:space="0" w:color="000000"/>
            </w:tcBorders>
            <w:vAlign w:val="center"/>
          </w:tcPr>
          <w:p w14:paraId="4411D28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.19</w:t>
            </w:r>
          </w:p>
        </w:tc>
        <w:tc>
          <w:tcPr>
            <w:tcW w:w="992" w:type="dxa"/>
            <w:tcBorders>
              <w:top w:val="single" w:sz="8" w:space="0" w:color="000000"/>
              <w:left w:val="single" w:sz="8" w:space="0" w:color="000000"/>
              <w:bottom w:val="single" w:sz="8" w:space="0" w:color="000000"/>
              <w:right w:val="single" w:sz="8" w:space="0" w:color="000000"/>
            </w:tcBorders>
            <w:vAlign w:val="center"/>
          </w:tcPr>
          <w:p w14:paraId="7AC6DE42"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.13</w:t>
            </w:r>
          </w:p>
        </w:tc>
        <w:tc>
          <w:tcPr>
            <w:tcW w:w="992" w:type="dxa"/>
            <w:tcBorders>
              <w:top w:val="single" w:sz="8" w:space="0" w:color="000000"/>
              <w:left w:val="single" w:sz="8" w:space="0" w:color="000000"/>
              <w:bottom w:val="single" w:sz="8" w:space="0" w:color="000000"/>
              <w:right w:val="single" w:sz="8" w:space="0" w:color="000000"/>
            </w:tcBorders>
            <w:vAlign w:val="center"/>
          </w:tcPr>
          <w:p w14:paraId="3A4979EC"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.13</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2FD71499"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bl>
    <w:p w14:paraId="0A57B648" w14:textId="77777777" w:rsidR="004E372A" w:rsidRPr="006238F3" w:rsidRDefault="004E372A">
      <w:pPr>
        <w:rPr>
          <w:rFonts w:ascii="Arial" w:hAnsi="Arial" w:cs="Arial"/>
          <w:sz w:val="22"/>
          <w:szCs w:val="22"/>
        </w:rPr>
      </w:pPr>
    </w:p>
    <w:p w14:paraId="61F8B196" w14:textId="77777777" w:rsidR="001701FA" w:rsidRPr="006238F3" w:rsidRDefault="001701FA" w:rsidP="003A5907">
      <w:pPr>
        <w:snapToGrid w:val="0"/>
        <w:spacing w:after="120"/>
        <w:rPr>
          <w:rFonts w:ascii="Arial" w:hAnsi="Arial" w:cs="Arial"/>
          <w:b/>
          <w:bCs/>
          <w:sz w:val="22"/>
          <w:szCs w:val="22"/>
        </w:rPr>
      </w:pPr>
    </w:p>
    <w:p w14:paraId="1CC1A1A2" w14:textId="77777777" w:rsidR="004E372A" w:rsidRPr="006238F3" w:rsidRDefault="00055A2E" w:rsidP="007250CA">
      <w:pPr>
        <w:snapToGrid w:val="0"/>
        <w:spacing w:after="120"/>
        <w:rPr>
          <w:rFonts w:ascii="Arial" w:hAnsi="Arial" w:cs="Arial"/>
          <w:sz w:val="22"/>
          <w:szCs w:val="22"/>
        </w:rPr>
      </w:pPr>
      <w:r w:rsidRPr="006238F3">
        <w:rPr>
          <w:rFonts w:ascii="Arial" w:hAnsi="Arial" w:cs="Arial"/>
          <w:b/>
          <w:bCs/>
          <w:sz w:val="22"/>
          <w:szCs w:val="22"/>
        </w:rPr>
        <w:t xml:space="preserve">Korea’s </w:t>
      </w:r>
      <w:r w:rsidRPr="006238F3">
        <w:rPr>
          <w:rFonts w:ascii="Arial" w:hAnsi="Arial" w:cs="Arial"/>
          <w:b/>
          <w:bCs/>
          <w:noProof w:val="0"/>
          <w:color w:val="000000"/>
          <w:sz w:val="22"/>
          <w:szCs w:val="22"/>
        </w:rPr>
        <w:t>welfare development trajectory, 1990-2016</w:t>
      </w:r>
    </w:p>
    <w:tbl>
      <w:tblPr>
        <w:tblW w:w="9072" w:type="dxa"/>
        <w:tblInd w:w="-10" w:type="dxa"/>
        <w:tblBorders>
          <w:top w:val="nil"/>
          <w:left w:val="nil"/>
          <w:right w:val="nil"/>
        </w:tblBorders>
        <w:tblLayout w:type="fixed"/>
        <w:tblLook w:val="0000" w:firstRow="0" w:lastRow="0" w:firstColumn="0" w:lastColumn="0" w:noHBand="0" w:noVBand="0"/>
      </w:tblPr>
      <w:tblGrid>
        <w:gridCol w:w="1536"/>
        <w:gridCol w:w="1441"/>
        <w:gridCol w:w="992"/>
        <w:gridCol w:w="993"/>
        <w:gridCol w:w="992"/>
        <w:gridCol w:w="992"/>
        <w:gridCol w:w="2126"/>
      </w:tblGrid>
      <w:tr w:rsidR="00486FBB" w:rsidRPr="00DC3968" w14:paraId="474CDA2A" w14:textId="77777777" w:rsidTr="007250CA">
        <w:tc>
          <w:tcPr>
            <w:tcW w:w="1536"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4B628B08" w14:textId="77777777" w:rsidR="003C3255"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Domain</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1E7CA12D" w14:textId="77777777" w:rsidR="003C3255"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Indicators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D0D0D0"/>
          </w:tcPr>
          <w:p w14:paraId="2E400B13" w14:textId="77777777" w:rsidR="003C3255"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Fuzzy set scores</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69F59591" w14:textId="77777777" w:rsidR="003C3255" w:rsidRPr="006238F3" w:rsidRDefault="00055A2E" w:rsidP="003C3255">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The overall change of intersection</w:t>
            </w:r>
          </w:p>
          <w:p w14:paraId="0D77C853" w14:textId="77777777" w:rsidR="003C3255"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1990-2016</w:t>
            </w:r>
          </w:p>
        </w:tc>
      </w:tr>
      <w:tr w:rsidR="00486FBB" w:rsidRPr="00DC3968" w14:paraId="5188B154"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6A5A5812"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26F18A13"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1B4AC515" w14:textId="77777777" w:rsidR="009E32F1" w:rsidRPr="006238F3" w:rsidRDefault="00055A2E" w:rsidP="009E32F1">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w:t>
            </w:r>
          </w:p>
        </w:tc>
        <w:tc>
          <w:tcPr>
            <w:tcW w:w="993"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1E7789BA" w14:textId="77777777" w:rsidR="009E32F1" w:rsidRPr="006238F3" w:rsidRDefault="00055A2E" w:rsidP="009E32F1">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6AEB68E7" w14:textId="77777777" w:rsidR="009E32F1" w:rsidRPr="006238F3" w:rsidRDefault="00055A2E" w:rsidP="009E32F1">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642458EE" w14:textId="77777777" w:rsidR="009E32F1" w:rsidRPr="006238F3" w:rsidRDefault="00055A2E" w:rsidP="009E32F1">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2016</w:t>
            </w:r>
          </w:p>
        </w:tc>
        <w:tc>
          <w:tcPr>
            <w:tcW w:w="2126"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61749BC5"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6BD9FD6"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0407B86A"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Education</w:t>
            </w:r>
          </w:p>
        </w:tc>
        <w:tc>
          <w:tcPr>
            <w:tcW w:w="1441" w:type="dxa"/>
            <w:tcBorders>
              <w:top w:val="single" w:sz="8" w:space="0" w:color="000000"/>
              <w:left w:val="single" w:sz="8" w:space="0" w:color="000000"/>
              <w:bottom w:val="single" w:sz="8" w:space="0" w:color="000000"/>
              <w:right w:val="single" w:sz="8" w:space="0" w:color="000000"/>
            </w:tcBorders>
            <w:vAlign w:val="center"/>
          </w:tcPr>
          <w:p w14:paraId="373A6644"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56721B8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.76</w:t>
            </w:r>
          </w:p>
        </w:tc>
        <w:tc>
          <w:tcPr>
            <w:tcW w:w="993" w:type="dxa"/>
            <w:tcBorders>
              <w:top w:val="single" w:sz="8" w:space="0" w:color="000000"/>
              <w:left w:val="single" w:sz="8" w:space="0" w:color="000000"/>
              <w:bottom w:val="single" w:sz="8" w:space="0" w:color="000000"/>
              <w:right w:val="single" w:sz="8" w:space="0" w:color="000000"/>
            </w:tcBorders>
            <w:vAlign w:val="center"/>
          </w:tcPr>
          <w:p w14:paraId="729758FE"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.54</w:t>
            </w:r>
          </w:p>
        </w:tc>
        <w:tc>
          <w:tcPr>
            <w:tcW w:w="992" w:type="dxa"/>
            <w:tcBorders>
              <w:top w:val="single" w:sz="8" w:space="0" w:color="000000"/>
              <w:left w:val="single" w:sz="8" w:space="0" w:color="000000"/>
              <w:bottom w:val="single" w:sz="8" w:space="0" w:color="000000"/>
              <w:right w:val="single" w:sz="8" w:space="0" w:color="000000"/>
            </w:tcBorders>
            <w:vAlign w:val="center"/>
          </w:tcPr>
          <w:p w14:paraId="333DFCA3"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.51</w:t>
            </w:r>
          </w:p>
        </w:tc>
        <w:tc>
          <w:tcPr>
            <w:tcW w:w="992" w:type="dxa"/>
            <w:tcBorders>
              <w:top w:val="single" w:sz="8" w:space="0" w:color="000000"/>
              <w:left w:val="single" w:sz="8" w:space="0" w:color="000000"/>
              <w:bottom w:val="single" w:sz="8" w:space="0" w:color="000000"/>
              <w:right w:val="single" w:sz="8" w:space="0" w:color="000000"/>
            </w:tcBorders>
            <w:vAlign w:val="center"/>
          </w:tcPr>
          <w:p w14:paraId="6C11D680"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.54</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035ECBD0"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.15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.54 (In)</w:t>
            </w:r>
          </w:p>
        </w:tc>
      </w:tr>
      <w:tr w:rsidR="00486FBB" w:rsidRPr="00DC3968" w14:paraId="78D603BB"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13A9B434"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7072F219"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4BEA6A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.32</w:t>
            </w:r>
          </w:p>
        </w:tc>
        <w:tc>
          <w:tcPr>
            <w:tcW w:w="993" w:type="dxa"/>
            <w:tcBorders>
              <w:top w:val="single" w:sz="8" w:space="0" w:color="000000"/>
              <w:left w:val="single" w:sz="8" w:space="0" w:color="000000"/>
              <w:bottom w:val="single" w:sz="8" w:space="0" w:color="000000"/>
              <w:right w:val="single" w:sz="8" w:space="0" w:color="000000"/>
            </w:tcBorders>
            <w:vAlign w:val="center"/>
          </w:tcPr>
          <w:p w14:paraId="210C8BB8"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.32</w:t>
            </w:r>
          </w:p>
        </w:tc>
        <w:tc>
          <w:tcPr>
            <w:tcW w:w="992" w:type="dxa"/>
            <w:tcBorders>
              <w:top w:val="single" w:sz="8" w:space="0" w:color="000000"/>
              <w:left w:val="single" w:sz="8" w:space="0" w:color="000000"/>
              <w:bottom w:val="single" w:sz="8" w:space="0" w:color="000000"/>
              <w:right w:val="single" w:sz="8" w:space="0" w:color="000000"/>
            </w:tcBorders>
            <w:vAlign w:val="center"/>
          </w:tcPr>
          <w:p w14:paraId="7958E204"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.75</w:t>
            </w:r>
          </w:p>
        </w:tc>
        <w:tc>
          <w:tcPr>
            <w:tcW w:w="992" w:type="dxa"/>
            <w:tcBorders>
              <w:top w:val="single" w:sz="8" w:space="0" w:color="000000"/>
              <w:left w:val="single" w:sz="8" w:space="0" w:color="000000"/>
              <w:bottom w:val="single" w:sz="8" w:space="0" w:color="000000"/>
              <w:right w:val="single" w:sz="8" w:space="0" w:color="000000"/>
            </w:tcBorders>
            <w:vAlign w:val="center"/>
          </w:tcPr>
          <w:p w14:paraId="61E39AED"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.82</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3BB7074"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2C97F76"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455A04DC"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2979435D"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C1A1FA7"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.15</w:t>
            </w:r>
          </w:p>
        </w:tc>
        <w:tc>
          <w:tcPr>
            <w:tcW w:w="993" w:type="dxa"/>
            <w:tcBorders>
              <w:top w:val="single" w:sz="8" w:space="0" w:color="000000"/>
              <w:left w:val="single" w:sz="8" w:space="0" w:color="000000"/>
              <w:bottom w:val="single" w:sz="8" w:space="0" w:color="000000"/>
              <w:right w:val="single" w:sz="8" w:space="0" w:color="000000"/>
            </w:tcBorders>
            <w:vAlign w:val="center"/>
          </w:tcPr>
          <w:p w14:paraId="013D0D7B"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.51</w:t>
            </w:r>
          </w:p>
        </w:tc>
        <w:tc>
          <w:tcPr>
            <w:tcW w:w="992" w:type="dxa"/>
            <w:tcBorders>
              <w:top w:val="single" w:sz="8" w:space="0" w:color="000000"/>
              <w:left w:val="single" w:sz="8" w:space="0" w:color="000000"/>
              <w:bottom w:val="single" w:sz="8" w:space="0" w:color="000000"/>
              <w:right w:val="single" w:sz="8" w:space="0" w:color="000000"/>
            </w:tcBorders>
            <w:vAlign w:val="center"/>
          </w:tcPr>
          <w:p w14:paraId="1E3AE9EC"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.85</w:t>
            </w:r>
          </w:p>
        </w:tc>
        <w:tc>
          <w:tcPr>
            <w:tcW w:w="992" w:type="dxa"/>
            <w:tcBorders>
              <w:top w:val="single" w:sz="8" w:space="0" w:color="000000"/>
              <w:left w:val="single" w:sz="8" w:space="0" w:color="000000"/>
              <w:bottom w:val="single" w:sz="8" w:space="0" w:color="000000"/>
              <w:right w:val="single" w:sz="8" w:space="0" w:color="000000"/>
            </w:tcBorders>
            <w:vAlign w:val="center"/>
          </w:tcPr>
          <w:p w14:paraId="552CCC17"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.85</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329E6D07"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A70DD97"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072B8426"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Health</w:t>
            </w:r>
          </w:p>
        </w:tc>
        <w:tc>
          <w:tcPr>
            <w:tcW w:w="1441" w:type="dxa"/>
            <w:tcBorders>
              <w:top w:val="single" w:sz="8" w:space="0" w:color="000000"/>
              <w:left w:val="single" w:sz="8" w:space="0" w:color="000000"/>
              <w:bottom w:val="single" w:sz="8" w:space="0" w:color="000000"/>
              <w:right w:val="single" w:sz="8" w:space="0" w:color="000000"/>
            </w:tcBorders>
            <w:vAlign w:val="center"/>
          </w:tcPr>
          <w:p w14:paraId="2B7954B7"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68B3AFB5"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.06</w:t>
            </w:r>
          </w:p>
        </w:tc>
        <w:tc>
          <w:tcPr>
            <w:tcW w:w="993" w:type="dxa"/>
            <w:tcBorders>
              <w:top w:val="single" w:sz="8" w:space="0" w:color="000000"/>
              <w:left w:val="single" w:sz="8" w:space="0" w:color="000000"/>
              <w:bottom w:val="single" w:sz="8" w:space="0" w:color="000000"/>
              <w:right w:val="single" w:sz="8" w:space="0" w:color="000000"/>
            </w:tcBorders>
            <w:vAlign w:val="center"/>
          </w:tcPr>
          <w:p w14:paraId="5068AF65"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.11</w:t>
            </w:r>
          </w:p>
        </w:tc>
        <w:tc>
          <w:tcPr>
            <w:tcW w:w="992" w:type="dxa"/>
            <w:tcBorders>
              <w:top w:val="single" w:sz="8" w:space="0" w:color="000000"/>
              <w:left w:val="single" w:sz="8" w:space="0" w:color="000000"/>
              <w:bottom w:val="single" w:sz="8" w:space="0" w:color="000000"/>
              <w:right w:val="single" w:sz="8" w:space="0" w:color="000000"/>
            </w:tcBorders>
            <w:vAlign w:val="center"/>
          </w:tcPr>
          <w:p w14:paraId="5B1DA8C8"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.78</w:t>
            </w:r>
          </w:p>
        </w:tc>
        <w:tc>
          <w:tcPr>
            <w:tcW w:w="992" w:type="dxa"/>
            <w:tcBorders>
              <w:top w:val="single" w:sz="8" w:space="0" w:color="000000"/>
              <w:left w:val="single" w:sz="8" w:space="0" w:color="000000"/>
              <w:bottom w:val="single" w:sz="8" w:space="0" w:color="000000"/>
              <w:right w:val="single" w:sz="8" w:space="0" w:color="000000"/>
            </w:tcBorders>
            <w:vAlign w:val="center"/>
          </w:tcPr>
          <w:p w14:paraId="1BE0DA7F"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w:t>
            </w:r>
            <w:r w:rsidR="001701FA" w:rsidRPr="006238F3">
              <w:rPr>
                <w:rFonts w:ascii="Arial" w:hAnsi="Arial" w:cs="Arial"/>
                <w:color w:val="000000"/>
                <w:sz w:val="22"/>
                <w:szCs w:val="22"/>
              </w:rPr>
              <w:t>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1C2B0BD0"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.04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.26 (Out)</w:t>
            </w:r>
          </w:p>
        </w:tc>
      </w:tr>
      <w:tr w:rsidR="00486FBB" w:rsidRPr="00DC3968" w14:paraId="3FAB75ED"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16F1B815"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522FC961"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Universality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E4D8095"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4E4A8EA6"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1D4F4AD4"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05F6564D"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56596CB0"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374DA73"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2FD7E4B5"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086DC4E8"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Affordability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7627A0E4"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.04</w:t>
            </w:r>
          </w:p>
        </w:tc>
        <w:tc>
          <w:tcPr>
            <w:tcW w:w="993" w:type="dxa"/>
            <w:tcBorders>
              <w:top w:val="single" w:sz="8" w:space="0" w:color="000000"/>
              <w:left w:val="single" w:sz="8" w:space="0" w:color="000000"/>
              <w:bottom w:val="single" w:sz="8" w:space="0" w:color="000000"/>
              <w:right w:val="single" w:sz="8" w:space="0" w:color="000000"/>
            </w:tcBorders>
            <w:vAlign w:val="center"/>
          </w:tcPr>
          <w:p w14:paraId="695435E6"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.13</w:t>
            </w:r>
          </w:p>
        </w:tc>
        <w:tc>
          <w:tcPr>
            <w:tcW w:w="992" w:type="dxa"/>
            <w:tcBorders>
              <w:top w:val="single" w:sz="8" w:space="0" w:color="000000"/>
              <w:left w:val="single" w:sz="8" w:space="0" w:color="000000"/>
              <w:bottom w:val="single" w:sz="8" w:space="0" w:color="000000"/>
              <w:right w:val="single" w:sz="8" w:space="0" w:color="000000"/>
            </w:tcBorders>
            <w:vAlign w:val="center"/>
          </w:tcPr>
          <w:p w14:paraId="5EA4A81F"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w:t>
            </w:r>
            <w:r w:rsidR="001701FA" w:rsidRPr="006238F3">
              <w:rPr>
                <w:rFonts w:ascii="Arial" w:hAnsi="Arial" w:cs="Arial"/>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6DD298DB"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.26</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433F0378"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E90AEC0"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14ED4F0A"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Family</w:t>
            </w:r>
          </w:p>
        </w:tc>
        <w:tc>
          <w:tcPr>
            <w:tcW w:w="1441" w:type="dxa"/>
            <w:tcBorders>
              <w:top w:val="single" w:sz="8" w:space="0" w:color="000000"/>
              <w:left w:val="single" w:sz="8" w:space="0" w:color="000000"/>
              <w:bottom w:val="single" w:sz="8" w:space="0" w:color="000000"/>
              <w:right w:val="single" w:sz="8" w:space="0" w:color="000000"/>
            </w:tcBorders>
            <w:vAlign w:val="center"/>
          </w:tcPr>
          <w:p w14:paraId="6EFDDD44"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1C1E611B"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1701FA" w:rsidRPr="006238F3">
              <w:rPr>
                <w:rFonts w:ascii="Arial" w:hAnsi="Arial" w:cs="Arial"/>
                <w:b/>
                <w:bCs/>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548015C2"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1701FA" w:rsidRPr="006238F3">
              <w:rPr>
                <w:rFonts w:ascii="Arial" w:hAnsi="Arial" w:cs="Arial"/>
                <w:b/>
                <w:bCs/>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50CFA238"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1701FA" w:rsidRPr="006238F3">
              <w:rPr>
                <w:rFonts w:ascii="Arial" w:hAnsi="Arial" w:cs="Arial"/>
                <w:b/>
                <w:bCs/>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488F2A04"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1701FA" w:rsidRPr="006238F3">
              <w:rPr>
                <w:rFonts w:ascii="Arial" w:hAnsi="Arial" w:cs="Arial"/>
                <w:b/>
                <w:bCs/>
                <w:color w:val="000000"/>
                <w:sz w:val="22"/>
                <w:szCs w:val="22"/>
              </w:rPr>
              <w:t>.00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374BB5F8"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.57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.57 (In)</w:t>
            </w:r>
          </w:p>
        </w:tc>
      </w:tr>
      <w:tr w:rsidR="00486FBB" w:rsidRPr="00DC3968" w14:paraId="501712E2"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3F8CFCC7"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1ECA300B"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Duration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4DA1CFFD"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53B50D60"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63CF0E5D"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.02</w:t>
            </w:r>
          </w:p>
        </w:tc>
        <w:tc>
          <w:tcPr>
            <w:tcW w:w="992" w:type="dxa"/>
            <w:tcBorders>
              <w:top w:val="single" w:sz="8" w:space="0" w:color="000000"/>
              <w:left w:val="single" w:sz="8" w:space="0" w:color="000000"/>
              <w:bottom w:val="single" w:sz="8" w:space="0" w:color="000000"/>
              <w:right w:val="single" w:sz="8" w:space="0" w:color="000000"/>
            </w:tcBorders>
            <w:vAlign w:val="center"/>
          </w:tcPr>
          <w:p w14:paraId="1966F49B"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.02</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1DC2AA97"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5433D54"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203C5281"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535CFA4"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C6BA9EF"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w:t>
            </w:r>
            <w:r w:rsidR="001701FA" w:rsidRPr="006238F3">
              <w:rPr>
                <w:rFonts w:ascii="Arial" w:hAnsi="Arial" w:cs="Arial"/>
                <w:b/>
                <w:bCs/>
                <w:color w:val="000000"/>
                <w:sz w:val="22"/>
                <w:szCs w:val="22"/>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09630A1F"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w:t>
            </w:r>
            <w:r w:rsidR="001701FA" w:rsidRPr="006238F3">
              <w:rPr>
                <w:rFonts w:ascii="Arial" w:hAnsi="Arial" w:cs="Arial"/>
                <w:b/>
                <w:bCs/>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37880800"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w:t>
            </w:r>
            <w:r w:rsidR="001701FA" w:rsidRPr="006238F3">
              <w:rPr>
                <w:rFonts w:ascii="Arial" w:hAnsi="Arial" w:cs="Arial"/>
                <w:b/>
                <w:bCs/>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78A7BF70"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w:t>
            </w:r>
            <w:r w:rsidR="001701FA" w:rsidRPr="006238F3">
              <w:rPr>
                <w:rFonts w:ascii="Arial" w:hAnsi="Arial" w:cs="Arial"/>
                <w:b/>
                <w:bCs/>
                <w:color w:val="000000"/>
                <w:sz w:val="22"/>
                <w:szCs w:val="22"/>
              </w:rPr>
              <w:t>0</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56682AEA"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CD2BB78"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2F94B60E"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Old-age</w:t>
            </w:r>
          </w:p>
        </w:tc>
        <w:tc>
          <w:tcPr>
            <w:tcW w:w="1441" w:type="dxa"/>
            <w:tcBorders>
              <w:top w:val="single" w:sz="8" w:space="0" w:color="000000"/>
              <w:left w:val="single" w:sz="8" w:space="0" w:color="000000"/>
              <w:bottom w:val="single" w:sz="8" w:space="0" w:color="000000"/>
              <w:right w:val="single" w:sz="8" w:space="0" w:color="000000"/>
            </w:tcBorders>
            <w:vAlign w:val="center"/>
          </w:tcPr>
          <w:p w14:paraId="7718F858"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Basic pension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13FC5031"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519D23F8"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479B577"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1C335DF0"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79A79381"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w:t>
            </w:r>
            <w:r w:rsidR="009E32F1" w:rsidRPr="006238F3">
              <w:rPr>
                <w:rFonts w:ascii="Arial" w:hAnsi="Arial" w:cs="Arial"/>
                <w:noProof w:val="0"/>
                <w:color w:val="000000"/>
                <w:sz w:val="22"/>
                <w:szCs w:val="22"/>
              </w:rPr>
              <w:t>00</w:t>
            </w:r>
            <w:r w:rsidRPr="006238F3">
              <w:rPr>
                <w:rFonts w:ascii="Arial" w:hAnsi="Arial" w:cs="Arial"/>
                <w:noProof w:val="0"/>
                <w:color w:val="000000"/>
                <w:sz w:val="22"/>
                <w:szCs w:val="22"/>
              </w:rPr>
              <w:t xml:space="preserve">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.46 (Out)</w:t>
            </w:r>
          </w:p>
        </w:tc>
      </w:tr>
      <w:tr w:rsidR="00486FBB" w:rsidRPr="00DC3968" w14:paraId="54994BB2"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2B6EAAF5"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FA153F7"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Generosity</w:t>
            </w:r>
          </w:p>
        </w:tc>
        <w:tc>
          <w:tcPr>
            <w:tcW w:w="992" w:type="dxa"/>
            <w:tcBorders>
              <w:top w:val="single" w:sz="8" w:space="0" w:color="000000"/>
              <w:left w:val="single" w:sz="8" w:space="0" w:color="000000"/>
              <w:bottom w:val="single" w:sz="8" w:space="0" w:color="000000"/>
              <w:right w:val="single" w:sz="8" w:space="0" w:color="000000"/>
            </w:tcBorders>
            <w:vAlign w:val="center"/>
          </w:tcPr>
          <w:p w14:paraId="7B1F1833"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w:t>
            </w:r>
            <w:r w:rsidR="001701FA" w:rsidRPr="006238F3">
              <w:rPr>
                <w:rFonts w:ascii="Arial" w:hAnsi="Arial" w:cs="Arial"/>
                <w:color w:val="000000"/>
                <w:sz w:val="22"/>
                <w:szCs w:val="22"/>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72F044D3"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w:t>
            </w:r>
            <w:r w:rsidR="001701FA" w:rsidRPr="006238F3">
              <w:rPr>
                <w:rFonts w:ascii="Arial" w:hAnsi="Arial" w:cs="Arial"/>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068D4CDD"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w:t>
            </w:r>
            <w:r w:rsidR="001701FA" w:rsidRPr="006238F3">
              <w:rPr>
                <w:rFonts w:ascii="Arial" w:hAnsi="Arial" w:cs="Arial"/>
                <w:color w:val="000000"/>
                <w:sz w:val="22"/>
                <w:szCs w:val="22"/>
              </w:rPr>
              <w:t>6</w:t>
            </w:r>
          </w:p>
        </w:tc>
        <w:tc>
          <w:tcPr>
            <w:tcW w:w="992" w:type="dxa"/>
            <w:tcBorders>
              <w:top w:val="single" w:sz="8" w:space="0" w:color="000000"/>
              <w:left w:val="single" w:sz="8" w:space="0" w:color="000000"/>
              <w:bottom w:val="single" w:sz="8" w:space="0" w:color="000000"/>
              <w:right w:val="single" w:sz="8" w:space="0" w:color="000000"/>
            </w:tcBorders>
            <w:vAlign w:val="center"/>
          </w:tcPr>
          <w:p w14:paraId="75CA77A6"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.46</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735D1270"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15E5C626"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17F9D2FE"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66202041"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Universality</w:t>
            </w:r>
          </w:p>
        </w:tc>
        <w:tc>
          <w:tcPr>
            <w:tcW w:w="992" w:type="dxa"/>
            <w:tcBorders>
              <w:top w:val="single" w:sz="8" w:space="0" w:color="000000"/>
              <w:left w:val="single" w:sz="8" w:space="0" w:color="000000"/>
              <w:bottom w:val="single" w:sz="8" w:space="0" w:color="000000"/>
              <w:right w:val="single" w:sz="8" w:space="0" w:color="000000"/>
            </w:tcBorders>
            <w:vAlign w:val="center"/>
          </w:tcPr>
          <w:p w14:paraId="7982507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.15</w:t>
            </w:r>
          </w:p>
        </w:tc>
        <w:tc>
          <w:tcPr>
            <w:tcW w:w="993" w:type="dxa"/>
            <w:tcBorders>
              <w:top w:val="single" w:sz="8" w:space="0" w:color="000000"/>
              <w:left w:val="single" w:sz="8" w:space="0" w:color="000000"/>
              <w:bottom w:val="single" w:sz="8" w:space="0" w:color="000000"/>
              <w:right w:val="single" w:sz="8" w:space="0" w:color="000000"/>
            </w:tcBorders>
            <w:vAlign w:val="center"/>
          </w:tcPr>
          <w:p w14:paraId="1756439F"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2" w:type="dxa"/>
            <w:tcBorders>
              <w:top w:val="single" w:sz="8" w:space="0" w:color="000000"/>
              <w:left w:val="single" w:sz="8" w:space="0" w:color="000000"/>
              <w:bottom w:val="single" w:sz="8" w:space="0" w:color="000000"/>
              <w:right w:val="single" w:sz="8" w:space="0" w:color="000000"/>
            </w:tcBorders>
            <w:vAlign w:val="center"/>
          </w:tcPr>
          <w:p w14:paraId="636CE26E"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.94</w:t>
            </w:r>
          </w:p>
        </w:tc>
        <w:tc>
          <w:tcPr>
            <w:tcW w:w="992" w:type="dxa"/>
            <w:tcBorders>
              <w:top w:val="single" w:sz="8" w:space="0" w:color="000000"/>
              <w:left w:val="single" w:sz="8" w:space="0" w:color="000000"/>
              <w:bottom w:val="single" w:sz="8" w:space="0" w:color="000000"/>
              <w:right w:val="single" w:sz="8" w:space="0" w:color="000000"/>
            </w:tcBorders>
            <w:vAlign w:val="center"/>
          </w:tcPr>
          <w:p w14:paraId="63379497"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.94</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64C3DA5"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9B372EF" w14:textId="77777777" w:rsidTr="007250CA">
        <w:tblPrEx>
          <w:tblBorders>
            <w:top w:val="none" w:sz="0" w:space="0" w:color="auto"/>
          </w:tblBorders>
        </w:tblPrEx>
        <w:tc>
          <w:tcPr>
            <w:tcW w:w="1536" w:type="dxa"/>
            <w:tcBorders>
              <w:top w:val="single" w:sz="8" w:space="0" w:color="000000"/>
              <w:left w:val="single" w:sz="8" w:space="0" w:color="000000"/>
              <w:bottom w:val="single" w:sz="8" w:space="0" w:color="000000"/>
              <w:right w:val="single" w:sz="8" w:space="0" w:color="000000"/>
            </w:tcBorders>
            <w:vAlign w:val="center"/>
          </w:tcPr>
          <w:p w14:paraId="2AEF662A" w14:textId="77777777" w:rsidR="00FC75C8"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Public housing </w:t>
            </w:r>
          </w:p>
        </w:tc>
        <w:tc>
          <w:tcPr>
            <w:tcW w:w="1441" w:type="dxa"/>
            <w:tcBorders>
              <w:top w:val="single" w:sz="8" w:space="0" w:color="000000"/>
              <w:left w:val="single" w:sz="8" w:space="0" w:color="000000"/>
              <w:bottom w:val="single" w:sz="8" w:space="0" w:color="000000"/>
              <w:right w:val="single" w:sz="8" w:space="0" w:color="000000"/>
            </w:tcBorders>
            <w:vAlign w:val="center"/>
          </w:tcPr>
          <w:p w14:paraId="3D2F223D"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Policy </w:t>
            </w:r>
          </w:p>
        </w:tc>
        <w:tc>
          <w:tcPr>
            <w:tcW w:w="992" w:type="dxa"/>
            <w:tcBorders>
              <w:top w:val="single" w:sz="8" w:space="0" w:color="000000"/>
              <w:left w:val="single" w:sz="8" w:space="0" w:color="000000"/>
              <w:bottom w:val="single" w:sz="8" w:space="0" w:color="000000"/>
              <w:right w:val="single" w:sz="8" w:space="0" w:color="000000"/>
            </w:tcBorders>
            <w:vAlign w:val="center"/>
          </w:tcPr>
          <w:p w14:paraId="544154D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.37</w:t>
            </w:r>
          </w:p>
        </w:tc>
        <w:tc>
          <w:tcPr>
            <w:tcW w:w="993" w:type="dxa"/>
            <w:tcBorders>
              <w:top w:val="single" w:sz="8" w:space="0" w:color="000000"/>
              <w:left w:val="single" w:sz="8" w:space="0" w:color="000000"/>
              <w:bottom w:val="single" w:sz="8" w:space="0" w:color="000000"/>
              <w:right w:val="single" w:sz="8" w:space="0" w:color="000000"/>
            </w:tcBorders>
            <w:vAlign w:val="center"/>
          </w:tcPr>
          <w:p w14:paraId="69610F1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992" w:type="dxa"/>
            <w:tcBorders>
              <w:top w:val="single" w:sz="8" w:space="0" w:color="000000"/>
              <w:left w:val="single" w:sz="8" w:space="0" w:color="000000"/>
              <w:bottom w:val="single" w:sz="8" w:space="0" w:color="000000"/>
              <w:right w:val="single" w:sz="8" w:space="0" w:color="000000"/>
            </w:tcBorders>
            <w:vAlign w:val="center"/>
          </w:tcPr>
          <w:p w14:paraId="4B8D4577"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.55</w:t>
            </w:r>
          </w:p>
        </w:tc>
        <w:tc>
          <w:tcPr>
            <w:tcW w:w="992" w:type="dxa"/>
            <w:tcBorders>
              <w:top w:val="single" w:sz="8" w:space="0" w:color="000000"/>
              <w:left w:val="single" w:sz="8" w:space="0" w:color="000000"/>
              <w:bottom w:val="single" w:sz="8" w:space="0" w:color="000000"/>
              <w:right w:val="single" w:sz="8" w:space="0" w:color="000000"/>
            </w:tcBorders>
            <w:vAlign w:val="center"/>
          </w:tcPr>
          <w:p w14:paraId="05AECB16" w14:textId="77777777" w:rsidR="003C3255" w:rsidRPr="006238F3" w:rsidRDefault="00055A2E" w:rsidP="003C3255">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.6</w:t>
            </w:r>
            <w:r w:rsidR="001701FA" w:rsidRPr="006238F3">
              <w:rPr>
                <w:rFonts w:ascii="Arial" w:hAnsi="Arial" w:cs="Arial"/>
                <w:b/>
                <w:bCs/>
                <w:color w:val="000000"/>
                <w:sz w:val="22"/>
                <w:szCs w:val="22"/>
              </w:rPr>
              <w:t>0</w:t>
            </w:r>
          </w:p>
        </w:tc>
        <w:tc>
          <w:tcPr>
            <w:tcW w:w="2126" w:type="dxa"/>
            <w:tcBorders>
              <w:top w:val="single" w:sz="8" w:space="0" w:color="000000"/>
              <w:left w:val="single" w:sz="8" w:space="0" w:color="000000"/>
              <w:bottom w:val="single" w:sz="8" w:space="0" w:color="000000"/>
              <w:right w:val="single" w:sz="8" w:space="0" w:color="000000"/>
            </w:tcBorders>
            <w:vAlign w:val="center"/>
          </w:tcPr>
          <w:p w14:paraId="1DB1D134"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.37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.60 (In)</w:t>
            </w:r>
          </w:p>
        </w:tc>
      </w:tr>
      <w:tr w:rsidR="00486FBB" w:rsidRPr="00DC3968" w14:paraId="7CCD441E" w14:textId="77777777" w:rsidTr="007250CA">
        <w:tblPrEx>
          <w:tblBorders>
            <w:top w:val="none" w:sz="0" w:space="0" w:color="auto"/>
          </w:tblBorders>
        </w:tblPrEx>
        <w:tc>
          <w:tcPr>
            <w:tcW w:w="1536" w:type="dxa"/>
            <w:vMerge w:val="restart"/>
            <w:tcBorders>
              <w:top w:val="single" w:sz="8" w:space="0" w:color="000000"/>
              <w:left w:val="single" w:sz="8" w:space="0" w:color="000000"/>
              <w:bottom w:val="single" w:sz="8" w:space="0" w:color="000000"/>
              <w:right w:val="single" w:sz="8" w:space="0" w:color="000000"/>
            </w:tcBorders>
            <w:vAlign w:val="center"/>
          </w:tcPr>
          <w:p w14:paraId="044D19C3"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Passive LMP</w:t>
            </w:r>
          </w:p>
        </w:tc>
        <w:tc>
          <w:tcPr>
            <w:tcW w:w="1441" w:type="dxa"/>
            <w:tcBorders>
              <w:top w:val="single" w:sz="8" w:space="0" w:color="000000"/>
              <w:left w:val="single" w:sz="8" w:space="0" w:color="000000"/>
              <w:bottom w:val="single" w:sz="8" w:space="0" w:color="000000"/>
              <w:right w:val="single" w:sz="8" w:space="0" w:color="000000"/>
            </w:tcBorders>
            <w:vAlign w:val="center"/>
          </w:tcPr>
          <w:p w14:paraId="1CE206A3"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62568EB"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0436C0B6"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438BC894"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649AB406"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1DF9375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.48 (Out)</w:t>
            </w:r>
          </w:p>
        </w:tc>
      </w:tr>
      <w:tr w:rsidR="00486FBB" w:rsidRPr="00DC3968" w14:paraId="0D040622" w14:textId="77777777" w:rsidTr="007250CA">
        <w:tblPrEx>
          <w:tblBorders>
            <w:top w:val="none" w:sz="0" w:space="0" w:color="auto"/>
          </w:tblBorders>
        </w:tblPrEx>
        <w:tc>
          <w:tcPr>
            <w:tcW w:w="1536" w:type="dxa"/>
            <w:vMerge/>
            <w:tcBorders>
              <w:top w:val="single" w:sz="8" w:space="0" w:color="000000"/>
              <w:left w:val="single" w:sz="8" w:space="0" w:color="000000"/>
              <w:bottom w:val="single" w:sz="8" w:space="0" w:color="000000"/>
              <w:right w:val="single" w:sz="8" w:space="0" w:color="000000"/>
            </w:tcBorders>
            <w:vAlign w:val="center"/>
          </w:tcPr>
          <w:p w14:paraId="69BB3D97"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F36AC16"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Duration</w:t>
            </w:r>
          </w:p>
        </w:tc>
        <w:tc>
          <w:tcPr>
            <w:tcW w:w="992" w:type="dxa"/>
            <w:tcBorders>
              <w:top w:val="single" w:sz="8" w:space="0" w:color="000000"/>
              <w:left w:val="single" w:sz="8" w:space="0" w:color="000000"/>
              <w:bottom w:val="single" w:sz="8" w:space="0" w:color="000000"/>
              <w:right w:val="single" w:sz="8" w:space="0" w:color="000000"/>
            </w:tcBorders>
            <w:vAlign w:val="center"/>
          </w:tcPr>
          <w:p w14:paraId="7F74A6D9"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3" w:type="dxa"/>
            <w:tcBorders>
              <w:top w:val="single" w:sz="8" w:space="0" w:color="000000"/>
              <w:left w:val="single" w:sz="8" w:space="0" w:color="000000"/>
              <w:bottom w:val="single" w:sz="8" w:space="0" w:color="000000"/>
              <w:right w:val="single" w:sz="8" w:space="0" w:color="000000"/>
            </w:tcBorders>
            <w:vAlign w:val="center"/>
          </w:tcPr>
          <w:p w14:paraId="3931D163"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2" w:type="dxa"/>
            <w:tcBorders>
              <w:top w:val="single" w:sz="8" w:space="0" w:color="000000"/>
              <w:left w:val="single" w:sz="8" w:space="0" w:color="000000"/>
              <w:bottom w:val="single" w:sz="8" w:space="0" w:color="000000"/>
              <w:right w:val="single" w:sz="8" w:space="0" w:color="000000"/>
            </w:tcBorders>
            <w:vAlign w:val="center"/>
          </w:tcPr>
          <w:p w14:paraId="473A94DD"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2" w:type="dxa"/>
            <w:tcBorders>
              <w:top w:val="single" w:sz="8" w:space="0" w:color="000000"/>
              <w:left w:val="single" w:sz="8" w:space="0" w:color="000000"/>
              <w:bottom w:val="single" w:sz="8" w:space="0" w:color="000000"/>
              <w:right w:val="single" w:sz="8" w:space="0" w:color="000000"/>
            </w:tcBorders>
            <w:vAlign w:val="center"/>
          </w:tcPr>
          <w:p w14:paraId="2D6DAA38"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6327E834"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247BB7F" w14:textId="77777777" w:rsidTr="007250CA">
        <w:tc>
          <w:tcPr>
            <w:tcW w:w="1536" w:type="dxa"/>
            <w:vMerge/>
            <w:tcBorders>
              <w:top w:val="single" w:sz="8" w:space="0" w:color="000000"/>
              <w:left w:val="single" w:sz="8" w:space="0" w:color="000000"/>
              <w:bottom w:val="single" w:sz="8" w:space="0" w:color="000000"/>
              <w:right w:val="single" w:sz="8" w:space="0" w:color="000000"/>
            </w:tcBorders>
            <w:vAlign w:val="center"/>
          </w:tcPr>
          <w:p w14:paraId="6E6C07C3" w14:textId="77777777" w:rsidR="003C3255" w:rsidRPr="006238F3" w:rsidRDefault="003C3255" w:rsidP="003C3255">
            <w:pPr>
              <w:widowControl w:val="0"/>
              <w:autoSpaceDE w:val="0"/>
              <w:autoSpaceDN w:val="0"/>
              <w:adjustRightInd w:val="0"/>
              <w:contextualSpacing/>
              <w:rPr>
                <w:rFonts w:ascii="Arial" w:hAnsi="Arial" w:cs="Arial"/>
                <w:noProof w:val="0"/>
                <w:color w:val="000000"/>
                <w:sz w:val="22"/>
                <w:szCs w:val="22"/>
              </w:rPr>
            </w:pPr>
          </w:p>
        </w:tc>
        <w:tc>
          <w:tcPr>
            <w:tcW w:w="1441" w:type="dxa"/>
            <w:tcBorders>
              <w:top w:val="single" w:sz="8" w:space="0" w:color="000000"/>
              <w:left w:val="single" w:sz="8" w:space="0" w:color="000000"/>
              <w:bottom w:val="single" w:sz="8" w:space="0" w:color="000000"/>
              <w:right w:val="single" w:sz="8" w:space="0" w:color="000000"/>
            </w:tcBorders>
            <w:vAlign w:val="center"/>
          </w:tcPr>
          <w:p w14:paraId="4172B3A2" w14:textId="77777777" w:rsidR="003C3255" w:rsidRPr="006238F3" w:rsidRDefault="00055A2E" w:rsidP="003C3255">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Coverage</w:t>
            </w:r>
          </w:p>
        </w:tc>
        <w:tc>
          <w:tcPr>
            <w:tcW w:w="992" w:type="dxa"/>
            <w:tcBorders>
              <w:top w:val="single" w:sz="8" w:space="0" w:color="000000"/>
              <w:left w:val="single" w:sz="8" w:space="0" w:color="000000"/>
              <w:bottom w:val="single" w:sz="8" w:space="0" w:color="000000"/>
              <w:right w:val="single" w:sz="8" w:space="0" w:color="000000"/>
            </w:tcBorders>
            <w:vAlign w:val="center"/>
          </w:tcPr>
          <w:p w14:paraId="686227FD"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18A50275"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.21</w:t>
            </w:r>
          </w:p>
        </w:tc>
        <w:tc>
          <w:tcPr>
            <w:tcW w:w="992" w:type="dxa"/>
            <w:tcBorders>
              <w:top w:val="single" w:sz="8" w:space="0" w:color="000000"/>
              <w:left w:val="single" w:sz="8" w:space="0" w:color="000000"/>
              <w:bottom w:val="single" w:sz="8" w:space="0" w:color="000000"/>
              <w:right w:val="single" w:sz="8" w:space="0" w:color="000000"/>
            </w:tcBorders>
            <w:vAlign w:val="center"/>
          </w:tcPr>
          <w:p w14:paraId="0D5C0B6A"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.46</w:t>
            </w:r>
          </w:p>
        </w:tc>
        <w:tc>
          <w:tcPr>
            <w:tcW w:w="992" w:type="dxa"/>
            <w:tcBorders>
              <w:top w:val="single" w:sz="8" w:space="0" w:color="000000"/>
              <w:left w:val="single" w:sz="8" w:space="0" w:color="000000"/>
              <w:bottom w:val="single" w:sz="8" w:space="0" w:color="000000"/>
              <w:right w:val="single" w:sz="8" w:space="0" w:color="000000"/>
            </w:tcBorders>
            <w:vAlign w:val="center"/>
          </w:tcPr>
          <w:p w14:paraId="1F2E8ADF" w14:textId="77777777" w:rsidR="003C3255" w:rsidRPr="006238F3" w:rsidRDefault="00055A2E" w:rsidP="003C3255">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.48</w:t>
            </w: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57924AAD" w14:textId="77777777" w:rsidR="003C3255" w:rsidRPr="006238F3" w:rsidRDefault="003C3255" w:rsidP="003C3255">
            <w:pPr>
              <w:widowControl w:val="0"/>
              <w:autoSpaceDE w:val="0"/>
              <w:autoSpaceDN w:val="0"/>
              <w:adjustRightInd w:val="0"/>
              <w:contextualSpacing/>
              <w:jc w:val="center"/>
              <w:rPr>
                <w:rFonts w:ascii="Arial" w:hAnsi="Arial" w:cs="Arial"/>
                <w:noProof w:val="0"/>
                <w:color w:val="000000"/>
                <w:sz w:val="22"/>
                <w:szCs w:val="22"/>
              </w:rPr>
            </w:pPr>
          </w:p>
        </w:tc>
      </w:tr>
    </w:tbl>
    <w:p w14:paraId="34F0B926" w14:textId="77777777" w:rsidR="004E372A" w:rsidRPr="006238F3" w:rsidRDefault="004E372A">
      <w:pPr>
        <w:rPr>
          <w:rFonts w:ascii="Arial" w:hAnsi="Arial" w:cs="Arial"/>
          <w:sz w:val="22"/>
          <w:szCs w:val="22"/>
        </w:rPr>
      </w:pPr>
    </w:p>
    <w:p w14:paraId="11FBC19F" w14:textId="77777777" w:rsidR="003A5907" w:rsidRPr="006238F3" w:rsidRDefault="00055A2E">
      <w:pPr>
        <w:rPr>
          <w:rFonts w:ascii="Arial" w:hAnsi="Arial" w:cs="Arial"/>
          <w:b/>
          <w:bCs/>
          <w:sz w:val="22"/>
          <w:szCs w:val="22"/>
        </w:rPr>
      </w:pPr>
      <w:r w:rsidRPr="006238F3">
        <w:rPr>
          <w:rFonts w:ascii="Arial" w:hAnsi="Arial" w:cs="Arial"/>
          <w:b/>
          <w:bCs/>
          <w:sz w:val="22"/>
          <w:szCs w:val="22"/>
        </w:rPr>
        <w:br w:type="page"/>
      </w:r>
    </w:p>
    <w:p w14:paraId="023FA9F0" w14:textId="77777777" w:rsidR="004E372A" w:rsidRPr="006238F3" w:rsidRDefault="00055A2E" w:rsidP="007250CA">
      <w:pPr>
        <w:snapToGrid w:val="0"/>
        <w:spacing w:after="120"/>
        <w:rPr>
          <w:rFonts w:ascii="Arial" w:hAnsi="Arial" w:cs="Arial"/>
          <w:sz w:val="22"/>
          <w:szCs w:val="22"/>
        </w:rPr>
      </w:pPr>
      <w:r w:rsidRPr="006238F3">
        <w:rPr>
          <w:rFonts w:ascii="Arial" w:hAnsi="Arial" w:cs="Arial"/>
          <w:b/>
          <w:bCs/>
          <w:sz w:val="22"/>
          <w:szCs w:val="22"/>
        </w:rPr>
        <w:lastRenderedPageBreak/>
        <w:t xml:space="preserve">Singapore’s </w:t>
      </w:r>
      <w:r w:rsidRPr="006238F3">
        <w:rPr>
          <w:rFonts w:ascii="Arial" w:hAnsi="Arial" w:cs="Arial"/>
          <w:b/>
          <w:bCs/>
          <w:noProof w:val="0"/>
          <w:color w:val="000000"/>
          <w:sz w:val="22"/>
          <w:szCs w:val="22"/>
        </w:rPr>
        <w:t>welfare development trajectory, 1990-2016</w:t>
      </w:r>
    </w:p>
    <w:tbl>
      <w:tblPr>
        <w:tblW w:w="9214" w:type="dxa"/>
        <w:tblInd w:w="-10" w:type="dxa"/>
        <w:tblBorders>
          <w:top w:val="nil"/>
          <w:left w:val="nil"/>
          <w:right w:val="nil"/>
        </w:tblBorders>
        <w:tblLayout w:type="fixed"/>
        <w:tblLook w:val="0000" w:firstRow="0" w:lastRow="0" w:firstColumn="0" w:lastColumn="0" w:noHBand="0" w:noVBand="0"/>
      </w:tblPr>
      <w:tblGrid>
        <w:gridCol w:w="1535"/>
        <w:gridCol w:w="1442"/>
        <w:gridCol w:w="992"/>
        <w:gridCol w:w="993"/>
        <w:gridCol w:w="992"/>
        <w:gridCol w:w="992"/>
        <w:gridCol w:w="2268"/>
      </w:tblGrid>
      <w:tr w:rsidR="00486FBB" w:rsidRPr="00DC3968" w14:paraId="07D9DC32" w14:textId="77777777" w:rsidTr="007250CA">
        <w:tc>
          <w:tcPr>
            <w:tcW w:w="1535"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5F670000" w14:textId="77777777" w:rsidR="009E32F1"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Domain</w:t>
            </w:r>
          </w:p>
        </w:tc>
        <w:tc>
          <w:tcPr>
            <w:tcW w:w="1442"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0D77F977" w14:textId="77777777" w:rsidR="009E32F1"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Indicators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D0D0D0"/>
          </w:tcPr>
          <w:p w14:paraId="4EA9FF34" w14:textId="77777777" w:rsidR="009E32F1" w:rsidRPr="006238F3" w:rsidRDefault="00055A2E">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Fuzzy set scores</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6AB057D6" w14:textId="77777777" w:rsidR="009E32F1" w:rsidRPr="006238F3" w:rsidRDefault="00055A2E" w:rsidP="009E32F1">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The overall change of intersection</w:t>
            </w:r>
          </w:p>
          <w:p w14:paraId="0A26A6CE"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1990-2016</w:t>
            </w:r>
          </w:p>
        </w:tc>
      </w:tr>
      <w:tr w:rsidR="00486FBB" w:rsidRPr="00DC3968" w14:paraId="117561C0"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4BE115D9" w14:textId="77777777" w:rsidR="009E32F1" w:rsidRPr="006238F3" w:rsidRDefault="009E32F1" w:rsidP="00806413">
            <w:pPr>
              <w:widowControl w:val="0"/>
              <w:autoSpaceDE w:val="0"/>
              <w:autoSpaceDN w:val="0"/>
              <w:adjustRightInd w:val="0"/>
              <w:contextualSpacing/>
              <w:rPr>
                <w:rFonts w:ascii="Arial" w:hAnsi="Arial" w:cs="Arial"/>
                <w:noProof w:val="0"/>
                <w:color w:val="000000"/>
                <w:sz w:val="22"/>
                <w:szCs w:val="22"/>
              </w:rPr>
            </w:pPr>
          </w:p>
        </w:tc>
        <w:tc>
          <w:tcPr>
            <w:tcW w:w="1442"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150FFBB4" w14:textId="77777777" w:rsidR="009E32F1" w:rsidRPr="006238F3" w:rsidRDefault="009E32F1" w:rsidP="00806413">
            <w:pPr>
              <w:widowControl w:val="0"/>
              <w:autoSpaceDE w:val="0"/>
              <w:autoSpaceDN w:val="0"/>
              <w:adjustRightInd w:val="0"/>
              <w:contextualSpacing/>
              <w:rPr>
                <w:rFonts w:ascii="Arial" w:hAnsi="Arial" w:cs="Arial"/>
                <w:noProof w:val="0"/>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2137E203"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w:t>
            </w:r>
          </w:p>
        </w:tc>
        <w:tc>
          <w:tcPr>
            <w:tcW w:w="993" w:type="dxa"/>
            <w:tcBorders>
              <w:top w:val="single" w:sz="8" w:space="0" w:color="000000"/>
              <w:left w:val="single" w:sz="8" w:space="0" w:color="000000"/>
              <w:bottom w:val="single" w:sz="8" w:space="0" w:color="000000"/>
              <w:right w:val="single" w:sz="8" w:space="0" w:color="000000"/>
            </w:tcBorders>
            <w:shd w:val="clear" w:color="auto" w:fill="D0D0D0"/>
          </w:tcPr>
          <w:p w14:paraId="77E65AB6" w14:textId="77777777" w:rsidR="009E32F1" w:rsidRPr="006238F3" w:rsidRDefault="00055A2E" w:rsidP="00806413">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5B32FF36"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4E75A7A3"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2016</w:t>
            </w:r>
          </w:p>
        </w:tc>
        <w:tc>
          <w:tcPr>
            <w:tcW w:w="2268"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12ACFD12" w14:textId="77777777" w:rsidR="009E32F1" w:rsidRPr="006238F3" w:rsidRDefault="009E32F1" w:rsidP="0080641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2993F66"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5F33BDCB"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Education</w:t>
            </w:r>
          </w:p>
        </w:tc>
        <w:tc>
          <w:tcPr>
            <w:tcW w:w="1442" w:type="dxa"/>
            <w:tcBorders>
              <w:top w:val="single" w:sz="8" w:space="0" w:color="000000"/>
              <w:left w:val="single" w:sz="8" w:space="0" w:color="000000"/>
              <w:bottom w:val="single" w:sz="8" w:space="0" w:color="000000"/>
              <w:right w:val="single" w:sz="8" w:space="0" w:color="000000"/>
            </w:tcBorders>
            <w:vAlign w:val="center"/>
          </w:tcPr>
          <w:p w14:paraId="5F04F3AE"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5C05395E"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.95</w:t>
            </w:r>
          </w:p>
        </w:tc>
        <w:tc>
          <w:tcPr>
            <w:tcW w:w="993" w:type="dxa"/>
            <w:tcBorders>
              <w:top w:val="single" w:sz="8" w:space="0" w:color="000000"/>
              <w:left w:val="single" w:sz="8" w:space="0" w:color="000000"/>
              <w:bottom w:val="single" w:sz="8" w:space="0" w:color="000000"/>
              <w:right w:val="single" w:sz="8" w:space="0" w:color="000000"/>
            </w:tcBorders>
            <w:vAlign w:val="center"/>
          </w:tcPr>
          <w:p w14:paraId="4F76BF36"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.97</w:t>
            </w:r>
          </w:p>
        </w:tc>
        <w:tc>
          <w:tcPr>
            <w:tcW w:w="992" w:type="dxa"/>
            <w:tcBorders>
              <w:top w:val="single" w:sz="8" w:space="0" w:color="000000"/>
              <w:left w:val="single" w:sz="8" w:space="0" w:color="000000"/>
              <w:bottom w:val="single" w:sz="8" w:space="0" w:color="000000"/>
              <w:right w:val="single" w:sz="8" w:space="0" w:color="000000"/>
            </w:tcBorders>
            <w:vAlign w:val="center"/>
          </w:tcPr>
          <w:p w14:paraId="19926252"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.97</w:t>
            </w:r>
          </w:p>
        </w:tc>
        <w:tc>
          <w:tcPr>
            <w:tcW w:w="992" w:type="dxa"/>
            <w:tcBorders>
              <w:top w:val="single" w:sz="8" w:space="0" w:color="000000"/>
              <w:left w:val="single" w:sz="8" w:space="0" w:color="000000"/>
              <w:bottom w:val="single" w:sz="8" w:space="0" w:color="000000"/>
              <w:right w:val="single" w:sz="8" w:space="0" w:color="000000"/>
            </w:tcBorders>
            <w:vAlign w:val="center"/>
          </w:tcPr>
          <w:p w14:paraId="1FD2A641"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.83</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6F40C382"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.73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.78 (In)</w:t>
            </w:r>
          </w:p>
        </w:tc>
      </w:tr>
      <w:tr w:rsidR="00486FBB" w:rsidRPr="00DC3968" w14:paraId="2DC6EF40"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6C21F88E"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6E494AE1"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0CCA9E24"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.73</w:t>
            </w:r>
          </w:p>
        </w:tc>
        <w:tc>
          <w:tcPr>
            <w:tcW w:w="993" w:type="dxa"/>
            <w:tcBorders>
              <w:top w:val="single" w:sz="8" w:space="0" w:color="000000"/>
              <w:left w:val="single" w:sz="8" w:space="0" w:color="000000"/>
              <w:bottom w:val="single" w:sz="8" w:space="0" w:color="000000"/>
              <w:right w:val="single" w:sz="8" w:space="0" w:color="000000"/>
            </w:tcBorders>
            <w:vAlign w:val="center"/>
          </w:tcPr>
          <w:p w14:paraId="54217D0E"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.73</w:t>
            </w:r>
          </w:p>
        </w:tc>
        <w:tc>
          <w:tcPr>
            <w:tcW w:w="992" w:type="dxa"/>
            <w:tcBorders>
              <w:top w:val="single" w:sz="8" w:space="0" w:color="000000"/>
              <w:left w:val="single" w:sz="8" w:space="0" w:color="000000"/>
              <w:bottom w:val="single" w:sz="8" w:space="0" w:color="000000"/>
              <w:right w:val="single" w:sz="8" w:space="0" w:color="000000"/>
            </w:tcBorders>
            <w:vAlign w:val="center"/>
          </w:tcPr>
          <w:p w14:paraId="23C761D9"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.78</w:t>
            </w:r>
          </w:p>
        </w:tc>
        <w:tc>
          <w:tcPr>
            <w:tcW w:w="992" w:type="dxa"/>
            <w:tcBorders>
              <w:top w:val="single" w:sz="8" w:space="0" w:color="000000"/>
              <w:left w:val="single" w:sz="8" w:space="0" w:color="000000"/>
              <w:bottom w:val="single" w:sz="8" w:space="0" w:color="000000"/>
              <w:right w:val="single" w:sz="8" w:space="0" w:color="000000"/>
            </w:tcBorders>
            <w:vAlign w:val="center"/>
          </w:tcPr>
          <w:p w14:paraId="33017A8E"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.78</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5AC76051"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288BBAC"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43D52C56"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6412C106"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E83DE98"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.98</w:t>
            </w:r>
          </w:p>
        </w:tc>
        <w:tc>
          <w:tcPr>
            <w:tcW w:w="993" w:type="dxa"/>
            <w:tcBorders>
              <w:top w:val="single" w:sz="8" w:space="0" w:color="000000"/>
              <w:left w:val="single" w:sz="8" w:space="0" w:color="000000"/>
              <w:bottom w:val="single" w:sz="8" w:space="0" w:color="000000"/>
              <w:right w:val="single" w:sz="8" w:space="0" w:color="000000"/>
            </w:tcBorders>
            <w:vAlign w:val="center"/>
          </w:tcPr>
          <w:p w14:paraId="63FF37C5"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1701FA" w:rsidRPr="006238F3">
              <w:rPr>
                <w:rFonts w:ascii="Arial" w:hAnsi="Arial" w:cs="Arial"/>
                <w:b/>
                <w:bCs/>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510B7681"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FCE08F5"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5E3A6D87"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64E96C9"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529470FA"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Health</w:t>
            </w:r>
          </w:p>
        </w:tc>
        <w:tc>
          <w:tcPr>
            <w:tcW w:w="1442" w:type="dxa"/>
            <w:tcBorders>
              <w:top w:val="single" w:sz="8" w:space="0" w:color="000000"/>
              <w:left w:val="single" w:sz="8" w:space="0" w:color="000000"/>
              <w:bottom w:val="single" w:sz="8" w:space="0" w:color="000000"/>
              <w:right w:val="single" w:sz="8" w:space="0" w:color="000000"/>
            </w:tcBorders>
            <w:vAlign w:val="center"/>
          </w:tcPr>
          <w:p w14:paraId="23BF0935"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72D0ED53"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.27</w:t>
            </w:r>
          </w:p>
        </w:tc>
        <w:tc>
          <w:tcPr>
            <w:tcW w:w="993" w:type="dxa"/>
            <w:tcBorders>
              <w:top w:val="single" w:sz="8" w:space="0" w:color="000000"/>
              <w:left w:val="single" w:sz="8" w:space="0" w:color="000000"/>
              <w:bottom w:val="single" w:sz="8" w:space="0" w:color="000000"/>
              <w:right w:val="single" w:sz="8" w:space="0" w:color="000000"/>
            </w:tcBorders>
            <w:vAlign w:val="center"/>
          </w:tcPr>
          <w:p w14:paraId="542D7666"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6F23FA99"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.23</w:t>
            </w:r>
          </w:p>
        </w:tc>
        <w:tc>
          <w:tcPr>
            <w:tcW w:w="992" w:type="dxa"/>
            <w:tcBorders>
              <w:top w:val="single" w:sz="8" w:space="0" w:color="000000"/>
              <w:left w:val="single" w:sz="8" w:space="0" w:color="000000"/>
              <w:bottom w:val="single" w:sz="8" w:space="0" w:color="000000"/>
              <w:right w:val="single" w:sz="8" w:space="0" w:color="000000"/>
            </w:tcBorders>
            <w:vAlign w:val="center"/>
          </w:tcPr>
          <w:p w14:paraId="5251ADBA"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.95</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22829303"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.08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.15 (Out)</w:t>
            </w:r>
          </w:p>
        </w:tc>
      </w:tr>
      <w:tr w:rsidR="00486FBB" w:rsidRPr="00DC3968" w14:paraId="27EF8DC0"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0FFB5572"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3809A146"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Universality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647CD05F"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2352B377"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6BBA5BC"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57D1FE67"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2E199ED8"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B949ACA"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2C1DCAF4"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0DFFC211"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Affordability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7C4CE55"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.08</w:t>
            </w:r>
          </w:p>
        </w:tc>
        <w:tc>
          <w:tcPr>
            <w:tcW w:w="993" w:type="dxa"/>
            <w:tcBorders>
              <w:top w:val="single" w:sz="8" w:space="0" w:color="000000"/>
              <w:left w:val="single" w:sz="8" w:space="0" w:color="000000"/>
              <w:bottom w:val="single" w:sz="8" w:space="0" w:color="000000"/>
              <w:right w:val="single" w:sz="8" w:space="0" w:color="000000"/>
            </w:tcBorders>
            <w:vAlign w:val="center"/>
          </w:tcPr>
          <w:p w14:paraId="442C69A5"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76DDC5D1"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.02</w:t>
            </w:r>
          </w:p>
        </w:tc>
        <w:tc>
          <w:tcPr>
            <w:tcW w:w="992" w:type="dxa"/>
            <w:tcBorders>
              <w:top w:val="single" w:sz="8" w:space="0" w:color="000000"/>
              <w:left w:val="single" w:sz="8" w:space="0" w:color="000000"/>
              <w:bottom w:val="single" w:sz="8" w:space="0" w:color="000000"/>
              <w:right w:val="single" w:sz="8" w:space="0" w:color="000000"/>
            </w:tcBorders>
            <w:vAlign w:val="center"/>
          </w:tcPr>
          <w:p w14:paraId="34FACBD4"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.15</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146A42E2"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538AFC3"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1F030430"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Family</w:t>
            </w:r>
          </w:p>
        </w:tc>
        <w:tc>
          <w:tcPr>
            <w:tcW w:w="1442" w:type="dxa"/>
            <w:tcBorders>
              <w:top w:val="single" w:sz="8" w:space="0" w:color="000000"/>
              <w:left w:val="single" w:sz="8" w:space="0" w:color="000000"/>
              <w:bottom w:val="single" w:sz="8" w:space="0" w:color="000000"/>
              <w:right w:val="single" w:sz="8" w:space="0" w:color="000000"/>
            </w:tcBorders>
            <w:vAlign w:val="center"/>
          </w:tcPr>
          <w:p w14:paraId="51C45FE1"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759F2EA6"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76CD966E"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4810EB2D"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4C1B08DF"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44301F97"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.40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.58 (In)</w:t>
            </w:r>
          </w:p>
        </w:tc>
      </w:tr>
      <w:tr w:rsidR="00486FBB" w:rsidRPr="00DC3968" w14:paraId="642B4AF9"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6ABB7F63"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3612F7F8"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Duration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10BFBA5E"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265D5063"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.01</w:t>
            </w:r>
          </w:p>
        </w:tc>
        <w:tc>
          <w:tcPr>
            <w:tcW w:w="992" w:type="dxa"/>
            <w:tcBorders>
              <w:top w:val="single" w:sz="8" w:space="0" w:color="000000"/>
              <w:left w:val="single" w:sz="8" w:space="0" w:color="000000"/>
              <w:bottom w:val="single" w:sz="8" w:space="0" w:color="000000"/>
              <w:right w:val="single" w:sz="8" w:space="0" w:color="000000"/>
            </w:tcBorders>
            <w:vAlign w:val="center"/>
          </w:tcPr>
          <w:p w14:paraId="64E1AE32"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.19</w:t>
            </w:r>
          </w:p>
        </w:tc>
        <w:tc>
          <w:tcPr>
            <w:tcW w:w="992" w:type="dxa"/>
            <w:tcBorders>
              <w:top w:val="single" w:sz="8" w:space="0" w:color="000000"/>
              <w:left w:val="single" w:sz="8" w:space="0" w:color="000000"/>
              <w:bottom w:val="single" w:sz="8" w:space="0" w:color="000000"/>
              <w:right w:val="single" w:sz="8" w:space="0" w:color="000000"/>
            </w:tcBorders>
            <w:vAlign w:val="center"/>
          </w:tcPr>
          <w:p w14:paraId="40E491E6"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.19</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1BBE0750"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398D379"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6BE81429"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415A63B4"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43AFBF24"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.2</w:t>
            </w:r>
            <w:r w:rsidR="001701FA" w:rsidRPr="006238F3">
              <w:rPr>
                <w:rFonts w:ascii="Arial" w:hAnsi="Arial" w:cs="Arial"/>
                <w:color w:val="000000"/>
                <w:sz w:val="22"/>
                <w:szCs w:val="22"/>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48449E3F"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w:t>
            </w:r>
            <w:r w:rsidR="001701FA" w:rsidRPr="006238F3">
              <w:rPr>
                <w:rFonts w:ascii="Arial" w:hAnsi="Arial" w:cs="Arial"/>
                <w:color w:val="000000"/>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0B77AC62"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992" w:type="dxa"/>
            <w:tcBorders>
              <w:top w:val="single" w:sz="8" w:space="0" w:color="000000"/>
              <w:left w:val="single" w:sz="8" w:space="0" w:color="000000"/>
              <w:bottom w:val="single" w:sz="8" w:space="0" w:color="000000"/>
              <w:right w:val="single" w:sz="8" w:space="0" w:color="000000"/>
            </w:tcBorders>
            <w:vAlign w:val="center"/>
          </w:tcPr>
          <w:p w14:paraId="091CE8BF"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.55</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3519A341"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1FA9FD6"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08F5A127"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Old-age</w:t>
            </w:r>
          </w:p>
        </w:tc>
        <w:tc>
          <w:tcPr>
            <w:tcW w:w="1442" w:type="dxa"/>
            <w:tcBorders>
              <w:top w:val="single" w:sz="8" w:space="0" w:color="000000"/>
              <w:left w:val="single" w:sz="8" w:space="0" w:color="000000"/>
              <w:bottom w:val="single" w:sz="8" w:space="0" w:color="000000"/>
              <w:right w:val="single" w:sz="8" w:space="0" w:color="000000"/>
            </w:tcBorders>
            <w:vAlign w:val="center"/>
          </w:tcPr>
          <w:p w14:paraId="523400A0"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Basic pension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3008E174"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5FBDE51F"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30BC921"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462FBBEC"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30492AC5"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.00 (Out)</w:t>
            </w:r>
          </w:p>
        </w:tc>
      </w:tr>
      <w:tr w:rsidR="00486FBB" w:rsidRPr="00DC3968" w14:paraId="617C503A"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06D2872C"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55985FD4"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Generosity</w:t>
            </w:r>
          </w:p>
        </w:tc>
        <w:tc>
          <w:tcPr>
            <w:tcW w:w="992" w:type="dxa"/>
            <w:tcBorders>
              <w:top w:val="single" w:sz="8" w:space="0" w:color="000000"/>
              <w:left w:val="single" w:sz="8" w:space="0" w:color="000000"/>
              <w:bottom w:val="single" w:sz="8" w:space="0" w:color="000000"/>
              <w:right w:val="single" w:sz="8" w:space="0" w:color="000000"/>
            </w:tcBorders>
            <w:vAlign w:val="center"/>
          </w:tcPr>
          <w:p w14:paraId="51A1255E"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2E235E24"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DDF6080"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D85C4AD"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2FD6E0D6"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4478FE9"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791E9CC8"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26718B16"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Universality</w:t>
            </w:r>
          </w:p>
        </w:tc>
        <w:tc>
          <w:tcPr>
            <w:tcW w:w="992" w:type="dxa"/>
            <w:tcBorders>
              <w:top w:val="single" w:sz="8" w:space="0" w:color="000000"/>
              <w:left w:val="single" w:sz="8" w:space="0" w:color="000000"/>
              <w:bottom w:val="single" w:sz="8" w:space="0" w:color="000000"/>
              <w:right w:val="single" w:sz="8" w:space="0" w:color="000000"/>
            </w:tcBorders>
            <w:vAlign w:val="center"/>
          </w:tcPr>
          <w:p w14:paraId="6CF18A28"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.76</w:t>
            </w:r>
          </w:p>
        </w:tc>
        <w:tc>
          <w:tcPr>
            <w:tcW w:w="993" w:type="dxa"/>
            <w:tcBorders>
              <w:top w:val="single" w:sz="8" w:space="0" w:color="000000"/>
              <w:left w:val="single" w:sz="8" w:space="0" w:color="000000"/>
              <w:bottom w:val="single" w:sz="8" w:space="0" w:color="000000"/>
              <w:right w:val="single" w:sz="8" w:space="0" w:color="000000"/>
            </w:tcBorders>
            <w:vAlign w:val="center"/>
          </w:tcPr>
          <w:p w14:paraId="094DFF18"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.76</w:t>
            </w:r>
          </w:p>
        </w:tc>
        <w:tc>
          <w:tcPr>
            <w:tcW w:w="992" w:type="dxa"/>
            <w:tcBorders>
              <w:top w:val="single" w:sz="8" w:space="0" w:color="000000"/>
              <w:left w:val="single" w:sz="8" w:space="0" w:color="000000"/>
              <w:bottom w:val="single" w:sz="8" w:space="0" w:color="000000"/>
              <w:right w:val="single" w:sz="8" w:space="0" w:color="000000"/>
            </w:tcBorders>
            <w:vAlign w:val="center"/>
          </w:tcPr>
          <w:p w14:paraId="103FF830"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.76</w:t>
            </w:r>
          </w:p>
        </w:tc>
        <w:tc>
          <w:tcPr>
            <w:tcW w:w="992" w:type="dxa"/>
            <w:tcBorders>
              <w:top w:val="single" w:sz="8" w:space="0" w:color="000000"/>
              <w:left w:val="single" w:sz="8" w:space="0" w:color="000000"/>
              <w:bottom w:val="single" w:sz="8" w:space="0" w:color="000000"/>
              <w:right w:val="single" w:sz="8" w:space="0" w:color="000000"/>
            </w:tcBorders>
            <w:vAlign w:val="center"/>
          </w:tcPr>
          <w:p w14:paraId="01211352"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.76</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6CEEE802"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4941FD0" w14:textId="77777777" w:rsidTr="007250CA">
        <w:tblPrEx>
          <w:tblBorders>
            <w:top w:val="none" w:sz="0" w:space="0" w:color="auto"/>
          </w:tblBorders>
        </w:tblPrEx>
        <w:tc>
          <w:tcPr>
            <w:tcW w:w="1535" w:type="dxa"/>
            <w:tcBorders>
              <w:top w:val="single" w:sz="8" w:space="0" w:color="000000"/>
              <w:left w:val="single" w:sz="8" w:space="0" w:color="000000"/>
              <w:bottom w:val="single" w:sz="8" w:space="0" w:color="000000"/>
              <w:right w:val="single" w:sz="8" w:space="0" w:color="000000"/>
            </w:tcBorders>
            <w:vAlign w:val="center"/>
          </w:tcPr>
          <w:p w14:paraId="6868B456" w14:textId="77777777" w:rsidR="00FC75C8" w:rsidRPr="006238F3" w:rsidRDefault="00055A2E" w:rsidP="0080641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Public housing </w:t>
            </w:r>
          </w:p>
        </w:tc>
        <w:tc>
          <w:tcPr>
            <w:tcW w:w="1442" w:type="dxa"/>
            <w:tcBorders>
              <w:top w:val="single" w:sz="8" w:space="0" w:color="000000"/>
              <w:left w:val="single" w:sz="8" w:space="0" w:color="000000"/>
              <w:bottom w:val="single" w:sz="8" w:space="0" w:color="000000"/>
              <w:right w:val="single" w:sz="8" w:space="0" w:color="000000"/>
            </w:tcBorders>
            <w:vAlign w:val="center"/>
          </w:tcPr>
          <w:p w14:paraId="13DB2727" w14:textId="77777777" w:rsidR="009E32F1" w:rsidRPr="006238F3" w:rsidRDefault="00055A2E" w:rsidP="00806413">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Policy </w:t>
            </w:r>
          </w:p>
        </w:tc>
        <w:tc>
          <w:tcPr>
            <w:tcW w:w="992" w:type="dxa"/>
            <w:tcBorders>
              <w:top w:val="single" w:sz="8" w:space="0" w:color="000000"/>
              <w:left w:val="single" w:sz="8" w:space="0" w:color="000000"/>
              <w:bottom w:val="single" w:sz="8" w:space="0" w:color="000000"/>
              <w:right w:val="single" w:sz="8" w:space="0" w:color="000000"/>
            </w:tcBorders>
            <w:vAlign w:val="center"/>
          </w:tcPr>
          <w:p w14:paraId="5979C9D3" w14:textId="77777777" w:rsidR="009E32F1"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tcPr>
          <w:p w14:paraId="30408882" w14:textId="77777777" w:rsidR="009E32F1"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6C1A96F" w14:textId="77777777" w:rsidR="009E32F1"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E8DE8BB" w14:textId="77777777" w:rsidR="009E32F1" w:rsidRPr="006238F3" w:rsidRDefault="00055A2E" w:rsidP="00806413">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noProof w:val="0"/>
                <w:color w:val="000000"/>
                <w:sz w:val="22"/>
                <w:szCs w:val="22"/>
              </w:rPr>
              <w:t>1.00</w:t>
            </w:r>
          </w:p>
        </w:tc>
        <w:tc>
          <w:tcPr>
            <w:tcW w:w="2268" w:type="dxa"/>
            <w:tcBorders>
              <w:top w:val="single" w:sz="8" w:space="0" w:color="000000"/>
              <w:left w:val="single" w:sz="8" w:space="0" w:color="000000"/>
              <w:bottom w:val="single" w:sz="8" w:space="0" w:color="000000"/>
              <w:right w:val="single" w:sz="8" w:space="0" w:color="000000"/>
            </w:tcBorders>
            <w:vAlign w:val="center"/>
          </w:tcPr>
          <w:p w14:paraId="65262CDE" w14:textId="77777777" w:rsidR="009E32F1" w:rsidRPr="006238F3" w:rsidRDefault="00055A2E" w:rsidP="00806413">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1.00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1.00 (In)</w:t>
            </w:r>
          </w:p>
        </w:tc>
      </w:tr>
      <w:tr w:rsidR="00486FBB" w:rsidRPr="00DC3968" w14:paraId="5FC1A0C2"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419515E6"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Passive LMP</w:t>
            </w:r>
          </w:p>
        </w:tc>
        <w:tc>
          <w:tcPr>
            <w:tcW w:w="1442" w:type="dxa"/>
            <w:tcBorders>
              <w:top w:val="single" w:sz="8" w:space="0" w:color="000000"/>
              <w:left w:val="single" w:sz="8" w:space="0" w:color="000000"/>
              <w:bottom w:val="single" w:sz="8" w:space="0" w:color="000000"/>
              <w:right w:val="single" w:sz="8" w:space="0" w:color="000000"/>
            </w:tcBorders>
            <w:vAlign w:val="center"/>
          </w:tcPr>
          <w:p w14:paraId="0F760042"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CF4A670"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10A1F4F3"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303ED516"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7581796B"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031BE234"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.00 (Out)</w:t>
            </w:r>
          </w:p>
        </w:tc>
      </w:tr>
      <w:tr w:rsidR="00486FBB" w:rsidRPr="00DC3968" w14:paraId="1C8FE052"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22411157"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3542FF70"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Duration</w:t>
            </w:r>
          </w:p>
        </w:tc>
        <w:tc>
          <w:tcPr>
            <w:tcW w:w="992" w:type="dxa"/>
            <w:tcBorders>
              <w:top w:val="single" w:sz="8" w:space="0" w:color="000000"/>
              <w:left w:val="single" w:sz="8" w:space="0" w:color="000000"/>
              <w:bottom w:val="single" w:sz="8" w:space="0" w:color="000000"/>
              <w:right w:val="single" w:sz="8" w:space="0" w:color="000000"/>
            </w:tcBorders>
            <w:vAlign w:val="center"/>
          </w:tcPr>
          <w:p w14:paraId="664E3471"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.49</w:t>
            </w:r>
          </w:p>
        </w:tc>
        <w:tc>
          <w:tcPr>
            <w:tcW w:w="993" w:type="dxa"/>
            <w:tcBorders>
              <w:top w:val="single" w:sz="8" w:space="0" w:color="000000"/>
              <w:left w:val="single" w:sz="8" w:space="0" w:color="000000"/>
              <w:bottom w:val="single" w:sz="8" w:space="0" w:color="000000"/>
              <w:right w:val="single" w:sz="8" w:space="0" w:color="000000"/>
            </w:tcBorders>
            <w:vAlign w:val="center"/>
          </w:tcPr>
          <w:p w14:paraId="613EBB33"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3EA07FCD"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2" w:type="dxa"/>
            <w:tcBorders>
              <w:top w:val="single" w:sz="8" w:space="0" w:color="000000"/>
              <w:left w:val="single" w:sz="8" w:space="0" w:color="000000"/>
              <w:bottom w:val="single" w:sz="8" w:space="0" w:color="000000"/>
              <w:right w:val="single" w:sz="8" w:space="0" w:color="000000"/>
            </w:tcBorders>
            <w:vAlign w:val="center"/>
          </w:tcPr>
          <w:p w14:paraId="2E53A102"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595492C8"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0DC173A" w14:textId="77777777" w:rsidTr="007250CA">
        <w:tc>
          <w:tcPr>
            <w:tcW w:w="1535" w:type="dxa"/>
            <w:vMerge/>
            <w:tcBorders>
              <w:top w:val="single" w:sz="8" w:space="0" w:color="000000"/>
              <w:left w:val="single" w:sz="8" w:space="0" w:color="000000"/>
              <w:bottom w:val="single" w:sz="8" w:space="0" w:color="000000"/>
              <w:right w:val="single" w:sz="8" w:space="0" w:color="000000"/>
            </w:tcBorders>
            <w:vAlign w:val="center"/>
          </w:tcPr>
          <w:p w14:paraId="569D5F36"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6E5A8803"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Coverage</w:t>
            </w:r>
          </w:p>
        </w:tc>
        <w:tc>
          <w:tcPr>
            <w:tcW w:w="992" w:type="dxa"/>
            <w:tcBorders>
              <w:top w:val="single" w:sz="8" w:space="0" w:color="000000"/>
              <w:left w:val="single" w:sz="8" w:space="0" w:color="000000"/>
              <w:bottom w:val="single" w:sz="8" w:space="0" w:color="000000"/>
              <w:right w:val="single" w:sz="8" w:space="0" w:color="000000"/>
            </w:tcBorders>
            <w:vAlign w:val="center"/>
          </w:tcPr>
          <w:p w14:paraId="2220BC6D"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5CE95346"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7E2C8EAD"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0E6A726B"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24B4382F"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bl>
    <w:p w14:paraId="0673CFBC" w14:textId="77777777" w:rsidR="004E372A" w:rsidRPr="006238F3" w:rsidRDefault="004E372A">
      <w:pPr>
        <w:rPr>
          <w:rFonts w:ascii="Arial" w:hAnsi="Arial" w:cs="Arial"/>
          <w:sz w:val="22"/>
          <w:szCs w:val="22"/>
        </w:rPr>
      </w:pPr>
    </w:p>
    <w:p w14:paraId="23F51399" w14:textId="77777777" w:rsidR="001701FA" w:rsidRPr="006238F3" w:rsidRDefault="001701FA" w:rsidP="003A5907">
      <w:pPr>
        <w:snapToGrid w:val="0"/>
        <w:spacing w:after="120"/>
        <w:rPr>
          <w:rFonts w:ascii="Arial" w:hAnsi="Arial" w:cs="Arial"/>
          <w:b/>
          <w:bCs/>
          <w:sz w:val="22"/>
          <w:szCs w:val="22"/>
        </w:rPr>
      </w:pPr>
    </w:p>
    <w:p w14:paraId="0BFDA62F" w14:textId="77777777" w:rsidR="004E372A" w:rsidRPr="006238F3" w:rsidRDefault="00055A2E" w:rsidP="007250CA">
      <w:pPr>
        <w:snapToGrid w:val="0"/>
        <w:spacing w:after="120"/>
        <w:rPr>
          <w:rFonts w:ascii="Arial" w:hAnsi="Arial" w:cs="Arial"/>
          <w:b/>
          <w:bCs/>
          <w:sz w:val="22"/>
          <w:szCs w:val="22"/>
        </w:rPr>
      </w:pPr>
      <w:r w:rsidRPr="006238F3">
        <w:rPr>
          <w:rFonts w:ascii="Arial" w:hAnsi="Arial" w:cs="Arial"/>
          <w:b/>
          <w:bCs/>
          <w:sz w:val="22"/>
          <w:szCs w:val="22"/>
        </w:rPr>
        <w:t>Taiwan’s welfare development trajectory, 1990-2016</w:t>
      </w:r>
    </w:p>
    <w:tbl>
      <w:tblPr>
        <w:tblW w:w="9214" w:type="dxa"/>
        <w:tblInd w:w="-10" w:type="dxa"/>
        <w:tblBorders>
          <w:top w:val="nil"/>
          <w:left w:val="nil"/>
          <w:right w:val="nil"/>
        </w:tblBorders>
        <w:tblLayout w:type="fixed"/>
        <w:tblLook w:val="0000" w:firstRow="0" w:lastRow="0" w:firstColumn="0" w:lastColumn="0" w:noHBand="0" w:noVBand="0"/>
      </w:tblPr>
      <w:tblGrid>
        <w:gridCol w:w="1535"/>
        <w:gridCol w:w="1442"/>
        <w:gridCol w:w="992"/>
        <w:gridCol w:w="993"/>
        <w:gridCol w:w="992"/>
        <w:gridCol w:w="992"/>
        <w:gridCol w:w="2268"/>
      </w:tblGrid>
      <w:tr w:rsidR="00486FBB" w:rsidRPr="00DC3968" w14:paraId="40823FCD" w14:textId="77777777" w:rsidTr="007250CA">
        <w:tc>
          <w:tcPr>
            <w:tcW w:w="1535"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1CDD0522" w14:textId="77777777" w:rsidR="009E32F1"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Domain </w:t>
            </w:r>
          </w:p>
        </w:tc>
        <w:tc>
          <w:tcPr>
            <w:tcW w:w="1442"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661ABBB2" w14:textId="77777777" w:rsidR="009E32F1" w:rsidRPr="006238F3" w:rsidRDefault="00055A2E" w:rsidP="00806413">
            <w:pPr>
              <w:widowControl w:val="0"/>
              <w:autoSpaceDE w:val="0"/>
              <w:autoSpaceDN w:val="0"/>
              <w:adjustRightInd w:val="0"/>
              <w:contextualSpacing/>
              <w:rPr>
                <w:rFonts w:ascii="Arial" w:hAnsi="Arial" w:cs="Arial"/>
                <w:i/>
                <w:noProof w:val="0"/>
                <w:color w:val="000000"/>
                <w:sz w:val="22"/>
                <w:szCs w:val="22"/>
              </w:rPr>
            </w:pPr>
            <w:r w:rsidRPr="006238F3">
              <w:rPr>
                <w:rFonts w:ascii="Arial" w:hAnsi="Arial" w:cs="Arial"/>
                <w:i/>
                <w:iCs/>
                <w:noProof w:val="0"/>
                <w:color w:val="000000"/>
                <w:sz w:val="22"/>
                <w:szCs w:val="22"/>
              </w:rPr>
              <w:t xml:space="preserve">Indicators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D0D0D0"/>
          </w:tcPr>
          <w:p w14:paraId="2A9F8D68"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Fuzzy set scores</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0D0D0"/>
            <w:vAlign w:val="center"/>
          </w:tcPr>
          <w:p w14:paraId="46009E48" w14:textId="77777777" w:rsidR="009E32F1" w:rsidRPr="006238F3" w:rsidRDefault="00055A2E" w:rsidP="009E32F1">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The overall change of intersection</w:t>
            </w:r>
          </w:p>
          <w:p w14:paraId="20C4FF48"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1990-2016</w:t>
            </w:r>
          </w:p>
        </w:tc>
      </w:tr>
      <w:tr w:rsidR="00486FBB" w:rsidRPr="00DC3968" w14:paraId="5AD94D5F"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5FD682B9" w14:textId="77777777" w:rsidR="009E32F1" w:rsidRPr="006238F3" w:rsidRDefault="009E32F1" w:rsidP="00806413">
            <w:pPr>
              <w:widowControl w:val="0"/>
              <w:autoSpaceDE w:val="0"/>
              <w:autoSpaceDN w:val="0"/>
              <w:adjustRightInd w:val="0"/>
              <w:contextualSpacing/>
              <w:rPr>
                <w:rFonts w:ascii="Arial" w:hAnsi="Arial" w:cs="Arial"/>
                <w:noProof w:val="0"/>
                <w:color w:val="000000"/>
                <w:sz w:val="22"/>
                <w:szCs w:val="22"/>
              </w:rPr>
            </w:pPr>
          </w:p>
        </w:tc>
        <w:tc>
          <w:tcPr>
            <w:tcW w:w="1442"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4361D896" w14:textId="77777777" w:rsidR="009E32F1" w:rsidRPr="006238F3" w:rsidRDefault="009E32F1" w:rsidP="00806413">
            <w:pPr>
              <w:widowControl w:val="0"/>
              <w:autoSpaceDE w:val="0"/>
              <w:autoSpaceDN w:val="0"/>
              <w:adjustRightInd w:val="0"/>
              <w:contextualSpacing/>
              <w:rPr>
                <w:rFonts w:ascii="Arial" w:hAnsi="Arial" w:cs="Arial"/>
                <w:noProof w:val="0"/>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1BBEC31E"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1990</w:t>
            </w:r>
          </w:p>
        </w:tc>
        <w:tc>
          <w:tcPr>
            <w:tcW w:w="993" w:type="dxa"/>
            <w:tcBorders>
              <w:top w:val="single" w:sz="8" w:space="0" w:color="000000"/>
              <w:left w:val="single" w:sz="8" w:space="0" w:color="000000"/>
              <w:bottom w:val="single" w:sz="8" w:space="0" w:color="000000"/>
              <w:right w:val="single" w:sz="8" w:space="0" w:color="000000"/>
            </w:tcBorders>
            <w:shd w:val="clear" w:color="auto" w:fill="D0D0D0"/>
          </w:tcPr>
          <w:p w14:paraId="00501A76" w14:textId="77777777" w:rsidR="009E32F1" w:rsidRPr="006238F3" w:rsidRDefault="00055A2E" w:rsidP="00806413">
            <w:pPr>
              <w:widowControl w:val="0"/>
              <w:autoSpaceDE w:val="0"/>
              <w:autoSpaceDN w:val="0"/>
              <w:adjustRightInd w:val="0"/>
              <w:contextualSpacing/>
              <w:jc w:val="center"/>
              <w:rPr>
                <w:rFonts w:ascii="Arial" w:hAnsi="Arial" w:cs="Arial"/>
                <w:i/>
                <w:iCs/>
                <w:noProof w:val="0"/>
                <w:color w:val="000000"/>
                <w:sz w:val="22"/>
                <w:szCs w:val="22"/>
              </w:rPr>
            </w:pPr>
            <w:r w:rsidRPr="006238F3">
              <w:rPr>
                <w:rFonts w:ascii="Arial" w:hAnsi="Arial" w:cs="Arial"/>
                <w:i/>
                <w:iCs/>
                <w:noProof w:val="0"/>
                <w:color w:val="000000"/>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1C13DC10"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D0D0D0"/>
            <w:vAlign w:val="center"/>
          </w:tcPr>
          <w:p w14:paraId="40EE1852" w14:textId="77777777" w:rsidR="009E32F1" w:rsidRPr="006238F3" w:rsidRDefault="00055A2E" w:rsidP="00806413">
            <w:pPr>
              <w:widowControl w:val="0"/>
              <w:autoSpaceDE w:val="0"/>
              <w:autoSpaceDN w:val="0"/>
              <w:adjustRightInd w:val="0"/>
              <w:contextualSpacing/>
              <w:jc w:val="center"/>
              <w:rPr>
                <w:rFonts w:ascii="Arial" w:hAnsi="Arial" w:cs="Arial"/>
                <w:i/>
                <w:noProof w:val="0"/>
                <w:color w:val="000000"/>
                <w:sz w:val="22"/>
                <w:szCs w:val="22"/>
              </w:rPr>
            </w:pPr>
            <w:r w:rsidRPr="006238F3">
              <w:rPr>
                <w:rFonts w:ascii="Arial" w:hAnsi="Arial" w:cs="Arial"/>
                <w:i/>
                <w:iCs/>
                <w:noProof w:val="0"/>
                <w:color w:val="000000"/>
                <w:sz w:val="22"/>
                <w:szCs w:val="22"/>
              </w:rPr>
              <w:t>2016</w:t>
            </w:r>
          </w:p>
        </w:tc>
        <w:tc>
          <w:tcPr>
            <w:tcW w:w="2268" w:type="dxa"/>
            <w:vMerge/>
            <w:tcBorders>
              <w:top w:val="single" w:sz="8" w:space="0" w:color="000000"/>
              <w:left w:val="single" w:sz="8" w:space="0" w:color="000000"/>
              <w:bottom w:val="single" w:sz="8" w:space="0" w:color="000000"/>
              <w:right w:val="single" w:sz="8" w:space="0" w:color="000000"/>
            </w:tcBorders>
            <w:shd w:val="clear" w:color="auto" w:fill="D0D0D0"/>
            <w:vAlign w:val="center"/>
          </w:tcPr>
          <w:p w14:paraId="0927E719" w14:textId="77777777" w:rsidR="009E32F1" w:rsidRPr="006238F3" w:rsidRDefault="009E32F1" w:rsidP="00806413">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450AF3B"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5D7A248E"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Education</w:t>
            </w:r>
          </w:p>
        </w:tc>
        <w:tc>
          <w:tcPr>
            <w:tcW w:w="1442" w:type="dxa"/>
            <w:tcBorders>
              <w:top w:val="single" w:sz="8" w:space="0" w:color="000000"/>
              <w:left w:val="single" w:sz="8" w:space="0" w:color="000000"/>
              <w:bottom w:val="single" w:sz="8" w:space="0" w:color="000000"/>
              <w:right w:val="single" w:sz="8" w:space="0" w:color="000000"/>
            </w:tcBorders>
            <w:vAlign w:val="center"/>
          </w:tcPr>
          <w:p w14:paraId="31D93CC5"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75FD1B98"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.84</w:t>
            </w:r>
          </w:p>
        </w:tc>
        <w:tc>
          <w:tcPr>
            <w:tcW w:w="993" w:type="dxa"/>
            <w:tcBorders>
              <w:top w:val="single" w:sz="8" w:space="0" w:color="000000"/>
              <w:left w:val="single" w:sz="8" w:space="0" w:color="000000"/>
              <w:bottom w:val="single" w:sz="8" w:space="0" w:color="000000"/>
              <w:right w:val="single" w:sz="8" w:space="0" w:color="000000"/>
            </w:tcBorders>
            <w:vAlign w:val="center"/>
          </w:tcPr>
          <w:p w14:paraId="0A1881BF"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.85</w:t>
            </w:r>
          </w:p>
        </w:tc>
        <w:tc>
          <w:tcPr>
            <w:tcW w:w="992" w:type="dxa"/>
            <w:tcBorders>
              <w:top w:val="single" w:sz="8" w:space="0" w:color="000000"/>
              <w:left w:val="single" w:sz="8" w:space="0" w:color="000000"/>
              <w:bottom w:val="single" w:sz="8" w:space="0" w:color="000000"/>
              <w:right w:val="single" w:sz="8" w:space="0" w:color="000000"/>
            </w:tcBorders>
            <w:vAlign w:val="center"/>
          </w:tcPr>
          <w:p w14:paraId="693622AC"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.95</w:t>
            </w:r>
          </w:p>
        </w:tc>
        <w:tc>
          <w:tcPr>
            <w:tcW w:w="992" w:type="dxa"/>
            <w:tcBorders>
              <w:top w:val="single" w:sz="8" w:space="0" w:color="000000"/>
              <w:left w:val="single" w:sz="8" w:space="0" w:color="000000"/>
              <w:bottom w:val="single" w:sz="8" w:space="0" w:color="000000"/>
              <w:right w:val="single" w:sz="8" w:space="0" w:color="000000"/>
            </w:tcBorders>
            <w:vAlign w:val="center"/>
          </w:tcPr>
          <w:p w14:paraId="5CDD19B8"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.98</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29307DA3" w14:textId="77777777" w:rsidR="009E32F1" w:rsidRPr="006238F3" w:rsidRDefault="00055A2E" w:rsidP="009E32F1">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.51 (In)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.72 (In)</w:t>
            </w:r>
          </w:p>
        </w:tc>
      </w:tr>
      <w:tr w:rsidR="00486FBB" w:rsidRPr="00DC3968" w14:paraId="5AD924B1"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665F3C2E"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6E949111"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548E29A4"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.82</w:t>
            </w:r>
          </w:p>
        </w:tc>
        <w:tc>
          <w:tcPr>
            <w:tcW w:w="993" w:type="dxa"/>
            <w:tcBorders>
              <w:top w:val="single" w:sz="8" w:space="0" w:color="000000"/>
              <w:left w:val="single" w:sz="8" w:space="0" w:color="000000"/>
              <w:bottom w:val="single" w:sz="8" w:space="0" w:color="000000"/>
              <w:right w:val="single" w:sz="8" w:space="0" w:color="000000"/>
            </w:tcBorders>
            <w:vAlign w:val="center"/>
          </w:tcPr>
          <w:p w14:paraId="6CE06B24"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.82</w:t>
            </w:r>
          </w:p>
        </w:tc>
        <w:tc>
          <w:tcPr>
            <w:tcW w:w="992" w:type="dxa"/>
            <w:tcBorders>
              <w:top w:val="single" w:sz="8" w:space="0" w:color="000000"/>
              <w:left w:val="single" w:sz="8" w:space="0" w:color="000000"/>
              <w:bottom w:val="single" w:sz="8" w:space="0" w:color="000000"/>
              <w:right w:val="single" w:sz="8" w:space="0" w:color="000000"/>
            </w:tcBorders>
            <w:vAlign w:val="center"/>
          </w:tcPr>
          <w:p w14:paraId="787B39DD"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.82</w:t>
            </w:r>
          </w:p>
        </w:tc>
        <w:tc>
          <w:tcPr>
            <w:tcW w:w="992" w:type="dxa"/>
            <w:tcBorders>
              <w:top w:val="single" w:sz="8" w:space="0" w:color="000000"/>
              <w:left w:val="single" w:sz="8" w:space="0" w:color="000000"/>
              <w:bottom w:val="single" w:sz="8" w:space="0" w:color="000000"/>
              <w:right w:val="single" w:sz="8" w:space="0" w:color="000000"/>
            </w:tcBorders>
            <w:vAlign w:val="center"/>
          </w:tcPr>
          <w:p w14:paraId="2A67C1CE"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w:t>
            </w:r>
            <w:r w:rsidR="001701FA" w:rsidRPr="006238F3">
              <w:rPr>
                <w:rFonts w:ascii="Arial" w:hAnsi="Arial" w:cs="Arial"/>
                <w:b/>
                <w:bCs/>
                <w:color w:val="000000"/>
                <w:sz w:val="22"/>
                <w:szCs w:val="22"/>
              </w:rPr>
              <w:t>.00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6982D2AD"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AFFB8E5"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57617F14" w14:textId="77777777" w:rsidR="009E32F1" w:rsidRPr="006238F3" w:rsidRDefault="009E32F1" w:rsidP="009E32F1">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525507DE" w14:textId="77777777" w:rsidR="009E32F1" w:rsidRPr="006238F3" w:rsidRDefault="00055A2E" w:rsidP="009E32F1">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31BB52E"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.51</w:t>
            </w:r>
          </w:p>
        </w:tc>
        <w:tc>
          <w:tcPr>
            <w:tcW w:w="993" w:type="dxa"/>
            <w:tcBorders>
              <w:top w:val="single" w:sz="8" w:space="0" w:color="000000"/>
              <w:left w:val="single" w:sz="8" w:space="0" w:color="000000"/>
              <w:bottom w:val="single" w:sz="8" w:space="0" w:color="000000"/>
              <w:right w:val="single" w:sz="8" w:space="0" w:color="000000"/>
            </w:tcBorders>
            <w:vAlign w:val="center"/>
          </w:tcPr>
          <w:p w14:paraId="79025DE7"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.62</w:t>
            </w:r>
          </w:p>
        </w:tc>
        <w:tc>
          <w:tcPr>
            <w:tcW w:w="992" w:type="dxa"/>
            <w:tcBorders>
              <w:top w:val="single" w:sz="8" w:space="0" w:color="000000"/>
              <w:left w:val="single" w:sz="8" w:space="0" w:color="000000"/>
              <w:bottom w:val="single" w:sz="8" w:space="0" w:color="000000"/>
              <w:right w:val="single" w:sz="8" w:space="0" w:color="000000"/>
            </w:tcBorders>
            <w:vAlign w:val="center"/>
          </w:tcPr>
          <w:p w14:paraId="6AD96FF6"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.72</w:t>
            </w:r>
          </w:p>
        </w:tc>
        <w:tc>
          <w:tcPr>
            <w:tcW w:w="992" w:type="dxa"/>
            <w:tcBorders>
              <w:top w:val="single" w:sz="8" w:space="0" w:color="000000"/>
              <w:left w:val="single" w:sz="8" w:space="0" w:color="000000"/>
              <w:bottom w:val="single" w:sz="8" w:space="0" w:color="000000"/>
              <w:right w:val="single" w:sz="8" w:space="0" w:color="000000"/>
            </w:tcBorders>
            <w:vAlign w:val="center"/>
          </w:tcPr>
          <w:p w14:paraId="32A912C0" w14:textId="77777777" w:rsidR="009E32F1" w:rsidRPr="006238F3" w:rsidRDefault="00055A2E" w:rsidP="009E32F1">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.72</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1B411643" w14:textId="77777777" w:rsidR="009E32F1" w:rsidRPr="006238F3" w:rsidRDefault="009E32F1" w:rsidP="009E32F1">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3DA38C1"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2F64F7A5"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Health</w:t>
            </w:r>
          </w:p>
        </w:tc>
        <w:tc>
          <w:tcPr>
            <w:tcW w:w="1442" w:type="dxa"/>
            <w:tcBorders>
              <w:top w:val="single" w:sz="8" w:space="0" w:color="000000"/>
              <w:left w:val="single" w:sz="8" w:space="0" w:color="000000"/>
              <w:bottom w:val="single" w:sz="8" w:space="0" w:color="000000"/>
              <w:right w:val="single" w:sz="8" w:space="0" w:color="000000"/>
            </w:tcBorders>
            <w:vAlign w:val="center"/>
          </w:tcPr>
          <w:p w14:paraId="4F7D2F3C"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Spending </w:t>
            </w:r>
          </w:p>
        </w:tc>
        <w:tc>
          <w:tcPr>
            <w:tcW w:w="992" w:type="dxa"/>
            <w:tcBorders>
              <w:top w:val="single" w:sz="8" w:space="0" w:color="000000"/>
              <w:left w:val="single" w:sz="8" w:space="0" w:color="000000"/>
              <w:bottom w:val="single" w:sz="8" w:space="0" w:color="000000"/>
              <w:right w:val="single" w:sz="8" w:space="0" w:color="000000"/>
            </w:tcBorders>
            <w:vAlign w:val="center"/>
          </w:tcPr>
          <w:p w14:paraId="1089F6C7"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.02</w:t>
            </w:r>
          </w:p>
        </w:tc>
        <w:tc>
          <w:tcPr>
            <w:tcW w:w="993" w:type="dxa"/>
            <w:tcBorders>
              <w:top w:val="single" w:sz="8" w:space="0" w:color="000000"/>
              <w:left w:val="single" w:sz="8" w:space="0" w:color="000000"/>
              <w:bottom w:val="single" w:sz="8" w:space="0" w:color="000000"/>
              <w:right w:val="single" w:sz="8" w:space="0" w:color="000000"/>
            </w:tcBorders>
            <w:vAlign w:val="center"/>
          </w:tcPr>
          <w:p w14:paraId="17CCEBF0"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2B842025"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06D1E9A3"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3DFCBC8D"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.05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.41 (Out)</w:t>
            </w:r>
          </w:p>
        </w:tc>
      </w:tr>
      <w:tr w:rsidR="00486FBB" w:rsidRPr="00DC3968" w14:paraId="1D87821B"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05BFFB31"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31142752"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Universality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6D35482F"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.64</w:t>
            </w:r>
          </w:p>
        </w:tc>
        <w:tc>
          <w:tcPr>
            <w:tcW w:w="993" w:type="dxa"/>
            <w:tcBorders>
              <w:top w:val="single" w:sz="8" w:space="0" w:color="000000"/>
              <w:left w:val="single" w:sz="8" w:space="0" w:color="000000"/>
              <w:bottom w:val="single" w:sz="8" w:space="0" w:color="000000"/>
              <w:right w:val="single" w:sz="8" w:space="0" w:color="000000"/>
            </w:tcBorders>
            <w:vAlign w:val="center"/>
          </w:tcPr>
          <w:p w14:paraId="301F1349"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33393B0"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5CB59B4E"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3E13ED68"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650F45D2"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7296F8AF"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24CF383A"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Affordability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3CACDD37"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3" w:type="dxa"/>
            <w:tcBorders>
              <w:top w:val="single" w:sz="8" w:space="0" w:color="000000"/>
              <w:left w:val="single" w:sz="8" w:space="0" w:color="000000"/>
              <w:bottom w:val="single" w:sz="8" w:space="0" w:color="000000"/>
              <w:right w:val="single" w:sz="8" w:space="0" w:color="000000"/>
            </w:tcBorders>
            <w:vAlign w:val="center"/>
          </w:tcPr>
          <w:p w14:paraId="4EAF6025"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.45</w:t>
            </w:r>
          </w:p>
        </w:tc>
        <w:tc>
          <w:tcPr>
            <w:tcW w:w="992" w:type="dxa"/>
            <w:tcBorders>
              <w:top w:val="single" w:sz="8" w:space="0" w:color="000000"/>
              <w:left w:val="single" w:sz="8" w:space="0" w:color="000000"/>
              <w:bottom w:val="single" w:sz="8" w:space="0" w:color="000000"/>
              <w:right w:val="single" w:sz="8" w:space="0" w:color="000000"/>
            </w:tcBorders>
            <w:vAlign w:val="center"/>
          </w:tcPr>
          <w:p w14:paraId="39084B20"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.35</w:t>
            </w:r>
          </w:p>
        </w:tc>
        <w:tc>
          <w:tcPr>
            <w:tcW w:w="992" w:type="dxa"/>
            <w:tcBorders>
              <w:top w:val="single" w:sz="8" w:space="0" w:color="000000"/>
              <w:left w:val="single" w:sz="8" w:space="0" w:color="000000"/>
              <w:bottom w:val="single" w:sz="8" w:space="0" w:color="000000"/>
              <w:right w:val="single" w:sz="8" w:space="0" w:color="000000"/>
            </w:tcBorders>
            <w:vAlign w:val="center"/>
          </w:tcPr>
          <w:p w14:paraId="0E36E2BE"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.41</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6AA55DE0"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E0F00F7"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15F67543"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Family</w:t>
            </w:r>
          </w:p>
        </w:tc>
        <w:tc>
          <w:tcPr>
            <w:tcW w:w="1442" w:type="dxa"/>
            <w:tcBorders>
              <w:top w:val="single" w:sz="8" w:space="0" w:color="000000"/>
              <w:left w:val="single" w:sz="8" w:space="0" w:color="000000"/>
              <w:bottom w:val="single" w:sz="8" w:space="0" w:color="000000"/>
              <w:right w:val="single" w:sz="8" w:space="0" w:color="000000"/>
            </w:tcBorders>
            <w:vAlign w:val="center"/>
          </w:tcPr>
          <w:p w14:paraId="2AFD5B5D"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54A6D853"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3" w:type="dxa"/>
            <w:tcBorders>
              <w:top w:val="single" w:sz="8" w:space="0" w:color="000000"/>
              <w:left w:val="single" w:sz="8" w:space="0" w:color="000000"/>
              <w:bottom w:val="single" w:sz="8" w:space="0" w:color="000000"/>
              <w:right w:val="single" w:sz="8" w:space="0" w:color="000000"/>
            </w:tcBorders>
            <w:vAlign w:val="center"/>
          </w:tcPr>
          <w:p w14:paraId="1FC5C451"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01091AF1"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555B35EA"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27302BDA"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.48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.48 (Out)</w:t>
            </w:r>
          </w:p>
        </w:tc>
      </w:tr>
      <w:tr w:rsidR="00486FBB" w:rsidRPr="00DC3968" w14:paraId="13B01BC0"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20A4FB78"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744FE842"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Duration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388E18A0"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3E53744A"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22A0FD45"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521175C"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3189EF5A"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77BF30A7"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6625563C"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416A328F"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Accessibility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22226DF8"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.43</w:t>
            </w:r>
          </w:p>
        </w:tc>
        <w:tc>
          <w:tcPr>
            <w:tcW w:w="993" w:type="dxa"/>
            <w:tcBorders>
              <w:top w:val="single" w:sz="8" w:space="0" w:color="000000"/>
              <w:left w:val="single" w:sz="8" w:space="0" w:color="000000"/>
              <w:bottom w:val="single" w:sz="8" w:space="0" w:color="000000"/>
              <w:right w:val="single" w:sz="8" w:space="0" w:color="000000"/>
            </w:tcBorders>
            <w:vAlign w:val="center"/>
          </w:tcPr>
          <w:p w14:paraId="1DE18AA7"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.43</w:t>
            </w:r>
          </w:p>
        </w:tc>
        <w:tc>
          <w:tcPr>
            <w:tcW w:w="992" w:type="dxa"/>
            <w:tcBorders>
              <w:top w:val="single" w:sz="8" w:space="0" w:color="000000"/>
              <w:left w:val="single" w:sz="8" w:space="0" w:color="000000"/>
              <w:bottom w:val="single" w:sz="8" w:space="0" w:color="000000"/>
              <w:right w:val="single" w:sz="8" w:space="0" w:color="000000"/>
            </w:tcBorders>
            <w:vAlign w:val="center"/>
          </w:tcPr>
          <w:p w14:paraId="7090EE0D"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.43</w:t>
            </w:r>
          </w:p>
        </w:tc>
        <w:tc>
          <w:tcPr>
            <w:tcW w:w="992" w:type="dxa"/>
            <w:tcBorders>
              <w:top w:val="single" w:sz="8" w:space="0" w:color="000000"/>
              <w:left w:val="single" w:sz="8" w:space="0" w:color="000000"/>
              <w:bottom w:val="single" w:sz="8" w:space="0" w:color="000000"/>
              <w:right w:val="single" w:sz="8" w:space="0" w:color="000000"/>
            </w:tcBorders>
            <w:vAlign w:val="center"/>
          </w:tcPr>
          <w:p w14:paraId="03094A35"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.43</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167092DF"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4E121780"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7CBA7DFC"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Old-age</w:t>
            </w:r>
          </w:p>
        </w:tc>
        <w:tc>
          <w:tcPr>
            <w:tcW w:w="1442" w:type="dxa"/>
            <w:tcBorders>
              <w:top w:val="single" w:sz="8" w:space="0" w:color="000000"/>
              <w:left w:val="single" w:sz="8" w:space="0" w:color="000000"/>
              <w:bottom w:val="single" w:sz="8" w:space="0" w:color="000000"/>
              <w:right w:val="single" w:sz="8" w:space="0" w:color="000000"/>
            </w:tcBorders>
            <w:vAlign w:val="center"/>
          </w:tcPr>
          <w:p w14:paraId="19802E8D"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Basic pension </w:t>
            </w:r>
          </w:p>
        </w:tc>
        <w:tc>
          <w:tcPr>
            <w:tcW w:w="992" w:type="dxa"/>
            <w:tcBorders>
              <w:top w:val="single" w:sz="8" w:space="0" w:color="000000"/>
              <w:left w:val="single" w:sz="8" w:space="0" w:color="000000"/>
              <w:bottom w:val="single" w:sz="8" w:space="0" w:color="000000"/>
              <w:right w:val="single" w:sz="8" w:space="0" w:color="000000"/>
            </w:tcBorders>
            <w:vAlign w:val="center"/>
          </w:tcPr>
          <w:p w14:paraId="65869064"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765E3CDE"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18520A1C"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1E5A9895"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149C5FC0"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.00 (</w:t>
            </w:r>
            <w:r w:rsidR="00FD6A7F" w:rsidRPr="006238F3">
              <w:rPr>
                <w:rFonts w:ascii="Arial" w:hAnsi="Arial" w:cs="Arial"/>
                <w:noProof w:val="0"/>
                <w:color w:val="000000"/>
                <w:sz w:val="22"/>
                <w:szCs w:val="22"/>
              </w:rPr>
              <w:t>Out</w:t>
            </w:r>
            <w:r w:rsidRPr="006238F3">
              <w:rPr>
                <w:rFonts w:ascii="Arial" w:hAnsi="Arial" w:cs="Arial"/>
                <w:noProof w:val="0"/>
                <w:color w:val="000000"/>
                <w:sz w:val="22"/>
                <w:szCs w:val="22"/>
              </w:rPr>
              <w:t xml:space="preserve">)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.70 (In)</w:t>
            </w:r>
          </w:p>
        </w:tc>
      </w:tr>
      <w:tr w:rsidR="00486FBB" w:rsidRPr="00DC3968" w14:paraId="0E6EF32F"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271C5FAB"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068EF89E"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Generosity</w:t>
            </w:r>
          </w:p>
        </w:tc>
        <w:tc>
          <w:tcPr>
            <w:tcW w:w="992" w:type="dxa"/>
            <w:tcBorders>
              <w:top w:val="single" w:sz="8" w:space="0" w:color="000000"/>
              <w:left w:val="single" w:sz="8" w:space="0" w:color="000000"/>
              <w:bottom w:val="single" w:sz="8" w:space="0" w:color="000000"/>
              <w:right w:val="single" w:sz="8" w:space="0" w:color="000000"/>
            </w:tcBorders>
            <w:vAlign w:val="center"/>
          </w:tcPr>
          <w:p w14:paraId="35E4828A"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.56</w:t>
            </w:r>
          </w:p>
        </w:tc>
        <w:tc>
          <w:tcPr>
            <w:tcW w:w="993" w:type="dxa"/>
            <w:tcBorders>
              <w:top w:val="single" w:sz="8" w:space="0" w:color="000000"/>
              <w:left w:val="single" w:sz="8" w:space="0" w:color="000000"/>
              <w:bottom w:val="single" w:sz="8" w:space="0" w:color="000000"/>
              <w:right w:val="single" w:sz="8" w:space="0" w:color="000000"/>
            </w:tcBorders>
            <w:vAlign w:val="center"/>
          </w:tcPr>
          <w:p w14:paraId="1A70CA5E"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.56</w:t>
            </w:r>
          </w:p>
        </w:tc>
        <w:tc>
          <w:tcPr>
            <w:tcW w:w="992" w:type="dxa"/>
            <w:tcBorders>
              <w:top w:val="single" w:sz="8" w:space="0" w:color="000000"/>
              <w:left w:val="single" w:sz="8" w:space="0" w:color="000000"/>
              <w:bottom w:val="single" w:sz="8" w:space="0" w:color="000000"/>
              <w:right w:val="single" w:sz="8" w:space="0" w:color="000000"/>
            </w:tcBorders>
            <w:vAlign w:val="center"/>
          </w:tcPr>
          <w:p w14:paraId="741030A4"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.70</w:t>
            </w:r>
          </w:p>
        </w:tc>
        <w:tc>
          <w:tcPr>
            <w:tcW w:w="992" w:type="dxa"/>
            <w:tcBorders>
              <w:top w:val="single" w:sz="8" w:space="0" w:color="000000"/>
              <w:left w:val="single" w:sz="8" w:space="0" w:color="000000"/>
              <w:bottom w:val="single" w:sz="8" w:space="0" w:color="000000"/>
              <w:right w:val="single" w:sz="8" w:space="0" w:color="000000"/>
            </w:tcBorders>
            <w:vAlign w:val="center"/>
          </w:tcPr>
          <w:p w14:paraId="2C270222"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6F89A43F"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04108D74"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517413EF"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6D2DAB10"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Universality</w:t>
            </w:r>
          </w:p>
        </w:tc>
        <w:tc>
          <w:tcPr>
            <w:tcW w:w="992" w:type="dxa"/>
            <w:tcBorders>
              <w:top w:val="single" w:sz="8" w:space="0" w:color="000000"/>
              <w:left w:val="single" w:sz="8" w:space="0" w:color="000000"/>
              <w:bottom w:val="single" w:sz="8" w:space="0" w:color="000000"/>
              <w:right w:val="single" w:sz="8" w:space="0" w:color="000000"/>
            </w:tcBorders>
            <w:vAlign w:val="center"/>
          </w:tcPr>
          <w:p w14:paraId="0C086C97"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.97</w:t>
            </w:r>
          </w:p>
        </w:tc>
        <w:tc>
          <w:tcPr>
            <w:tcW w:w="993" w:type="dxa"/>
            <w:tcBorders>
              <w:top w:val="single" w:sz="8" w:space="0" w:color="000000"/>
              <w:left w:val="single" w:sz="8" w:space="0" w:color="000000"/>
              <w:bottom w:val="single" w:sz="8" w:space="0" w:color="000000"/>
              <w:right w:val="single" w:sz="8" w:space="0" w:color="000000"/>
            </w:tcBorders>
            <w:vAlign w:val="center"/>
          </w:tcPr>
          <w:p w14:paraId="3A3AA65C"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.97</w:t>
            </w:r>
          </w:p>
        </w:tc>
        <w:tc>
          <w:tcPr>
            <w:tcW w:w="992" w:type="dxa"/>
            <w:tcBorders>
              <w:top w:val="single" w:sz="8" w:space="0" w:color="000000"/>
              <w:left w:val="single" w:sz="8" w:space="0" w:color="000000"/>
              <w:bottom w:val="single" w:sz="8" w:space="0" w:color="000000"/>
              <w:right w:val="single" w:sz="8" w:space="0" w:color="000000"/>
            </w:tcBorders>
            <w:vAlign w:val="center"/>
          </w:tcPr>
          <w:p w14:paraId="770CF887"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.97</w:t>
            </w:r>
          </w:p>
        </w:tc>
        <w:tc>
          <w:tcPr>
            <w:tcW w:w="992" w:type="dxa"/>
            <w:tcBorders>
              <w:top w:val="single" w:sz="8" w:space="0" w:color="000000"/>
              <w:left w:val="single" w:sz="8" w:space="0" w:color="000000"/>
              <w:bottom w:val="single" w:sz="8" w:space="0" w:color="000000"/>
              <w:right w:val="single" w:sz="8" w:space="0" w:color="000000"/>
            </w:tcBorders>
            <w:vAlign w:val="center"/>
          </w:tcPr>
          <w:p w14:paraId="47A73C78"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.97</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75C790F2"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37B870E0" w14:textId="77777777" w:rsidTr="007250CA">
        <w:tblPrEx>
          <w:tblBorders>
            <w:top w:val="none" w:sz="0" w:space="0" w:color="auto"/>
          </w:tblBorders>
        </w:tblPrEx>
        <w:tc>
          <w:tcPr>
            <w:tcW w:w="1535" w:type="dxa"/>
            <w:tcBorders>
              <w:top w:val="single" w:sz="8" w:space="0" w:color="000000"/>
              <w:left w:val="single" w:sz="8" w:space="0" w:color="000000"/>
              <w:bottom w:val="single" w:sz="8" w:space="0" w:color="000000"/>
              <w:right w:val="single" w:sz="8" w:space="0" w:color="000000"/>
            </w:tcBorders>
            <w:vAlign w:val="center"/>
          </w:tcPr>
          <w:p w14:paraId="0A0F403C" w14:textId="77777777" w:rsidR="00FC75C8" w:rsidRPr="006238F3" w:rsidRDefault="00055A2E">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Public housing</w:t>
            </w:r>
          </w:p>
        </w:tc>
        <w:tc>
          <w:tcPr>
            <w:tcW w:w="1442" w:type="dxa"/>
            <w:tcBorders>
              <w:top w:val="single" w:sz="8" w:space="0" w:color="000000"/>
              <w:left w:val="single" w:sz="8" w:space="0" w:color="000000"/>
              <w:bottom w:val="single" w:sz="8" w:space="0" w:color="000000"/>
              <w:right w:val="single" w:sz="8" w:space="0" w:color="000000"/>
            </w:tcBorders>
            <w:vAlign w:val="center"/>
          </w:tcPr>
          <w:p w14:paraId="061FEDE8" w14:textId="77777777" w:rsidR="001701FA" w:rsidRPr="006238F3" w:rsidRDefault="00055A2E" w:rsidP="007250C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Policy</w:t>
            </w:r>
          </w:p>
        </w:tc>
        <w:tc>
          <w:tcPr>
            <w:tcW w:w="992" w:type="dxa"/>
            <w:tcBorders>
              <w:top w:val="single" w:sz="8" w:space="0" w:color="000000"/>
              <w:left w:val="single" w:sz="8" w:space="0" w:color="000000"/>
              <w:bottom w:val="single" w:sz="8" w:space="0" w:color="000000"/>
              <w:right w:val="single" w:sz="8" w:space="0" w:color="000000"/>
            </w:tcBorders>
            <w:vAlign w:val="center"/>
          </w:tcPr>
          <w:p w14:paraId="11F681ED" w14:textId="77777777" w:rsidR="001701FA" w:rsidRPr="006238F3" w:rsidRDefault="00055A2E">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38E30DC1" w14:textId="77777777" w:rsidR="001701FA" w:rsidRPr="006238F3" w:rsidRDefault="00055A2E">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2" w:type="dxa"/>
            <w:tcBorders>
              <w:top w:val="single" w:sz="8" w:space="0" w:color="000000"/>
              <w:left w:val="single" w:sz="8" w:space="0" w:color="000000"/>
              <w:bottom w:val="single" w:sz="8" w:space="0" w:color="000000"/>
              <w:right w:val="single" w:sz="8" w:space="0" w:color="000000"/>
            </w:tcBorders>
            <w:vAlign w:val="center"/>
          </w:tcPr>
          <w:p w14:paraId="799388D7" w14:textId="77777777" w:rsidR="001701FA" w:rsidRPr="006238F3" w:rsidRDefault="00055A2E">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.10</w:t>
            </w:r>
          </w:p>
        </w:tc>
        <w:tc>
          <w:tcPr>
            <w:tcW w:w="992" w:type="dxa"/>
            <w:tcBorders>
              <w:top w:val="single" w:sz="8" w:space="0" w:color="000000"/>
              <w:left w:val="single" w:sz="8" w:space="0" w:color="000000"/>
              <w:bottom w:val="single" w:sz="8" w:space="0" w:color="000000"/>
              <w:right w:val="single" w:sz="8" w:space="0" w:color="000000"/>
            </w:tcBorders>
            <w:vAlign w:val="center"/>
          </w:tcPr>
          <w:p w14:paraId="2BF5973E" w14:textId="77777777" w:rsidR="001701FA" w:rsidRPr="006238F3" w:rsidRDefault="00055A2E">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.30</w:t>
            </w:r>
          </w:p>
        </w:tc>
        <w:tc>
          <w:tcPr>
            <w:tcW w:w="2268" w:type="dxa"/>
            <w:tcBorders>
              <w:top w:val="single" w:sz="8" w:space="0" w:color="000000"/>
              <w:left w:val="single" w:sz="8" w:space="0" w:color="000000"/>
              <w:bottom w:val="single" w:sz="8" w:space="0" w:color="000000"/>
              <w:right w:val="single" w:sz="8" w:space="0" w:color="000000"/>
            </w:tcBorders>
            <w:vAlign w:val="center"/>
          </w:tcPr>
          <w:p w14:paraId="07B7F82C" w14:textId="77777777" w:rsidR="001701FA" w:rsidRPr="006238F3" w:rsidRDefault="00055A2E">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.30 (Out)</w:t>
            </w:r>
          </w:p>
        </w:tc>
      </w:tr>
      <w:tr w:rsidR="00486FBB" w:rsidRPr="00DC3968" w14:paraId="73E78F72" w14:textId="77777777" w:rsidTr="007250CA">
        <w:tblPrEx>
          <w:tblBorders>
            <w:top w:val="none" w:sz="0" w:space="0" w:color="auto"/>
          </w:tblBorders>
        </w:tblPrEx>
        <w:tc>
          <w:tcPr>
            <w:tcW w:w="1535" w:type="dxa"/>
            <w:vMerge w:val="restart"/>
            <w:tcBorders>
              <w:top w:val="single" w:sz="8" w:space="0" w:color="000000"/>
              <w:left w:val="single" w:sz="8" w:space="0" w:color="000000"/>
              <w:bottom w:val="single" w:sz="8" w:space="0" w:color="000000"/>
              <w:right w:val="single" w:sz="8" w:space="0" w:color="000000"/>
            </w:tcBorders>
            <w:vAlign w:val="center"/>
          </w:tcPr>
          <w:p w14:paraId="39CF0064"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Passive LMP </w:t>
            </w:r>
          </w:p>
        </w:tc>
        <w:tc>
          <w:tcPr>
            <w:tcW w:w="1442" w:type="dxa"/>
            <w:tcBorders>
              <w:top w:val="single" w:sz="8" w:space="0" w:color="000000"/>
              <w:left w:val="single" w:sz="8" w:space="0" w:color="000000"/>
              <w:bottom w:val="single" w:sz="8" w:space="0" w:color="000000"/>
              <w:right w:val="single" w:sz="8" w:space="0" w:color="000000"/>
            </w:tcBorders>
            <w:vAlign w:val="center"/>
          </w:tcPr>
          <w:p w14:paraId="554ECCF3"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 xml:space="preserve">Generosity </w:t>
            </w:r>
          </w:p>
        </w:tc>
        <w:tc>
          <w:tcPr>
            <w:tcW w:w="992" w:type="dxa"/>
            <w:tcBorders>
              <w:top w:val="single" w:sz="8" w:space="0" w:color="000000"/>
              <w:left w:val="single" w:sz="8" w:space="0" w:color="000000"/>
              <w:bottom w:val="single" w:sz="8" w:space="0" w:color="000000"/>
              <w:right w:val="single" w:sz="8" w:space="0" w:color="000000"/>
            </w:tcBorders>
            <w:vAlign w:val="center"/>
          </w:tcPr>
          <w:p w14:paraId="4B197133"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2A189316"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.60</w:t>
            </w:r>
          </w:p>
        </w:tc>
        <w:tc>
          <w:tcPr>
            <w:tcW w:w="992" w:type="dxa"/>
            <w:tcBorders>
              <w:top w:val="single" w:sz="8" w:space="0" w:color="000000"/>
              <w:left w:val="single" w:sz="8" w:space="0" w:color="000000"/>
              <w:bottom w:val="single" w:sz="8" w:space="0" w:color="000000"/>
              <w:right w:val="single" w:sz="8" w:space="0" w:color="000000"/>
            </w:tcBorders>
            <w:vAlign w:val="center"/>
          </w:tcPr>
          <w:p w14:paraId="0BCF7981"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.60</w:t>
            </w:r>
          </w:p>
        </w:tc>
        <w:tc>
          <w:tcPr>
            <w:tcW w:w="992" w:type="dxa"/>
            <w:tcBorders>
              <w:top w:val="single" w:sz="8" w:space="0" w:color="000000"/>
              <w:left w:val="single" w:sz="8" w:space="0" w:color="000000"/>
              <w:bottom w:val="single" w:sz="8" w:space="0" w:color="000000"/>
              <w:right w:val="single" w:sz="8" w:space="0" w:color="000000"/>
            </w:tcBorders>
            <w:vAlign w:val="center"/>
          </w:tcPr>
          <w:p w14:paraId="3174FA6B"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.60</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6FB7A952"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noProof w:val="0"/>
                <w:color w:val="000000"/>
                <w:sz w:val="22"/>
                <w:szCs w:val="22"/>
              </w:rPr>
              <w:t xml:space="preserve">.00 (Out) </w:t>
            </w:r>
            <w:r w:rsidRPr="006238F3">
              <w:rPr>
                <w:rFonts w:ascii="Arial" w:hAnsi="Arial" w:cs="Arial"/>
                <w:noProof w:val="0"/>
                <w:color w:val="000000"/>
                <w:sz w:val="22"/>
                <w:szCs w:val="22"/>
              </w:rPr>
              <w:sym w:font="Wingdings" w:char="F0E0"/>
            </w:r>
            <w:r w:rsidRPr="006238F3">
              <w:rPr>
                <w:rFonts w:ascii="Arial" w:hAnsi="Arial" w:cs="Arial"/>
                <w:noProof w:val="0"/>
                <w:color w:val="000000"/>
                <w:sz w:val="22"/>
                <w:szCs w:val="22"/>
              </w:rPr>
              <w:t xml:space="preserve"> .60 (In)</w:t>
            </w:r>
          </w:p>
        </w:tc>
      </w:tr>
      <w:tr w:rsidR="00486FBB" w:rsidRPr="00DC3968" w14:paraId="67225347" w14:textId="77777777" w:rsidTr="007250CA">
        <w:tblPrEx>
          <w:tblBorders>
            <w:top w:val="none" w:sz="0" w:space="0" w:color="auto"/>
          </w:tblBorders>
        </w:tblPrEx>
        <w:tc>
          <w:tcPr>
            <w:tcW w:w="1535" w:type="dxa"/>
            <w:vMerge/>
            <w:tcBorders>
              <w:top w:val="single" w:sz="8" w:space="0" w:color="000000"/>
              <w:left w:val="single" w:sz="8" w:space="0" w:color="000000"/>
              <w:bottom w:val="single" w:sz="8" w:space="0" w:color="000000"/>
              <w:right w:val="single" w:sz="8" w:space="0" w:color="000000"/>
            </w:tcBorders>
            <w:vAlign w:val="center"/>
          </w:tcPr>
          <w:p w14:paraId="1576EE8B"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0EAA1427"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Duration</w:t>
            </w:r>
          </w:p>
        </w:tc>
        <w:tc>
          <w:tcPr>
            <w:tcW w:w="992" w:type="dxa"/>
            <w:tcBorders>
              <w:top w:val="single" w:sz="8" w:space="0" w:color="000000"/>
              <w:left w:val="single" w:sz="8" w:space="0" w:color="000000"/>
              <w:bottom w:val="single" w:sz="8" w:space="0" w:color="000000"/>
              <w:right w:val="single" w:sz="8" w:space="0" w:color="000000"/>
            </w:tcBorders>
            <w:vAlign w:val="center"/>
          </w:tcPr>
          <w:p w14:paraId="2DD3E4DA"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.05</w:t>
            </w:r>
          </w:p>
        </w:tc>
        <w:tc>
          <w:tcPr>
            <w:tcW w:w="993" w:type="dxa"/>
            <w:tcBorders>
              <w:top w:val="single" w:sz="8" w:space="0" w:color="000000"/>
              <w:left w:val="single" w:sz="8" w:space="0" w:color="000000"/>
              <w:bottom w:val="single" w:sz="8" w:space="0" w:color="000000"/>
              <w:right w:val="single" w:sz="8" w:space="0" w:color="000000"/>
            </w:tcBorders>
            <w:vAlign w:val="center"/>
          </w:tcPr>
          <w:p w14:paraId="34FF3A04"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E61757C"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3BE4DB35"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1.00</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55BA4CD4"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r w:rsidR="00486FBB" w:rsidRPr="00DC3968" w14:paraId="2DAA3240" w14:textId="77777777" w:rsidTr="007250CA">
        <w:tc>
          <w:tcPr>
            <w:tcW w:w="1535" w:type="dxa"/>
            <w:vMerge/>
            <w:tcBorders>
              <w:top w:val="single" w:sz="8" w:space="0" w:color="000000"/>
              <w:left w:val="single" w:sz="8" w:space="0" w:color="000000"/>
              <w:bottom w:val="single" w:sz="8" w:space="0" w:color="000000"/>
              <w:right w:val="single" w:sz="8" w:space="0" w:color="000000"/>
            </w:tcBorders>
            <w:vAlign w:val="center"/>
          </w:tcPr>
          <w:p w14:paraId="2AE1CB12" w14:textId="77777777" w:rsidR="001701FA" w:rsidRPr="006238F3" w:rsidRDefault="001701FA" w:rsidP="001701FA">
            <w:pPr>
              <w:widowControl w:val="0"/>
              <w:autoSpaceDE w:val="0"/>
              <w:autoSpaceDN w:val="0"/>
              <w:adjustRightInd w:val="0"/>
              <w:contextualSpacing/>
              <w:rPr>
                <w:rFonts w:ascii="Arial" w:hAnsi="Arial" w:cs="Arial"/>
                <w:noProof w:val="0"/>
                <w:color w:val="000000"/>
                <w:sz w:val="22"/>
                <w:szCs w:val="22"/>
              </w:rPr>
            </w:pPr>
          </w:p>
        </w:tc>
        <w:tc>
          <w:tcPr>
            <w:tcW w:w="1442" w:type="dxa"/>
            <w:tcBorders>
              <w:top w:val="single" w:sz="8" w:space="0" w:color="000000"/>
              <w:left w:val="single" w:sz="8" w:space="0" w:color="000000"/>
              <w:bottom w:val="single" w:sz="8" w:space="0" w:color="000000"/>
              <w:right w:val="single" w:sz="8" w:space="0" w:color="000000"/>
            </w:tcBorders>
            <w:vAlign w:val="center"/>
          </w:tcPr>
          <w:p w14:paraId="33384A2E" w14:textId="77777777" w:rsidR="001701FA" w:rsidRPr="006238F3" w:rsidRDefault="00055A2E" w:rsidP="001701FA">
            <w:pPr>
              <w:widowControl w:val="0"/>
              <w:autoSpaceDE w:val="0"/>
              <w:autoSpaceDN w:val="0"/>
              <w:adjustRightInd w:val="0"/>
              <w:contextualSpacing/>
              <w:rPr>
                <w:rFonts w:ascii="Arial" w:hAnsi="Arial" w:cs="Arial"/>
                <w:noProof w:val="0"/>
                <w:color w:val="000000"/>
                <w:sz w:val="22"/>
                <w:szCs w:val="22"/>
              </w:rPr>
            </w:pPr>
            <w:r w:rsidRPr="006238F3">
              <w:rPr>
                <w:rFonts w:ascii="Arial" w:hAnsi="Arial" w:cs="Arial"/>
                <w:noProof w:val="0"/>
                <w:color w:val="000000"/>
                <w:sz w:val="22"/>
                <w:szCs w:val="22"/>
              </w:rPr>
              <w:t>Coverage</w:t>
            </w:r>
          </w:p>
        </w:tc>
        <w:tc>
          <w:tcPr>
            <w:tcW w:w="992" w:type="dxa"/>
            <w:tcBorders>
              <w:top w:val="single" w:sz="8" w:space="0" w:color="000000"/>
              <w:left w:val="single" w:sz="8" w:space="0" w:color="000000"/>
              <w:bottom w:val="single" w:sz="8" w:space="0" w:color="000000"/>
              <w:right w:val="single" w:sz="8" w:space="0" w:color="000000"/>
            </w:tcBorders>
            <w:vAlign w:val="center"/>
          </w:tcPr>
          <w:p w14:paraId="11829BFC" w14:textId="77777777" w:rsidR="001701FA" w:rsidRPr="006238F3" w:rsidRDefault="00055A2E" w:rsidP="001701FA">
            <w:pPr>
              <w:widowControl w:val="0"/>
              <w:autoSpaceDE w:val="0"/>
              <w:autoSpaceDN w:val="0"/>
              <w:adjustRightInd w:val="0"/>
              <w:contextualSpacing/>
              <w:jc w:val="center"/>
              <w:rPr>
                <w:rFonts w:ascii="Arial" w:hAnsi="Arial" w:cs="Arial"/>
                <w:noProof w:val="0"/>
                <w:color w:val="000000"/>
                <w:sz w:val="22"/>
                <w:szCs w:val="22"/>
              </w:rPr>
            </w:pPr>
            <w:r w:rsidRPr="006238F3">
              <w:rPr>
                <w:rFonts w:ascii="Arial" w:hAnsi="Arial" w:cs="Arial"/>
                <w:color w:val="000000"/>
                <w:sz w:val="22"/>
                <w:szCs w:val="22"/>
              </w:rPr>
              <w:t>.00</w:t>
            </w:r>
          </w:p>
        </w:tc>
        <w:tc>
          <w:tcPr>
            <w:tcW w:w="993" w:type="dxa"/>
            <w:tcBorders>
              <w:top w:val="single" w:sz="8" w:space="0" w:color="000000"/>
              <w:left w:val="single" w:sz="8" w:space="0" w:color="000000"/>
              <w:bottom w:val="single" w:sz="8" w:space="0" w:color="000000"/>
              <w:right w:val="single" w:sz="8" w:space="0" w:color="000000"/>
            </w:tcBorders>
            <w:vAlign w:val="center"/>
          </w:tcPr>
          <w:p w14:paraId="5AA6BAC8"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.76</w:t>
            </w:r>
          </w:p>
        </w:tc>
        <w:tc>
          <w:tcPr>
            <w:tcW w:w="992" w:type="dxa"/>
            <w:tcBorders>
              <w:top w:val="single" w:sz="8" w:space="0" w:color="000000"/>
              <w:left w:val="single" w:sz="8" w:space="0" w:color="000000"/>
              <w:bottom w:val="single" w:sz="8" w:space="0" w:color="000000"/>
              <w:right w:val="single" w:sz="8" w:space="0" w:color="000000"/>
            </w:tcBorders>
            <w:vAlign w:val="center"/>
          </w:tcPr>
          <w:p w14:paraId="49587940"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.76</w:t>
            </w:r>
          </w:p>
        </w:tc>
        <w:tc>
          <w:tcPr>
            <w:tcW w:w="992" w:type="dxa"/>
            <w:tcBorders>
              <w:top w:val="single" w:sz="8" w:space="0" w:color="000000"/>
              <w:left w:val="single" w:sz="8" w:space="0" w:color="000000"/>
              <w:bottom w:val="single" w:sz="8" w:space="0" w:color="000000"/>
              <w:right w:val="single" w:sz="8" w:space="0" w:color="000000"/>
            </w:tcBorders>
            <w:vAlign w:val="center"/>
          </w:tcPr>
          <w:p w14:paraId="623069FC" w14:textId="77777777" w:rsidR="001701FA" w:rsidRPr="006238F3" w:rsidRDefault="00055A2E" w:rsidP="001701FA">
            <w:pPr>
              <w:widowControl w:val="0"/>
              <w:autoSpaceDE w:val="0"/>
              <w:autoSpaceDN w:val="0"/>
              <w:adjustRightInd w:val="0"/>
              <w:contextualSpacing/>
              <w:jc w:val="center"/>
              <w:rPr>
                <w:rFonts w:ascii="Arial" w:hAnsi="Arial" w:cs="Arial"/>
                <w:b/>
                <w:bCs/>
                <w:noProof w:val="0"/>
                <w:color w:val="000000"/>
                <w:sz w:val="22"/>
                <w:szCs w:val="22"/>
              </w:rPr>
            </w:pPr>
            <w:r w:rsidRPr="006238F3">
              <w:rPr>
                <w:rFonts w:ascii="Arial" w:hAnsi="Arial" w:cs="Arial"/>
                <w:b/>
                <w:bCs/>
                <w:color w:val="000000"/>
                <w:sz w:val="22"/>
                <w:szCs w:val="22"/>
              </w:rPr>
              <w:t>.76</w:t>
            </w: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765ECB4D" w14:textId="77777777" w:rsidR="001701FA" w:rsidRPr="006238F3" w:rsidRDefault="001701FA" w:rsidP="001701FA">
            <w:pPr>
              <w:widowControl w:val="0"/>
              <w:autoSpaceDE w:val="0"/>
              <w:autoSpaceDN w:val="0"/>
              <w:adjustRightInd w:val="0"/>
              <w:contextualSpacing/>
              <w:jc w:val="center"/>
              <w:rPr>
                <w:rFonts w:ascii="Arial" w:hAnsi="Arial" w:cs="Arial"/>
                <w:noProof w:val="0"/>
                <w:color w:val="000000"/>
                <w:sz w:val="22"/>
                <w:szCs w:val="22"/>
              </w:rPr>
            </w:pPr>
          </w:p>
        </w:tc>
      </w:tr>
    </w:tbl>
    <w:p w14:paraId="75567CAA" w14:textId="77777777" w:rsidR="004E372A" w:rsidRPr="006238F3" w:rsidRDefault="004E372A">
      <w:pPr>
        <w:rPr>
          <w:rFonts w:ascii="Arial" w:hAnsi="Arial" w:cs="Arial"/>
          <w:sz w:val="22"/>
          <w:szCs w:val="22"/>
        </w:rPr>
      </w:pPr>
    </w:p>
    <w:p w14:paraId="11F98789" w14:textId="77777777" w:rsidR="00596120" w:rsidRPr="006238F3" w:rsidRDefault="00596120" w:rsidP="00596120">
      <w:pPr>
        <w:spacing w:after="240" w:line="360" w:lineRule="auto"/>
        <w:jc w:val="both"/>
        <w:rPr>
          <w:rFonts w:ascii="Arial" w:hAnsi="Arial" w:cs="Arial"/>
          <w:bCs/>
          <w:noProof w:val="0"/>
          <w:sz w:val="22"/>
          <w:szCs w:val="22"/>
        </w:rPr>
      </w:pPr>
    </w:p>
    <w:p w14:paraId="2CD15D53" w14:textId="77777777" w:rsidR="003A5907" w:rsidRPr="006238F3" w:rsidRDefault="00055A2E">
      <w:pPr>
        <w:rPr>
          <w:rFonts w:ascii="Arial" w:hAnsi="Arial" w:cs="Arial"/>
          <w:b/>
          <w:noProof w:val="0"/>
          <w:sz w:val="22"/>
          <w:szCs w:val="22"/>
        </w:rPr>
      </w:pPr>
      <w:r w:rsidRPr="006238F3">
        <w:rPr>
          <w:rFonts w:ascii="Arial" w:hAnsi="Arial" w:cs="Arial"/>
          <w:b/>
          <w:noProof w:val="0"/>
          <w:sz w:val="22"/>
          <w:szCs w:val="22"/>
        </w:rPr>
        <w:br w:type="page"/>
      </w:r>
    </w:p>
    <w:p w14:paraId="76F608B9" w14:textId="77777777" w:rsidR="00596120" w:rsidRPr="006238F3" w:rsidRDefault="00055A2E" w:rsidP="00596120">
      <w:pPr>
        <w:spacing w:after="240" w:line="360" w:lineRule="auto"/>
        <w:jc w:val="both"/>
        <w:rPr>
          <w:rFonts w:ascii="Arial" w:hAnsi="Arial" w:cs="Arial"/>
          <w:b/>
          <w:noProof w:val="0"/>
          <w:sz w:val="22"/>
          <w:szCs w:val="22"/>
        </w:rPr>
      </w:pPr>
      <w:r w:rsidRPr="006238F3">
        <w:rPr>
          <w:rFonts w:ascii="Arial" w:hAnsi="Arial" w:cs="Arial"/>
          <w:b/>
          <w:noProof w:val="0"/>
          <w:sz w:val="22"/>
          <w:szCs w:val="22"/>
        </w:rPr>
        <w:lastRenderedPageBreak/>
        <w:t>References</w:t>
      </w:r>
    </w:p>
    <w:p w14:paraId="06E2515D" w14:textId="5DE63682" w:rsidR="002D7205" w:rsidRPr="006238F3" w:rsidRDefault="00055A2E" w:rsidP="006238F3">
      <w:pPr>
        <w:snapToGrid w:val="0"/>
        <w:spacing w:line="480" w:lineRule="auto"/>
        <w:ind w:left="720" w:hanging="720"/>
        <w:jc w:val="both"/>
      </w:pPr>
      <w:proofErr w:type="spellStart"/>
      <w:r w:rsidRPr="006238F3">
        <w:rPr>
          <w:rFonts w:ascii="Arial" w:hAnsi="Arial" w:cs="Arial"/>
          <w:noProof w:val="0"/>
          <w:sz w:val="22"/>
          <w:szCs w:val="22"/>
        </w:rPr>
        <w:t>Addati</w:t>
      </w:r>
      <w:proofErr w:type="spellEnd"/>
      <w:r w:rsidRPr="006238F3">
        <w:rPr>
          <w:rFonts w:ascii="Arial" w:hAnsi="Arial" w:cs="Arial"/>
          <w:noProof w:val="0"/>
          <w:sz w:val="22"/>
          <w:szCs w:val="22"/>
        </w:rPr>
        <w:t xml:space="preserve">, L., Cassirer, N. and Gilchrist, K. (2014) </w:t>
      </w:r>
      <w:r w:rsidRPr="006238F3">
        <w:rPr>
          <w:rFonts w:ascii="Arial" w:hAnsi="Arial" w:cs="Arial"/>
          <w:i/>
          <w:noProof w:val="0"/>
          <w:sz w:val="22"/>
          <w:szCs w:val="22"/>
        </w:rPr>
        <w:t xml:space="preserve">Maternity and Paternity at Work: Law and Practice </w:t>
      </w:r>
      <w:proofErr w:type="gramStart"/>
      <w:r w:rsidRPr="006238F3">
        <w:rPr>
          <w:rFonts w:ascii="Arial" w:hAnsi="Arial" w:cs="Arial"/>
          <w:i/>
          <w:noProof w:val="0"/>
          <w:sz w:val="22"/>
          <w:szCs w:val="22"/>
        </w:rPr>
        <w:t>Across</w:t>
      </w:r>
      <w:proofErr w:type="gramEnd"/>
      <w:r w:rsidRPr="006238F3">
        <w:rPr>
          <w:rFonts w:ascii="Arial" w:hAnsi="Arial" w:cs="Arial"/>
          <w:i/>
          <w:noProof w:val="0"/>
          <w:sz w:val="22"/>
          <w:szCs w:val="22"/>
        </w:rPr>
        <w:t xml:space="preserve"> The </w:t>
      </w:r>
      <w:r w:rsidR="006238F3" w:rsidRPr="006238F3">
        <w:rPr>
          <w:rFonts w:ascii="Arial" w:hAnsi="Arial" w:cs="Arial"/>
          <w:i/>
          <w:noProof w:val="0"/>
          <w:sz w:val="22"/>
          <w:szCs w:val="22"/>
        </w:rPr>
        <w:t>World</w:t>
      </w:r>
      <w:r w:rsidR="006238F3">
        <w:rPr>
          <w:rFonts w:ascii="Arial" w:hAnsi="Arial" w:cs="Arial"/>
          <w:noProof w:val="0"/>
          <w:sz w:val="22"/>
          <w:szCs w:val="22"/>
        </w:rPr>
        <w:t xml:space="preserve">, </w:t>
      </w:r>
      <w:r w:rsidRPr="006238F3">
        <w:rPr>
          <w:rFonts w:ascii="Arial" w:hAnsi="Arial" w:cs="Arial"/>
          <w:noProof w:val="0"/>
          <w:sz w:val="22"/>
          <w:szCs w:val="22"/>
        </w:rPr>
        <w:t>Geneva: International Labour Office.</w:t>
      </w:r>
    </w:p>
    <w:p w14:paraId="51D12A67" w14:textId="1F7C74E6" w:rsidR="00E65B1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 xml:space="preserve">Asher, M. G. (1998) </w:t>
      </w:r>
      <w:r w:rsidR="00777471" w:rsidRPr="006238F3">
        <w:rPr>
          <w:rFonts w:ascii="Arial" w:hAnsi="Arial" w:cs="Arial"/>
          <w:sz w:val="22"/>
        </w:rPr>
        <w:t>‘</w:t>
      </w:r>
      <w:r w:rsidRPr="006238F3">
        <w:rPr>
          <w:rFonts w:ascii="Arial" w:hAnsi="Arial" w:cs="Arial"/>
          <w:sz w:val="22"/>
        </w:rPr>
        <w:t xml:space="preserve">The </w:t>
      </w:r>
      <w:r w:rsidR="006238F3" w:rsidRPr="006238F3">
        <w:rPr>
          <w:rFonts w:ascii="Arial" w:hAnsi="Arial" w:cs="Arial"/>
          <w:sz w:val="22"/>
        </w:rPr>
        <w:t>future of retirement protection in</w:t>
      </w:r>
      <w:r w:rsidRPr="006238F3">
        <w:rPr>
          <w:rFonts w:ascii="Arial" w:hAnsi="Arial" w:cs="Arial"/>
          <w:sz w:val="22"/>
        </w:rPr>
        <w:t xml:space="preserve"> Southeast Asia</w:t>
      </w:r>
      <w:r w:rsidR="00777471" w:rsidRPr="006238F3">
        <w:rPr>
          <w:rFonts w:ascii="Arial" w:hAnsi="Arial" w:cs="Arial"/>
          <w:sz w:val="22"/>
        </w:rPr>
        <w:t xml:space="preserve">’, </w:t>
      </w:r>
      <w:r w:rsidRPr="006238F3">
        <w:rPr>
          <w:rFonts w:ascii="Arial" w:hAnsi="Arial" w:cs="Arial"/>
          <w:i/>
          <w:sz w:val="22"/>
        </w:rPr>
        <w:t>International Social Security Review,</w:t>
      </w:r>
      <w:r w:rsidRPr="006238F3">
        <w:rPr>
          <w:rFonts w:ascii="Arial" w:hAnsi="Arial" w:cs="Arial"/>
          <w:sz w:val="22"/>
        </w:rPr>
        <w:t xml:space="preserve"> 51</w:t>
      </w:r>
      <w:r w:rsidR="00FC2ED7">
        <w:rPr>
          <w:rFonts w:ascii="Arial" w:hAnsi="Arial" w:cs="Arial"/>
          <w:sz w:val="22"/>
        </w:rPr>
        <w:t xml:space="preserve">, </w:t>
      </w:r>
      <w:r w:rsidRPr="006238F3">
        <w:rPr>
          <w:rFonts w:ascii="Arial" w:hAnsi="Arial" w:cs="Arial"/>
          <w:sz w:val="22"/>
        </w:rPr>
        <w:t>1, 3-30.</w:t>
      </w:r>
    </w:p>
    <w:p w14:paraId="27C54543" w14:textId="3CD3BD0B" w:rsidR="002D7205" w:rsidRPr="006238F3" w:rsidRDefault="00055A2E" w:rsidP="006238F3">
      <w:pPr>
        <w:snapToGrid w:val="0"/>
        <w:spacing w:line="480" w:lineRule="auto"/>
        <w:ind w:left="720" w:hanging="720"/>
        <w:jc w:val="both"/>
        <w:rPr>
          <w:rFonts w:ascii="Arial" w:hAnsi="Arial" w:cs="Arial"/>
          <w:noProof w:val="0"/>
          <w:sz w:val="22"/>
          <w:szCs w:val="22"/>
        </w:rPr>
      </w:pPr>
      <w:proofErr w:type="spellStart"/>
      <w:r w:rsidRPr="006238F3">
        <w:rPr>
          <w:rFonts w:ascii="Arial" w:hAnsi="Arial" w:cs="Arial"/>
          <w:noProof w:val="0"/>
          <w:sz w:val="22"/>
          <w:szCs w:val="22"/>
        </w:rPr>
        <w:t>Brhane</w:t>
      </w:r>
      <w:proofErr w:type="spellEnd"/>
      <w:r w:rsidRPr="006238F3">
        <w:rPr>
          <w:rFonts w:ascii="Arial" w:hAnsi="Arial" w:cs="Arial"/>
          <w:noProof w:val="0"/>
          <w:sz w:val="22"/>
          <w:szCs w:val="22"/>
        </w:rPr>
        <w:t xml:space="preserve">, M., Mason, D. and Payne, G. (2014) </w:t>
      </w:r>
      <w:r w:rsidRPr="006238F3">
        <w:rPr>
          <w:rFonts w:ascii="Arial" w:hAnsi="Arial" w:cs="Arial"/>
          <w:i/>
          <w:noProof w:val="0"/>
          <w:sz w:val="22"/>
          <w:szCs w:val="22"/>
        </w:rPr>
        <w:t>Access to Affordable and Low-income Housing in East Asia and the Pacific</w:t>
      </w:r>
      <w:r w:rsidR="006238F3">
        <w:rPr>
          <w:rFonts w:ascii="Arial" w:hAnsi="Arial" w:cs="Arial"/>
          <w:noProof w:val="0"/>
          <w:sz w:val="22"/>
          <w:szCs w:val="22"/>
        </w:rPr>
        <w:t xml:space="preserve">, </w:t>
      </w:r>
      <w:r w:rsidRPr="006238F3">
        <w:rPr>
          <w:rFonts w:ascii="Arial" w:hAnsi="Arial" w:cs="Arial"/>
          <w:noProof w:val="0"/>
          <w:sz w:val="22"/>
          <w:szCs w:val="22"/>
        </w:rPr>
        <w:t>Washington, DC: World Bank Group.</w:t>
      </w:r>
    </w:p>
    <w:p w14:paraId="2C7ECC05" w14:textId="491D6AC8" w:rsidR="002D7205" w:rsidRPr="006238F3" w:rsidRDefault="00055A2E" w:rsidP="006238F3">
      <w:pPr>
        <w:snapToGrid w:val="0"/>
        <w:spacing w:line="480" w:lineRule="auto"/>
        <w:ind w:left="720" w:hanging="720"/>
        <w:jc w:val="both"/>
        <w:rPr>
          <w:rFonts w:ascii="Arial" w:hAnsi="Arial" w:cs="Arial"/>
          <w:noProof w:val="0"/>
          <w:sz w:val="22"/>
          <w:szCs w:val="22"/>
        </w:rPr>
      </w:pPr>
      <w:r w:rsidRPr="006238F3">
        <w:rPr>
          <w:rFonts w:ascii="Arial" w:hAnsi="Arial" w:cs="Arial"/>
          <w:noProof w:val="0"/>
          <w:sz w:val="22"/>
          <w:szCs w:val="22"/>
        </w:rPr>
        <w:t>Chang, H. (2004) ‘</w:t>
      </w:r>
      <w:proofErr w:type="gramStart"/>
      <w:r w:rsidRPr="006238F3">
        <w:rPr>
          <w:rFonts w:ascii="Arial" w:hAnsi="Arial" w:cs="Arial"/>
          <w:noProof w:val="0"/>
          <w:sz w:val="22"/>
          <w:szCs w:val="22"/>
        </w:rPr>
        <w:t>The</w:t>
      </w:r>
      <w:proofErr w:type="gramEnd"/>
      <w:r w:rsidRPr="006238F3">
        <w:rPr>
          <w:rFonts w:ascii="Arial" w:hAnsi="Arial" w:cs="Arial"/>
          <w:noProof w:val="0"/>
          <w:sz w:val="22"/>
          <w:szCs w:val="22"/>
        </w:rPr>
        <w:t xml:space="preserve"> role of social policy in economic development: some theoretical reflections and lessons from East Asia’, in</w:t>
      </w:r>
      <w:r w:rsidR="00C720D3">
        <w:rPr>
          <w:rFonts w:ascii="Arial" w:hAnsi="Arial" w:cs="Arial"/>
          <w:noProof w:val="0"/>
          <w:sz w:val="22"/>
          <w:szCs w:val="22"/>
        </w:rPr>
        <w:t xml:space="preserve"> T. </w:t>
      </w:r>
      <w:proofErr w:type="spellStart"/>
      <w:r w:rsidRPr="006238F3">
        <w:rPr>
          <w:rFonts w:ascii="Arial" w:hAnsi="Arial" w:cs="Arial"/>
          <w:noProof w:val="0"/>
          <w:sz w:val="22"/>
          <w:szCs w:val="22"/>
        </w:rPr>
        <w:t>Mkandawire</w:t>
      </w:r>
      <w:proofErr w:type="spellEnd"/>
      <w:r w:rsidRPr="006238F3">
        <w:rPr>
          <w:rFonts w:ascii="Arial" w:hAnsi="Arial" w:cs="Arial"/>
          <w:noProof w:val="0"/>
          <w:sz w:val="22"/>
          <w:szCs w:val="22"/>
        </w:rPr>
        <w:t xml:space="preserve"> (ed.)</w:t>
      </w:r>
      <w:r w:rsidR="00C720D3">
        <w:rPr>
          <w:rFonts w:ascii="Arial" w:hAnsi="Arial" w:cs="Arial"/>
          <w:noProof w:val="0"/>
          <w:sz w:val="22"/>
          <w:szCs w:val="22"/>
        </w:rPr>
        <w:t>,</w:t>
      </w:r>
      <w:r w:rsidRPr="006238F3">
        <w:rPr>
          <w:rFonts w:ascii="Arial" w:hAnsi="Arial" w:cs="Arial"/>
          <w:noProof w:val="0"/>
          <w:sz w:val="22"/>
          <w:szCs w:val="22"/>
        </w:rPr>
        <w:t xml:space="preserve"> </w:t>
      </w:r>
      <w:r w:rsidRPr="006238F3">
        <w:rPr>
          <w:rFonts w:ascii="Arial" w:hAnsi="Arial" w:cs="Arial"/>
          <w:i/>
          <w:noProof w:val="0"/>
          <w:sz w:val="22"/>
          <w:szCs w:val="22"/>
        </w:rPr>
        <w:t>Social Policy in a Development Context</w:t>
      </w:r>
      <w:r w:rsidRPr="006238F3">
        <w:rPr>
          <w:rFonts w:ascii="Arial" w:hAnsi="Arial" w:cs="Arial"/>
          <w:noProof w:val="0"/>
          <w:sz w:val="22"/>
          <w:szCs w:val="22"/>
        </w:rPr>
        <w:t>, London: Macmillan</w:t>
      </w:r>
      <w:r w:rsidR="00FC2ED7">
        <w:rPr>
          <w:rFonts w:ascii="Arial" w:hAnsi="Arial" w:cs="Arial"/>
          <w:noProof w:val="0"/>
          <w:sz w:val="22"/>
          <w:szCs w:val="22"/>
        </w:rPr>
        <w:t>, 246-261.</w:t>
      </w:r>
    </w:p>
    <w:p w14:paraId="324A72F9" w14:textId="2CDA1983" w:rsidR="002D7205" w:rsidRPr="006238F3" w:rsidRDefault="00055A2E" w:rsidP="006238F3">
      <w:pPr>
        <w:snapToGrid w:val="0"/>
        <w:spacing w:line="480" w:lineRule="auto"/>
        <w:ind w:left="720" w:hanging="720"/>
        <w:jc w:val="both"/>
        <w:rPr>
          <w:rFonts w:ascii="Arial" w:hAnsi="Arial" w:cs="Arial"/>
          <w:sz w:val="22"/>
          <w:szCs w:val="22"/>
        </w:rPr>
      </w:pPr>
      <w:r w:rsidRPr="006238F3">
        <w:rPr>
          <w:rFonts w:ascii="Arial" w:hAnsi="Arial" w:cs="Arial"/>
          <w:noProof w:val="0"/>
          <w:sz w:val="22"/>
          <w:szCs w:val="22"/>
        </w:rPr>
        <w:t xml:space="preserve">Cerise, S., </w:t>
      </w:r>
      <w:proofErr w:type="spellStart"/>
      <w:r w:rsidRPr="006238F3">
        <w:rPr>
          <w:rFonts w:ascii="Arial" w:hAnsi="Arial" w:cs="Arial"/>
          <w:noProof w:val="0"/>
          <w:sz w:val="22"/>
          <w:szCs w:val="22"/>
        </w:rPr>
        <w:t>Eliseeva</w:t>
      </w:r>
      <w:proofErr w:type="spellEnd"/>
      <w:r w:rsidRPr="006238F3">
        <w:rPr>
          <w:rFonts w:ascii="Arial" w:hAnsi="Arial" w:cs="Arial"/>
          <w:noProof w:val="0"/>
          <w:sz w:val="22"/>
          <w:szCs w:val="22"/>
        </w:rPr>
        <w:t xml:space="preserve">, A. </w:t>
      </w:r>
      <w:proofErr w:type="spellStart"/>
      <w:r w:rsidRPr="006238F3">
        <w:rPr>
          <w:rFonts w:ascii="Arial" w:hAnsi="Arial" w:cs="Arial"/>
          <w:noProof w:val="0"/>
          <w:sz w:val="22"/>
          <w:szCs w:val="22"/>
        </w:rPr>
        <w:t>Francavilla</w:t>
      </w:r>
      <w:proofErr w:type="spellEnd"/>
      <w:r w:rsidRPr="006238F3">
        <w:rPr>
          <w:rFonts w:ascii="Arial" w:hAnsi="Arial" w:cs="Arial"/>
          <w:noProof w:val="0"/>
          <w:sz w:val="22"/>
          <w:szCs w:val="22"/>
        </w:rPr>
        <w:t xml:space="preserve">, F. Mejia, C. and </w:t>
      </w:r>
      <w:proofErr w:type="spellStart"/>
      <w:r w:rsidRPr="006238F3">
        <w:rPr>
          <w:rFonts w:ascii="Arial" w:hAnsi="Arial" w:cs="Arial"/>
          <w:noProof w:val="0"/>
          <w:sz w:val="22"/>
          <w:szCs w:val="22"/>
        </w:rPr>
        <w:t>Tuccio</w:t>
      </w:r>
      <w:proofErr w:type="spellEnd"/>
      <w:r w:rsidRPr="006238F3">
        <w:rPr>
          <w:rFonts w:ascii="Arial" w:hAnsi="Arial" w:cs="Arial"/>
          <w:noProof w:val="0"/>
          <w:sz w:val="22"/>
          <w:szCs w:val="22"/>
        </w:rPr>
        <w:t xml:space="preserve">, M. (2013) </w:t>
      </w:r>
      <w:r w:rsidRPr="006238F3">
        <w:rPr>
          <w:rFonts w:ascii="Arial" w:hAnsi="Arial" w:cs="Arial"/>
          <w:i/>
          <w:noProof w:val="0"/>
          <w:sz w:val="22"/>
          <w:szCs w:val="22"/>
        </w:rPr>
        <w:t>How Do Maternity Leave and Discriminatory Social Norms Relate to Women’s Employment in Developing Countries</w:t>
      </w:r>
      <w:proofErr w:type="gramStart"/>
      <w:r w:rsidRPr="006238F3">
        <w:rPr>
          <w:rFonts w:ascii="Arial" w:hAnsi="Arial" w:cs="Arial"/>
          <w:i/>
          <w:noProof w:val="0"/>
          <w:sz w:val="22"/>
          <w:szCs w:val="22"/>
        </w:rPr>
        <w:t>?</w:t>
      </w:r>
      <w:r w:rsidR="006238F3">
        <w:rPr>
          <w:rFonts w:ascii="Arial" w:hAnsi="Arial" w:cs="Arial"/>
          <w:noProof w:val="0"/>
          <w:sz w:val="22"/>
          <w:szCs w:val="22"/>
        </w:rPr>
        <w:t>,</w:t>
      </w:r>
      <w:proofErr w:type="gramEnd"/>
      <w:r w:rsidR="006238F3">
        <w:rPr>
          <w:rFonts w:ascii="Arial" w:hAnsi="Arial" w:cs="Arial"/>
          <w:noProof w:val="0"/>
          <w:sz w:val="22"/>
          <w:szCs w:val="22"/>
        </w:rPr>
        <w:t xml:space="preserve"> </w:t>
      </w:r>
      <w:r w:rsidRPr="006238F3">
        <w:rPr>
          <w:rFonts w:ascii="Arial" w:hAnsi="Arial" w:cs="Arial"/>
          <w:noProof w:val="0"/>
          <w:sz w:val="22"/>
          <w:szCs w:val="22"/>
        </w:rPr>
        <w:t>Paris: OECD Development Centre.</w:t>
      </w:r>
      <w:bookmarkStart w:id="1" w:name="_ENREF_68"/>
    </w:p>
    <w:p w14:paraId="6F2259AB" w14:textId="20D06E52" w:rsidR="00E65B18" w:rsidRPr="006238F3" w:rsidRDefault="00055A2E" w:rsidP="006238F3">
      <w:pPr>
        <w:snapToGrid w:val="0"/>
        <w:spacing w:line="480" w:lineRule="auto"/>
        <w:ind w:left="720" w:hanging="720"/>
        <w:jc w:val="both"/>
        <w:rPr>
          <w:rFonts w:ascii="Arial" w:hAnsi="Arial" w:cs="Arial"/>
          <w:noProof w:val="0"/>
          <w:sz w:val="22"/>
          <w:szCs w:val="22"/>
        </w:rPr>
      </w:pPr>
      <w:r w:rsidRPr="006238F3">
        <w:rPr>
          <w:rFonts w:ascii="Arial" w:hAnsi="Arial" w:cs="Arial"/>
          <w:sz w:val="22"/>
          <w:szCs w:val="22"/>
        </w:rPr>
        <w:t xml:space="preserve">Esping-Andersen, G. (1990) </w:t>
      </w:r>
      <w:r w:rsidRPr="006238F3">
        <w:rPr>
          <w:rFonts w:ascii="Arial" w:hAnsi="Arial" w:cs="Arial"/>
          <w:i/>
          <w:sz w:val="22"/>
          <w:szCs w:val="22"/>
        </w:rPr>
        <w:t xml:space="preserve">The </w:t>
      </w:r>
      <w:r w:rsidR="00777471" w:rsidRPr="006238F3">
        <w:rPr>
          <w:rFonts w:ascii="Arial" w:hAnsi="Arial" w:cs="Arial"/>
          <w:i/>
          <w:sz w:val="22"/>
          <w:szCs w:val="22"/>
        </w:rPr>
        <w:t>T</w:t>
      </w:r>
      <w:r w:rsidRPr="006238F3">
        <w:rPr>
          <w:rFonts w:ascii="Arial" w:hAnsi="Arial" w:cs="Arial"/>
          <w:i/>
          <w:sz w:val="22"/>
          <w:szCs w:val="22"/>
        </w:rPr>
        <w:t xml:space="preserve">hree </w:t>
      </w:r>
      <w:r w:rsidR="00777471" w:rsidRPr="006238F3">
        <w:rPr>
          <w:rFonts w:ascii="Arial" w:hAnsi="Arial" w:cs="Arial"/>
          <w:i/>
          <w:sz w:val="22"/>
          <w:szCs w:val="22"/>
        </w:rPr>
        <w:t>W</w:t>
      </w:r>
      <w:r w:rsidRPr="006238F3">
        <w:rPr>
          <w:rFonts w:ascii="Arial" w:hAnsi="Arial" w:cs="Arial"/>
          <w:i/>
          <w:sz w:val="22"/>
          <w:szCs w:val="22"/>
        </w:rPr>
        <w:t xml:space="preserve">orlds of </w:t>
      </w:r>
      <w:r w:rsidR="00777471" w:rsidRPr="006238F3">
        <w:rPr>
          <w:rFonts w:ascii="Arial" w:hAnsi="Arial" w:cs="Arial"/>
          <w:i/>
          <w:sz w:val="22"/>
          <w:szCs w:val="22"/>
        </w:rPr>
        <w:t>W</w:t>
      </w:r>
      <w:r w:rsidRPr="006238F3">
        <w:rPr>
          <w:rFonts w:ascii="Arial" w:hAnsi="Arial" w:cs="Arial"/>
          <w:i/>
          <w:sz w:val="22"/>
          <w:szCs w:val="22"/>
        </w:rPr>
        <w:t xml:space="preserve">elfare </w:t>
      </w:r>
      <w:r w:rsidR="00777471" w:rsidRPr="006238F3">
        <w:rPr>
          <w:rFonts w:ascii="Arial" w:hAnsi="Arial" w:cs="Arial"/>
          <w:i/>
          <w:sz w:val="22"/>
          <w:szCs w:val="22"/>
        </w:rPr>
        <w:t>C</w:t>
      </w:r>
      <w:r w:rsidRPr="006238F3">
        <w:rPr>
          <w:rFonts w:ascii="Arial" w:hAnsi="Arial" w:cs="Arial"/>
          <w:i/>
          <w:sz w:val="22"/>
          <w:szCs w:val="22"/>
        </w:rPr>
        <w:t>apitalism</w:t>
      </w:r>
      <w:r w:rsidR="006238F3">
        <w:rPr>
          <w:rFonts w:ascii="Arial" w:hAnsi="Arial" w:cs="Arial"/>
          <w:sz w:val="22"/>
          <w:szCs w:val="22"/>
        </w:rPr>
        <w:t xml:space="preserve">, </w:t>
      </w:r>
      <w:r w:rsidRPr="006238F3">
        <w:rPr>
          <w:rFonts w:ascii="Arial" w:hAnsi="Arial" w:cs="Arial"/>
          <w:sz w:val="22"/>
          <w:szCs w:val="22"/>
        </w:rPr>
        <w:t>Cambridge: Polity Press.</w:t>
      </w:r>
      <w:bookmarkEnd w:id="1"/>
    </w:p>
    <w:p w14:paraId="349A706C" w14:textId="77251461" w:rsidR="00777471" w:rsidRPr="006238F3" w:rsidRDefault="00055A2E" w:rsidP="006238F3">
      <w:pPr>
        <w:snapToGrid w:val="0"/>
        <w:spacing w:line="480" w:lineRule="auto"/>
        <w:ind w:left="720" w:hanging="720"/>
        <w:jc w:val="both"/>
        <w:rPr>
          <w:rFonts w:ascii="Arial" w:hAnsi="Arial" w:cs="Arial"/>
          <w:noProof w:val="0"/>
          <w:sz w:val="22"/>
          <w:szCs w:val="22"/>
        </w:rPr>
      </w:pPr>
      <w:proofErr w:type="gramStart"/>
      <w:r w:rsidRPr="006238F3">
        <w:rPr>
          <w:rFonts w:ascii="Arial" w:hAnsi="Arial" w:cs="Arial"/>
          <w:noProof w:val="0"/>
          <w:sz w:val="22"/>
          <w:szCs w:val="22"/>
        </w:rPr>
        <w:t xml:space="preserve">Feng, J. Y. and Han, W. J. (2010) </w:t>
      </w:r>
      <w:r w:rsidR="002D7205" w:rsidRPr="006238F3">
        <w:rPr>
          <w:rFonts w:ascii="Arial" w:hAnsi="Arial" w:cs="Arial"/>
          <w:noProof w:val="0"/>
          <w:sz w:val="22"/>
          <w:szCs w:val="22"/>
        </w:rPr>
        <w:t>‘</w:t>
      </w:r>
      <w:r w:rsidRPr="006238F3">
        <w:rPr>
          <w:rFonts w:ascii="Arial" w:hAnsi="Arial" w:cs="Arial"/>
          <w:noProof w:val="0"/>
          <w:sz w:val="22"/>
          <w:szCs w:val="22"/>
        </w:rPr>
        <w:t xml:space="preserve">Maternity </w:t>
      </w:r>
      <w:r w:rsidR="00C720D3">
        <w:rPr>
          <w:rFonts w:ascii="Arial" w:hAnsi="Arial" w:cs="Arial"/>
          <w:noProof w:val="0"/>
          <w:sz w:val="22"/>
          <w:szCs w:val="22"/>
        </w:rPr>
        <w:t>l</w:t>
      </w:r>
      <w:r w:rsidRPr="006238F3">
        <w:rPr>
          <w:rFonts w:ascii="Arial" w:hAnsi="Arial" w:cs="Arial"/>
          <w:noProof w:val="0"/>
          <w:sz w:val="22"/>
          <w:szCs w:val="22"/>
        </w:rPr>
        <w:t>eave in Taiwan</w:t>
      </w:r>
      <w:r w:rsidR="002D7205" w:rsidRPr="006238F3">
        <w:rPr>
          <w:rFonts w:ascii="Arial" w:hAnsi="Arial" w:cs="Arial"/>
          <w:noProof w:val="0"/>
          <w:sz w:val="22"/>
          <w:szCs w:val="22"/>
        </w:rPr>
        <w:t xml:space="preserve">’, </w:t>
      </w:r>
      <w:r w:rsidRPr="006238F3">
        <w:rPr>
          <w:rFonts w:ascii="Arial" w:hAnsi="Arial" w:cs="Arial"/>
          <w:i/>
          <w:iCs/>
          <w:noProof w:val="0"/>
          <w:sz w:val="22"/>
          <w:szCs w:val="22"/>
        </w:rPr>
        <w:t>Family Relations</w:t>
      </w:r>
      <w:r w:rsidRPr="006238F3">
        <w:rPr>
          <w:rFonts w:ascii="Arial" w:hAnsi="Arial" w:cs="Arial"/>
          <w:noProof w:val="0"/>
          <w:sz w:val="22"/>
          <w:szCs w:val="22"/>
        </w:rPr>
        <w:t>, 59</w:t>
      </w:r>
      <w:r w:rsidR="00C720D3">
        <w:rPr>
          <w:rFonts w:ascii="Arial" w:hAnsi="Arial" w:cs="Arial"/>
          <w:noProof w:val="0"/>
          <w:sz w:val="22"/>
          <w:szCs w:val="22"/>
        </w:rPr>
        <w:t xml:space="preserve">, </w:t>
      </w:r>
      <w:r w:rsidRPr="006238F3">
        <w:rPr>
          <w:rFonts w:ascii="Arial" w:hAnsi="Arial" w:cs="Arial"/>
          <w:noProof w:val="0"/>
          <w:sz w:val="22"/>
          <w:szCs w:val="22"/>
        </w:rPr>
        <w:t>3, 297-31</w:t>
      </w:r>
      <w:r w:rsidR="006238F3">
        <w:rPr>
          <w:rFonts w:ascii="Arial" w:hAnsi="Arial" w:cs="Arial"/>
          <w:noProof w:val="0"/>
          <w:sz w:val="22"/>
          <w:szCs w:val="22"/>
        </w:rPr>
        <w:t>.</w:t>
      </w:r>
      <w:proofErr w:type="gramEnd"/>
    </w:p>
    <w:p w14:paraId="25CA00BD" w14:textId="1F931E50" w:rsidR="002D7205" w:rsidRPr="006238F3" w:rsidRDefault="00055A2E" w:rsidP="006238F3">
      <w:pPr>
        <w:snapToGrid w:val="0"/>
        <w:spacing w:line="480" w:lineRule="auto"/>
        <w:ind w:left="720" w:hanging="720"/>
        <w:jc w:val="both"/>
      </w:pPr>
      <w:r w:rsidRPr="006238F3">
        <w:rPr>
          <w:rFonts w:ascii="Arial" w:hAnsi="Arial" w:cs="Arial"/>
          <w:noProof w:val="0"/>
          <w:sz w:val="22"/>
          <w:szCs w:val="22"/>
        </w:rPr>
        <w:t xml:space="preserve">Fu, T. H. and Hughes, R. (2009) </w:t>
      </w:r>
      <w:r w:rsidR="00C720D3">
        <w:rPr>
          <w:rFonts w:ascii="Arial" w:hAnsi="Arial" w:cs="Arial"/>
          <w:noProof w:val="0"/>
          <w:sz w:val="22"/>
          <w:szCs w:val="22"/>
        </w:rPr>
        <w:t>‘</w:t>
      </w:r>
      <w:r w:rsidRPr="006238F3">
        <w:rPr>
          <w:rFonts w:ascii="Arial" w:hAnsi="Arial" w:cs="Arial"/>
          <w:noProof w:val="0"/>
          <w:sz w:val="22"/>
          <w:szCs w:val="22"/>
        </w:rPr>
        <w:t xml:space="preserve">Introduction: </w:t>
      </w:r>
      <w:r w:rsidR="006238F3" w:rsidRPr="006238F3">
        <w:rPr>
          <w:rFonts w:ascii="Arial" w:hAnsi="Arial" w:cs="Arial"/>
          <w:noProof w:val="0"/>
          <w:sz w:val="22"/>
          <w:szCs w:val="22"/>
        </w:rPr>
        <w:t xml:space="preserve">challenges to population ageing </w:t>
      </w:r>
      <w:r w:rsidRPr="006238F3">
        <w:rPr>
          <w:rFonts w:ascii="Arial" w:hAnsi="Arial" w:cs="Arial"/>
          <w:noProof w:val="0"/>
          <w:sz w:val="22"/>
          <w:szCs w:val="22"/>
        </w:rPr>
        <w:t>in East Asia</w:t>
      </w:r>
      <w:r w:rsidR="00C720D3">
        <w:rPr>
          <w:rFonts w:ascii="Arial" w:hAnsi="Arial" w:cs="Arial"/>
          <w:noProof w:val="0"/>
          <w:sz w:val="22"/>
          <w:szCs w:val="22"/>
        </w:rPr>
        <w:t>’,</w:t>
      </w:r>
      <w:r w:rsidRPr="006238F3">
        <w:rPr>
          <w:rFonts w:ascii="Arial" w:hAnsi="Arial" w:cs="Arial"/>
          <w:noProof w:val="0"/>
          <w:sz w:val="22"/>
          <w:szCs w:val="22"/>
        </w:rPr>
        <w:t xml:space="preserve"> </w:t>
      </w:r>
      <w:r w:rsidR="00C720D3">
        <w:rPr>
          <w:rFonts w:ascii="Arial" w:hAnsi="Arial" w:cs="Arial"/>
          <w:noProof w:val="0"/>
          <w:sz w:val="22"/>
          <w:szCs w:val="22"/>
        </w:rPr>
        <w:t xml:space="preserve">in </w:t>
      </w:r>
      <w:r w:rsidRPr="006238F3">
        <w:rPr>
          <w:rFonts w:ascii="Arial" w:hAnsi="Arial" w:cs="Arial"/>
          <w:noProof w:val="0"/>
          <w:sz w:val="22"/>
          <w:szCs w:val="22"/>
        </w:rPr>
        <w:t xml:space="preserve">T. H. Fu, and R. Hughes </w:t>
      </w:r>
      <w:r w:rsidR="00777471" w:rsidRPr="006238F3">
        <w:rPr>
          <w:rFonts w:ascii="Arial" w:hAnsi="Arial" w:cs="Arial"/>
          <w:noProof w:val="0"/>
          <w:sz w:val="22"/>
          <w:szCs w:val="22"/>
        </w:rPr>
        <w:t>(</w:t>
      </w:r>
      <w:r w:rsidRPr="006238F3">
        <w:rPr>
          <w:rFonts w:ascii="Arial" w:hAnsi="Arial" w:cs="Arial"/>
          <w:noProof w:val="0"/>
          <w:sz w:val="22"/>
          <w:szCs w:val="22"/>
        </w:rPr>
        <w:t>eds.</w:t>
      </w:r>
      <w:r w:rsidR="00777471" w:rsidRPr="006238F3">
        <w:rPr>
          <w:rFonts w:ascii="Arial" w:hAnsi="Arial" w:cs="Arial"/>
          <w:noProof w:val="0"/>
          <w:sz w:val="22"/>
          <w:szCs w:val="22"/>
        </w:rPr>
        <w:t>)</w:t>
      </w:r>
      <w:r w:rsidR="00C720D3">
        <w:rPr>
          <w:rFonts w:ascii="Arial" w:hAnsi="Arial" w:cs="Arial"/>
          <w:noProof w:val="0"/>
          <w:sz w:val="22"/>
          <w:szCs w:val="22"/>
        </w:rPr>
        <w:t>,</w:t>
      </w:r>
      <w:r w:rsidRPr="006238F3">
        <w:rPr>
          <w:rFonts w:ascii="Arial" w:hAnsi="Arial" w:cs="Arial"/>
          <w:noProof w:val="0"/>
          <w:sz w:val="22"/>
          <w:szCs w:val="22"/>
        </w:rPr>
        <w:t xml:space="preserve"> </w:t>
      </w:r>
      <w:r w:rsidRPr="006238F3">
        <w:rPr>
          <w:rFonts w:ascii="Arial" w:hAnsi="Arial" w:cs="Arial"/>
          <w:i/>
          <w:iCs/>
          <w:noProof w:val="0"/>
          <w:sz w:val="22"/>
          <w:szCs w:val="22"/>
        </w:rPr>
        <w:t>Ageing in East Asia: Challenges and Policies for the Twenty-First Century</w:t>
      </w:r>
      <w:r w:rsidRPr="006238F3">
        <w:rPr>
          <w:rFonts w:ascii="Arial" w:hAnsi="Arial" w:cs="Arial"/>
          <w:noProof w:val="0"/>
          <w:sz w:val="22"/>
          <w:szCs w:val="22"/>
        </w:rPr>
        <w:t>. Abingdon: Routledge</w:t>
      </w:r>
      <w:r w:rsidR="00C720D3">
        <w:rPr>
          <w:rFonts w:ascii="Arial" w:hAnsi="Arial" w:cs="Arial"/>
          <w:noProof w:val="0"/>
          <w:sz w:val="22"/>
          <w:szCs w:val="22"/>
        </w:rPr>
        <w:t xml:space="preserve">, </w:t>
      </w:r>
      <w:r w:rsidRPr="006238F3">
        <w:rPr>
          <w:rFonts w:ascii="Arial" w:hAnsi="Arial" w:cs="Arial"/>
          <w:noProof w:val="0"/>
          <w:sz w:val="22"/>
          <w:szCs w:val="22"/>
        </w:rPr>
        <w:t>1-14.</w:t>
      </w:r>
    </w:p>
    <w:p w14:paraId="4435B5F7" w14:textId="4F35EBAF" w:rsidR="00FA3B4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 xml:space="preserve">Hoekstra, J. (2003) </w:t>
      </w:r>
      <w:r w:rsidR="00777471" w:rsidRPr="006238F3">
        <w:rPr>
          <w:rFonts w:ascii="Arial" w:hAnsi="Arial" w:cs="Arial"/>
          <w:sz w:val="22"/>
        </w:rPr>
        <w:t>‘</w:t>
      </w:r>
      <w:r w:rsidRPr="006238F3">
        <w:rPr>
          <w:rFonts w:ascii="Arial" w:hAnsi="Arial" w:cs="Arial"/>
          <w:sz w:val="22"/>
        </w:rPr>
        <w:t xml:space="preserve">Housing and the welfare state in the Netherlands: </w:t>
      </w:r>
      <w:r w:rsidR="00777471" w:rsidRPr="006238F3">
        <w:rPr>
          <w:rFonts w:ascii="Arial" w:hAnsi="Arial" w:cs="Arial"/>
          <w:sz w:val="22"/>
        </w:rPr>
        <w:t>A</w:t>
      </w:r>
      <w:r w:rsidRPr="006238F3">
        <w:rPr>
          <w:rFonts w:ascii="Arial" w:hAnsi="Arial" w:cs="Arial"/>
          <w:sz w:val="22"/>
        </w:rPr>
        <w:t xml:space="preserve">n </w:t>
      </w:r>
      <w:r w:rsidR="00C720D3">
        <w:rPr>
          <w:rFonts w:ascii="Arial" w:hAnsi="Arial" w:cs="Arial"/>
          <w:sz w:val="22"/>
        </w:rPr>
        <w:t>a</w:t>
      </w:r>
      <w:r w:rsidRPr="006238F3">
        <w:rPr>
          <w:rFonts w:ascii="Arial" w:hAnsi="Arial" w:cs="Arial"/>
          <w:sz w:val="22"/>
        </w:rPr>
        <w:t xml:space="preserve">pplication of Esping-Andersen's </w:t>
      </w:r>
      <w:r w:rsidR="00C720D3">
        <w:rPr>
          <w:rFonts w:ascii="Arial" w:hAnsi="Arial" w:cs="Arial"/>
          <w:sz w:val="22"/>
        </w:rPr>
        <w:t>t</w:t>
      </w:r>
      <w:r w:rsidRPr="006238F3">
        <w:rPr>
          <w:rFonts w:ascii="Arial" w:hAnsi="Arial" w:cs="Arial"/>
          <w:sz w:val="22"/>
        </w:rPr>
        <w:t>ypology</w:t>
      </w:r>
      <w:r w:rsidR="00777471" w:rsidRPr="006238F3">
        <w:rPr>
          <w:rFonts w:ascii="Arial" w:hAnsi="Arial" w:cs="Arial"/>
          <w:sz w:val="22"/>
        </w:rPr>
        <w:t xml:space="preserve">’, </w:t>
      </w:r>
      <w:r w:rsidRPr="006238F3">
        <w:rPr>
          <w:rFonts w:ascii="Arial" w:hAnsi="Arial" w:cs="Arial"/>
          <w:i/>
          <w:sz w:val="22"/>
        </w:rPr>
        <w:t>Housing, Theory and Society,</w:t>
      </w:r>
      <w:r w:rsidRPr="006238F3">
        <w:rPr>
          <w:rFonts w:ascii="Arial" w:hAnsi="Arial" w:cs="Arial"/>
          <w:sz w:val="22"/>
        </w:rPr>
        <w:t xml:space="preserve"> 20</w:t>
      </w:r>
      <w:r w:rsidR="00C720D3">
        <w:rPr>
          <w:rFonts w:ascii="Arial" w:hAnsi="Arial" w:cs="Arial"/>
          <w:sz w:val="22"/>
        </w:rPr>
        <w:t xml:space="preserve">, </w:t>
      </w:r>
      <w:r w:rsidRPr="006238F3">
        <w:rPr>
          <w:rFonts w:ascii="Arial" w:hAnsi="Arial" w:cs="Arial"/>
          <w:sz w:val="22"/>
        </w:rPr>
        <w:t>2, 58-71.</w:t>
      </w:r>
    </w:p>
    <w:p w14:paraId="62F4DF25" w14:textId="629F81B2" w:rsidR="003A5907" w:rsidRPr="006238F3" w:rsidRDefault="00FA3B48" w:rsidP="006238F3">
      <w:pPr>
        <w:pStyle w:val="EndNoteBibliography"/>
        <w:snapToGrid w:val="0"/>
        <w:spacing w:after="0" w:line="480" w:lineRule="auto"/>
        <w:ind w:left="720" w:hanging="720"/>
        <w:rPr>
          <w:rFonts w:ascii="Arial" w:hAnsi="Arial" w:cs="Arial"/>
          <w:sz w:val="22"/>
        </w:rPr>
      </w:pPr>
      <w:r w:rsidRPr="006238F3">
        <w:rPr>
          <w:rFonts w:ascii="Arial" w:hAnsi="Arial" w:cs="Arial"/>
          <w:sz w:val="22"/>
        </w:rPr>
        <w:t xml:space="preserve">Holliday, I. (2000) ‘Productivist welfare capitalism: social policy in East Asia’, </w:t>
      </w:r>
      <w:r w:rsidRPr="006238F3">
        <w:rPr>
          <w:rFonts w:ascii="Arial" w:hAnsi="Arial" w:cs="Arial"/>
          <w:i/>
          <w:sz w:val="22"/>
        </w:rPr>
        <w:t>Political Studies</w:t>
      </w:r>
      <w:r w:rsidRPr="006238F3">
        <w:rPr>
          <w:rFonts w:ascii="Arial" w:hAnsi="Arial" w:cs="Arial"/>
          <w:sz w:val="22"/>
        </w:rPr>
        <w:t>, 48</w:t>
      </w:r>
      <w:r w:rsidR="00C720D3">
        <w:rPr>
          <w:rFonts w:ascii="Arial" w:hAnsi="Arial" w:cs="Arial"/>
          <w:sz w:val="22"/>
          <w:lang w:val="en-GB"/>
        </w:rPr>
        <w:t xml:space="preserve">, </w:t>
      </w:r>
      <w:r w:rsidRPr="006238F3">
        <w:rPr>
          <w:rFonts w:ascii="Arial" w:hAnsi="Arial" w:cs="Arial"/>
          <w:sz w:val="22"/>
        </w:rPr>
        <w:t>4, 706-23.</w:t>
      </w:r>
    </w:p>
    <w:p w14:paraId="672179E3" w14:textId="261AADFF" w:rsidR="00E65B1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 xml:space="preserve">Holzmann, R. and R. Hinz (2005) </w:t>
      </w:r>
      <w:r w:rsidRPr="006238F3">
        <w:rPr>
          <w:rFonts w:ascii="Arial" w:hAnsi="Arial" w:cs="Arial"/>
          <w:i/>
          <w:iCs/>
          <w:sz w:val="22"/>
        </w:rPr>
        <w:t xml:space="preserve">Old </w:t>
      </w:r>
      <w:r w:rsidR="00777471" w:rsidRPr="006238F3">
        <w:rPr>
          <w:rFonts w:ascii="Arial" w:hAnsi="Arial" w:cs="Arial"/>
          <w:i/>
          <w:iCs/>
          <w:sz w:val="22"/>
        </w:rPr>
        <w:t>A</w:t>
      </w:r>
      <w:r w:rsidRPr="006238F3">
        <w:rPr>
          <w:rFonts w:ascii="Arial" w:hAnsi="Arial" w:cs="Arial"/>
          <w:i/>
          <w:iCs/>
          <w:sz w:val="22"/>
        </w:rPr>
        <w:t xml:space="preserve">ge </w:t>
      </w:r>
      <w:r w:rsidR="00777471" w:rsidRPr="006238F3">
        <w:rPr>
          <w:rFonts w:ascii="Arial" w:hAnsi="Arial" w:cs="Arial"/>
          <w:i/>
          <w:iCs/>
          <w:sz w:val="22"/>
        </w:rPr>
        <w:t>I</w:t>
      </w:r>
      <w:r w:rsidRPr="006238F3">
        <w:rPr>
          <w:rFonts w:ascii="Arial" w:hAnsi="Arial" w:cs="Arial"/>
          <w:i/>
          <w:iCs/>
          <w:sz w:val="22"/>
        </w:rPr>
        <w:t xml:space="preserve">ncome </w:t>
      </w:r>
      <w:r w:rsidR="00777471" w:rsidRPr="006238F3">
        <w:rPr>
          <w:rFonts w:ascii="Arial" w:hAnsi="Arial" w:cs="Arial"/>
          <w:i/>
          <w:iCs/>
          <w:sz w:val="22"/>
        </w:rPr>
        <w:t>S</w:t>
      </w:r>
      <w:r w:rsidRPr="006238F3">
        <w:rPr>
          <w:rFonts w:ascii="Arial" w:hAnsi="Arial" w:cs="Arial"/>
          <w:i/>
          <w:iCs/>
          <w:sz w:val="22"/>
        </w:rPr>
        <w:t xml:space="preserve">upport in the 21st Century: </w:t>
      </w:r>
      <w:r w:rsidR="00777471" w:rsidRPr="006238F3">
        <w:rPr>
          <w:rFonts w:ascii="Arial" w:hAnsi="Arial" w:cs="Arial"/>
          <w:i/>
          <w:iCs/>
          <w:sz w:val="22"/>
        </w:rPr>
        <w:t>T</w:t>
      </w:r>
      <w:r w:rsidRPr="006238F3">
        <w:rPr>
          <w:rFonts w:ascii="Arial" w:hAnsi="Arial" w:cs="Arial"/>
          <w:i/>
          <w:iCs/>
          <w:sz w:val="22"/>
        </w:rPr>
        <w:t xml:space="preserve">he World Bank’s </w:t>
      </w:r>
      <w:r w:rsidR="00777471" w:rsidRPr="006238F3">
        <w:rPr>
          <w:rFonts w:ascii="Arial" w:hAnsi="Arial" w:cs="Arial"/>
          <w:i/>
          <w:iCs/>
          <w:sz w:val="22"/>
        </w:rPr>
        <w:t>P</w:t>
      </w:r>
      <w:r w:rsidRPr="006238F3">
        <w:rPr>
          <w:rFonts w:ascii="Arial" w:hAnsi="Arial" w:cs="Arial"/>
          <w:i/>
          <w:iCs/>
          <w:sz w:val="22"/>
        </w:rPr>
        <w:t xml:space="preserve">erspective on </w:t>
      </w:r>
      <w:r w:rsidR="00777471" w:rsidRPr="006238F3">
        <w:rPr>
          <w:rFonts w:ascii="Arial" w:hAnsi="Arial" w:cs="Arial"/>
          <w:i/>
          <w:iCs/>
          <w:sz w:val="22"/>
        </w:rPr>
        <w:t>P</w:t>
      </w:r>
      <w:r w:rsidRPr="006238F3">
        <w:rPr>
          <w:rFonts w:ascii="Arial" w:hAnsi="Arial" w:cs="Arial"/>
          <w:i/>
          <w:iCs/>
          <w:sz w:val="22"/>
        </w:rPr>
        <w:t xml:space="preserve">ension </w:t>
      </w:r>
      <w:r w:rsidR="00777471" w:rsidRPr="006238F3">
        <w:rPr>
          <w:rFonts w:ascii="Arial" w:hAnsi="Arial" w:cs="Arial"/>
          <w:i/>
          <w:iCs/>
          <w:sz w:val="22"/>
        </w:rPr>
        <w:t>S</w:t>
      </w:r>
      <w:r w:rsidRPr="006238F3">
        <w:rPr>
          <w:rFonts w:ascii="Arial" w:hAnsi="Arial" w:cs="Arial"/>
          <w:i/>
          <w:iCs/>
          <w:sz w:val="22"/>
        </w:rPr>
        <w:t xml:space="preserve">ystems and </w:t>
      </w:r>
      <w:r w:rsidR="00777471" w:rsidRPr="006238F3">
        <w:rPr>
          <w:rFonts w:ascii="Arial" w:hAnsi="Arial" w:cs="Arial"/>
          <w:i/>
          <w:iCs/>
          <w:sz w:val="22"/>
        </w:rPr>
        <w:t>R</w:t>
      </w:r>
      <w:r w:rsidRPr="006238F3">
        <w:rPr>
          <w:rFonts w:ascii="Arial" w:hAnsi="Arial" w:cs="Arial"/>
          <w:i/>
          <w:iCs/>
          <w:sz w:val="22"/>
        </w:rPr>
        <w:t>eform</w:t>
      </w:r>
      <w:r w:rsidR="006238F3">
        <w:rPr>
          <w:rFonts w:ascii="Arial" w:hAnsi="Arial" w:cs="Arial"/>
          <w:sz w:val="22"/>
        </w:rPr>
        <w:t xml:space="preserve">, </w:t>
      </w:r>
      <w:r w:rsidR="00C720D3" w:rsidRPr="0049433E">
        <w:rPr>
          <w:rFonts w:ascii="Arial" w:hAnsi="Arial" w:cs="Arial"/>
          <w:sz w:val="22"/>
        </w:rPr>
        <w:t>Washington, DC</w:t>
      </w:r>
      <w:r w:rsidR="00C720D3">
        <w:rPr>
          <w:rFonts w:ascii="Arial" w:hAnsi="Arial" w:cs="Arial"/>
          <w:sz w:val="22"/>
        </w:rPr>
        <w:t>:</w:t>
      </w:r>
      <w:r w:rsidR="00C720D3" w:rsidRPr="00C720D3">
        <w:rPr>
          <w:rFonts w:ascii="Arial" w:hAnsi="Arial" w:cs="Arial"/>
          <w:sz w:val="22"/>
        </w:rPr>
        <w:t xml:space="preserve"> </w:t>
      </w:r>
      <w:r w:rsidRPr="006238F3">
        <w:rPr>
          <w:rFonts w:ascii="Arial" w:hAnsi="Arial" w:cs="Arial"/>
          <w:sz w:val="22"/>
        </w:rPr>
        <w:t>The World Bank.</w:t>
      </w:r>
    </w:p>
    <w:p w14:paraId="0A4DE571" w14:textId="77777777" w:rsidR="003A5907" w:rsidRPr="006238F3" w:rsidRDefault="003A5907" w:rsidP="006238F3">
      <w:pPr>
        <w:snapToGrid w:val="0"/>
        <w:spacing w:line="480" w:lineRule="auto"/>
        <w:ind w:left="720" w:hanging="720"/>
        <w:jc w:val="both"/>
        <w:rPr>
          <w:rFonts w:ascii="Arial" w:hAnsi="Arial" w:cs="Arial"/>
          <w:sz w:val="22"/>
          <w:szCs w:val="22"/>
        </w:rPr>
      </w:pPr>
      <w:bookmarkStart w:id="2" w:name="_ENREF_103"/>
    </w:p>
    <w:p w14:paraId="25C6C0F1" w14:textId="1B7EC392" w:rsidR="00C720D3" w:rsidRPr="006238F3" w:rsidRDefault="00055A2E" w:rsidP="006238F3">
      <w:pPr>
        <w:snapToGrid w:val="0"/>
        <w:spacing w:line="480" w:lineRule="auto"/>
        <w:ind w:left="720" w:hanging="720"/>
        <w:jc w:val="both"/>
        <w:rPr>
          <w:rFonts w:ascii="Arial" w:hAnsi="Arial" w:cs="Arial"/>
          <w:sz w:val="22"/>
          <w:szCs w:val="22"/>
        </w:rPr>
      </w:pPr>
      <w:r w:rsidRPr="006238F3">
        <w:rPr>
          <w:rFonts w:ascii="Arial" w:hAnsi="Arial" w:cs="Arial"/>
          <w:sz w:val="22"/>
          <w:szCs w:val="22"/>
        </w:rPr>
        <w:t xml:space="preserve">Hudson, J. and Kühner, S. (2009) </w:t>
      </w:r>
      <w:r w:rsidR="00264C40" w:rsidRPr="006238F3">
        <w:rPr>
          <w:rFonts w:ascii="Arial" w:hAnsi="Arial" w:cs="Arial"/>
          <w:sz w:val="22"/>
          <w:szCs w:val="22"/>
        </w:rPr>
        <w:t>‘</w:t>
      </w:r>
      <w:r w:rsidRPr="006238F3">
        <w:rPr>
          <w:rFonts w:ascii="Arial" w:hAnsi="Arial" w:cs="Arial"/>
          <w:sz w:val="22"/>
          <w:szCs w:val="22"/>
        </w:rPr>
        <w:t xml:space="preserve">Towards </w:t>
      </w:r>
      <w:r w:rsidR="00C720D3">
        <w:rPr>
          <w:rFonts w:ascii="Arial" w:hAnsi="Arial" w:cs="Arial"/>
          <w:sz w:val="22"/>
          <w:szCs w:val="22"/>
        </w:rPr>
        <w:t>p</w:t>
      </w:r>
      <w:r w:rsidRPr="006238F3">
        <w:rPr>
          <w:rFonts w:ascii="Arial" w:hAnsi="Arial" w:cs="Arial"/>
          <w:sz w:val="22"/>
          <w:szCs w:val="22"/>
        </w:rPr>
        <w:t xml:space="preserve">roductive </w:t>
      </w:r>
      <w:r w:rsidR="00C720D3">
        <w:rPr>
          <w:rFonts w:ascii="Arial" w:hAnsi="Arial" w:cs="Arial"/>
          <w:sz w:val="22"/>
          <w:szCs w:val="22"/>
        </w:rPr>
        <w:t>w</w:t>
      </w:r>
      <w:r w:rsidRPr="006238F3">
        <w:rPr>
          <w:rFonts w:ascii="Arial" w:hAnsi="Arial" w:cs="Arial"/>
          <w:sz w:val="22"/>
          <w:szCs w:val="22"/>
        </w:rPr>
        <w:t xml:space="preserve">elfare? A </w:t>
      </w:r>
      <w:r w:rsidR="00C720D3">
        <w:rPr>
          <w:rFonts w:ascii="Arial" w:hAnsi="Arial" w:cs="Arial"/>
          <w:sz w:val="22"/>
          <w:szCs w:val="22"/>
        </w:rPr>
        <w:t>c</w:t>
      </w:r>
      <w:r w:rsidRPr="006238F3">
        <w:rPr>
          <w:rFonts w:ascii="Arial" w:hAnsi="Arial" w:cs="Arial"/>
          <w:sz w:val="22"/>
          <w:szCs w:val="22"/>
        </w:rPr>
        <w:t xml:space="preserve">omparative </w:t>
      </w:r>
      <w:r w:rsidR="00C720D3">
        <w:rPr>
          <w:rFonts w:ascii="Arial" w:hAnsi="Arial" w:cs="Arial"/>
          <w:sz w:val="22"/>
          <w:szCs w:val="22"/>
        </w:rPr>
        <w:t>a</w:t>
      </w:r>
      <w:r w:rsidRPr="006238F3">
        <w:rPr>
          <w:rFonts w:ascii="Arial" w:hAnsi="Arial" w:cs="Arial"/>
          <w:sz w:val="22"/>
          <w:szCs w:val="22"/>
        </w:rPr>
        <w:t xml:space="preserve">nalysis of 23 OECD </w:t>
      </w:r>
      <w:r w:rsidR="00C720D3">
        <w:rPr>
          <w:rFonts w:ascii="Arial" w:hAnsi="Arial" w:cs="Arial"/>
          <w:sz w:val="22"/>
          <w:szCs w:val="22"/>
        </w:rPr>
        <w:t>c</w:t>
      </w:r>
      <w:r w:rsidRPr="006238F3">
        <w:rPr>
          <w:rFonts w:ascii="Arial" w:hAnsi="Arial" w:cs="Arial"/>
          <w:sz w:val="22"/>
          <w:szCs w:val="22"/>
        </w:rPr>
        <w:t>ountries</w:t>
      </w:r>
      <w:r w:rsidR="00264C40" w:rsidRPr="006238F3">
        <w:rPr>
          <w:rFonts w:ascii="Arial" w:hAnsi="Arial" w:cs="Arial"/>
          <w:sz w:val="22"/>
          <w:szCs w:val="22"/>
        </w:rPr>
        <w:t xml:space="preserve">’, </w:t>
      </w:r>
      <w:r w:rsidRPr="006238F3">
        <w:rPr>
          <w:rFonts w:ascii="Arial" w:hAnsi="Arial" w:cs="Arial"/>
          <w:i/>
          <w:sz w:val="22"/>
          <w:szCs w:val="22"/>
        </w:rPr>
        <w:t>Journal of European Social Policy,</w:t>
      </w:r>
      <w:r w:rsidRPr="006238F3">
        <w:rPr>
          <w:rFonts w:ascii="Arial" w:hAnsi="Arial" w:cs="Arial"/>
          <w:sz w:val="22"/>
          <w:szCs w:val="22"/>
        </w:rPr>
        <w:t xml:space="preserve"> 19</w:t>
      </w:r>
      <w:r w:rsidR="00C720D3">
        <w:rPr>
          <w:rFonts w:ascii="Arial" w:hAnsi="Arial" w:cs="Arial"/>
          <w:sz w:val="22"/>
          <w:szCs w:val="22"/>
        </w:rPr>
        <w:t xml:space="preserve">, </w:t>
      </w:r>
      <w:r w:rsidRPr="006238F3">
        <w:rPr>
          <w:rFonts w:ascii="Arial" w:hAnsi="Arial" w:cs="Arial"/>
          <w:sz w:val="22"/>
          <w:szCs w:val="22"/>
        </w:rPr>
        <w:t>1, 34-46.</w:t>
      </w:r>
      <w:bookmarkEnd w:id="2"/>
    </w:p>
    <w:p w14:paraId="0120AD18" w14:textId="08BC4A72" w:rsidR="00FA3B48" w:rsidRPr="006238F3" w:rsidRDefault="00FA3B48" w:rsidP="006238F3">
      <w:pPr>
        <w:snapToGrid w:val="0"/>
        <w:spacing w:line="480" w:lineRule="auto"/>
        <w:ind w:left="720" w:hanging="720"/>
        <w:jc w:val="both"/>
        <w:rPr>
          <w:rFonts w:ascii="Arial" w:hAnsi="Arial" w:cs="Arial"/>
          <w:sz w:val="22"/>
          <w:szCs w:val="22"/>
          <w:lang w:val="en-HK" w:eastAsia="zh-CN"/>
        </w:rPr>
      </w:pPr>
      <w:r w:rsidRPr="006238F3">
        <w:rPr>
          <w:rFonts w:ascii="Arial" w:hAnsi="Arial" w:cs="Arial"/>
          <w:sz w:val="22"/>
          <w:szCs w:val="22"/>
          <w:lang w:val="en-HK" w:eastAsia="zh-CN"/>
        </w:rPr>
        <w:t>Hudson, J</w:t>
      </w:r>
      <w:r w:rsidR="006238F3">
        <w:rPr>
          <w:rFonts w:ascii="Arial" w:hAnsi="Arial" w:cs="Arial"/>
          <w:sz w:val="22"/>
          <w:szCs w:val="22"/>
          <w:lang w:val="en-HK" w:eastAsia="zh-CN"/>
        </w:rPr>
        <w:t>.</w:t>
      </w:r>
      <w:r w:rsidRPr="006238F3">
        <w:rPr>
          <w:rFonts w:ascii="Arial" w:hAnsi="Arial" w:cs="Arial"/>
          <w:sz w:val="22"/>
          <w:szCs w:val="22"/>
          <w:lang w:val="en-HK" w:eastAsia="zh-CN"/>
        </w:rPr>
        <w:t xml:space="preserve"> and Kühner, S. (2011) </w:t>
      </w:r>
      <w:r w:rsidR="00C720D3">
        <w:rPr>
          <w:rFonts w:ascii="Arial" w:hAnsi="Arial" w:cs="Arial"/>
          <w:sz w:val="22"/>
          <w:szCs w:val="22"/>
          <w:lang w:val="en-HK" w:eastAsia="zh-CN"/>
        </w:rPr>
        <w:t>‘</w:t>
      </w:r>
      <w:r w:rsidRPr="006238F3">
        <w:rPr>
          <w:rFonts w:ascii="Arial" w:hAnsi="Arial" w:cs="Arial"/>
          <w:sz w:val="22"/>
          <w:szCs w:val="22"/>
          <w:lang w:val="en-HK" w:eastAsia="zh-CN"/>
        </w:rPr>
        <w:t xml:space="preserve">Analyzing the </w:t>
      </w:r>
      <w:r w:rsidR="00C720D3">
        <w:rPr>
          <w:rFonts w:ascii="Arial" w:hAnsi="Arial" w:cs="Arial"/>
          <w:sz w:val="22"/>
          <w:szCs w:val="22"/>
          <w:lang w:val="en-HK" w:eastAsia="zh-CN"/>
        </w:rPr>
        <w:t>p</w:t>
      </w:r>
      <w:r w:rsidRPr="006238F3">
        <w:rPr>
          <w:rFonts w:ascii="Arial" w:hAnsi="Arial" w:cs="Arial"/>
          <w:sz w:val="22"/>
          <w:szCs w:val="22"/>
          <w:lang w:val="en-HK" w:eastAsia="zh-CN"/>
        </w:rPr>
        <w:t xml:space="preserve">roductive </w:t>
      </w:r>
      <w:r w:rsidR="00C720D3">
        <w:rPr>
          <w:rFonts w:ascii="Arial" w:hAnsi="Arial" w:cs="Arial"/>
          <w:sz w:val="22"/>
          <w:szCs w:val="22"/>
          <w:lang w:val="en-HK" w:eastAsia="zh-CN"/>
        </w:rPr>
        <w:t>d</w:t>
      </w:r>
      <w:r w:rsidRPr="006238F3">
        <w:rPr>
          <w:rFonts w:ascii="Arial" w:hAnsi="Arial" w:cs="Arial"/>
          <w:sz w:val="22"/>
          <w:szCs w:val="22"/>
          <w:lang w:val="en-HK" w:eastAsia="zh-CN"/>
        </w:rPr>
        <w:t xml:space="preserve">imensions of </w:t>
      </w:r>
      <w:r w:rsidR="00C720D3">
        <w:rPr>
          <w:rFonts w:ascii="Arial" w:hAnsi="Arial" w:cs="Arial"/>
          <w:sz w:val="22"/>
          <w:szCs w:val="22"/>
          <w:lang w:val="en-HK" w:eastAsia="zh-CN"/>
        </w:rPr>
        <w:t>w</w:t>
      </w:r>
      <w:r w:rsidRPr="006238F3">
        <w:rPr>
          <w:rFonts w:ascii="Arial" w:hAnsi="Arial" w:cs="Arial"/>
          <w:sz w:val="22"/>
          <w:szCs w:val="22"/>
          <w:lang w:val="en-HK" w:eastAsia="zh-CN"/>
        </w:rPr>
        <w:t xml:space="preserve">elfare: </w:t>
      </w:r>
      <w:r w:rsidR="00C720D3">
        <w:rPr>
          <w:rFonts w:ascii="Arial" w:hAnsi="Arial" w:cs="Arial"/>
          <w:sz w:val="22"/>
          <w:szCs w:val="22"/>
          <w:lang w:val="en-HK" w:eastAsia="zh-CN"/>
        </w:rPr>
        <w:t>l</w:t>
      </w:r>
      <w:r w:rsidRPr="006238F3">
        <w:rPr>
          <w:rFonts w:ascii="Arial" w:hAnsi="Arial" w:cs="Arial"/>
          <w:sz w:val="22"/>
          <w:szCs w:val="22"/>
          <w:lang w:val="en-HK" w:eastAsia="zh-CN"/>
        </w:rPr>
        <w:t xml:space="preserve">ooking </w:t>
      </w:r>
      <w:r w:rsidR="00C720D3">
        <w:rPr>
          <w:rFonts w:ascii="Arial" w:hAnsi="Arial" w:cs="Arial"/>
          <w:sz w:val="22"/>
          <w:szCs w:val="22"/>
          <w:lang w:val="en-HK" w:eastAsia="zh-CN"/>
        </w:rPr>
        <w:t>b</w:t>
      </w:r>
      <w:r w:rsidRPr="006238F3">
        <w:rPr>
          <w:rFonts w:ascii="Arial" w:hAnsi="Arial" w:cs="Arial"/>
          <w:sz w:val="22"/>
          <w:szCs w:val="22"/>
          <w:lang w:val="en-HK" w:eastAsia="zh-CN"/>
        </w:rPr>
        <w:t>eyond East Asia</w:t>
      </w:r>
      <w:r w:rsidR="00C720D3">
        <w:rPr>
          <w:rFonts w:ascii="Arial" w:hAnsi="Arial" w:cs="Arial"/>
          <w:sz w:val="22"/>
          <w:szCs w:val="22"/>
          <w:lang w:val="en-HK" w:eastAsia="zh-CN"/>
        </w:rPr>
        <w:t>’</w:t>
      </w:r>
      <w:r w:rsidRPr="006238F3">
        <w:rPr>
          <w:rFonts w:ascii="Arial" w:hAnsi="Arial" w:cs="Arial"/>
          <w:sz w:val="22"/>
          <w:szCs w:val="22"/>
          <w:lang w:val="en-HK" w:eastAsia="zh-CN"/>
        </w:rPr>
        <w:t xml:space="preserve">, in </w:t>
      </w:r>
      <w:r w:rsidR="00C720D3">
        <w:rPr>
          <w:rFonts w:ascii="Arial" w:hAnsi="Arial" w:cs="Arial"/>
          <w:sz w:val="22"/>
          <w:szCs w:val="22"/>
          <w:lang w:val="en-HK" w:eastAsia="zh-CN"/>
        </w:rPr>
        <w:t xml:space="preserve">G.-J. </w:t>
      </w:r>
      <w:r w:rsidRPr="006238F3">
        <w:rPr>
          <w:rFonts w:ascii="Arial" w:hAnsi="Arial" w:cs="Arial"/>
          <w:sz w:val="22"/>
          <w:szCs w:val="22"/>
          <w:lang w:val="en-HK" w:eastAsia="zh-CN"/>
        </w:rPr>
        <w:t>Hwang (</w:t>
      </w:r>
      <w:r w:rsidR="00C720D3">
        <w:rPr>
          <w:rFonts w:ascii="Arial" w:hAnsi="Arial" w:cs="Arial"/>
          <w:sz w:val="22"/>
          <w:szCs w:val="22"/>
          <w:lang w:val="en-HK" w:eastAsia="zh-CN"/>
        </w:rPr>
        <w:t>e</w:t>
      </w:r>
      <w:r w:rsidRPr="006238F3">
        <w:rPr>
          <w:rFonts w:ascii="Arial" w:hAnsi="Arial" w:cs="Arial"/>
          <w:sz w:val="22"/>
          <w:szCs w:val="22"/>
          <w:lang w:val="en-HK" w:eastAsia="zh-CN"/>
        </w:rPr>
        <w:t>d.)</w:t>
      </w:r>
      <w:r w:rsidR="00C720D3">
        <w:rPr>
          <w:rFonts w:ascii="Arial" w:hAnsi="Arial" w:cs="Arial"/>
          <w:sz w:val="22"/>
          <w:szCs w:val="22"/>
          <w:lang w:val="en-HK" w:eastAsia="zh-CN"/>
        </w:rPr>
        <w:t>,</w:t>
      </w:r>
      <w:r w:rsidRPr="006238F3">
        <w:rPr>
          <w:rFonts w:ascii="Arial" w:hAnsi="Arial" w:cs="Arial"/>
          <w:sz w:val="22"/>
          <w:szCs w:val="22"/>
          <w:lang w:val="en-HK" w:eastAsia="zh-CN"/>
        </w:rPr>
        <w:t> </w:t>
      </w:r>
      <w:hyperlink r:id="rId10" w:tgtFrame="_blank" w:history="1">
        <w:r w:rsidRPr="006238F3">
          <w:rPr>
            <w:rStyle w:val="Hyperlink"/>
            <w:rFonts w:ascii="Arial" w:hAnsi="Arial" w:cs="Arial"/>
            <w:i/>
            <w:iCs/>
            <w:sz w:val="22"/>
            <w:szCs w:val="22"/>
            <w:lang w:val="en-HK" w:eastAsia="zh-CN"/>
          </w:rPr>
          <w:t>New Welfare States in East Asia: Global Challenges and Restructuring</w:t>
        </w:r>
      </w:hyperlink>
      <w:r w:rsidR="006238F3">
        <w:rPr>
          <w:rFonts w:ascii="Arial" w:hAnsi="Arial" w:cs="Arial"/>
          <w:sz w:val="22"/>
          <w:szCs w:val="22"/>
          <w:lang w:val="en-HK" w:eastAsia="zh-CN"/>
        </w:rPr>
        <w:t>,</w:t>
      </w:r>
      <w:r w:rsidRPr="006238F3">
        <w:rPr>
          <w:rFonts w:ascii="Arial" w:hAnsi="Arial" w:cs="Arial"/>
          <w:sz w:val="22"/>
          <w:szCs w:val="22"/>
          <w:lang w:val="en-HK" w:eastAsia="zh-CN"/>
        </w:rPr>
        <w:t xml:space="preserve"> London: Edward Elgar, 35-60.</w:t>
      </w:r>
    </w:p>
    <w:p w14:paraId="46351D31" w14:textId="69216764" w:rsidR="00E65B18" w:rsidRPr="006238F3" w:rsidRDefault="00055A2E" w:rsidP="006238F3">
      <w:pPr>
        <w:pStyle w:val="EndNoteBibliography"/>
        <w:snapToGrid w:val="0"/>
        <w:spacing w:after="0" w:line="480" w:lineRule="auto"/>
        <w:jc w:val="both"/>
        <w:rPr>
          <w:rFonts w:ascii="Arial" w:hAnsi="Arial" w:cs="Arial"/>
          <w:sz w:val="22"/>
        </w:rPr>
      </w:pPr>
      <w:r w:rsidRPr="006238F3">
        <w:rPr>
          <w:rFonts w:ascii="Arial" w:hAnsi="Arial" w:cs="Arial"/>
          <w:sz w:val="22"/>
        </w:rPr>
        <w:t xml:space="preserve">ILO (1952) </w:t>
      </w:r>
      <w:r w:rsidRPr="006238F3">
        <w:rPr>
          <w:rFonts w:ascii="Arial" w:hAnsi="Arial" w:cs="Arial"/>
          <w:i/>
          <w:sz w:val="22"/>
        </w:rPr>
        <w:t>Social Security (Minimum Standard) Convention,1952  (No.102)</w:t>
      </w:r>
      <w:r w:rsidRPr="006238F3">
        <w:rPr>
          <w:rFonts w:ascii="Arial" w:hAnsi="Arial" w:cs="Arial"/>
          <w:sz w:val="22"/>
        </w:rPr>
        <w:t>. Geneva: ILO.</w:t>
      </w:r>
    </w:p>
    <w:p w14:paraId="323FB03E" w14:textId="25216B96" w:rsidR="00E65B18" w:rsidRPr="006238F3" w:rsidRDefault="00055A2E" w:rsidP="006238F3">
      <w:pPr>
        <w:pStyle w:val="EndNoteBibliography"/>
        <w:snapToGrid w:val="0"/>
        <w:spacing w:after="0" w:line="480" w:lineRule="auto"/>
        <w:jc w:val="both"/>
        <w:rPr>
          <w:rFonts w:ascii="Arial" w:hAnsi="Arial" w:cs="Arial"/>
          <w:sz w:val="22"/>
        </w:rPr>
      </w:pPr>
      <w:r w:rsidRPr="006238F3">
        <w:rPr>
          <w:rFonts w:ascii="Arial" w:hAnsi="Arial" w:cs="Arial"/>
          <w:sz w:val="22"/>
        </w:rPr>
        <w:t xml:space="preserve">ILO (2000) </w:t>
      </w:r>
      <w:r w:rsidRPr="006238F3">
        <w:rPr>
          <w:rFonts w:ascii="Arial" w:hAnsi="Arial" w:cs="Arial"/>
          <w:i/>
          <w:sz w:val="22"/>
        </w:rPr>
        <w:t>Maternity Protection Convention</w:t>
      </w:r>
      <w:r w:rsidR="006238F3">
        <w:rPr>
          <w:rFonts w:ascii="Arial" w:hAnsi="Arial" w:cs="Arial"/>
          <w:sz w:val="22"/>
        </w:rPr>
        <w:t xml:space="preserve">, </w:t>
      </w:r>
      <w:r w:rsidRPr="006238F3">
        <w:rPr>
          <w:rFonts w:ascii="Arial" w:hAnsi="Arial" w:cs="Arial"/>
          <w:sz w:val="22"/>
        </w:rPr>
        <w:t>Geneva: ILO.</w:t>
      </w:r>
    </w:p>
    <w:p w14:paraId="0338936E" w14:textId="7ABE90A3" w:rsidR="002D7205" w:rsidRPr="006238F3" w:rsidRDefault="00055A2E" w:rsidP="006238F3">
      <w:pPr>
        <w:snapToGrid w:val="0"/>
        <w:spacing w:line="480" w:lineRule="auto"/>
        <w:ind w:left="720" w:hanging="720"/>
        <w:jc w:val="both"/>
        <w:rPr>
          <w:rFonts w:ascii="Arial" w:hAnsi="Arial" w:cs="Arial"/>
          <w:bCs/>
          <w:noProof w:val="0"/>
          <w:sz w:val="22"/>
          <w:szCs w:val="22"/>
        </w:rPr>
      </w:pPr>
      <w:proofErr w:type="spellStart"/>
      <w:r w:rsidRPr="006238F3">
        <w:rPr>
          <w:rFonts w:ascii="Arial" w:hAnsi="Arial" w:cs="Arial"/>
          <w:noProof w:val="0"/>
          <w:sz w:val="22"/>
          <w:szCs w:val="22"/>
        </w:rPr>
        <w:t>Kemeny</w:t>
      </w:r>
      <w:proofErr w:type="spellEnd"/>
      <w:r w:rsidRPr="006238F3">
        <w:rPr>
          <w:rFonts w:ascii="Arial" w:hAnsi="Arial" w:cs="Arial"/>
          <w:noProof w:val="0"/>
          <w:sz w:val="22"/>
          <w:szCs w:val="22"/>
        </w:rPr>
        <w:t xml:space="preserve">, J. (2001) </w:t>
      </w:r>
      <w:r w:rsidR="00777471" w:rsidRPr="006238F3">
        <w:rPr>
          <w:rFonts w:ascii="Arial" w:hAnsi="Arial" w:cs="Arial"/>
          <w:noProof w:val="0"/>
          <w:sz w:val="22"/>
          <w:szCs w:val="22"/>
        </w:rPr>
        <w:t>‘</w:t>
      </w:r>
      <w:r w:rsidRPr="006238F3">
        <w:rPr>
          <w:rFonts w:ascii="Arial" w:hAnsi="Arial" w:cs="Arial"/>
          <w:noProof w:val="0"/>
          <w:sz w:val="22"/>
          <w:szCs w:val="22"/>
        </w:rPr>
        <w:t xml:space="preserve">Comparative </w:t>
      </w:r>
      <w:r w:rsidR="00C720D3">
        <w:rPr>
          <w:rFonts w:ascii="Arial" w:hAnsi="Arial" w:cs="Arial"/>
          <w:noProof w:val="0"/>
          <w:sz w:val="22"/>
          <w:szCs w:val="22"/>
        </w:rPr>
        <w:t>h</w:t>
      </w:r>
      <w:r w:rsidRPr="006238F3">
        <w:rPr>
          <w:rFonts w:ascii="Arial" w:hAnsi="Arial" w:cs="Arial"/>
          <w:noProof w:val="0"/>
          <w:sz w:val="22"/>
          <w:szCs w:val="22"/>
        </w:rPr>
        <w:t xml:space="preserve">ousing and </w:t>
      </w:r>
      <w:r w:rsidR="00C720D3">
        <w:rPr>
          <w:rFonts w:ascii="Arial" w:hAnsi="Arial" w:cs="Arial"/>
          <w:noProof w:val="0"/>
          <w:sz w:val="22"/>
          <w:szCs w:val="22"/>
        </w:rPr>
        <w:t>w</w:t>
      </w:r>
      <w:r w:rsidRPr="006238F3">
        <w:rPr>
          <w:rFonts w:ascii="Arial" w:hAnsi="Arial" w:cs="Arial"/>
          <w:noProof w:val="0"/>
          <w:sz w:val="22"/>
          <w:szCs w:val="22"/>
        </w:rPr>
        <w:t xml:space="preserve">elfare: </w:t>
      </w:r>
      <w:r w:rsidR="00C720D3">
        <w:rPr>
          <w:rFonts w:ascii="Arial" w:hAnsi="Arial" w:cs="Arial"/>
          <w:noProof w:val="0"/>
          <w:sz w:val="22"/>
          <w:szCs w:val="22"/>
        </w:rPr>
        <w:t>t</w:t>
      </w:r>
      <w:r w:rsidRPr="006238F3">
        <w:rPr>
          <w:rFonts w:ascii="Arial" w:hAnsi="Arial" w:cs="Arial"/>
          <w:noProof w:val="0"/>
          <w:sz w:val="22"/>
          <w:szCs w:val="22"/>
        </w:rPr>
        <w:t xml:space="preserve">heorising the </w:t>
      </w:r>
      <w:r w:rsidR="00C720D3">
        <w:rPr>
          <w:rFonts w:ascii="Arial" w:hAnsi="Arial" w:cs="Arial"/>
          <w:noProof w:val="0"/>
          <w:sz w:val="22"/>
          <w:szCs w:val="22"/>
        </w:rPr>
        <w:t>r</w:t>
      </w:r>
      <w:r w:rsidRPr="006238F3">
        <w:rPr>
          <w:rFonts w:ascii="Arial" w:hAnsi="Arial" w:cs="Arial"/>
          <w:noProof w:val="0"/>
          <w:sz w:val="22"/>
          <w:szCs w:val="22"/>
        </w:rPr>
        <w:t>elationship</w:t>
      </w:r>
      <w:r w:rsidR="00777471" w:rsidRPr="006238F3">
        <w:rPr>
          <w:rFonts w:ascii="Arial" w:hAnsi="Arial" w:cs="Arial"/>
          <w:noProof w:val="0"/>
          <w:sz w:val="22"/>
          <w:szCs w:val="22"/>
        </w:rPr>
        <w:t xml:space="preserve">’, </w:t>
      </w:r>
      <w:r w:rsidRPr="006238F3">
        <w:rPr>
          <w:rFonts w:ascii="Arial" w:hAnsi="Arial" w:cs="Arial"/>
          <w:i/>
          <w:iCs/>
          <w:noProof w:val="0"/>
          <w:sz w:val="22"/>
          <w:szCs w:val="22"/>
        </w:rPr>
        <w:t>Journal of Housing and the Built Environment</w:t>
      </w:r>
      <w:r w:rsidRPr="006238F3">
        <w:rPr>
          <w:rFonts w:ascii="Arial" w:hAnsi="Arial" w:cs="Arial"/>
          <w:noProof w:val="0"/>
          <w:sz w:val="22"/>
          <w:szCs w:val="22"/>
        </w:rPr>
        <w:t>, 16</w:t>
      </w:r>
      <w:r w:rsidR="00C720D3">
        <w:rPr>
          <w:rFonts w:ascii="Arial" w:hAnsi="Arial" w:cs="Arial"/>
          <w:noProof w:val="0"/>
          <w:sz w:val="22"/>
          <w:szCs w:val="22"/>
        </w:rPr>
        <w:t xml:space="preserve">, </w:t>
      </w:r>
      <w:r w:rsidRPr="006238F3">
        <w:rPr>
          <w:rFonts w:ascii="Arial" w:hAnsi="Arial" w:cs="Arial"/>
          <w:noProof w:val="0"/>
          <w:sz w:val="22"/>
          <w:szCs w:val="22"/>
        </w:rPr>
        <w:t>1, 53-70.</w:t>
      </w:r>
    </w:p>
    <w:p w14:paraId="40487385" w14:textId="0E291942" w:rsidR="002D7205" w:rsidRPr="006238F3" w:rsidRDefault="00055A2E" w:rsidP="006238F3">
      <w:pPr>
        <w:snapToGrid w:val="0"/>
        <w:spacing w:line="480" w:lineRule="auto"/>
        <w:ind w:left="720" w:hanging="720"/>
        <w:jc w:val="both"/>
      </w:pPr>
      <w:proofErr w:type="spellStart"/>
      <w:r w:rsidRPr="006238F3">
        <w:rPr>
          <w:rFonts w:ascii="Arial" w:hAnsi="Arial" w:cs="Arial"/>
          <w:bCs/>
          <w:noProof w:val="0"/>
          <w:sz w:val="22"/>
          <w:szCs w:val="22"/>
        </w:rPr>
        <w:t>Krogslund</w:t>
      </w:r>
      <w:proofErr w:type="spellEnd"/>
      <w:r w:rsidRPr="006238F3">
        <w:rPr>
          <w:rFonts w:ascii="Arial" w:hAnsi="Arial" w:cs="Arial"/>
          <w:bCs/>
          <w:noProof w:val="0"/>
          <w:sz w:val="22"/>
          <w:szCs w:val="22"/>
        </w:rPr>
        <w:t xml:space="preserve">, C., Choi, D. and </w:t>
      </w:r>
      <w:proofErr w:type="spellStart"/>
      <w:r w:rsidRPr="006238F3">
        <w:rPr>
          <w:rFonts w:ascii="Arial" w:hAnsi="Arial" w:cs="Arial"/>
          <w:bCs/>
          <w:noProof w:val="0"/>
          <w:sz w:val="22"/>
          <w:szCs w:val="22"/>
        </w:rPr>
        <w:t>Poertner</w:t>
      </w:r>
      <w:proofErr w:type="spellEnd"/>
      <w:r w:rsidRPr="006238F3">
        <w:rPr>
          <w:rFonts w:ascii="Arial" w:hAnsi="Arial" w:cs="Arial"/>
          <w:bCs/>
          <w:noProof w:val="0"/>
          <w:sz w:val="22"/>
          <w:szCs w:val="22"/>
        </w:rPr>
        <w:t xml:space="preserve">, M. (2015) ‘Fuzzy </w:t>
      </w:r>
      <w:r w:rsidR="00C720D3">
        <w:rPr>
          <w:rFonts w:ascii="Arial" w:hAnsi="Arial" w:cs="Arial"/>
          <w:bCs/>
          <w:noProof w:val="0"/>
          <w:sz w:val="22"/>
          <w:szCs w:val="22"/>
        </w:rPr>
        <w:t>s</w:t>
      </w:r>
      <w:r w:rsidRPr="006238F3">
        <w:rPr>
          <w:rFonts w:ascii="Arial" w:hAnsi="Arial" w:cs="Arial"/>
          <w:bCs/>
          <w:noProof w:val="0"/>
          <w:sz w:val="22"/>
          <w:szCs w:val="22"/>
        </w:rPr>
        <w:t xml:space="preserve">ets on </w:t>
      </w:r>
      <w:r w:rsidR="00C720D3">
        <w:rPr>
          <w:rFonts w:ascii="Arial" w:hAnsi="Arial" w:cs="Arial"/>
          <w:bCs/>
          <w:noProof w:val="0"/>
          <w:sz w:val="22"/>
          <w:szCs w:val="22"/>
        </w:rPr>
        <w:t>s</w:t>
      </w:r>
      <w:r w:rsidRPr="006238F3">
        <w:rPr>
          <w:rFonts w:ascii="Arial" w:hAnsi="Arial" w:cs="Arial"/>
          <w:bCs/>
          <w:noProof w:val="0"/>
          <w:sz w:val="22"/>
          <w:szCs w:val="22"/>
        </w:rPr>
        <w:t xml:space="preserve">haky </w:t>
      </w:r>
      <w:r w:rsidR="00C720D3">
        <w:rPr>
          <w:rFonts w:ascii="Arial" w:hAnsi="Arial" w:cs="Arial"/>
          <w:bCs/>
          <w:noProof w:val="0"/>
          <w:sz w:val="22"/>
          <w:szCs w:val="22"/>
        </w:rPr>
        <w:t>g</w:t>
      </w:r>
      <w:r w:rsidRPr="006238F3">
        <w:rPr>
          <w:rFonts w:ascii="Arial" w:hAnsi="Arial" w:cs="Arial"/>
          <w:bCs/>
          <w:noProof w:val="0"/>
          <w:sz w:val="22"/>
          <w:szCs w:val="22"/>
        </w:rPr>
        <w:t xml:space="preserve">round: </w:t>
      </w:r>
      <w:r w:rsidR="00C720D3">
        <w:rPr>
          <w:rFonts w:ascii="Arial" w:hAnsi="Arial" w:cs="Arial"/>
          <w:bCs/>
          <w:noProof w:val="0"/>
          <w:sz w:val="22"/>
          <w:szCs w:val="22"/>
        </w:rPr>
        <w:t>p</w:t>
      </w:r>
      <w:r w:rsidRPr="006238F3">
        <w:rPr>
          <w:rFonts w:ascii="Arial" w:hAnsi="Arial" w:cs="Arial"/>
          <w:bCs/>
          <w:noProof w:val="0"/>
          <w:sz w:val="22"/>
          <w:szCs w:val="22"/>
        </w:rPr>
        <w:t xml:space="preserve">arameter </w:t>
      </w:r>
      <w:r w:rsidR="00C720D3">
        <w:rPr>
          <w:rFonts w:ascii="Arial" w:hAnsi="Arial" w:cs="Arial"/>
          <w:bCs/>
          <w:noProof w:val="0"/>
          <w:sz w:val="22"/>
          <w:szCs w:val="22"/>
        </w:rPr>
        <w:t>s</w:t>
      </w:r>
      <w:r w:rsidRPr="006238F3">
        <w:rPr>
          <w:rFonts w:ascii="Arial" w:hAnsi="Arial" w:cs="Arial"/>
          <w:bCs/>
          <w:noProof w:val="0"/>
          <w:sz w:val="22"/>
          <w:szCs w:val="22"/>
        </w:rPr>
        <w:t xml:space="preserve">ensitivity and </w:t>
      </w:r>
      <w:r w:rsidR="00C720D3">
        <w:rPr>
          <w:rFonts w:ascii="Arial" w:hAnsi="Arial" w:cs="Arial"/>
          <w:bCs/>
          <w:noProof w:val="0"/>
          <w:sz w:val="22"/>
          <w:szCs w:val="22"/>
        </w:rPr>
        <w:t>c</w:t>
      </w:r>
      <w:r w:rsidRPr="006238F3">
        <w:rPr>
          <w:rFonts w:ascii="Arial" w:hAnsi="Arial" w:cs="Arial"/>
          <w:bCs/>
          <w:noProof w:val="0"/>
          <w:sz w:val="22"/>
          <w:szCs w:val="22"/>
        </w:rPr>
        <w:t xml:space="preserve">onfirmation </w:t>
      </w:r>
      <w:r w:rsidR="00C720D3">
        <w:rPr>
          <w:rFonts w:ascii="Arial" w:hAnsi="Arial" w:cs="Arial"/>
          <w:bCs/>
          <w:noProof w:val="0"/>
          <w:sz w:val="22"/>
          <w:szCs w:val="22"/>
        </w:rPr>
        <w:t>b</w:t>
      </w:r>
      <w:r w:rsidRPr="006238F3">
        <w:rPr>
          <w:rFonts w:ascii="Arial" w:hAnsi="Arial" w:cs="Arial"/>
          <w:bCs/>
          <w:noProof w:val="0"/>
          <w:sz w:val="22"/>
          <w:szCs w:val="22"/>
        </w:rPr>
        <w:t xml:space="preserve">ias in </w:t>
      </w:r>
      <w:proofErr w:type="spellStart"/>
      <w:r w:rsidRPr="006238F3">
        <w:rPr>
          <w:rFonts w:ascii="Arial" w:hAnsi="Arial" w:cs="Arial"/>
          <w:bCs/>
          <w:noProof w:val="0"/>
          <w:sz w:val="22"/>
          <w:szCs w:val="22"/>
        </w:rPr>
        <w:t>fsQCA</w:t>
      </w:r>
      <w:proofErr w:type="spellEnd"/>
      <w:r w:rsidRPr="006238F3">
        <w:rPr>
          <w:rFonts w:ascii="Arial" w:hAnsi="Arial" w:cs="Arial"/>
          <w:bCs/>
          <w:noProof w:val="0"/>
          <w:sz w:val="22"/>
          <w:szCs w:val="22"/>
        </w:rPr>
        <w:t xml:space="preserve">’, </w:t>
      </w:r>
      <w:r w:rsidRPr="006238F3">
        <w:rPr>
          <w:rFonts w:ascii="Arial" w:hAnsi="Arial" w:cs="Arial"/>
          <w:bCs/>
          <w:i/>
          <w:noProof w:val="0"/>
          <w:sz w:val="22"/>
          <w:szCs w:val="22"/>
        </w:rPr>
        <w:t>Political Analysis</w:t>
      </w:r>
      <w:r w:rsidRPr="006238F3">
        <w:rPr>
          <w:rFonts w:ascii="Arial" w:hAnsi="Arial" w:cs="Arial"/>
          <w:bCs/>
          <w:noProof w:val="0"/>
          <w:sz w:val="22"/>
          <w:szCs w:val="22"/>
        </w:rPr>
        <w:t>, 23</w:t>
      </w:r>
      <w:proofErr w:type="gramStart"/>
      <w:r w:rsidR="00C720D3">
        <w:rPr>
          <w:rFonts w:ascii="Arial" w:hAnsi="Arial" w:cs="Arial"/>
          <w:bCs/>
          <w:noProof w:val="0"/>
          <w:sz w:val="22"/>
          <w:szCs w:val="22"/>
        </w:rPr>
        <w:t>,</w:t>
      </w:r>
      <w:r w:rsidRPr="006238F3">
        <w:rPr>
          <w:rFonts w:ascii="Arial" w:hAnsi="Arial" w:cs="Arial"/>
          <w:bCs/>
          <w:noProof w:val="0"/>
          <w:sz w:val="22"/>
          <w:szCs w:val="22"/>
        </w:rPr>
        <w:t>1</w:t>
      </w:r>
      <w:proofErr w:type="gramEnd"/>
      <w:r w:rsidR="00C720D3">
        <w:rPr>
          <w:rFonts w:ascii="Arial" w:hAnsi="Arial" w:cs="Arial"/>
          <w:bCs/>
          <w:noProof w:val="0"/>
          <w:sz w:val="22"/>
          <w:szCs w:val="22"/>
        </w:rPr>
        <w:t>,</w:t>
      </w:r>
      <w:r w:rsidRPr="006238F3">
        <w:rPr>
          <w:rFonts w:ascii="Arial" w:hAnsi="Arial" w:cs="Arial"/>
          <w:bCs/>
          <w:noProof w:val="0"/>
          <w:sz w:val="22"/>
          <w:szCs w:val="22"/>
        </w:rPr>
        <w:t xml:space="preserve"> 21-41. </w:t>
      </w:r>
    </w:p>
    <w:p w14:paraId="174C5982" w14:textId="48F5F341" w:rsidR="00E65B1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 xml:space="preserve">OECD (2012) </w:t>
      </w:r>
      <w:r w:rsidRPr="006238F3">
        <w:rPr>
          <w:rFonts w:ascii="Arial" w:hAnsi="Arial" w:cs="Arial"/>
          <w:i/>
          <w:sz w:val="22"/>
        </w:rPr>
        <w:t>Pensions at a Glance: Asia/Pacific Edition 2011</w:t>
      </w:r>
      <w:r w:rsidR="006238F3">
        <w:rPr>
          <w:rFonts w:ascii="Arial" w:hAnsi="Arial" w:cs="Arial"/>
          <w:sz w:val="22"/>
        </w:rPr>
        <w:t xml:space="preserve">, </w:t>
      </w:r>
      <w:r w:rsidR="00C720D3">
        <w:rPr>
          <w:rFonts w:ascii="Arial" w:hAnsi="Arial" w:cs="Arial"/>
          <w:sz w:val="22"/>
        </w:rPr>
        <w:t xml:space="preserve">Paris: </w:t>
      </w:r>
      <w:r w:rsidRPr="006238F3">
        <w:rPr>
          <w:rFonts w:ascii="Arial" w:hAnsi="Arial" w:cs="Arial"/>
          <w:sz w:val="22"/>
        </w:rPr>
        <w:t>OECD Publishing.</w:t>
      </w:r>
    </w:p>
    <w:p w14:paraId="49D82D5D" w14:textId="3AF0E96F" w:rsidR="00FA3B48" w:rsidRPr="006238F3" w:rsidRDefault="00FA3B48" w:rsidP="006238F3">
      <w:pPr>
        <w:pStyle w:val="EndNoteBibliography"/>
        <w:snapToGrid w:val="0"/>
        <w:spacing w:after="0" w:line="480" w:lineRule="auto"/>
        <w:ind w:left="720" w:hanging="720"/>
        <w:jc w:val="both"/>
        <w:rPr>
          <w:rFonts w:ascii="Arial" w:hAnsi="Arial" w:cs="Arial"/>
          <w:sz w:val="22"/>
          <w:lang w:val="en-HK"/>
        </w:rPr>
      </w:pPr>
      <w:r w:rsidRPr="006238F3">
        <w:rPr>
          <w:rFonts w:ascii="Arial" w:hAnsi="Arial" w:cs="Arial"/>
          <w:sz w:val="22"/>
          <w:lang w:val="en-HK"/>
        </w:rPr>
        <w:t xml:space="preserve">Packard, T. G. and Nguyen, T. V. (2014) </w:t>
      </w:r>
      <w:r w:rsidRPr="006238F3">
        <w:rPr>
          <w:rFonts w:ascii="Arial" w:hAnsi="Arial" w:cs="Arial"/>
          <w:i/>
          <w:iCs/>
          <w:sz w:val="22"/>
          <w:lang w:val="en-HK"/>
        </w:rPr>
        <w:t>East Asia Pacific At Work: Employment, Enterprise, and Well-being</w:t>
      </w:r>
      <w:r w:rsidRPr="006238F3">
        <w:rPr>
          <w:rFonts w:ascii="Arial" w:hAnsi="Arial" w:cs="Arial"/>
          <w:sz w:val="22"/>
          <w:lang w:val="en-HK"/>
        </w:rPr>
        <w:t>. World Bank East As</w:t>
      </w:r>
      <w:r w:rsidR="006238F3">
        <w:rPr>
          <w:rFonts w:ascii="Arial" w:hAnsi="Arial" w:cs="Arial"/>
          <w:sz w:val="22"/>
          <w:lang w:val="en-HK"/>
        </w:rPr>
        <w:t xml:space="preserve">ia and Pacific Regional Report, </w:t>
      </w:r>
      <w:r w:rsidRPr="006238F3">
        <w:rPr>
          <w:rFonts w:ascii="Arial" w:hAnsi="Arial" w:cs="Arial"/>
          <w:sz w:val="22"/>
          <w:lang w:val="en-HK"/>
        </w:rPr>
        <w:t xml:space="preserve">Washington D.C.: The World Bank. </w:t>
      </w:r>
    </w:p>
    <w:p w14:paraId="4BEEC697" w14:textId="2FB3C679" w:rsidR="00E65B1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 xml:space="preserve">Pordes, A. (1994). </w:t>
      </w:r>
      <w:r w:rsidRPr="006238F3">
        <w:rPr>
          <w:rFonts w:ascii="Arial" w:hAnsi="Arial" w:cs="Arial"/>
          <w:i/>
          <w:iCs/>
          <w:sz w:val="22"/>
        </w:rPr>
        <w:t xml:space="preserve">Averting the </w:t>
      </w:r>
      <w:r w:rsidR="00777471" w:rsidRPr="006238F3">
        <w:rPr>
          <w:rFonts w:ascii="Arial" w:hAnsi="Arial" w:cs="Arial"/>
          <w:i/>
          <w:iCs/>
          <w:sz w:val="22"/>
        </w:rPr>
        <w:t>O</w:t>
      </w:r>
      <w:r w:rsidRPr="006238F3">
        <w:rPr>
          <w:rFonts w:ascii="Arial" w:hAnsi="Arial" w:cs="Arial"/>
          <w:i/>
          <w:iCs/>
          <w:sz w:val="22"/>
        </w:rPr>
        <w:t xml:space="preserve">ld </w:t>
      </w:r>
      <w:r w:rsidR="00777471" w:rsidRPr="006238F3">
        <w:rPr>
          <w:rFonts w:ascii="Arial" w:hAnsi="Arial" w:cs="Arial"/>
          <w:i/>
          <w:iCs/>
          <w:sz w:val="22"/>
        </w:rPr>
        <w:t>A</w:t>
      </w:r>
      <w:r w:rsidRPr="006238F3">
        <w:rPr>
          <w:rFonts w:ascii="Arial" w:hAnsi="Arial" w:cs="Arial"/>
          <w:i/>
          <w:iCs/>
          <w:sz w:val="22"/>
        </w:rPr>
        <w:t xml:space="preserve">ge </w:t>
      </w:r>
      <w:r w:rsidR="00777471" w:rsidRPr="006238F3">
        <w:rPr>
          <w:rFonts w:ascii="Arial" w:hAnsi="Arial" w:cs="Arial"/>
          <w:i/>
          <w:iCs/>
          <w:sz w:val="22"/>
        </w:rPr>
        <w:t>C</w:t>
      </w:r>
      <w:r w:rsidRPr="006238F3">
        <w:rPr>
          <w:rFonts w:ascii="Arial" w:hAnsi="Arial" w:cs="Arial"/>
          <w:i/>
          <w:iCs/>
          <w:sz w:val="22"/>
        </w:rPr>
        <w:t xml:space="preserve">risis: Policies to </w:t>
      </w:r>
      <w:r w:rsidR="00777471" w:rsidRPr="006238F3">
        <w:rPr>
          <w:rFonts w:ascii="Arial" w:hAnsi="Arial" w:cs="Arial"/>
          <w:i/>
          <w:iCs/>
          <w:sz w:val="22"/>
        </w:rPr>
        <w:t>P</w:t>
      </w:r>
      <w:r w:rsidRPr="006238F3">
        <w:rPr>
          <w:rFonts w:ascii="Arial" w:hAnsi="Arial" w:cs="Arial"/>
          <w:i/>
          <w:iCs/>
          <w:sz w:val="22"/>
        </w:rPr>
        <w:t xml:space="preserve">rotect the </w:t>
      </w:r>
      <w:r w:rsidR="00777471" w:rsidRPr="006238F3">
        <w:rPr>
          <w:rFonts w:ascii="Arial" w:hAnsi="Arial" w:cs="Arial"/>
          <w:i/>
          <w:iCs/>
          <w:sz w:val="22"/>
        </w:rPr>
        <w:t>O</w:t>
      </w:r>
      <w:r w:rsidRPr="006238F3">
        <w:rPr>
          <w:rFonts w:ascii="Arial" w:hAnsi="Arial" w:cs="Arial"/>
          <w:i/>
          <w:iCs/>
          <w:sz w:val="22"/>
        </w:rPr>
        <w:t xml:space="preserve">ld and </w:t>
      </w:r>
      <w:r w:rsidR="00777471" w:rsidRPr="006238F3">
        <w:rPr>
          <w:rFonts w:ascii="Arial" w:hAnsi="Arial" w:cs="Arial"/>
          <w:i/>
          <w:iCs/>
          <w:sz w:val="22"/>
        </w:rPr>
        <w:t>P</w:t>
      </w:r>
      <w:r w:rsidRPr="006238F3">
        <w:rPr>
          <w:rFonts w:ascii="Arial" w:hAnsi="Arial" w:cs="Arial"/>
          <w:i/>
          <w:iCs/>
          <w:sz w:val="22"/>
        </w:rPr>
        <w:t xml:space="preserve">romote </w:t>
      </w:r>
      <w:r w:rsidR="00777471" w:rsidRPr="006238F3">
        <w:rPr>
          <w:rFonts w:ascii="Arial" w:hAnsi="Arial" w:cs="Arial"/>
          <w:i/>
          <w:iCs/>
          <w:sz w:val="22"/>
        </w:rPr>
        <w:t>G</w:t>
      </w:r>
      <w:r w:rsidRPr="006238F3">
        <w:rPr>
          <w:rFonts w:ascii="Arial" w:hAnsi="Arial" w:cs="Arial"/>
          <w:i/>
          <w:iCs/>
          <w:sz w:val="22"/>
        </w:rPr>
        <w:t>rowth</w:t>
      </w:r>
      <w:r w:rsidR="006238F3">
        <w:rPr>
          <w:rFonts w:ascii="Arial" w:hAnsi="Arial" w:cs="Arial"/>
          <w:sz w:val="22"/>
        </w:rPr>
        <w:t xml:space="preserve">, </w:t>
      </w:r>
      <w:r w:rsidRPr="006238F3">
        <w:rPr>
          <w:rFonts w:ascii="Arial" w:hAnsi="Arial" w:cs="Arial"/>
          <w:iCs/>
          <w:sz w:val="22"/>
        </w:rPr>
        <w:t>New York: Oxford University Press.</w:t>
      </w:r>
    </w:p>
    <w:p w14:paraId="22455F08" w14:textId="61CB677E" w:rsidR="009B21E8" w:rsidRPr="006238F3" w:rsidRDefault="00055A2E" w:rsidP="006238F3">
      <w:pPr>
        <w:snapToGrid w:val="0"/>
        <w:spacing w:line="480" w:lineRule="auto"/>
        <w:ind w:left="720" w:hanging="720"/>
        <w:jc w:val="both"/>
        <w:rPr>
          <w:rFonts w:ascii="Arial" w:hAnsi="Arial" w:cs="Arial"/>
          <w:noProof w:val="0"/>
          <w:sz w:val="22"/>
          <w:szCs w:val="22"/>
        </w:rPr>
      </w:pPr>
      <w:proofErr w:type="spellStart"/>
      <w:r w:rsidRPr="006238F3">
        <w:rPr>
          <w:rFonts w:ascii="Arial" w:hAnsi="Arial" w:cs="Arial"/>
          <w:noProof w:val="0"/>
          <w:sz w:val="22"/>
          <w:szCs w:val="22"/>
        </w:rPr>
        <w:t>Rudra</w:t>
      </w:r>
      <w:proofErr w:type="spellEnd"/>
      <w:r w:rsidRPr="006238F3">
        <w:rPr>
          <w:rFonts w:ascii="Arial" w:hAnsi="Arial" w:cs="Arial"/>
          <w:noProof w:val="0"/>
          <w:sz w:val="22"/>
          <w:szCs w:val="22"/>
        </w:rPr>
        <w:t xml:space="preserve">, N. (2007) ‘Welfare </w:t>
      </w:r>
      <w:r w:rsidR="00C720D3">
        <w:rPr>
          <w:rFonts w:ascii="Arial" w:hAnsi="Arial" w:cs="Arial"/>
          <w:noProof w:val="0"/>
          <w:sz w:val="22"/>
          <w:szCs w:val="22"/>
        </w:rPr>
        <w:t>s</w:t>
      </w:r>
      <w:r w:rsidRPr="006238F3">
        <w:rPr>
          <w:rFonts w:ascii="Arial" w:hAnsi="Arial" w:cs="Arial"/>
          <w:noProof w:val="0"/>
          <w:sz w:val="22"/>
          <w:szCs w:val="22"/>
        </w:rPr>
        <w:t xml:space="preserve">tates in </w:t>
      </w:r>
      <w:r w:rsidR="00C720D3">
        <w:rPr>
          <w:rFonts w:ascii="Arial" w:hAnsi="Arial" w:cs="Arial"/>
          <w:noProof w:val="0"/>
          <w:sz w:val="22"/>
          <w:szCs w:val="22"/>
        </w:rPr>
        <w:t>d</w:t>
      </w:r>
      <w:r w:rsidRPr="006238F3">
        <w:rPr>
          <w:rFonts w:ascii="Arial" w:hAnsi="Arial" w:cs="Arial"/>
          <w:noProof w:val="0"/>
          <w:sz w:val="22"/>
          <w:szCs w:val="22"/>
        </w:rPr>
        <w:t xml:space="preserve">eveloping </w:t>
      </w:r>
      <w:r w:rsidR="00C720D3">
        <w:rPr>
          <w:rFonts w:ascii="Arial" w:hAnsi="Arial" w:cs="Arial"/>
          <w:noProof w:val="0"/>
          <w:sz w:val="22"/>
          <w:szCs w:val="22"/>
        </w:rPr>
        <w:t>c</w:t>
      </w:r>
      <w:r w:rsidRPr="006238F3">
        <w:rPr>
          <w:rFonts w:ascii="Arial" w:hAnsi="Arial" w:cs="Arial"/>
          <w:noProof w:val="0"/>
          <w:sz w:val="22"/>
          <w:szCs w:val="22"/>
        </w:rPr>
        <w:t xml:space="preserve">ountries: </w:t>
      </w:r>
      <w:r w:rsidR="00C720D3">
        <w:rPr>
          <w:rFonts w:ascii="Arial" w:hAnsi="Arial" w:cs="Arial"/>
          <w:noProof w:val="0"/>
          <w:sz w:val="22"/>
          <w:szCs w:val="22"/>
        </w:rPr>
        <w:t>u</w:t>
      </w:r>
      <w:r w:rsidRPr="006238F3">
        <w:rPr>
          <w:rFonts w:ascii="Arial" w:hAnsi="Arial" w:cs="Arial"/>
          <w:noProof w:val="0"/>
          <w:sz w:val="22"/>
          <w:szCs w:val="22"/>
        </w:rPr>
        <w:t xml:space="preserve">nique or </w:t>
      </w:r>
      <w:r w:rsidR="00C720D3">
        <w:rPr>
          <w:rFonts w:ascii="Arial" w:hAnsi="Arial" w:cs="Arial"/>
          <w:noProof w:val="0"/>
          <w:sz w:val="22"/>
          <w:szCs w:val="22"/>
        </w:rPr>
        <w:t>u</w:t>
      </w:r>
      <w:r w:rsidRPr="006238F3">
        <w:rPr>
          <w:rFonts w:ascii="Arial" w:hAnsi="Arial" w:cs="Arial"/>
          <w:noProof w:val="0"/>
          <w:sz w:val="22"/>
          <w:szCs w:val="22"/>
        </w:rPr>
        <w:t>niversal?</w:t>
      </w:r>
      <w:proofErr w:type="gramStart"/>
      <w:r w:rsidRPr="006238F3">
        <w:rPr>
          <w:rFonts w:ascii="Arial" w:hAnsi="Arial" w:cs="Arial"/>
          <w:noProof w:val="0"/>
          <w:sz w:val="22"/>
          <w:szCs w:val="22"/>
        </w:rPr>
        <w:t>’,</w:t>
      </w:r>
      <w:proofErr w:type="gramEnd"/>
      <w:r w:rsidRPr="006238F3">
        <w:rPr>
          <w:rFonts w:ascii="Arial" w:hAnsi="Arial" w:cs="Arial"/>
          <w:noProof w:val="0"/>
          <w:sz w:val="22"/>
          <w:szCs w:val="22"/>
        </w:rPr>
        <w:t xml:space="preserve"> </w:t>
      </w:r>
      <w:r w:rsidRPr="006238F3">
        <w:rPr>
          <w:rFonts w:ascii="Arial" w:hAnsi="Arial" w:cs="Arial"/>
          <w:i/>
          <w:noProof w:val="0"/>
          <w:sz w:val="22"/>
          <w:szCs w:val="22"/>
        </w:rPr>
        <w:t>Journal of Politics</w:t>
      </w:r>
      <w:r w:rsidRPr="006238F3">
        <w:rPr>
          <w:rFonts w:ascii="Arial" w:hAnsi="Arial" w:cs="Arial"/>
          <w:noProof w:val="0"/>
          <w:sz w:val="22"/>
          <w:szCs w:val="22"/>
        </w:rPr>
        <w:t>, 69</w:t>
      </w:r>
      <w:r w:rsidR="00C720D3">
        <w:rPr>
          <w:rFonts w:ascii="Arial" w:hAnsi="Arial" w:cs="Arial"/>
          <w:noProof w:val="0"/>
          <w:sz w:val="22"/>
          <w:szCs w:val="22"/>
        </w:rPr>
        <w:t xml:space="preserve">, </w:t>
      </w:r>
      <w:r w:rsidRPr="006238F3">
        <w:rPr>
          <w:rFonts w:ascii="Arial" w:hAnsi="Arial" w:cs="Arial"/>
          <w:noProof w:val="0"/>
          <w:sz w:val="22"/>
          <w:szCs w:val="22"/>
        </w:rPr>
        <w:t>2, 378-396.</w:t>
      </w:r>
    </w:p>
    <w:p w14:paraId="01F1CEBD" w14:textId="7D786213" w:rsidR="00790959" w:rsidRPr="006238F3" w:rsidRDefault="00055A2E" w:rsidP="006238F3">
      <w:pPr>
        <w:snapToGrid w:val="0"/>
        <w:spacing w:line="480" w:lineRule="auto"/>
        <w:ind w:left="720" w:hanging="720"/>
        <w:jc w:val="both"/>
        <w:rPr>
          <w:rFonts w:ascii="Arial" w:hAnsi="Arial" w:cs="Arial"/>
          <w:noProof w:val="0"/>
          <w:sz w:val="22"/>
          <w:szCs w:val="22"/>
        </w:rPr>
      </w:pPr>
      <w:proofErr w:type="spellStart"/>
      <w:r w:rsidRPr="006238F3">
        <w:rPr>
          <w:rFonts w:ascii="Arial" w:hAnsi="Arial" w:cs="Arial"/>
          <w:noProof w:val="0"/>
          <w:sz w:val="22"/>
          <w:szCs w:val="22"/>
        </w:rPr>
        <w:t>Thévenon</w:t>
      </w:r>
      <w:proofErr w:type="spellEnd"/>
      <w:r w:rsidRPr="006238F3">
        <w:rPr>
          <w:rFonts w:ascii="Arial" w:hAnsi="Arial" w:cs="Arial"/>
          <w:noProof w:val="0"/>
          <w:sz w:val="22"/>
          <w:szCs w:val="22"/>
        </w:rPr>
        <w:t xml:space="preserve">, O. and </w:t>
      </w:r>
      <w:proofErr w:type="spellStart"/>
      <w:r w:rsidRPr="006238F3">
        <w:rPr>
          <w:rFonts w:ascii="Arial" w:hAnsi="Arial" w:cs="Arial"/>
          <w:noProof w:val="0"/>
          <w:sz w:val="22"/>
          <w:szCs w:val="22"/>
        </w:rPr>
        <w:t>Solaz</w:t>
      </w:r>
      <w:proofErr w:type="spellEnd"/>
      <w:r w:rsidRPr="006238F3">
        <w:rPr>
          <w:rFonts w:ascii="Arial" w:hAnsi="Arial" w:cs="Arial"/>
          <w:noProof w:val="0"/>
          <w:sz w:val="22"/>
          <w:szCs w:val="22"/>
        </w:rPr>
        <w:t>, A. (2013</w:t>
      </w:r>
      <w:r w:rsidRPr="006238F3">
        <w:rPr>
          <w:rFonts w:ascii="Arial" w:hAnsi="Arial" w:cs="Arial"/>
          <w:i/>
          <w:iCs/>
          <w:noProof w:val="0"/>
          <w:sz w:val="22"/>
          <w:szCs w:val="22"/>
        </w:rPr>
        <w:t xml:space="preserve">) Parental </w:t>
      </w:r>
      <w:r w:rsidR="00777471" w:rsidRPr="006238F3">
        <w:rPr>
          <w:rFonts w:ascii="Arial" w:hAnsi="Arial" w:cs="Arial"/>
          <w:i/>
          <w:iCs/>
          <w:noProof w:val="0"/>
          <w:sz w:val="22"/>
          <w:szCs w:val="22"/>
        </w:rPr>
        <w:t>L</w:t>
      </w:r>
      <w:r w:rsidRPr="006238F3">
        <w:rPr>
          <w:rFonts w:ascii="Arial" w:hAnsi="Arial" w:cs="Arial"/>
          <w:i/>
          <w:iCs/>
          <w:noProof w:val="0"/>
          <w:sz w:val="22"/>
          <w:szCs w:val="22"/>
        </w:rPr>
        <w:t xml:space="preserve">eave and </w:t>
      </w:r>
      <w:r w:rsidR="00777471" w:rsidRPr="006238F3">
        <w:rPr>
          <w:rFonts w:ascii="Arial" w:hAnsi="Arial" w:cs="Arial"/>
          <w:i/>
          <w:iCs/>
          <w:noProof w:val="0"/>
          <w:sz w:val="22"/>
          <w:szCs w:val="22"/>
        </w:rPr>
        <w:t>L</w:t>
      </w:r>
      <w:r w:rsidRPr="006238F3">
        <w:rPr>
          <w:rFonts w:ascii="Arial" w:hAnsi="Arial" w:cs="Arial"/>
          <w:i/>
          <w:iCs/>
          <w:noProof w:val="0"/>
          <w:sz w:val="22"/>
          <w:szCs w:val="22"/>
        </w:rPr>
        <w:t xml:space="preserve">abour </w:t>
      </w:r>
      <w:r w:rsidR="00777471" w:rsidRPr="006238F3">
        <w:rPr>
          <w:rFonts w:ascii="Arial" w:hAnsi="Arial" w:cs="Arial"/>
          <w:i/>
          <w:iCs/>
          <w:noProof w:val="0"/>
          <w:sz w:val="22"/>
          <w:szCs w:val="22"/>
        </w:rPr>
        <w:t>M</w:t>
      </w:r>
      <w:r w:rsidRPr="006238F3">
        <w:rPr>
          <w:rFonts w:ascii="Arial" w:hAnsi="Arial" w:cs="Arial"/>
          <w:i/>
          <w:iCs/>
          <w:noProof w:val="0"/>
          <w:sz w:val="22"/>
          <w:szCs w:val="22"/>
        </w:rPr>
        <w:t xml:space="preserve">arket </w:t>
      </w:r>
      <w:r w:rsidR="00777471" w:rsidRPr="006238F3">
        <w:rPr>
          <w:rFonts w:ascii="Arial" w:hAnsi="Arial" w:cs="Arial"/>
          <w:i/>
          <w:iCs/>
          <w:noProof w:val="0"/>
          <w:sz w:val="22"/>
          <w:szCs w:val="22"/>
        </w:rPr>
        <w:t>O</w:t>
      </w:r>
      <w:r w:rsidRPr="006238F3">
        <w:rPr>
          <w:rFonts w:ascii="Arial" w:hAnsi="Arial" w:cs="Arial"/>
          <w:i/>
          <w:iCs/>
          <w:noProof w:val="0"/>
          <w:sz w:val="22"/>
          <w:szCs w:val="22"/>
        </w:rPr>
        <w:t xml:space="preserve">utcomes: Lessons from 40 years of </w:t>
      </w:r>
      <w:r w:rsidR="00777471" w:rsidRPr="006238F3">
        <w:rPr>
          <w:rFonts w:ascii="Arial" w:hAnsi="Arial" w:cs="Arial"/>
          <w:i/>
          <w:iCs/>
          <w:noProof w:val="0"/>
          <w:sz w:val="22"/>
          <w:szCs w:val="22"/>
        </w:rPr>
        <w:t>P</w:t>
      </w:r>
      <w:r w:rsidRPr="006238F3">
        <w:rPr>
          <w:rFonts w:ascii="Arial" w:hAnsi="Arial" w:cs="Arial"/>
          <w:i/>
          <w:iCs/>
          <w:noProof w:val="0"/>
          <w:sz w:val="22"/>
          <w:szCs w:val="22"/>
        </w:rPr>
        <w:t>olicies in OECD countries</w:t>
      </w:r>
      <w:r w:rsidR="006238F3">
        <w:rPr>
          <w:rFonts w:ascii="Arial" w:hAnsi="Arial" w:cs="Arial"/>
          <w:noProof w:val="0"/>
          <w:sz w:val="22"/>
          <w:szCs w:val="22"/>
        </w:rPr>
        <w:t xml:space="preserve">, </w:t>
      </w:r>
      <w:r w:rsidRPr="006238F3">
        <w:rPr>
          <w:rFonts w:ascii="Arial" w:hAnsi="Arial" w:cs="Arial"/>
          <w:noProof w:val="0"/>
          <w:sz w:val="22"/>
          <w:szCs w:val="22"/>
        </w:rPr>
        <w:t xml:space="preserve">Paris: </w:t>
      </w:r>
      <w:proofErr w:type="spellStart"/>
      <w:r w:rsidRPr="006238F3">
        <w:rPr>
          <w:rFonts w:ascii="Arial" w:hAnsi="Arial" w:cs="Arial"/>
          <w:noProof w:val="0"/>
          <w:sz w:val="22"/>
          <w:szCs w:val="22"/>
        </w:rPr>
        <w:t>Institut</w:t>
      </w:r>
      <w:proofErr w:type="spellEnd"/>
      <w:r w:rsidRPr="006238F3">
        <w:rPr>
          <w:rFonts w:ascii="Arial" w:hAnsi="Arial" w:cs="Arial"/>
          <w:noProof w:val="0"/>
          <w:sz w:val="22"/>
          <w:szCs w:val="22"/>
        </w:rPr>
        <w:t xml:space="preserve"> </w:t>
      </w:r>
      <w:r w:rsidR="00777471" w:rsidRPr="006238F3">
        <w:rPr>
          <w:rFonts w:ascii="Arial" w:hAnsi="Arial" w:cs="Arial"/>
          <w:noProof w:val="0"/>
          <w:sz w:val="22"/>
          <w:szCs w:val="22"/>
        </w:rPr>
        <w:t>N</w:t>
      </w:r>
      <w:r w:rsidRPr="006238F3">
        <w:rPr>
          <w:rFonts w:ascii="Arial" w:hAnsi="Arial" w:cs="Arial"/>
          <w:noProof w:val="0"/>
          <w:sz w:val="22"/>
          <w:szCs w:val="22"/>
        </w:rPr>
        <w:t xml:space="preserve">ational </w:t>
      </w:r>
      <w:proofErr w:type="spellStart"/>
      <w:r w:rsidRPr="006238F3">
        <w:rPr>
          <w:rFonts w:ascii="Arial" w:hAnsi="Arial" w:cs="Arial"/>
          <w:noProof w:val="0"/>
          <w:sz w:val="22"/>
          <w:szCs w:val="22"/>
        </w:rPr>
        <w:t>d'</w:t>
      </w:r>
      <w:r w:rsidR="00777471" w:rsidRPr="006238F3">
        <w:rPr>
          <w:rFonts w:ascii="Arial" w:hAnsi="Arial" w:cs="Arial"/>
          <w:noProof w:val="0"/>
          <w:sz w:val="22"/>
          <w:szCs w:val="22"/>
        </w:rPr>
        <w:t>E</w:t>
      </w:r>
      <w:r w:rsidRPr="006238F3">
        <w:rPr>
          <w:rFonts w:ascii="Arial" w:hAnsi="Arial" w:cs="Arial"/>
          <w:noProof w:val="0"/>
          <w:sz w:val="22"/>
          <w:szCs w:val="22"/>
        </w:rPr>
        <w:t>tudes</w:t>
      </w:r>
      <w:proofErr w:type="spellEnd"/>
      <w:r w:rsidRPr="006238F3">
        <w:rPr>
          <w:rFonts w:ascii="Arial" w:hAnsi="Arial" w:cs="Arial"/>
          <w:noProof w:val="0"/>
          <w:sz w:val="22"/>
          <w:szCs w:val="22"/>
        </w:rPr>
        <w:t xml:space="preserve"> </w:t>
      </w:r>
      <w:proofErr w:type="spellStart"/>
      <w:r w:rsidR="00777471" w:rsidRPr="006238F3">
        <w:rPr>
          <w:rFonts w:ascii="Arial" w:hAnsi="Arial" w:cs="Arial"/>
          <w:noProof w:val="0"/>
          <w:sz w:val="22"/>
          <w:szCs w:val="22"/>
        </w:rPr>
        <w:t>D</w:t>
      </w:r>
      <w:r w:rsidRPr="006238F3">
        <w:rPr>
          <w:rFonts w:ascii="Arial" w:hAnsi="Arial" w:cs="Arial"/>
          <w:noProof w:val="0"/>
          <w:sz w:val="22"/>
          <w:szCs w:val="22"/>
        </w:rPr>
        <w:t>emographiques</w:t>
      </w:r>
      <w:proofErr w:type="spellEnd"/>
      <w:r w:rsidRPr="006238F3">
        <w:rPr>
          <w:rFonts w:ascii="Arial" w:hAnsi="Arial" w:cs="Arial"/>
          <w:noProof w:val="0"/>
          <w:sz w:val="22"/>
          <w:szCs w:val="22"/>
        </w:rPr>
        <w:t>.</w:t>
      </w:r>
    </w:p>
    <w:p w14:paraId="5051DF6B" w14:textId="1E135F11" w:rsidR="00E65B1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 xml:space="preserve">UNICEF (2013) </w:t>
      </w:r>
      <w:r w:rsidR="00C720D3">
        <w:rPr>
          <w:rFonts w:ascii="Arial" w:hAnsi="Arial" w:cs="Arial"/>
          <w:sz w:val="22"/>
        </w:rPr>
        <w:t>‘</w:t>
      </w:r>
      <w:r w:rsidRPr="006238F3">
        <w:rPr>
          <w:rFonts w:ascii="Arial" w:hAnsi="Arial" w:cs="Arial"/>
          <w:i/>
          <w:sz w:val="22"/>
        </w:rPr>
        <w:t xml:space="preserve">All Asia-Pacific </w:t>
      </w:r>
      <w:r w:rsidR="00C720D3">
        <w:rPr>
          <w:rFonts w:ascii="Arial" w:hAnsi="Arial" w:cs="Arial"/>
          <w:i/>
          <w:sz w:val="22"/>
        </w:rPr>
        <w:t>c</w:t>
      </w:r>
      <w:r w:rsidRPr="006238F3">
        <w:rPr>
          <w:rFonts w:ascii="Arial" w:hAnsi="Arial" w:cs="Arial"/>
          <w:i/>
          <w:sz w:val="22"/>
        </w:rPr>
        <w:t xml:space="preserve">ountries can </w:t>
      </w:r>
      <w:r w:rsidR="00C720D3">
        <w:rPr>
          <w:rFonts w:ascii="Arial" w:hAnsi="Arial" w:cs="Arial"/>
          <w:i/>
          <w:sz w:val="22"/>
        </w:rPr>
        <w:t>i</w:t>
      </w:r>
      <w:r w:rsidRPr="006238F3">
        <w:rPr>
          <w:rFonts w:ascii="Arial" w:hAnsi="Arial" w:cs="Arial"/>
          <w:i/>
          <w:sz w:val="22"/>
        </w:rPr>
        <w:t xml:space="preserve">mplement </w:t>
      </w:r>
      <w:r w:rsidR="00C720D3">
        <w:rPr>
          <w:rFonts w:ascii="Arial" w:hAnsi="Arial" w:cs="Arial"/>
          <w:i/>
          <w:sz w:val="22"/>
        </w:rPr>
        <w:t>s</w:t>
      </w:r>
      <w:r w:rsidRPr="006238F3">
        <w:rPr>
          <w:rFonts w:ascii="Arial" w:hAnsi="Arial" w:cs="Arial"/>
          <w:i/>
          <w:sz w:val="22"/>
        </w:rPr>
        <w:t xml:space="preserve">ix </w:t>
      </w:r>
      <w:r w:rsidR="00C720D3">
        <w:rPr>
          <w:rFonts w:ascii="Arial" w:hAnsi="Arial" w:cs="Arial"/>
          <w:i/>
          <w:sz w:val="22"/>
        </w:rPr>
        <w:t>m</w:t>
      </w:r>
      <w:r w:rsidRPr="006238F3">
        <w:rPr>
          <w:rFonts w:ascii="Arial" w:hAnsi="Arial" w:cs="Arial"/>
          <w:i/>
          <w:sz w:val="22"/>
        </w:rPr>
        <w:t xml:space="preserve">onth </w:t>
      </w:r>
      <w:r w:rsidR="00C720D3">
        <w:rPr>
          <w:rFonts w:ascii="Arial" w:hAnsi="Arial" w:cs="Arial"/>
          <w:i/>
          <w:sz w:val="22"/>
        </w:rPr>
        <w:t>p</w:t>
      </w:r>
      <w:r w:rsidRPr="006238F3">
        <w:rPr>
          <w:rFonts w:ascii="Arial" w:hAnsi="Arial" w:cs="Arial"/>
          <w:i/>
          <w:sz w:val="22"/>
        </w:rPr>
        <w:t xml:space="preserve">aid </w:t>
      </w:r>
      <w:r w:rsidR="00C720D3">
        <w:rPr>
          <w:rFonts w:ascii="Arial" w:hAnsi="Arial" w:cs="Arial"/>
          <w:i/>
          <w:sz w:val="22"/>
        </w:rPr>
        <w:t>m</w:t>
      </w:r>
      <w:r w:rsidRPr="006238F3">
        <w:rPr>
          <w:rFonts w:ascii="Arial" w:hAnsi="Arial" w:cs="Arial"/>
          <w:i/>
          <w:sz w:val="22"/>
        </w:rPr>
        <w:t xml:space="preserve">aternity </w:t>
      </w:r>
      <w:r w:rsidR="00C720D3">
        <w:rPr>
          <w:rFonts w:ascii="Arial" w:hAnsi="Arial" w:cs="Arial"/>
          <w:i/>
          <w:sz w:val="22"/>
        </w:rPr>
        <w:t>l</w:t>
      </w:r>
      <w:r w:rsidRPr="006238F3">
        <w:rPr>
          <w:rFonts w:ascii="Arial" w:hAnsi="Arial" w:cs="Arial"/>
          <w:i/>
          <w:sz w:val="22"/>
        </w:rPr>
        <w:t>eave</w:t>
      </w:r>
      <w:r w:rsidR="00C720D3">
        <w:rPr>
          <w:rFonts w:ascii="Arial" w:hAnsi="Arial" w:cs="Arial"/>
          <w:i/>
          <w:sz w:val="22"/>
        </w:rPr>
        <w:t xml:space="preserve">’,  </w:t>
      </w:r>
      <w:r w:rsidRPr="006238F3">
        <w:rPr>
          <w:rFonts w:ascii="Arial" w:hAnsi="Arial" w:cs="Arial"/>
          <w:sz w:val="22"/>
        </w:rPr>
        <w:t xml:space="preserve">n: </w:t>
      </w:r>
      <w:r w:rsidRPr="006238F3">
        <w:rPr>
          <w:rFonts w:ascii="Arial" w:hAnsi="Arial" w:cs="Arial"/>
          <w:i/>
          <w:sz w:val="22"/>
        </w:rPr>
        <w:t>Maternity Leave</w:t>
      </w:r>
      <w:r w:rsidRPr="006238F3">
        <w:rPr>
          <w:rFonts w:ascii="Arial" w:hAnsi="Arial" w:cs="Arial"/>
          <w:sz w:val="22"/>
        </w:rPr>
        <w:t>, Vol. 2014 UNICEF.</w:t>
      </w:r>
    </w:p>
    <w:p w14:paraId="24228601" w14:textId="4C719E59" w:rsidR="00E65B18"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t>Vis, B. (200</w:t>
      </w:r>
      <w:r w:rsidR="002D7205" w:rsidRPr="006238F3">
        <w:rPr>
          <w:rFonts w:ascii="Arial" w:hAnsi="Arial" w:cs="Arial"/>
          <w:sz w:val="22"/>
        </w:rPr>
        <w:t>8</w:t>
      </w:r>
      <w:r w:rsidRPr="006238F3">
        <w:rPr>
          <w:rFonts w:ascii="Arial" w:hAnsi="Arial" w:cs="Arial"/>
          <w:sz w:val="22"/>
        </w:rPr>
        <w:t xml:space="preserve">) </w:t>
      </w:r>
      <w:r w:rsidR="002D7205" w:rsidRPr="006238F3">
        <w:rPr>
          <w:rFonts w:ascii="Arial" w:hAnsi="Arial" w:cs="Arial"/>
          <w:sz w:val="22"/>
        </w:rPr>
        <w:t>‘</w:t>
      </w:r>
      <w:r w:rsidRPr="006238F3">
        <w:rPr>
          <w:rFonts w:ascii="Arial" w:hAnsi="Arial" w:cs="Arial"/>
          <w:sz w:val="22"/>
        </w:rPr>
        <w:t xml:space="preserve">States of </w:t>
      </w:r>
      <w:r w:rsidR="00677CBB">
        <w:rPr>
          <w:rFonts w:ascii="Arial" w:hAnsi="Arial" w:cs="Arial"/>
          <w:sz w:val="22"/>
        </w:rPr>
        <w:t>w</w:t>
      </w:r>
      <w:r w:rsidRPr="006238F3">
        <w:rPr>
          <w:rFonts w:ascii="Arial" w:hAnsi="Arial" w:cs="Arial"/>
          <w:sz w:val="22"/>
        </w:rPr>
        <w:t xml:space="preserve">elfare or </w:t>
      </w:r>
      <w:r w:rsidR="00677CBB">
        <w:rPr>
          <w:rFonts w:ascii="Arial" w:hAnsi="Arial" w:cs="Arial"/>
          <w:sz w:val="22"/>
        </w:rPr>
        <w:t>s</w:t>
      </w:r>
      <w:r w:rsidRPr="006238F3">
        <w:rPr>
          <w:rFonts w:ascii="Arial" w:hAnsi="Arial" w:cs="Arial"/>
          <w:sz w:val="22"/>
        </w:rPr>
        <w:t xml:space="preserve">tates of </w:t>
      </w:r>
      <w:r w:rsidR="00677CBB">
        <w:rPr>
          <w:rFonts w:ascii="Arial" w:hAnsi="Arial" w:cs="Arial"/>
          <w:sz w:val="22"/>
        </w:rPr>
        <w:t>w</w:t>
      </w:r>
      <w:r w:rsidRPr="006238F3">
        <w:rPr>
          <w:rFonts w:ascii="Arial" w:hAnsi="Arial" w:cs="Arial"/>
          <w:sz w:val="22"/>
        </w:rPr>
        <w:t xml:space="preserve">orkfare? Welfare </w:t>
      </w:r>
      <w:r w:rsidR="00677CBB">
        <w:rPr>
          <w:rFonts w:ascii="Arial" w:hAnsi="Arial" w:cs="Arial"/>
          <w:sz w:val="22"/>
        </w:rPr>
        <w:t>s</w:t>
      </w:r>
      <w:r w:rsidRPr="006238F3">
        <w:rPr>
          <w:rFonts w:ascii="Arial" w:hAnsi="Arial" w:cs="Arial"/>
          <w:sz w:val="22"/>
        </w:rPr>
        <w:t xml:space="preserve">tate </w:t>
      </w:r>
      <w:r w:rsidR="00677CBB">
        <w:rPr>
          <w:rFonts w:ascii="Arial" w:hAnsi="Arial" w:cs="Arial"/>
          <w:sz w:val="22"/>
        </w:rPr>
        <w:t>r</w:t>
      </w:r>
      <w:r w:rsidRPr="006238F3">
        <w:rPr>
          <w:rFonts w:ascii="Arial" w:hAnsi="Arial" w:cs="Arial"/>
          <w:sz w:val="22"/>
        </w:rPr>
        <w:t xml:space="preserve">estructuring in 16 </w:t>
      </w:r>
      <w:r w:rsidR="00677CBB">
        <w:rPr>
          <w:rFonts w:ascii="Arial" w:hAnsi="Arial" w:cs="Arial"/>
          <w:sz w:val="22"/>
        </w:rPr>
        <w:t>c</w:t>
      </w:r>
      <w:r w:rsidRPr="006238F3">
        <w:rPr>
          <w:rFonts w:ascii="Arial" w:hAnsi="Arial" w:cs="Arial"/>
          <w:sz w:val="22"/>
        </w:rPr>
        <w:t xml:space="preserve">apitalist </w:t>
      </w:r>
      <w:r w:rsidR="00677CBB">
        <w:rPr>
          <w:rFonts w:ascii="Arial" w:hAnsi="Arial" w:cs="Arial"/>
          <w:sz w:val="22"/>
        </w:rPr>
        <w:t>d</w:t>
      </w:r>
      <w:r w:rsidRPr="006238F3">
        <w:rPr>
          <w:rFonts w:ascii="Arial" w:hAnsi="Arial" w:cs="Arial"/>
          <w:sz w:val="22"/>
        </w:rPr>
        <w:t>emocracies, 1985</w:t>
      </w:r>
      <w:r w:rsidR="002D7205" w:rsidRPr="006238F3">
        <w:rPr>
          <w:rFonts w:ascii="Arial" w:hAnsi="Arial" w:cs="Arial"/>
          <w:sz w:val="22"/>
        </w:rPr>
        <w:t>-</w:t>
      </w:r>
      <w:r w:rsidRPr="006238F3">
        <w:rPr>
          <w:rFonts w:ascii="Arial" w:hAnsi="Arial" w:cs="Arial"/>
          <w:sz w:val="22"/>
        </w:rPr>
        <w:t>2002</w:t>
      </w:r>
      <w:r w:rsidR="002D7205" w:rsidRPr="006238F3">
        <w:rPr>
          <w:rFonts w:ascii="Arial" w:hAnsi="Arial" w:cs="Arial"/>
          <w:sz w:val="22"/>
        </w:rPr>
        <w:t xml:space="preserve">’, </w:t>
      </w:r>
      <w:r w:rsidRPr="006238F3">
        <w:rPr>
          <w:rFonts w:ascii="Arial" w:hAnsi="Arial" w:cs="Arial"/>
          <w:i/>
          <w:sz w:val="22"/>
        </w:rPr>
        <w:t xml:space="preserve">Policy </w:t>
      </w:r>
      <w:r w:rsidR="006238F3">
        <w:rPr>
          <w:rFonts w:ascii="Arial" w:hAnsi="Arial" w:cs="Arial"/>
          <w:i/>
          <w:sz w:val="22"/>
        </w:rPr>
        <w:t>and</w:t>
      </w:r>
      <w:r w:rsidRPr="006238F3">
        <w:rPr>
          <w:rFonts w:ascii="Arial" w:hAnsi="Arial" w:cs="Arial"/>
          <w:i/>
          <w:sz w:val="22"/>
        </w:rPr>
        <w:t xml:space="preserve"> Politics,</w:t>
      </w:r>
      <w:r w:rsidRPr="006238F3">
        <w:rPr>
          <w:rFonts w:ascii="Arial" w:hAnsi="Arial" w:cs="Arial"/>
          <w:sz w:val="22"/>
        </w:rPr>
        <w:t xml:space="preserve"> 35</w:t>
      </w:r>
      <w:r w:rsidR="00677CBB">
        <w:rPr>
          <w:rFonts w:ascii="Arial" w:hAnsi="Arial" w:cs="Arial"/>
          <w:sz w:val="22"/>
        </w:rPr>
        <w:t xml:space="preserve">, </w:t>
      </w:r>
      <w:r w:rsidRPr="006238F3">
        <w:rPr>
          <w:rFonts w:ascii="Arial" w:hAnsi="Arial" w:cs="Arial"/>
          <w:sz w:val="22"/>
        </w:rPr>
        <w:t>1, 105-122.</w:t>
      </w:r>
    </w:p>
    <w:p w14:paraId="2DA10E92" w14:textId="31AA2E00" w:rsidR="003A5907" w:rsidRPr="006238F3" w:rsidRDefault="00055A2E" w:rsidP="006238F3">
      <w:pPr>
        <w:pStyle w:val="EndNoteBibliography"/>
        <w:snapToGrid w:val="0"/>
        <w:spacing w:after="0" w:line="480" w:lineRule="auto"/>
        <w:ind w:left="720" w:hanging="720"/>
        <w:jc w:val="both"/>
        <w:rPr>
          <w:rFonts w:ascii="Arial" w:hAnsi="Arial" w:cs="Arial"/>
          <w:sz w:val="22"/>
        </w:rPr>
      </w:pPr>
      <w:r w:rsidRPr="006238F3">
        <w:rPr>
          <w:rFonts w:ascii="Arial" w:hAnsi="Arial" w:cs="Arial"/>
          <w:sz w:val="22"/>
        </w:rPr>
        <w:lastRenderedPageBreak/>
        <w:t xml:space="preserve">WHO (2006) </w:t>
      </w:r>
      <w:r w:rsidRPr="006238F3">
        <w:rPr>
          <w:rFonts w:ascii="Arial" w:hAnsi="Arial" w:cs="Arial"/>
          <w:i/>
          <w:sz w:val="22"/>
        </w:rPr>
        <w:t>Working Together for Health</w:t>
      </w:r>
      <w:r w:rsidRPr="006238F3">
        <w:rPr>
          <w:rFonts w:ascii="Arial" w:hAnsi="Arial" w:cs="Arial"/>
          <w:sz w:val="22"/>
        </w:rPr>
        <w:t xml:space="preserve">. </w:t>
      </w:r>
      <w:r w:rsidRPr="006238F3">
        <w:rPr>
          <w:rFonts w:ascii="Arial" w:hAnsi="Arial" w:cs="Arial"/>
          <w:i/>
          <w:iCs/>
          <w:sz w:val="22"/>
        </w:rPr>
        <w:t>The World Health Report</w:t>
      </w:r>
      <w:r w:rsidR="00677CBB">
        <w:rPr>
          <w:rFonts w:ascii="Arial" w:hAnsi="Arial" w:cs="Arial"/>
          <w:sz w:val="22"/>
        </w:rPr>
        <w:t xml:space="preserve">, </w:t>
      </w:r>
      <w:r w:rsidRPr="006238F3">
        <w:rPr>
          <w:rFonts w:ascii="Arial" w:hAnsi="Arial" w:cs="Arial"/>
          <w:sz w:val="22"/>
        </w:rPr>
        <w:t xml:space="preserve"> Geneva: World Health Organisation.</w:t>
      </w:r>
    </w:p>
    <w:p w14:paraId="4A3AE488" w14:textId="68B38CFD" w:rsidR="00E65B18" w:rsidRPr="006238F3" w:rsidRDefault="00055A2E" w:rsidP="006238F3">
      <w:pPr>
        <w:snapToGrid w:val="0"/>
        <w:spacing w:line="480" w:lineRule="auto"/>
        <w:ind w:left="720" w:hanging="720"/>
        <w:jc w:val="both"/>
        <w:rPr>
          <w:rFonts w:ascii="Arial" w:hAnsi="Arial" w:cs="Arial"/>
          <w:sz w:val="22"/>
          <w:szCs w:val="22"/>
        </w:rPr>
      </w:pPr>
      <w:r w:rsidRPr="006238F3">
        <w:rPr>
          <w:rFonts w:ascii="Arial" w:hAnsi="Arial" w:cs="Arial"/>
          <w:sz w:val="22"/>
          <w:szCs w:val="22"/>
        </w:rPr>
        <w:t xml:space="preserve">WHO (2011) </w:t>
      </w:r>
      <w:r w:rsidRPr="006238F3">
        <w:rPr>
          <w:rFonts w:ascii="Arial" w:hAnsi="Arial" w:cs="Arial"/>
          <w:i/>
          <w:sz w:val="22"/>
          <w:szCs w:val="22"/>
        </w:rPr>
        <w:t>Western Pacific Country Health Information Profiles: 2011 Revision</w:t>
      </w:r>
      <w:r w:rsidRPr="006238F3">
        <w:rPr>
          <w:rFonts w:ascii="Arial" w:hAnsi="Arial" w:cs="Arial"/>
          <w:sz w:val="22"/>
          <w:szCs w:val="22"/>
        </w:rPr>
        <w:t>. Geneva: WHO Publishing</w:t>
      </w:r>
      <w:r w:rsidR="002D7205" w:rsidRPr="006238F3">
        <w:rPr>
          <w:rFonts w:ascii="Arial" w:hAnsi="Arial" w:cs="Arial"/>
          <w:sz w:val="22"/>
          <w:szCs w:val="22"/>
        </w:rPr>
        <w:t>.</w:t>
      </w:r>
    </w:p>
    <w:p w14:paraId="44C9268F" w14:textId="0E00BBE2" w:rsidR="002D7205" w:rsidRPr="006238F3" w:rsidRDefault="00055A2E" w:rsidP="006238F3">
      <w:pPr>
        <w:snapToGrid w:val="0"/>
        <w:spacing w:line="480" w:lineRule="auto"/>
        <w:ind w:left="720" w:hanging="720"/>
        <w:jc w:val="both"/>
        <w:rPr>
          <w:rFonts w:ascii="Arial" w:hAnsi="Arial" w:cs="Arial"/>
          <w:sz w:val="22"/>
          <w:szCs w:val="22"/>
        </w:rPr>
      </w:pPr>
      <w:r w:rsidRPr="006238F3">
        <w:rPr>
          <w:rFonts w:ascii="Arial" w:hAnsi="Arial" w:cs="Arial"/>
          <w:sz w:val="22"/>
          <w:szCs w:val="22"/>
        </w:rPr>
        <w:t xml:space="preserve">World Bank (2012) </w:t>
      </w:r>
      <w:r w:rsidRPr="006238F3">
        <w:rPr>
          <w:rFonts w:ascii="Arial" w:hAnsi="Arial" w:cs="Arial"/>
          <w:i/>
          <w:sz w:val="22"/>
          <w:szCs w:val="22"/>
        </w:rPr>
        <w:t>World Development Indicators</w:t>
      </w:r>
      <w:r w:rsidR="006238F3">
        <w:rPr>
          <w:rFonts w:ascii="Arial" w:hAnsi="Arial" w:cs="Arial"/>
          <w:sz w:val="22"/>
          <w:szCs w:val="22"/>
        </w:rPr>
        <w:t xml:space="preserve">, </w:t>
      </w:r>
      <w:r w:rsidRPr="006238F3">
        <w:rPr>
          <w:rFonts w:ascii="Arial" w:hAnsi="Arial" w:cs="Arial"/>
          <w:sz w:val="22"/>
          <w:szCs w:val="22"/>
        </w:rPr>
        <w:t>Washington, D.C: The World Bank</w:t>
      </w:r>
    </w:p>
    <w:p w14:paraId="676E1759" w14:textId="4E7C79DE" w:rsidR="00596120" w:rsidRPr="006238F3" w:rsidRDefault="00055A2E" w:rsidP="006238F3">
      <w:pPr>
        <w:widowControl w:val="0"/>
        <w:autoSpaceDE w:val="0"/>
        <w:autoSpaceDN w:val="0"/>
        <w:adjustRightInd w:val="0"/>
        <w:snapToGrid w:val="0"/>
        <w:spacing w:line="480" w:lineRule="auto"/>
        <w:ind w:left="720" w:hanging="720"/>
        <w:jc w:val="both"/>
        <w:rPr>
          <w:rFonts w:ascii="Arial" w:hAnsi="Arial" w:cs="Arial"/>
          <w:noProof w:val="0"/>
          <w:sz w:val="22"/>
          <w:szCs w:val="22"/>
        </w:rPr>
      </w:pPr>
      <w:r w:rsidRPr="006238F3">
        <w:rPr>
          <w:rFonts w:ascii="Arial" w:hAnsi="Arial" w:cs="Arial"/>
          <w:noProof w:val="0"/>
          <w:sz w:val="22"/>
          <w:szCs w:val="22"/>
        </w:rPr>
        <w:t xml:space="preserve">Yu, S., Chau, R. and </w:t>
      </w:r>
      <w:proofErr w:type="spellStart"/>
      <w:r w:rsidRPr="006238F3">
        <w:rPr>
          <w:rFonts w:ascii="Arial" w:hAnsi="Arial" w:cs="Arial"/>
          <w:noProof w:val="0"/>
          <w:sz w:val="22"/>
          <w:szCs w:val="22"/>
        </w:rPr>
        <w:t>Kühner</w:t>
      </w:r>
      <w:proofErr w:type="spellEnd"/>
      <w:r w:rsidRPr="006238F3">
        <w:rPr>
          <w:rFonts w:ascii="Arial" w:hAnsi="Arial" w:cs="Arial"/>
          <w:noProof w:val="0"/>
          <w:sz w:val="22"/>
          <w:szCs w:val="22"/>
        </w:rPr>
        <w:t>, S. (2018) ‘</w:t>
      </w:r>
      <w:proofErr w:type="spellStart"/>
      <w:r w:rsidRPr="006238F3">
        <w:rPr>
          <w:rFonts w:ascii="Arial" w:hAnsi="Arial" w:cs="Arial"/>
          <w:noProof w:val="0"/>
          <w:sz w:val="22"/>
          <w:szCs w:val="22"/>
        </w:rPr>
        <w:t>Defamilisation</w:t>
      </w:r>
      <w:proofErr w:type="spellEnd"/>
      <w:r w:rsidRPr="006238F3">
        <w:rPr>
          <w:rFonts w:ascii="Arial" w:hAnsi="Arial" w:cs="Arial"/>
          <w:noProof w:val="0"/>
          <w:sz w:val="22"/>
          <w:szCs w:val="22"/>
        </w:rPr>
        <w:t xml:space="preserve"> and </w:t>
      </w:r>
      <w:proofErr w:type="spellStart"/>
      <w:r w:rsidR="00677CBB">
        <w:rPr>
          <w:rFonts w:ascii="Arial" w:hAnsi="Arial" w:cs="Arial"/>
          <w:noProof w:val="0"/>
          <w:sz w:val="22"/>
          <w:szCs w:val="22"/>
        </w:rPr>
        <w:t>f</w:t>
      </w:r>
      <w:r w:rsidRPr="006238F3">
        <w:rPr>
          <w:rFonts w:ascii="Arial" w:hAnsi="Arial" w:cs="Arial"/>
          <w:noProof w:val="0"/>
          <w:sz w:val="22"/>
          <w:szCs w:val="22"/>
        </w:rPr>
        <w:t>amilisation</w:t>
      </w:r>
      <w:proofErr w:type="spellEnd"/>
      <w:r w:rsidRPr="006238F3">
        <w:rPr>
          <w:rFonts w:ascii="Arial" w:hAnsi="Arial" w:cs="Arial"/>
          <w:noProof w:val="0"/>
          <w:sz w:val="22"/>
          <w:szCs w:val="22"/>
        </w:rPr>
        <w:t xml:space="preserve"> </w:t>
      </w:r>
      <w:r w:rsidR="00677CBB">
        <w:rPr>
          <w:rFonts w:ascii="Arial" w:hAnsi="Arial" w:cs="Arial"/>
          <w:noProof w:val="0"/>
          <w:sz w:val="22"/>
          <w:szCs w:val="22"/>
        </w:rPr>
        <w:t>r</w:t>
      </w:r>
      <w:r w:rsidRPr="006238F3">
        <w:rPr>
          <w:rFonts w:ascii="Arial" w:hAnsi="Arial" w:cs="Arial"/>
          <w:noProof w:val="0"/>
          <w:sz w:val="22"/>
          <w:szCs w:val="22"/>
        </w:rPr>
        <w:t xml:space="preserve">isks, </w:t>
      </w:r>
      <w:r w:rsidR="00677CBB">
        <w:rPr>
          <w:rFonts w:ascii="Arial" w:hAnsi="Arial" w:cs="Arial"/>
          <w:noProof w:val="0"/>
          <w:sz w:val="22"/>
          <w:szCs w:val="22"/>
        </w:rPr>
        <w:t>a</w:t>
      </w:r>
      <w:r w:rsidRPr="006238F3">
        <w:rPr>
          <w:rFonts w:ascii="Arial" w:hAnsi="Arial" w:cs="Arial"/>
          <w:noProof w:val="0"/>
          <w:sz w:val="22"/>
          <w:szCs w:val="22"/>
        </w:rPr>
        <w:t xml:space="preserve">dult </w:t>
      </w:r>
      <w:r w:rsidR="00677CBB">
        <w:rPr>
          <w:rFonts w:ascii="Arial" w:hAnsi="Arial" w:cs="Arial"/>
          <w:noProof w:val="0"/>
          <w:sz w:val="22"/>
          <w:szCs w:val="22"/>
        </w:rPr>
        <w:t>w</w:t>
      </w:r>
      <w:r w:rsidRPr="006238F3">
        <w:rPr>
          <w:rFonts w:ascii="Arial" w:hAnsi="Arial" w:cs="Arial"/>
          <w:noProof w:val="0"/>
          <w:sz w:val="22"/>
          <w:szCs w:val="22"/>
        </w:rPr>
        <w:t xml:space="preserve">orker </w:t>
      </w:r>
      <w:r w:rsidR="00677CBB">
        <w:rPr>
          <w:rFonts w:ascii="Arial" w:hAnsi="Arial" w:cs="Arial"/>
          <w:noProof w:val="0"/>
          <w:sz w:val="22"/>
          <w:szCs w:val="22"/>
        </w:rPr>
        <w:t>m</w:t>
      </w:r>
      <w:r w:rsidRPr="006238F3">
        <w:rPr>
          <w:rFonts w:ascii="Arial" w:hAnsi="Arial" w:cs="Arial"/>
          <w:noProof w:val="0"/>
          <w:sz w:val="22"/>
          <w:szCs w:val="22"/>
        </w:rPr>
        <w:t xml:space="preserve">odels, and </w:t>
      </w:r>
      <w:r w:rsidR="00677CBB">
        <w:rPr>
          <w:rFonts w:ascii="Arial" w:hAnsi="Arial" w:cs="Arial"/>
          <w:noProof w:val="0"/>
          <w:sz w:val="22"/>
          <w:szCs w:val="22"/>
        </w:rPr>
        <w:t>p</w:t>
      </w:r>
      <w:r w:rsidRPr="006238F3">
        <w:rPr>
          <w:rFonts w:ascii="Arial" w:hAnsi="Arial" w:cs="Arial"/>
          <w:noProof w:val="0"/>
          <w:sz w:val="22"/>
          <w:szCs w:val="22"/>
        </w:rPr>
        <w:t>ro-employment/</w:t>
      </w:r>
      <w:proofErr w:type="spellStart"/>
      <w:r w:rsidR="00677CBB">
        <w:rPr>
          <w:rFonts w:ascii="Arial" w:hAnsi="Arial" w:cs="Arial"/>
          <w:noProof w:val="0"/>
          <w:sz w:val="22"/>
          <w:szCs w:val="22"/>
        </w:rPr>
        <w:t>d</w:t>
      </w:r>
      <w:r w:rsidRPr="006238F3">
        <w:rPr>
          <w:rFonts w:ascii="Arial" w:hAnsi="Arial" w:cs="Arial"/>
          <w:noProof w:val="0"/>
          <w:sz w:val="22"/>
          <w:szCs w:val="22"/>
        </w:rPr>
        <w:t>ecommodification</w:t>
      </w:r>
      <w:proofErr w:type="spellEnd"/>
      <w:r w:rsidRPr="006238F3">
        <w:rPr>
          <w:rFonts w:ascii="Arial" w:hAnsi="Arial" w:cs="Arial"/>
          <w:noProof w:val="0"/>
          <w:sz w:val="22"/>
          <w:szCs w:val="22"/>
        </w:rPr>
        <w:t xml:space="preserve"> </w:t>
      </w:r>
      <w:r w:rsidR="00677CBB">
        <w:rPr>
          <w:rFonts w:ascii="Arial" w:hAnsi="Arial" w:cs="Arial"/>
          <w:noProof w:val="0"/>
          <w:sz w:val="22"/>
          <w:szCs w:val="22"/>
        </w:rPr>
        <w:t>m</w:t>
      </w:r>
      <w:r w:rsidRPr="006238F3">
        <w:rPr>
          <w:rFonts w:ascii="Arial" w:hAnsi="Arial" w:cs="Arial"/>
          <w:noProof w:val="0"/>
          <w:sz w:val="22"/>
          <w:szCs w:val="22"/>
        </w:rPr>
        <w:t xml:space="preserve">easures for </w:t>
      </w:r>
      <w:r w:rsidR="00677CBB">
        <w:rPr>
          <w:rFonts w:ascii="Arial" w:hAnsi="Arial" w:cs="Arial"/>
          <w:noProof w:val="0"/>
          <w:sz w:val="22"/>
          <w:szCs w:val="22"/>
        </w:rPr>
        <w:t>w</w:t>
      </w:r>
      <w:r w:rsidRPr="006238F3">
        <w:rPr>
          <w:rFonts w:ascii="Arial" w:hAnsi="Arial" w:cs="Arial"/>
          <w:noProof w:val="0"/>
          <w:sz w:val="22"/>
          <w:szCs w:val="22"/>
        </w:rPr>
        <w:t xml:space="preserve">omen: </w:t>
      </w:r>
      <w:r w:rsidR="00677CBB">
        <w:rPr>
          <w:rFonts w:ascii="Arial" w:hAnsi="Arial" w:cs="Arial"/>
          <w:noProof w:val="0"/>
          <w:sz w:val="22"/>
          <w:szCs w:val="22"/>
        </w:rPr>
        <w:t>t</w:t>
      </w:r>
      <w:r w:rsidRPr="006238F3">
        <w:rPr>
          <w:rFonts w:ascii="Arial" w:hAnsi="Arial" w:cs="Arial"/>
          <w:noProof w:val="0"/>
          <w:sz w:val="22"/>
          <w:szCs w:val="22"/>
        </w:rPr>
        <w:t xml:space="preserve">he </w:t>
      </w:r>
      <w:r w:rsidR="00677CBB">
        <w:rPr>
          <w:rFonts w:ascii="Arial" w:hAnsi="Arial" w:cs="Arial"/>
          <w:noProof w:val="0"/>
          <w:sz w:val="22"/>
          <w:szCs w:val="22"/>
        </w:rPr>
        <w:t>c</w:t>
      </w:r>
      <w:r w:rsidRPr="006238F3">
        <w:rPr>
          <w:rFonts w:ascii="Arial" w:hAnsi="Arial" w:cs="Arial"/>
          <w:noProof w:val="0"/>
          <w:sz w:val="22"/>
          <w:szCs w:val="22"/>
        </w:rPr>
        <w:t xml:space="preserve">ase of Hong Kong’, </w:t>
      </w:r>
      <w:r w:rsidRPr="006238F3">
        <w:rPr>
          <w:rFonts w:ascii="Arial" w:hAnsi="Arial" w:cs="Arial"/>
          <w:i/>
          <w:noProof w:val="0"/>
          <w:sz w:val="22"/>
          <w:szCs w:val="22"/>
        </w:rPr>
        <w:t>Journal of International and Comparative Social Policy</w:t>
      </w:r>
      <w:r w:rsidR="002D7205" w:rsidRPr="006238F3">
        <w:rPr>
          <w:rFonts w:ascii="Arial" w:hAnsi="Arial" w:cs="Arial"/>
          <w:noProof w:val="0"/>
          <w:sz w:val="22"/>
          <w:szCs w:val="22"/>
        </w:rPr>
        <w:t>, 35</w:t>
      </w:r>
      <w:r w:rsidR="00677CBB">
        <w:rPr>
          <w:rFonts w:ascii="Arial" w:hAnsi="Arial" w:cs="Arial"/>
          <w:noProof w:val="0"/>
          <w:sz w:val="22"/>
          <w:szCs w:val="22"/>
        </w:rPr>
        <w:t xml:space="preserve">, </w:t>
      </w:r>
      <w:r w:rsidR="002D7205" w:rsidRPr="006238F3">
        <w:rPr>
          <w:rFonts w:ascii="Arial" w:hAnsi="Arial" w:cs="Arial"/>
          <w:noProof w:val="0"/>
          <w:sz w:val="22"/>
          <w:szCs w:val="22"/>
        </w:rPr>
        <w:t>2, 194-210</w:t>
      </w:r>
      <w:r w:rsidRPr="006238F3">
        <w:rPr>
          <w:rFonts w:ascii="Arial" w:hAnsi="Arial" w:cs="Arial"/>
          <w:noProof w:val="0"/>
          <w:sz w:val="22"/>
          <w:szCs w:val="22"/>
        </w:rPr>
        <w:t>.</w:t>
      </w:r>
      <w:bookmarkStart w:id="3" w:name="_GoBack"/>
      <w:bookmarkEnd w:id="3"/>
    </w:p>
    <w:sectPr w:rsidR="00596120" w:rsidRPr="006238F3" w:rsidSect="004E372A">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7C750" w15:done="0"/>
  <w15:commentEx w15:paraId="31F639A8" w15:done="0"/>
  <w15:commentEx w15:paraId="4E0EB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7C750" w16cid:durableId="218F9F8A"/>
  <w16cid:commentId w16cid:paraId="31F639A8" w16cid:durableId="218F9F8B"/>
  <w16cid:commentId w16cid:paraId="4E0EBA99" w16cid:durableId="218F9F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EA40" w14:textId="77777777" w:rsidR="008739A7" w:rsidRDefault="008739A7">
      <w:r>
        <w:separator/>
      </w:r>
    </w:p>
  </w:endnote>
  <w:endnote w:type="continuationSeparator" w:id="0">
    <w:p w14:paraId="3F1B1EBE" w14:textId="77777777" w:rsidR="008739A7" w:rsidRDefault="008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S Gothic"/>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74274" w14:textId="77777777" w:rsidR="008739A7" w:rsidRDefault="008739A7" w:rsidP="00596120">
      <w:r>
        <w:separator/>
      </w:r>
    </w:p>
  </w:footnote>
  <w:footnote w:type="continuationSeparator" w:id="0">
    <w:p w14:paraId="2427C7D7" w14:textId="77777777" w:rsidR="008739A7" w:rsidRDefault="008739A7" w:rsidP="00596120">
      <w:r>
        <w:continuationSeparator/>
      </w:r>
    </w:p>
  </w:footnote>
  <w:footnote w:id="1">
    <w:p w14:paraId="4792203C" w14:textId="11532647" w:rsidR="00FC2ED7" w:rsidRPr="006238F3" w:rsidRDefault="00FC2ED7" w:rsidP="00596120">
      <w:pPr>
        <w:pStyle w:val="FootnoteText"/>
        <w:jc w:val="both"/>
        <w:rPr>
          <w:rFonts w:ascii="Arial" w:hAnsi="Arial" w:cs="Arial"/>
          <w:sz w:val="20"/>
          <w:szCs w:val="20"/>
          <w:lang w:eastAsia="zh-CN"/>
        </w:rPr>
      </w:pPr>
      <w:r w:rsidRPr="006238F3">
        <w:rPr>
          <w:rStyle w:val="FootnoteReference"/>
          <w:rFonts w:ascii="Arial" w:hAnsi="Arial" w:cs="Arial"/>
          <w:sz w:val="20"/>
          <w:szCs w:val="20"/>
        </w:rPr>
        <w:footnoteRef/>
      </w:r>
      <w:r>
        <w:rPr>
          <w:rFonts w:ascii="Arial" w:hAnsi="Arial" w:cs="Arial"/>
          <w:sz w:val="20"/>
          <w:szCs w:val="20"/>
        </w:rPr>
        <w:t xml:space="preserve"> </w:t>
      </w:r>
      <w:r w:rsidRPr="006238F3">
        <w:rPr>
          <w:rFonts w:ascii="Arial" w:hAnsi="Arial" w:cs="Arial"/>
          <w:sz w:val="20"/>
          <w:szCs w:val="20"/>
        </w:rPr>
        <w:t xml:space="preserve">Many studies have shown that </w:t>
      </w:r>
      <w:r w:rsidRPr="006238F3">
        <w:rPr>
          <w:rFonts w:ascii="Arial" w:hAnsi="Arial" w:cs="Arial"/>
          <w:sz w:val="20"/>
          <w:szCs w:val="20"/>
          <w:lang w:eastAsia="zh-CN"/>
        </w:rPr>
        <w:t>childcare provision has a positive impact on female participation in developed countries. However, there is a dearth of comparable data on childcare provision in the East Asian context. In this article, therefore, we focus on maternity leave.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78FD"/>
    <w:multiLevelType w:val="hybridMultilevel"/>
    <w:tmpl w:val="676062AA"/>
    <w:lvl w:ilvl="0" w:tplc="CD3295C8">
      <w:start w:val="1"/>
      <w:numFmt w:val="decimal"/>
      <w:lvlText w:val="(%1)"/>
      <w:lvlJc w:val="left"/>
      <w:pPr>
        <w:ind w:left="360" w:hanging="360"/>
      </w:pPr>
      <w:rPr>
        <w:rFonts w:hint="default"/>
      </w:rPr>
    </w:lvl>
    <w:lvl w:ilvl="1" w:tplc="A33A7414" w:tentative="1">
      <w:start w:val="1"/>
      <w:numFmt w:val="lowerLetter"/>
      <w:lvlText w:val="%2."/>
      <w:lvlJc w:val="left"/>
      <w:pPr>
        <w:ind w:left="1080" w:hanging="360"/>
      </w:pPr>
    </w:lvl>
    <w:lvl w:ilvl="2" w:tplc="815C362E" w:tentative="1">
      <w:start w:val="1"/>
      <w:numFmt w:val="lowerRoman"/>
      <w:lvlText w:val="%3."/>
      <w:lvlJc w:val="right"/>
      <w:pPr>
        <w:ind w:left="1800" w:hanging="180"/>
      </w:pPr>
    </w:lvl>
    <w:lvl w:ilvl="3" w:tplc="D3BA41C8" w:tentative="1">
      <w:start w:val="1"/>
      <w:numFmt w:val="decimal"/>
      <w:lvlText w:val="%4."/>
      <w:lvlJc w:val="left"/>
      <w:pPr>
        <w:ind w:left="2520" w:hanging="360"/>
      </w:pPr>
    </w:lvl>
    <w:lvl w:ilvl="4" w:tplc="ED7AFEAE" w:tentative="1">
      <w:start w:val="1"/>
      <w:numFmt w:val="lowerLetter"/>
      <w:lvlText w:val="%5."/>
      <w:lvlJc w:val="left"/>
      <w:pPr>
        <w:ind w:left="3240" w:hanging="360"/>
      </w:pPr>
    </w:lvl>
    <w:lvl w:ilvl="5" w:tplc="03DC5910" w:tentative="1">
      <w:start w:val="1"/>
      <w:numFmt w:val="lowerRoman"/>
      <w:lvlText w:val="%6."/>
      <w:lvlJc w:val="right"/>
      <w:pPr>
        <w:ind w:left="3960" w:hanging="180"/>
      </w:pPr>
    </w:lvl>
    <w:lvl w:ilvl="6" w:tplc="3EB87048" w:tentative="1">
      <w:start w:val="1"/>
      <w:numFmt w:val="decimal"/>
      <w:lvlText w:val="%7."/>
      <w:lvlJc w:val="left"/>
      <w:pPr>
        <w:ind w:left="4680" w:hanging="360"/>
      </w:pPr>
    </w:lvl>
    <w:lvl w:ilvl="7" w:tplc="07BE82D6" w:tentative="1">
      <w:start w:val="1"/>
      <w:numFmt w:val="lowerLetter"/>
      <w:lvlText w:val="%8."/>
      <w:lvlJc w:val="left"/>
      <w:pPr>
        <w:ind w:left="5400" w:hanging="360"/>
      </w:pPr>
    </w:lvl>
    <w:lvl w:ilvl="8" w:tplc="AAA02A62"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EHNER Stefan">
    <w15:presenceInfo w15:providerId="AD" w15:userId="S::stefankuehner@ln.edu.hk::539a0730-2fab-4642-9c27-30bc66bd6d6f"/>
  </w15:person>
  <w15:person w15:author="Shona Kirk">
    <w15:presenceInfo w15:providerId="None" w15:userId="Shona K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p9tsd242vsemes9zq5vr5d5255r5tpav9r&quot;&gt;My EndNote Library Copy Copy (Nan&amp;apos;s Thinkpad&amp;apos;s conflicted copy 2014-06-26)&lt;record-ids&gt;&lt;item&gt;1374&lt;/item&gt;&lt;/record-ids&gt;&lt;/item&gt;&lt;/Libraries&gt;"/>
  </w:docVars>
  <w:rsids>
    <w:rsidRoot w:val="004E372A"/>
    <w:rsid w:val="00055A2E"/>
    <w:rsid w:val="00056DEA"/>
    <w:rsid w:val="00063CD2"/>
    <w:rsid w:val="000B68E5"/>
    <w:rsid w:val="00164702"/>
    <w:rsid w:val="001701FA"/>
    <w:rsid w:val="001C613C"/>
    <w:rsid w:val="002477FD"/>
    <w:rsid w:val="002544DE"/>
    <w:rsid w:val="00264C40"/>
    <w:rsid w:val="00265E8F"/>
    <w:rsid w:val="002D7205"/>
    <w:rsid w:val="00305F6C"/>
    <w:rsid w:val="00324A31"/>
    <w:rsid w:val="00333EFB"/>
    <w:rsid w:val="00342A2B"/>
    <w:rsid w:val="0039534E"/>
    <w:rsid w:val="003A5907"/>
    <w:rsid w:val="003C3255"/>
    <w:rsid w:val="003C5A9C"/>
    <w:rsid w:val="003F795A"/>
    <w:rsid w:val="004440AD"/>
    <w:rsid w:val="00486FBB"/>
    <w:rsid w:val="004A6779"/>
    <w:rsid w:val="004D3924"/>
    <w:rsid w:val="004E372A"/>
    <w:rsid w:val="004E3964"/>
    <w:rsid w:val="00591DBC"/>
    <w:rsid w:val="00596120"/>
    <w:rsid w:val="005A5473"/>
    <w:rsid w:val="005C61DE"/>
    <w:rsid w:val="005D75FE"/>
    <w:rsid w:val="006238F3"/>
    <w:rsid w:val="006434C7"/>
    <w:rsid w:val="00677CBB"/>
    <w:rsid w:val="006F09EB"/>
    <w:rsid w:val="00711522"/>
    <w:rsid w:val="007250CA"/>
    <w:rsid w:val="0074369D"/>
    <w:rsid w:val="00777471"/>
    <w:rsid w:val="00790959"/>
    <w:rsid w:val="007B2888"/>
    <w:rsid w:val="00802AA4"/>
    <w:rsid w:val="00805DD7"/>
    <w:rsid w:val="00806413"/>
    <w:rsid w:val="00831012"/>
    <w:rsid w:val="008518A7"/>
    <w:rsid w:val="0085586C"/>
    <w:rsid w:val="008739A7"/>
    <w:rsid w:val="008D6793"/>
    <w:rsid w:val="00913A99"/>
    <w:rsid w:val="00932EDC"/>
    <w:rsid w:val="00965254"/>
    <w:rsid w:val="009948CE"/>
    <w:rsid w:val="009B21E8"/>
    <w:rsid w:val="009E32F1"/>
    <w:rsid w:val="00A108FD"/>
    <w:rsid w:val="00A86276"/>
    <w:rsid w:val="00A90E3A"/>
    <w:rsid w:val="00AA0F33"/>
    <w:rsid w:val="00AB6A27"/>
    <w:rsid w:val="00AF15A5"/>
    <w:rsid w:val="00B618A3"/>
    <w:rsid w:val="00BC56C5"/>
    <w:rsid w:val="00C720D3"/>
    <w:rsid w:val="00CB444C"/>
    <w:rsid w:val="00CC48B1"/>
    <w:rsid w:val="00CF4244"/>
    <w:rsid w:val="00D5260F"/>
    <w:rsid w:val="00D62BD0"/>
    <w:rsid w:val="00D86220"/>
    <w:rsid w:val="00DC3968"/>
    <w:rsid w:val="00DE2C0F"/>
    <w:rsid w:val="00E46A23"/>
    <w:rsid w:val="00E65B18"/>
    <w:rsid w:val="00ED6D52"/>
    <w:rsid w:val="00EF4111"/>
    <w:rsid w:val="00FA3B48"/>
    <w:rsid w:val="00FC2ED7"/>
    <w:rsid w:val="00FC75C8"/>
    <w:rsid w:val="00FD6A7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2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72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372A"/>
    <w:pPr>
      <w:spacing w:after="200"/>
    </w:pPr>
    <w:rPr>
      <w:rFonts w:ascii="Times New Roman" w:hAnsi="Times New Roman" w:cs="Times New Roman"/>
      <w:b/>
      <w:bCs/>
      <w:color w:val="4472C4" w:themeColor="accent1"/>
      <w:sz w:val="18"/>
      <w:szCs w:val="18"/>
    </w:rPr>
  </w:style>
  <w:style w:type="paragraph" w:styleId="ListParagraph">
    <w:name w:val="List Paragraph"/>
    <w:basedOn w:val="Normal"/>
    <w:uiPriority w:val="34"/>
    <w:qFormat/>
    <w:rsid w:val="00596120"/>
    <w:pPr>
      <w:ind w:left="720"/>
      <w:contextualSpacing/>
    </w:pPr>
  </w:style>
  <w:style w:type="paragraph" w:styleId="FootnoteText">
    <w:name w:val="footnote text"/>
    <w:basedOn w:val="Normal"/>
    <w:link w:val="FootnoteTextChar"/>
    <w:uiPriority w:val="99"/>
    <w:semiHidden/>
    <w:unhideWhenUsed/>
    <w:rsid w:val="00596120"/>
  </w:style>
  <w:style w:type="character" w:customStyle="1" w:styleId="FootnoteTextChar">
    <w:name w:val="Footnote Text Char"/>
    <w:basedOn w:val="DefaultParagraphFont"/>
    <w:link w:val="FootnoteText"/>
    <w:uiPriority w:val="99"/>
    <w:semiHidden/>
    <w:rsid w:val="00596120"/>
    <w:rPr>
      <w:rFonts w:eastAsiaTheme="minorEastAsia"/>
      <w:noProof/>
      <w:lang w:val="en-GB"/>
    </w:rPr>
  </w:style>
  <w:style w:type="character" w:styleId="FootnoteReference">
    <w:name w:val="footnote reference"/>
    <w:basedOn w:val="DefaultParagraphFont"/>
    <w:uiPriority w:val="99"/>
    <w:semiHidden/>
    <w:unhideWhenUsed/>
    <w:rsid w:val="00596120"/>
    <w:rPr>
      <w:vertAlign w:val="superscript"/>
    </w:rPr>
  </w:style>
  <w:style w:type="paragraph" w:styleId="Header">
    <w:name w:val="header"/>
    <w:basedOn w:val="Normal"/>
    <w:link w:val="HeaderChar"/>
    <w:uiPriority w:val="99"/>
    <w:unhideWhenUsed/>
    <w:rsid w:val="00E65B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5B18"/>
    <w:rPr>
      <w:noProof/>
      <w:sz w:val="18"/>
      <w:szCs w:val="18"/>
      <w:lang w:val="en-GB"/>
    </w:rPr>
  </w:style>
  <w:style w:type="paragraph" w:styleId="Footer">
    <w:name w:val="footer"/>
    <w:basedOn w:val="Normal"/>
    <w:link w:val="FooterChar"/>
    <w:uiPriority w:val="99"/>
    <w:unhideWhenUsed/>
    <w:rsid w:val="00E65B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5B18"/>
    <w:rPr>
      <w:noProof/>
      <w:sz w:val="18"/>
      <w:szCs w:val="18"/>
      <w:lang w:val="en-GB"/>
    </w:rPr>
  </w:style>
  <w:style w:type="paragraph" w:customStyle="1" w:styleId="EndNoteBibliography">
    <w:name w:val="EndNote Bibliography"/>
    <w:basedOn w:val="Normal"/>
    <w:link w:val="EndNoteBibliographyChar"/>
    <w:rsid w:val="00E65B18"/>
    <w:pPr>
      <w:spacing w:after="360"/>
    </w:pPr>
    <w:rPr>
      <w:rFonts w:ascii="Calibri" w:hAnsi="Calibri" w:cs="Times New Roman"/>
      <w:szCs w:val="22"/>
      <w:lang w:val="en-US"/>
    </w:rPr>
  </w:style>
  <w:style w:type="character" w:customStyle="1" w:styleId="EndNoteBibliographyChar">
    <w:name w:val="EndNote Bibliography Char"/>
    <w:basedOn w:val="DefaultParagraphFont"/>
    <w:link w:val="EndNoteBibliography"/>
    <w:rsid w:val="00E65B18"/>
    <w:rPr>
      <w:rFonts w:ascii="Calibri" w:hAnsi="Calibri" w:cs="Times New Roman"/>
      <w:noProof/>
      <w:szCs w:val="22"/>
      <w:lang w:val="en-US"/>
    </w:rPr>
  </w:style>
  <w:style w:type="paragraph" w:customStyle="1" w:styleId="EndNoteBibliographyTitle">
    <w:name w:val="EndNote Bibliography Title"/>
    <w:basedOn w:val="Normal"/>
    <w:link w:val="EndNoteBibliographyTitleChar"/>
    <w:rsid w:val="00E65B18"/>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E65B18"/>
    <w:rPr>
      <w:rFonts w:ascii="Calibri" w:hAnsi="Calibri"/>
      <w:noProof/>
      <w:lang w:val="en-US"/>
    </w:rPr>
  </w:style>
  <w:style w:type="paragraph" w:styleId="BalloonText">
    <w:name w:val="Balloon Text"/>
    <w:basedOn w:val="Normal"/>
    <w:link w:val="BalloonTextChar"/>
    <w:uiPriority w:val="99"/>
    <w:semiHidden/>
    <w:unhideWhenUsed/>
    <w:rsid w:val="00E65B18"/>
    <w:rPr>
      <w:sz w:val="18"/>
      <w:szCs w:val="18"/>
    </w:rPr>
  </w:style>
  <w:style w:type="character" w:customStyle="1" w:styleId="BalloonTextChar">
    <w:name w:val="Balloon Text Char"/>
    <w:basedOn w:val="DefaultParagraphFont"/>
    <w:link w:val="BalloonText"/>
    <w:uiPriority w:val="99"/>
    <w:semiHidden/>
    <w:rsid w:val="00E65B18"/>
    <w:rPr>
      <w:noProof/>
      <w:sz w:val="18"/>
      <w:szCs w:val="18"/>
      <w:lang w:val="en-GB"/>
    </w:rPr>
  </w:style>
  <w:style w:type="character" w:styleId="CommentReference">
    <w:name w:val="annotation reference"/>
    <w:basedOn w:val="DefaultParagraphFont"/>
    <w:uiPriority w:val="99"/>
    <w:semiHidden/>
    <w:unhideWhenUsed/>
    <w:rsid w:val="00EF4111"/>
    <w:rPr>
      <w:sz w:val="16"/>
      <w:szCs w:val="16"/>
    </w:rPr>
  </w:style>
  <w:style w:type="paragraph" w:styleId="CommentText">
    <w:name w:val="annotation text"/>
    <w:basedOn w:val="Normal"/>
    <w:link w:val="CommentTextChar"/>
    <w:uiPriority w:val="99"/>
    <w:semiHidden/>
    <w:unhideWhenUsed/>
    <w:rsid w:val="00EF4111"/>
    <w:rPr>
      <w:sz w:val="20"/>
      <w:szCs w:val="20"/>
    </w:rPr>
  </w:style>
  <w:style w:type="character" w:customStyle="1" w:styleId="CommentTextChar">
    <w:name w:val="Comment Text Char"/>
    <w:basedOn w:val="DefaultParagraphFont"/>
    <w:link w:val="CommentText"/>
    <w:uiPriority w:val="99"/>
    <w:semiHidden/>
    <w:rsid w:val="00EF4111"/>
    <w:rPr>
      <w:noProof/>
      <w:sz w:val="20"/>
      <w:szCs w:val="20"/>
      <w:lang w:val="en-GB"/>
    </w:rPr>
  </w:style>
  <w:style w:type="paragraph" w:styleId="CommentSubject">
    <w:name w:val="annotation subject"/>
    <w:basedOn w:val="CommentText"/>
    <w:next w:val="CommentText"/>
    <w:link w:val="CommentSubjectChar"/>
    <w:uiPriority w:val="99"/>
    <w:semiHidden/>
    <w:unhideWhenUsed/>
    <w:rsid w:val="00EF4111"/>
    <w:rPr>
      <w:b/>
      <w:bCs/>
    </w:rPr>
  </w:style>
  <w:style w:type="character" w:customStyle="1" w:styleId="CommentSubjectChar">
    <w:name w:val="Comment Subject Char"/>
    <w:basedOn w:val="CommentTextChar"/>
    <w:link w:val="CommentSubject"/>
    <w:uiPriority w:val="99"/>
    <w:semiHidden/>
    <w:rsid w:val="00EF4111"/>
    <w:rPr>
      <w:b/>
      <w:bCs/>
      <w:noProof/>
      <w:sz w:val="20"/>
      <w:szCs w:val="20"/>
      <w:lang w:val="en-GB"/>
    </w:rPr>
  </w:style>
  <w:style w:type="character" w:styleId="Hyperlink">
    <w:name w:val="Hyperlink"/>
    <w:basedOn w:val="DefaultParagraphFont"/>
    <w:uiPriority w:val="99"/>
    <w:unhideWhenUsed/>
    <w:rsid w:val="00FA3B48"/>
    <w:rPr>
      <w:color w:val="0563C1" w:themeColor="hyperlink"/>
      <w:u w:val="single"/>
    </w:rPr>
  </w:style>
  <w:style w:type="character" w:customStyle="1" w:styleId="UnresolvedMention">
    <w:name w:val="Unresolved Mention"/>
    <w:basedOn w:val="DefaultParagraphFont"/>
    <w:uiPriority w:val="99"/>
    <w:semiHidden/>
    <w:unhideWhenUsed/>
    <w:rsid w:val="00FA3B48"/>
    <w:rPr>
      <w:color w:val="605E5C"/>
      <w:shd w:val="clear" w:color="auto" w:fill="E1DFDD"/>
    </w:rPr>
  </w:style>
  <w:style w:type="paragraph" w:styleId="Revision">
    <w:name w:val="Revision"/>
    <w:hidden/>
    <w:uiPriority w:val="99"/>
    <w:semiHidden/>
    <w:rsid w:val="00FC2ED7"/>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2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72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372A"/>
    <w:pPr>
      <w:spacing w:after="200"/>
    </w:pPr>
    <w:rPr>
      <w:rFonts w:ascii="Times New Roman" w:hAnsi="Times New Roman" w:cs="Times New Roman"/>
      <w:b/>
      <w:bCs/>
      <w:color w:val="4472C4" w:themeColor="accent1"/>
      <w:sz w:val="18"/>
      <w:szCs w:val="18"/>
    </w:rPr>
  </w:style>
  <w:style w:type="paragraph" w:styleId="ListParagraph">
    <w:name w:val="List Paragraph"/>
    <w:basedOn w:val="Normal"/>
    <w:uiPriority w:val="34"/>
    <w:qFormat/>
    <w:rsid w:val="00596120"/>
    <w:pPr>
      <w:ind w:left="720"/>
      <w:contextualSpacing/>
    </w:pPr>
  </w:style>
  <w:style w:type="paragraph" w:styleId="FootnoteText">
    <w:name w:val="footnote text"/>
    <w:basedOn w:val="Normal"/>
    <w:link w:val="FootnoteTextChar"/>
    <w:uiPriority w:val="99"/>
    <w:semiHidden/>
    <w:unhideWhenUsed/>
    <w:rsid w:val="00596120"/>
  </w:style>
  <w:style w:type="character" w:customStyle="1" w:styleId="FootnoteTextChar">
    <w:name w:val="Footnote Text Char"/>
    <w:basedOn w:val="DefaultParagraphFont"/>
    <w:link w:val="FootnoteText"/>
    <w:uiPriority w:val="99"/>
    <w:semiHidden/>
    <w:rsid w:val="00596120"/>
    <w:rPr>
      <w:rFonts w:eastAsiaTheme="minorEastAsia"/>
      <w:noProof/>
      <w:lang w:val="en-GB"/>
    </w:rPr>
  </w:style>
  <w:style w:type="character" w:styleId="FootnoteReference">
    <w:name w:val="footnote reference"/>
    <w:basedOn w:val="DefaultParagraphFont"/>
    <w:uiPriority w:val="99"/>
    <w:semiHidden/>
    <w:unhideWhenUsed/>
    <w:rsid w:val="00596120"/>
    <w:rPr>
      <w:vertAlign w:val="superscript"/>
    </w:rPr>
  </w:style>
  <w:style w:type="paragraph" w:styleId="Header">
    <w:name w:val="header"/>
    <w:basedOn w:val="Normal"/>
    <w:link w:val="HeaderChar"/>
    <w:uiPriority w:val="99"/>
    <w:unhideWhenUsed/>
    <w:rsid w:val="00E65B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5B18"/>
    <w:rPr>
      <w:noProof/>
      <w:sz w:val="18"/>
      <w:szCs w:val="18"/>
      <w:lang w:val="en-GB"/>
    </w:rPr>
  </w:style>
  <w:style w:type="paragraph" w:styleId="Footer">
    <w:name w:val="footer"/>
    <w:basedOn w:val="Normal"/>
    <w:link w:val="FooterChar"/>
    <w:uiPriority w:val="99"/>
    <w:unhideWhenUsed/>
    <w:rsid w:val="00E65B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5B18"/>
    <w:rPr>
      <w:noProof/>
      <w:sz w:val="18"/>
      <w:szCs w:val="18"/>
      <w:lang w:val="en-GB"/>
    </w:rPr>
  </w:style>
  <w:style w:type="paragraph" w:customStyle="1" w:styleId="EndNoteBibliography">
    <w:name w:val="EndNote Bibliography"/>
    <w:basedOn w:val="Normal"/>
    <w:link w:val="EndNoteBibliographyChar"/>
    <w:rsid w:val="00E65B18"/>
    <w:pPr>
      <w:spacing w:after="360"/>
    </w:pPr>
    <w:rPr>
      <w:rFonts w:ascii="Calibri" w:hAnsi="Calibri" w:cs="Times New Roman"/>
      <w:szCs w:val="22"/>
      <w:lang w:val="en-US"/>
    </w:rPr>
  </w:style>
  <w:style w:type="character" w:customStyle="1" w:styleId="EndNoteBibliographyChar">
    <w:name w:val="EndNote Bibliography Char"/>
    <w:basedOn w:val="DefaultParagraphFont"/>
    <w:link w:val="EndNoteBibliography"/>
    <w:rsid w:val="00E65B18"/>
    <w:rPr>
      <w:rFonts w:ascii="Calibri" w:hAnsi="Calibri" w:cs="Times New Roman"/>
      <w:noProof/>
      <w:szCs w:val="22"/>
      <w:lang w:val="en-US"/>
    </w:rPr>
  </w:style>
  <w:style w:type="paragraph" w:customStyle="1" w:styleId="EndNoteBibliographyTitle">
    <w:name w:val="EndNote Bibliography Title"/>
    <w:basedOn w:val="Normal"/>
    <w:link w:val="EndNoteBibliographyTitleChar"/>
    <w:rsid w:val="00E65B18"/>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E65B18"/>
    <w:rPr>
      <w:rFonts w:ascii="Calibri" w:hAnsi="Calibri"/>
      <w:noProof/>
      <w:lang w:val="en-US"/>
    </w:rPr>
  </w:style>
  <w:style w:type="paragraph" w:styleId="BalloonText">
    <w:name w:val="Balloon Text"/>
    <w:basedOn w:val="Normal"/>
    <w:link w:val="BalloonTextChar"/>
    <w:uiPriority w:val="99"/>
    <w:semiHidden/>
    <w:unhideWhenUsed/>
    <w:rsid w:val="00E65B18"/>
    <w:rPr>
      <w:sz w:val="18"/>
      <w:szCs w:val="18"/>
    </w:rPr>
  </w:style>
  <w:style w:type="character" w:customStyle="1" w:styleId="BalloonTextChar">
    <w:name w:val="Balloon Text Char"/>
    <w:basedOn w:val="DefaultParagraphFont"/>
    <w:link w:val="BalloonText"/>
    <w:uiPriority w:val="99"/>
    <w:semiHidden/>
    <w:rsid w:val="00E65B18"/>
    <w:rPr>
      <w:noProof/>
      <w:sz w:val="18"/>
      <w:szCs w:val="18"/>
      <w:lang w:val="en-GB"/>
    </w:rPr>
  </w:style>
  <w:style w:type="character" w:styleId="CommentReference">
    <w:name w:val="annotation reference"/>
    <w:basedOn w:val="DefaultParagraphFont"/>
    <w:uiPriority w:val="99"/>
    <w:semiHidden/>
    <w:unhideWhenUsed/>
    <w:rsid w:val="00EF4111"/>
    <w:rPr>
      <w:sz w:val="16"/>
      <w:szCs w:val="16"/>
    </w:rPr>
  </w:style>
  <w:style w:type="paragraph" w:styleId="CommentText">
    <w:name w:val="annotation text"/>
    <w:basedOn w:val="Normal"/>
    <w:link w:val="CommentTextChar"/>
    <w:uiPriority w:val="99"/>
    <w:semiHidden/>
    <w:unhideWhenUsed/>
    <w:rsid w:val="00EF4111"/>
    <w:rPr>
      <w:sz w:val="20"/>
      <w:szCs w:val="20"/>
    </w:rPr>
  </w:style>
  <w:style w:type="character" w:customStyle="1" w:styleId="CommentTextChar">
    <w:name w:val="Comment Text Char"/>
    <w:basedOn w:val="DefaultParagraphFont"/>
    <w:link w:val="CommentText"/>
    <w:uiPriority w:val="99"/>
    <w:semiHidden/>
    <w:rsid w:val="00EF4111"/>
    <w:rPr>
      <w:noProof/>
      <w:sz w:val="20"/>
      <w:szCs w:val="20"/>
      <w:lang w:val="en-GB"/>
    </w:rPr>
  </w:style>
  <w:style w:type="paragraph" w:styleId="CommentSubject">
    <w:name w:val="annotation subject"/>
    <w:basedOn w:val="CommentText"/>
    <w:next w:val="CommentText"/>
    <w:link w:val="CommentSubjectChar"/>
    <w:uiPriority w:val="99"/>
    <w:semiHidden/>
    <w:unhideWhenUsed/>
    <w:rsid w:val="00EF4111"/>
    <w:rPr>
      <w:b/>
      <w:bCs/>
    </w:rPr>
  </w:style>
  <w:style w:type="character" w:customStyle="1" w:styleId="CommentSubjectChar">
    <w:name w:val="Comment Subject Char"/>
    <w:basedOn w:val="CommentTextChar"/>
    <w:link w:val="CommentSubject"/>
    <w:uiPriority w:val="99"/>
    <w:semiHidden/>
    <w:rsid w:val="00EF4111"/>
    <w:rPr>
      <w:b/>
      <w:bCs/>
      <w:noProof/>
      <w:sz w:val="20"/>
      <w:szCs w:val="20"/>
      <w:lang w:val="en-GB"/>
    </w:rPr>
  </w:style>
  <w:style w:type="character" w:styleId="Hyperlink">
    <w:name w:val="Hyperlink"/>
    <w:basedOn w:val="DefaultParagraphFont"/>
    <w:uiPriority w:val="99"/>
    <w:unhideWhenUsed/>
    <w:rsid w:val="00FA3B48"/>
    <w:rPr>
      <w:color w:val="0563C1" w:themeColor="hyperlink"/>
      <w:u w:val="single"/>
    </w:rPr>
  </w:style>
  <w:style w:type="character" w:customStyle="1" w:styleId="UnresolvedMention">
    <w:name w:val="Unresolved Mention"/>
    <w:basedOn w:val="DefaultParagraphFont"/>
    <w:uiPriority w:val="99"/>
    <w:semiHidden/>
    <w:unhideWhenUsed/>
    <w:rsid w:val="00FA3B48"/>
    <w:rPr>
      <w:color w:val="605E5C"/>
      <w:shd w:val="clear" w:color="auto" w:fill="E1DFDD"/>
    </w:rPr>
  </w:style>
  <w:style w:type="paragraph" w:styleId="Revision">
    <w:name w:val="Revision"/>
    <w:hidden/>
    <w:uiPriority w:val="99"/>
    <w:semiHidden/>
    <w:rsid w:val="00FC2ED7"/>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743">
      <w:bodyDiv w:val="1"/>
      <w:marLeft w:val="0"/>
      <w:marRight w:val="0"/>
      <w:marTop w:val="0"/>
      <w:marBottom w:val="0"/>
      <w:divBdr>
        <w:top w:val="none" w:sz="0" w:space="0" w:color="auto"/>
        <w:left w:val="none" w:sz="0" w:space="0" w:color="auto"/>
        <w:bottom w:val="none" w:sz="0" w:space="0" w:color="auto"/>
        <w:right w:val="none" w:sz="0" w:space="0" w:color="auto"/>
      </w:divBdr>
    </w:div>
    <w:div w:id="1827355355">
      <w:bodyDiv w:val="1"/>
      <w:marLeft w:val="0"/>
      <w:marRight w:val="0"/>
      <w:marTop w:val="0"/>
      <w:marBottom w:val="0"/>
      <w:divBdr>
        <w:top w:val="none" w:sz="0" w:space="0" w:color="auto"/>
        <w:left w:val="none" w:sz="0" w:space="0" w:color="auto"/>
        <w:bottom w:val="none" w:sz="0" w:space="0" w:color="auto"/>
        <w:right w:val="none" w:sz="0" w:space="0" w:color="auto"/>
      </w:divBdr>
      <w:divsChild>
        <w:div w:id="1708871692">
          <w:marLeft w:val="0"/>
          <w:marRight w:val="0"/>
          <w:marTop w:val="0"/>
          <w:marBottom w:val="0"/>
          <w:divBdr>
            <w:top w:val="none" w:sz="0" w:space="0" w:color="auto"/>
            <w:left w:val="none" w:sz="0" w:space="0" w:color="auto"/>
            <w:bottom w:val="none" w:sz="0" w:space="0" w:color="auto"/>
            <w:right w:val="none" w:sz="0" w:space="0" w:color="auto"/>
          </w:divBdr>
          <w:divsChild>
            <w:div w:id="1324236390">
              <w:marLeft w:val="0"/>
              <w:marRight w:val="0"/>
              <w:marTop w:val="0"/>
              <w:marBottom w:val="0"/>
              <w:divBdr>
                <w:top w:val="none" w:sz="0" w:space="0" w:color="auto"/>
                <w:left w:val="none" w:sz="0" w:space="0" w:color="auto"/>
                <w:bottom w:val="none" w:sz="0" w:space="0" w:color="auto"/>
                <w:right w:val="none" w:sz="0" w:space="0" w:color="auto"/>
              </w:divBdr>
              <w:divsChild>
                <w:div w:id="484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elgar.co.uk/bookentry_main.lasso?id=141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A783-8F9E-4E30-8722-EA73AC60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KUEHNER Stefan</dc:creator>
  <cp:lastModifiedBy>Shona Kirk</cp:lastModifiedBy>
  <cp:revision>8</cp:revision>
  <dcterms:created xsi:type="dcterms:W3CDTF">2019-12-02T06:35:00Z</dcterms:created>
  <dcterms:modified xsi:type="dcterms:W3CDTF">2019-12-05T13:01:00Z</dcterms:modified>
</cp:coreProperties>
</file>