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42" w:rsidRDefault="000440CD" w:rsidP="000440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40CD">
        <w:rPr>
          <w:rFonts w:asciiTheme="majorBidi" w:hAnsiTheme="majorBidi" w:cstheme="majorBidi"/>
          <w:b/>
          <w:bCs/>
          <w:sz w:val="24"/>
          <w:szCs w:val="24"/>
        </w:rPr>
        <w:t xml:space="preserve">High-Income Developing Countries, FDI Outflows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0440CD">
        <w:rPr>
          <w:rFonts w:asciiTheme="majorBidi" w:hAnsiTheme="majorBidi" w:cstheme="majorBidi"/>
          <w:b/>
          <w:bCs/>
          <w:sz w:val="24"/>
          <w:szCs w:val="24"/>
        </w:rPr>
        <w:t>and the International Investment Treaty Regime</w:t>
      </w:r>
    </w:p>
    <w:p w:rsidR="000440CD" w:rsidRDefault="000440CD" w:rsidP="000440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36F7C" w:rsidRDefault="000440CD" w:rsidP="00536F7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Online Appendix </w:t>
      </w:r>
    </w:p>
    <w:p w:rsidR="00536F7C" w:rsidRDefault="00536F7C" w:rsidP="00536F7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36F7C" w:rsidRDefault="00536F7C" w:rsidP="00536F7C">
      <w:pPr>
        <w:rPr>
          <w:rFonts w:asciiTheme="majorBidi" w:hAnsiTheme="majorBidi" w:cstheme="majorBidi"/>
          <w:b/>
          <w:bCs/>
        </w:rPr>
      </w:pPr>
    </w:p>
    <w:p w:rsidR="00536F7C" w:rsidRDefault="00536F7C" w:rsidP="00536F7C">
      <w:pPr>
        <w:rPr>
          <w:rFonts w:asciiTheme="majorBidi" w:hAnsiTheme="majorBidi" w:cstheme="majorBidi"/>
          <w:b/>
          <w:bCs/>
        </w:rPr>
      </w:pPr>
    </w:p>
    <w:p w:rsidR="00536F7C" w:rsidRPr="00A8133F" w:rsidRDefault="00536F7C" w:rsidP="00536F7C">
      <w:pPr>
        <w:rPr>
          <w:rFonts w:asciiTheme="majorBidi" w:hAnsiTheme="majorBidi" w:cstheme="majorBidi"/>
        </w:rPr>
      </w:pPr>
      <w:r w:rsidRPr="005E0518">
        <w:rPr>
          <w:rFonts w:asciiTheme="majorBidi" w:hAnsiTheme="majorBidi" w:cstheme="majorBidi"/>
          <w:b/>
          <w:bCs/>
        </w:rPr>
        <w:t xml:space="preserve">Table </w:t>
      </w:r>
      <w:r>
        <w:rPr>
          <w:rFonts w:asciiTheme="majorBidi" w:hAnsiTheme="majorBidi" w:cstheme="majorBidi"/>
          <w:b/>
          <w:bCs/>
        </w:rPr>
        <w:t>O</w:t>
      </w:r>
      <w:r w:rsidRPr="005E0518">
        <w:rPr>
          <w:rFonts w:asciiTheme="majorBidi" w:hAnsiTheme="majorBidi" w:cstheme="majorBidi"/>
          <w:b/>
          <w:bCs/>
        </w:rPr>
        <w:t>A1:</w:t>
      </w:r>
      <w:r>
        <w:rPr>
          <w:rFonts w:asciiTheme="majorBidi" w:hAnsiTheme="majorBidi" w:cstheme="majorBidi"/>
        </w:rPr>
        <w:t xml:space="preserve"> Summary Statistics </w:t>
      </w:r>
    </w:p>
    <w:tbl>
      <w:tblPr>
        <w:tblStyle w:val="TableGrid"/>
        <w:tblW w:w="8306" w:type="dxa"/>
        <w:tblLayout w:type="fixed"/>
        <w:tblLook w:val="0000" w:firstRow="0" w:lastRow="0" w:firstColumn="0" w:lastColumn="0" w:noHBand="0" w:noVBand="0"/>
      </w:tblPr>
      <w:tblGrid>
        <w:gridCol w:w="2316"/>
        <w:gridCol w:w="1497"/>
        <w:gridCol w:w="1498"/>
        <w:gridCol w:w="1497"/>
        <w:gridCol w:w="1498"/>
      </w:tblGrid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6F7C">
              <w:rPr>
                <w:rFonts w:asciiTheme="majorBidi" w:hAnsiTheme="majorBidi" w:cstheme="majorBidi"/>
                <w:b/>
                <w:bCs/>
              </w:rPr>
              <w:t>Variable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6F7C">
              <w:rPr>
                <w:rFonts w:asciiTheme="majorBidi" w:hAnsiTheme="majorBidi" w:cstheme="majorBidi"/>
                <w:b/>
                <w:bCs/>
              </w:rPr>
              <w:t>Mean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6F7C">
              <w:rPr>
                <w:rFonts w:asciiTheme="majorBidi" w:hAnsiTheme="majorBidi" w:cstheme="majorBidi"/>
                <w:b/>
                <w:bCs/>
              </w:rPr>
              <w:t>STD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6F7C">
              <w:rPr>
                <w:rFonts w:asciiTheme="majorBidi" w:hAnsiTheme="majorBidi" w:cstheme="majorBidi"/>
                <w:b/>
                <w:bCs/>
              </w:rPr>
              <w:t>Min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36F7C">
              <w:rPr>
                <w:rFonts w:asciiTheme="majorBidi" w:hAnsiTheme="majorBidi" w:cstheme="majorBidi"/>
                <w:b/>
                <w:bCs/>
              </w:rPr>
              <w:t>Max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SRS All Force GDP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86.41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18.57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33.97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100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SRS All Force 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95.20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7.66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58.01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100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Dispute Respond 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1.12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4.46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59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Dispute Claimant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0.24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1.17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26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Democracy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0.49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Political Constraints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0.22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0.21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0.72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Law&amp; Order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3.46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1.35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6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FDI Inflows 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2.68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3.88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-14.36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45.14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FDI Outflows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1.93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-13.17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22.71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GDP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24.61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1.77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18.40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29.88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GDPPC 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8.54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0.99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4.88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11.64</w:t>
            </w:r>
          </w:p>
        </w:tc>
      </w:tr>
      <w:tr w:rsidR="00536F7C" w:rsidRPr="00536F7C" w:rsidTr="00E7371E">
        <w:tc>
          <w:tcPr>
            <w:tcW w:w="2316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6F7C">
              <w:rPr>
                <w:rFonts w:asciiTheme="majorBidi" w:hAnsiTheme="majorBidi" w:cstheme="majorBidi"/>
                <w:b/>
                <w:bCs/>
                <w:i/>
                <w:iCs/>
              </w:rPr>
              <w:t>Oil Rents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6.18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11.54</w:t>
            </w:r>
          </w:p>
        </w:tc>
        <w:tc>
          <w:tcPr>
            <w:tcW w:w="1497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98" w:type="dxa"/>
          </w:tcPr>
          <w:p w:rsidR="00536F7C" w:rsidRPr="00536F7C" w:rsidRDefault="00536F7C" w:rsidP="00E7371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536F7C">
              <w:rPr>
                <w:rFonts w:asciiTheme="majorBidi" w:hAnsiTheme="majorBidi" w:cstheme="majorBidi"/>
              </w:rPr>
              <w:t>80.94</w:t>
            </w:r>
          </w:p>
        </w:tc>
      </w:tr>
    </w:tbl>
    <w:p w:rsidR="00536F7C" w:rsidRDefault="00536F7C" w:rsidP="00536F7C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</w:rPr>
      </w:pPr>
    </w:p>
    <w:p w:rsidR="00536F7C" w:rsidRDefault="00536F7C" w:rsidP="00536F7C">
      <w:pPr>
        <w:spacing w:line="259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36F7C" w:rsidRDefault="00536F7C" w:rsidP="00536F7C">
      <w:pPr>
        <w:spacing w:line="259" w:lineRule="auto"/>
        <w:ind w:left="1134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</w:rPr>
        <w:t>O</w:t>
      </w:r>
      <w:r>
        <w:rPr>
          <w:rFonts w:asciiTheme="majorBidi" w:hAnsiTheme="majorBidi" w:cstheme="majorBidi"/>
          <w:b/>
          <w:bCs/>
        </w:rPr>
        <w:t xml:space="preserve">A2: </w:t>
      </w:r>
      <w:r>
        <w:rPr>
          <w:rFonts w:asciiTheme="majorBidi" w:hAnsiTheme="majorBidi" w:cstheme="majorBidi"/>
        </w:rPr>
        <w:t>Countries Included in the Statistical Analysis and their World Bank’s Income Categoriz</w:t>
      </w:r>
      <w:bookmarkStart w:id="0" w:name="_GoBack"/>
      <w:bookmarkEnd w:id="0"/>
      <w:r>
        <w:rPr>
          <w:rFonts w:asciiTheme="majorBidi" w:hAnsiTheme="majorBidi" w:cstheme="majorBidi"/>
        </w:rPr>
        <w:t xml:space="preserve">ation </w:t>
      </w:r>
    </w:p>
    <w:p w:rsidR="00536F7C" w:rsidRDefault="00536F7C" w:rsidP="00536F7C">
      <w:pPr>
        <w:spacing w:line="259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Style w:val="PlainTable4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704"/>
        <w:gridCol w:w="1818"/>
        <w:gridCol w:w="347"/>
        <w:gridCol w:w="532"/>
        <w:gridCol w:w="1780"/>
        <w:gridCol w:w="1896"/>
      </w:tblGrid>
      <w:tr w:rsidR="00536F7C" w:rsidRPr="00EB0CF2" w:rsidTr="00E73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spacing w:after="12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1253" w:type="pct"/>
            <w:gridSpan w:val="2"/>
            <w:noWrap/>
            <w:hideMark/>
          </w:tcPr>
          <w:p w:rsidR="00536F7C" w:rsidRPr="003C54FC" w:rsidRDefault="00536F7C" w:rsidP="00E737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 xml:space="preserve">WB Income Category </w:t>
            </w: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 xml:space="preserve">WB Income Category 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Albania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Kuwait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Algeria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Latvia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3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Argentina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Lebanon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4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Armenia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Libya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5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Azerbaijan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Lithuania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6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Bahrain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Macedonia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7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Belarus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Malaysia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8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Belize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Mauritius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9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Bosnia and Herzegovina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Mexico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10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Botswana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Namibia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11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Brazil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Oman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12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Bulgaria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Panama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13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Chile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Paraguay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14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China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Peru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15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Colombia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Poland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16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Costa Rica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Qatar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17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Croatia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Romania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18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Cuba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Russia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19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Czech Republic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Saudi Arabia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20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Dominican Republic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Serbia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21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Ecuador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Singapore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22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Estonia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Slovak</w:t>
            </w:r>
            <w:r w:rsidRPr="001C5C0B">
              <w:rPr>
                <w:rFonts w:asciiTheme="majorBidi" w:hAnsiTheme="majorBidi" w:cstheme="majorBidi"/>
                <w:i/>
                <w:iCs/>
                <w:color w:val="000000"/>
              </w:rPr>
              <w:t>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23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Gabon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Slovenia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24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Guatemala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South Africa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25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Hungary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Taiwan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26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India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 xml:space="preserve">Lower-Middle 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Thailand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27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Indonesia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 xml:space="preserve">Lower-Middle 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Trinidad and Tobago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28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Iran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Turkey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29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Jamaica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Turkmenistan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30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Jordan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United Arab Emirates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31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Kazakhstan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Uruguay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</w:tr>
      <w:tr w:rsidR="00536F7C" w:rsidRPr="00EB0CF2" w:rsidTr="00E737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noWrap/>
            <w:hideMark/>
          </w:tcPr>
          <w:p w:rsidR="00536F7C" w:rsidRPr="003C54FC" w:rsidRDefault="00536F7C" w:rsidP="00E7371E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3C54FC">
              <w:rPr>
                <w:rFonts w:asciiTheme="majorBidi" w:hAnsiTheme="majorBidi" w:cstheme="majorBidi"/>
                <w:b w:val="0"/>
                <w:bCs w:val="0"/>
                <w:color w:val="000000"/>
              </w:rPr>
              <w:t>32</w:t>
            </w:r>
          </w:p>
        </w:tc>
        <w:tc>
          <w:tcPr>
            <w:tcW w:w="986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C5C0B">
              <w:rPr>
                <w:rFonts w:asciiTheme="majorBidi" w:hAnsiTheme="majorBidi" w:cstheme="majorBidi"/>
                <w:i/>
                <w:iCs/>
                <w:color w:val="000000"/>
              </w:rPr>
              <w:t xml:space="preserve">South </w:t>
            </w: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Korea</w:t>
            </w:r>
          </w:p>
        </w:tc>
        <w:tc>
          <w:tcPr>
            <w:tcW w:w="1052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High</w:t>
            </w:r>
          </w:p>
        </w:tc>
        <w:tc>
          <w:tcPr>
            <w:tcW w:w="201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030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3C54FC">
              <w:rPr>
                <w:rFonts w:asciiTheme="majorBidi" w:hAnsiTheme="majorBidi" w:cstheme="majorBidi"/>
                <w:i/>
                <w:iCs/>
                <w:color w:val="000000"/>
              </w:rPr>
              <w:t>Venezuela</w:t>
            </w:r>
          </w:p>
        </w:tc>
        <w:tc>
          <w:tcPr>
            <w:tcW w:w="1098" w:type="pct"/>
            <w:noWrap/>
            <w:hideMark/>
          </w:tcPr>
          <w:p w:rsidR="00536F7C" w:rsidRPr="003C54FC" w:rsidRDefault="00536F7C" w:rsidP="00E73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3C54FC">
              <w:rPr>
                <w:rFonts w:asciiTheme="majorBidi" w:hAnsiTheme="majorBidi" w:cstheme="majorBidi"/>
                <w:color w:val="000000"/>
              </w:rPr>
              <w:t>Upper-Middle</w:t>
            </w:r>
          </w:p>
        </w:tc>
      </w:tr>
    </w:tbl>
    <w:p w:rsidR="00536F7C" w:rsidRDefault="00536F7C" w:rsidP="00536F7C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</w:rPr>
      </w:pPr>
    </w:p>
    <w:p w:rsidR="00536F7C" w:rsidRDefault="00536F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36F7C" w:rsidRPr="00764856" w:rsidRDefault="00536F7C" w:rsidP="00536F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6485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OA3</w:t>
      </w:r>
      <w:r w:rsidRPr="00764856">
        <w:rPr>
          <w:rFonts w:asciiTheme="majorBidi" w:hAnsiTheme="majorBidi" w:cstheme="majorBidi"/>
          <w:b/>
          <w:bCs/>
          <w:sz w:val="24"/>
          <w:szCs w:val="24"/>
        </w:rPr>
        <w:t>: Different Time Lags and Exclusion of Specific Countries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2"/>
        <w:gridCol w:w="1142"/>
        <w:gridCol w:w="1144"/>
        <w:gridCol w:w="1144"/>
        <w:gridCol w:w="1177"/>
        <w:gridCol w:w="1177"/>
        <w:gridCol w:w="1144"/>
      </w:tblGrid>
      <w:tr w:rsidR="00536F7C" w:rsidRPr="00764856" w:rsidTr="00E7371E"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(6)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3-Year Lag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5-Year Lag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5-Year Intervals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China Excluded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Brazil Excluded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Chile Exclude</w:t>
            </w:r>
          </w:p>
        </w:tc>
      </w:tr>
      <w:tr w:rsidR="00536F7C" w:rsidRPr="00764856" w:rsidTr="00E7371E"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Lagged SRS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0.700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0.493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0.228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0.897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0.893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0.889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(9.66)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(6.01)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(2.54)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(23.43)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(22.82)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(22.41)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Dispute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0.264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0.281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0.373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0.180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0.184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0.169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Respondent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(2.56)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(2.13)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(1.53)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(2.45)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(2.50)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(2.44)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Dispute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0.498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0.569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-0.00440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-0.127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-0.0924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-0.0387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Claimant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(1.31)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(1.44)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(-0.02)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(-0.62)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(-0.43)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(-0.20)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Democracy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-1.666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-3.059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-0.305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-0.592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-0.663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-0.563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(-1.98)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(-2.81)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(-0.52)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(-0.86)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(-0.93)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(-0.79)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FDI Inflows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0.0480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-0.0602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0.0372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0.0813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0.0815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0.0807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(1.22)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(-1.41)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(0.94)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(1.39)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(1.39)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(1.37)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FDI Outflows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-0.215</w:t>
            </w: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-0.173</w:t>
            </w: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-0.0725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-0.188</w:t>
            </w: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-0.187</w:t>
            </w: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-0.181</w:t>
            </w: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(-3.94)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(-2.45)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(-1.55)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(-2.36)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(-2.34)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(-2.25)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GDP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-11.98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-18.50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-18.92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-4.049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-4.300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-4.380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(-3.78)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(-3.91)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(-3.40)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(-2.56)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(-2.56)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(-2.66)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GDP per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10.35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17.95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13.62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3.269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3.399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3.396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Capita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(3.43)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(3.88)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(2.40)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(2.20)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(2.23)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(2.26)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1,578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1,459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395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1,659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1,647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1,653</w:t>
            </w:r>
          </w:p>
        </w:tc>
      </w:tr>
      <w:tr w:rsidR="00536F7C" w:rsidRPr="00764856" w:rsidTr="00E7371E"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6F7C" w:rsidRPr="00764856" w:rsidRDefault="00536F7C" w:rsidP="00536F7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764856">
        <w:rPr>
          <w:rFonts w:asciiTheme="majorBidi" w:hAnsiTheme="majorBidi" w:cstheme="majorBidi"/>
          <w:i/>
          <w:iCs/>
          <w:sz w:val="20"/>
          <w:szCs w:val="20"/>
        </w:rPr>
        <w:t>t</w:t>
      </w:r>
      <w:r w:rsidRPr="00764856">
        <w:rPr>
          <w:rFonts w:asciiTheme="majorBidi" w:hAnsiTheme="majorBidi" w:cstheme="majorBidi"/>
          <w:sz w:val="20"/>
          <w:szCs w:val="20"/>
        </w:rPr>
        <w:t xml:space="preserve"> statistics in parentheses</w:t>
      </w:r>
    </w:p>
    <w:p w:rsidR="00536F7C" w:rsidRPr="00764856" w:rsidRDefault="00536F7C" w:rsidP="00536F7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0.1, </w:t>
      </w: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0.05, </w:t>
      </w: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***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0.01</w:t>
      </w:r>
    </w:p>
    <w:p w:rsidR="00536F7C" w:rsidRPr="00764856" w:rsidRDefault="00536F7C" w:rsidP="00536F7C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536F7C" w:rsidRPr="00764856" w:rsidRDefault="00536F7C" w:rsidP="00536F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64856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36F7C" w:rsidRPr="00764856" w:rsidRDefault="00536F7C" w:rsidP="00536F7C">
      <w:pPr>
        <w:rPr>
          <w:rFonts w:asciiTheme="majorBidi" w:hAnsiTheme="majorBidi" w:cstheme="majorBidi"/>
          <w:sz w:val="24"/>
          <w:szCs w:val="24"/>
        </w:rPr>
      </w:pPr>
      <w:r w:rsidRPr="0076485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OA4</w:t>
      </w:r>
      <w:r w:rsidRPr="00764856">
        <w:rPr>
          <w:rFonts w:asciiTheme="majorBidi" w:hAnsiTheme="majorBidi" w:cstheme="majorBidi"/>
          <w:b/>
          <w:bCs/>
          <w:sz w:val="24"/>
          <w:szCs w:val="24"/>
        </w:rPr>
        <w:t xml:space="preserve">: Alternative Measures of ISDS Experience and Democracy; Additional Domestic Controls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77"/>
        <w:gridCol w:w="1176"/>
        <w:gridCol w:w="1177"/>
        <w:gridCol w:w="1279"/>
        <w:gridCol w:w="1279"/>
        <w:gridCol w:w="1175"/>
        <w:gridCol w:w="1177"/>
      </w:tblGrid>
      <w:tr w:rsidR="00536F7C" w:rsidRPr="00764856" w:rsidTr="00E7371E"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(1)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(2)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(3)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(4)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(5)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(6)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 xml:space="preserve">ISDS </w:t>
            </w:r>
            <w:r w:rsidRPr="00764856">
              <w:rPr>
                <w:rFonts w:asciiTheme="majorBidi" w:hAnsiTheme="majorBidi" w:cstheme="majorBidi"/>
                <w:b/>
                <w:bCs/>
              </w:rPr>
              <w:br/>
              <w:t>P&amp;A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ISDS M&amp;P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Democracy</w:t>
            </w:r>
            <w:r w:rsidRPr="00764856">
              <w:rPr>
                <w:rFonts w:asciiTheme="majorBidi" w:hAnsiTheme="majorBidi" w:cstheme="majorBidi"/>
                <w:b/>
                <w:bCs/>
              </w:rPr>
              <w:br/>
              <w:t>V-Dem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Democracy ACLP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64856">
              <w:rPr>
                <w:rFonts w:asciiTheme="majorBidi" w:hAnsiTheme="majorBidi" w:cstheme="majorBidi"/>
                <w:b/>
                <w:bCs/>
              </w:rPr>
              <w:t>Bureauc</w:t>
            </w:r>
            <w:proofErr w:type="spellEnd"/>
            <w:r w:rsidRPr="00764856">
              <w:rPr>
                <w:rFonts w:asciiTheme="majorBidi" w:hAnsiTheme="majorBidi" w:cstheme="majorBidi"/>
                <w:b/>
                <w:bCs/>
              </w:rPr>
              <w:t>. Capacity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Rule of Law</w:t>
            </w:r>
          </w:p>
        </w:tc>
      </w:tr>
      <w:tr w:rsidR="00536F7C" w:rsidRPr="00764856" w:rsidTr="00E7371E"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Lagged SRS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0.933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0.911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0.895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0.870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0.532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0.458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(23.43)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(23.41)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(23.48)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(20.03)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(2.93)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(2.72)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Dispute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1.226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0.678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0.176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0.202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0.128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0.0417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Respondent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(1.61)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(1.61)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(2.38)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(1.87)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(1.65)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(0.77)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Dispute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0.247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-0.312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-0.159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-0.329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0.107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0.181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Claimant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(0.28)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(-0.71)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(-0.72)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(-0.50)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(0.44)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(0.70)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Democracy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-0.587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-0.777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0.308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-0.333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(-0.86)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(-1.12)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(0.43)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(-0.58)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FDI Inflows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0.0772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0.0736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0.0863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0.108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0.0409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0.0484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(1.32)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(1.26)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(1.42)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(1.39)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(0.81)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(0.96)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64856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FDI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-0.181</w:t>
            </w:r>
            <w:r w:rsidRPr="00764856">
              <w:rPr>
                <w:rFonts w:asciiTheme="majorBidi" w:hAnsiTheme="majorBidi" w:cstheme="majorBidi"/>
                <w:b/>
                <w:bCs/>
                <w:vertAlign w:val="superscript"/>
              </w:rPr>
              <w:t>**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-0.188</w:t>
            </w:r>
            <w:r w:rsidRPr="00764856">
              <w:rPr>
                <w:rFonts w:asciiTheme="majorBidi" w:hAnsiTheme="majorBidi" w:cstheme="majorBidi"/>
                <w:b/>
                <w:bCs/>
                <w:vertAlign w:val="superscript"/>
              </w:rPr>
              <w:t>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-0.186</w:t>
            </w:r>
            <w:r w:rsidRPr="00764856">
              <w:rPr>
                <w:rFonts w:asciiTheme="majorBidi" w:hAnsiTheme="majorBidi" w:cstheme="majorBidi"/>
                <w:b/>
                <w:bCs/>
                <w:vertAlign w:val="superscript"/>
              </w:rPr>
              <w:t>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-0.205</w:t>
            </w:r>
            <w:r w:rsidRPr="00764856">
              <w:rPr>
                <w:rFonts w:asciiTheme="majorBidi" w:hAnsiTheme="majorBidi" w:cstheme="majorBidi"/>
                <w:b/>
                <w:bCs/>
                <w:vertAlign w:val="superscript"/>
              </w:rPr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-0.122</w:t>
            </w:r>
            <w:r w:rsidRPr="00764856">
              <w:rPr>
                <w:rFonts w:asciiTheme="majorBidi" w:hAnsiTheme="majorBidi" w:cstheme="majorBidi"/>
                <w:b/>
                <w:bCs/>
                <w:vertAlign w:val="superscript"/>
              </w:rPr>
              <w:t>*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-0.102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64856">
              <w:rPr>
                <w:rFonts w:asciiTheme="majorBidi" w:hAnsiTheme="majorBidi" w:cstheme="majorBidi"/>
                <w:b/>
                <w:bCs/>
                <w:i/>
                <w:iCs/>
              </w:rPr>
              <w:t>Outflows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(-2.20)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(-2.34)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(-2.32)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(-2.18)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(-1.81)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4856">
              <w:rPr>
                <w:rFonts w:asciiTheme="majorBidi" w:hAnsiTheme="majorBidi" w:cstheme="majorBidi"/>
                <w:b/>
                <w:bCs/>
              </w:rPr>
              <w:t>(-1.35)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GDP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-3.817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-3.675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-3.470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-7.382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-7.329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-9.162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(-2.46)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(-2.20)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(-2.01)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(-3.31)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(-1.91)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(-2.39)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GDP per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4.373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4.874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2.816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6.187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-0.667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1.137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Capita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(2.88)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(3.07)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(1.87)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(2.62)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(-0.24)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(0.40)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V-Dem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-4.990</w:t>
            </w:r>
            <w:r w:rsidRPr="00764856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(-1.75)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ACLP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0.609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(1.44)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Bureaucratic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5.833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Capacity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(1.52)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 xml:space="preserve">Rule of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3.614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Law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(1.15)</w:t>
            </w:r>
          </w:p>
        </w:tc>
      </w:tr>
      <w:tr w:rsidR="00536F7C" w:rsidRPr="00764856" w:rsidTr="00E7371E"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764856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1,693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1,693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1,664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1,214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751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764856">
              <w:rPr>
                <w:rFonts w:asciiTheme="majorBidi" w:hAnsiTheme="majorBidi" w:cstheme="majorBidi"/>
              </w:rPr>
              <w:t>731</w:t>
            </w:r>
          </w:p>
        </w:tc>
      </w:tr>
      <w:tr w:rsidR="00536F7C" w:rsidRPr="00764856" w:rsidTr="00E7371E"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36F7C" w:rsidRPr="00764856" w:rsidRDefault="00536F7C" w:rsidP="00536F7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764856">
        <w:rPr>
          <w:rFonts w:asciiTheme="majorBidi" w:hAnsiTheme="majorBidi" w:cstheme="majorBidi"/>
          <w:i/>
          <w:iCs/>
          <w:sz w:val="20"/>
          <w:szCs w:val="20"/>
        </w:rPr>
        <w:t>t</w:t>
      </w:r>
      <w:r w:rsidRPr="00764856">
        <w:rPr>
          <w:rFonts w:asciiTheme="majorBidi" w:hAnsiTheme="majorBidi" w:cstheme="majorBidi"/>
          <w:sz w:val="20"/>
          <w:szCs w:val="20"/>
        </w:rPr>
        <w:t xml:space="preserve"> statistics in parentheses</w:t>
      </w:r>
    </w:p>
    <w:p w:rsidR="00536F7C" w:rsidRPr="00764856" w:rsidRDefault="00536F7C" w:rsidP="00536F7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0.1, </w:t>
      </w: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0.05, </w:t>
      </w: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***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0.01</w:t>
      </w:r>
    </w:p>
    <w:p w:rsidR="00536F7C" w:rsidRPr="00764856" w:rsidRDefault="00536F7C" w:rsidP="00536F7C">
      <w:pPr>
        <w:rPr>
          <w:rFonts w:asciiTheme="majorBidi" w:hAnsiTheme="majorBidi" w:cstheme="majorBidi"/>
          <w:sz w:val="24"/>
          <w:szCs w:val="24"/>
        </w:rPr>
      </w:pPr>
    </w:p>
    <w:p w:rsidR="00536F7C" w:rsidRPr="00764856" w:rsidRDefault="00536F7C" w:rsidP="00536F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64856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36F7C" w:rsidRPr="00764856" w:rsidRDefault="00536F7C" w:rsidP="00536F7C">
      <w:pPr>
        <w:rPr>
          <w:rFonts w:asciiTheme="majorBidi" w:hAnsiTheme="majorBidi" w:cstheme="majorBidi"/>
          <w:sz w:val="24"/>
          <w:szCs w:val="24"/>
        </w:rPr>
      </w:pPr>
      <w:r w:rsidRPr="0076485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OA5</w:t>
      </w:r>
      <w:r w:rsidRPr="00764856">
        <w:rPr>
          <w:rFonts w:asciiTheme="majorBidi" w:hAnsiTheme="majorBidi" w:cstheme="majorBidi"/>
          <w:b/>
          <w:bCs/>
          <w:sz w:val="24"/>
          <w:szCs w:val="24"/>
        </w:rPr>
        <w:t>: Alternative Measures of FDI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7"/>
        <w:gridCol w:w="1428"/>
        <w:gridCol w:w="1109"/>
        <w:gridCol w:w="1350"/>
        <w:gridCol w:w="1396"/>
        <w:gridCol w:w="1350"/>
      </w:tblGrid>
      <w:tr w:rsidR="00536F7C" w:rsidRPr="00764856" w:rsidTr="00E7371E"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(5)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FDI Flows Values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FDI Logged Flows Values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FDI Stocks Weighted by GDP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FDI Stocks Values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FDI Logged Stocks Values </w:t>
            </w:r>
          </w:p>
        </w:tc>
      </w:tr>
      <w:tr w:rsidR="00536F7C" w:rsidRPr="00764856" w:rsidTr="00E7371E"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Lagged SRS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0.887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0.851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0.913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0.883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0.864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(21.97)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(15.24)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(18.65)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(20.47)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(17.80)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Dispute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0.169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0.275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0.160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0.169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0.206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Respondent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(2.36)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(2.11)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(2.01)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(2.16)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(2.40)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Dispute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-0.0666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0.102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-0.0862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0.128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Claimant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(-0.32)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(-0.85)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(0.51)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(-0.45)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(0.64)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Democracy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-0.648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-0.940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-0.502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-0.324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-0.512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(-0.94)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(-0.95)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(-0.64)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(-0.43)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(-0.66)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FDI Inflows/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0.000024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-0.0558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0.0422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0.0000149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-0.170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Stocks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(1.12)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(-0.62)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(2.56)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(2.32)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(-0.75)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FDI Outflows/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-0.000034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-0.0938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-0.0288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-0.0000019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-0.125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Stocks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(-0.92)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(-0.79)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(-0.61)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(-0.22)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(-0.94)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GDP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-4.376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-5.114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-4.153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-5.528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-3.562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(-2.66)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(-2.04)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(-2.32)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(-2.85)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(-2.19)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GDP per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3.245</w:t>
            </w:r>
            <w:r w:rsidRPr="007648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1.691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2.166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2.357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2.042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Capita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(2.21)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(0.68)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(1.31)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(1.39)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7C" w:rsidRPr="00764856" w:rsidTr="00E7371E"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1,693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1,228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1,556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1,556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856">
              <w:rPr>
                <w:rFonts w:asciiTheme="majorBidi" w:hAnsiTheme="majorBidi" w:cstheme="majorBidi"/>
                <w:sz w:val="24"/>
                <w:szCs w:val="24"/>
              </w:rPr>
              <w:t>1,556</w:t>
            </w:r>
          </w:p>
        </w:tc>
      </w:tr>
      <w:tr w:rsidR="00536F7C" w:rsidRPr="00764856" w:rsidTr="00E7371E"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C" w:rsidRPr="00764856" w:rsidRDefault="00536F7C" w:rsidP="00E73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6F7C" w:rsidRPr="00764856" w:rsidRDefault="00536F7C" w:rsidP="00536F7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764856">
        <w:rPr>
          <w:rFonts w:asciiTheme="majorBidi" w:hAnsiTheme="majorBidi" w:cstheme="majorBidi"/>
          <w:i/>
          <w:iCs/>
          <w:sz w:val="20"/>
          <w:szCs w:val="20"/>
        </w:rPr>
        <w:t>t</w:t>
      </w:r>
      <w:r w:rsidRPr="00764856">
        <w:rPr>
          <w:rFonts w:asciiTheme="majorBidi" w:hAnsiTheme="majorBidi" w:cstheme="majorBidi"/>
          <w:sz w:val="20"/>
          <w:szCs w:val="20"/>
        </w:rPr>
        <w:t xml:space="preserve"> statistics in parentheses</w:t>
      </w:r>
    </w:p>
    <w:p w:rsidR="00536F7C" w:rsidRPr="00764856" w:rsidRDefault="00536F7C" w:rsidP="00536F7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0.1, </w:t>
      </w: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0.05, </w:t>
      </w:r>
      <w:r w:rsidRPr="00764856">
        <w:rPr>
          <w:rFonts w:asciiTheme="majorBidi" w:hAnsiTheme="majorBidi" w:cstheme="majorBidi"/>
          <w:sz w:val="20"/>
          <w:szCs w:val="20"/>
          <w:vertAlign w:val="superscript"/>
        </w:rPr>
        <w:t>***</w:t>
      </w:r>
      <w:r w:rsidRPr="00764856">
        <w:rPr>
          <w:rFonts w:asciiTheme="majorBidi" w:hAnsiTheme="majorBidi" w:cstheme="majorBidi"/>
          <w:sz w:val="20"/>
          <w:szCs w:val="20"/>
        </w:rPr>
        <w:t xml:space="preserve"> </w:t>
      </w:r>
      <w:r w:rsidRPr="00764856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764856">
        <w:rPr>
          <w:rFonts w:asciiTheme="majorBidi" w:hAnsiTheme="majorBidi" w:cstheme="majorBidi"/>
          <w:sz w:val="20"/>
          <w:szCs w:val="20"/>
        </w:rPr>
        <w:t xml:space="preserve"> &lt; 0.01</w:t>
      </w:r>
    </w:p>
    <w:p w:rsidR="00536F7C" w:rsidRPr="00764856" w:rsidRDefault="00536F7C" w:rsidP="00536F7C">
      <w:pPr>
        <w:rPr>
          <w:rFonts w:asciiTheme="majorBidi" w:hAnsiTheme="majorBidi" w:cstheme="majorBidi"/>
          <w:sz w:val="24"/>
          <w:szCs w:val="24"/>
        </w:rPr>
      </w:pPr>
    </w:p>
    <w:p w:rsidR="00536F7C" w:rsidRPr="000440CD" w:rsidRDefault="00536F7C" w:rsidP="000440CD">
      <w:pPr>
        <w:jc w:val="center"/>
        <w:rPr>
          <w:sz w:val="24"/>
          <w:szCs w:val="24"/>
        </w:rPr>
      </w:pPr>
    </w:p>
    <w:sectPr w:rsidR="00536F7C" w:rsidRPr="000440CD" w:rsidSect="00536F7C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78" w:rsidRDefault="00A47778" w:rsidP="00536F7C">
      <w:pPr>
        <w:spacing w:after="0"/>
      </w:pPr>
      <w:r>
        <w:separator/>
      </w:r>
    </w:p>
  </w:endnote>
  <w:endnote w:type="continuationSeparator" w:id="0">
    <w:p w:rsidR="00A47778" w:rsidRDefault="00A47778" w:rsidP="00536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6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F7C" w:rsidRDefault="00536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7C" w:rsidRDefault="00536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78" w:rsidRDefault="00A47778" w:rsidP="00536F7C">
      <w:pPr>
        <w:spacing w:after="0"/>
      </w:pPr>
      <w:r>
        <w:separator/>
      </w:r>
    </w:p>
  </w:footnote>
  <w:footnote w:type="continuationSeparator" w:id="0">
    <w:p w:rsidR="00A47778" w:rsidRDefault="00A47778" w:rsidP="00536F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19"/>
    <w:rsid w:val="00030E19"/>
    <w:rsid w:val="000440CD"/>
    <w:rsid w:val="00236BCD"/>
    <w:rsid w:val="00481A72"/>
    <w:rsid w:val="00536F7C"/>
    <w:rsid w:val="006E4703"/>
    <w:rsid w:val="00940A49"/>
    <w:rsid w:val="00A47778"/>
    <w:rsid w:val="00B4122A"/>
    <w:rsid w:val="00CB5123"/>
    <w:rsid w:val="00E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8968"/>
  <w15:chartTrackingRefBased/>
  <w15:docId w15:val="{83850EB7-FCB8-4A38-AC0E-A98EEF5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36F7C"/>
    <w:pPr>
      <w:spacing w:after="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36F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F7C"/>
  </w:style>
  <w:style w:type="paragraph" w:styleId="Footer">
    <w:name w:val="footer"/>
    <w:basedOn w:val="Normal"/>
    <w:link w:val="FooterChar"/>
    <w:uiPriority w:val="99"/>
    <w:unhideWhenUsed/>
    <w:rsid w:val="00536F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</dc:creator>
  <cp:keywords/>
  <dc:description/>
  <cp:lastModifiedBy>Yoram</cp:lastModifiedBy>
  <cp:revision>3</cp:revision>
  <dcterms:created xsi:type="dcterms:W3CDTF">2021-07-06T08:35:00Z</dcterms:created>
  <dcterms:modified xsi:type="dcterms:W3CDTF">2021-07-06T12:02:00Z</dcterms:modified>
</cp:coreProperties>
</file>