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09AF" w14:textId="77777777" w:rsidR="005F0739" w:rsidRDefault="005F0739" w:rsidP="005F0739">
      <w:pPr>
        <w:jc w:val="center"/>
        <w:rPr>
          <w:rFonts w:ascii="Garamond" w:hAnsi="Garamond"/>
        </w:rPr>
      </w:pPr>
    </w:p>
    <w:p w14:paraId="37E6607C" w14:textId="77777777" w:rsidR="005F0739" w:rsidRDefault="005F0739" w:rsidP="005F0739">
      <w:pPr>
        <w:jc w:val="center"/>
        <w:rPr>
          <w:rFonts w:ascii="Garamond" w:hAnsi="Garamond"/>
        </w:rPr>
      </w:pPr>
    </w:p>
    <w:p w14:paraId="37D795D6" w14:textId="77777777" w:rsidR="005F0739" w:rsidRDefault="005F0739" w:rsidP="005F0739">
      <w:pPr>
        <w:jc w:val="center"/>
        <w:rPr>
          <w:rFonts w:ascii="Garamond" w:hAnsi="Garamond"/>
        </w:rPr>
      </w:pPr>
    </w:p>
    <w:p w14:paraId="51DD9ED3" w14:textId="77777777" w:rsidR="005F0739" w:rsidRDefault="005F0739" w:rsidP="005F0739">
      <w:pPr>
        <w:jc w:val="center"/>
        <w:rPr>
          <w:rFonts w:ascii="Garamond" w:hAnsi="Garamond"/>
        </w:rPr>
      </w:pPr>
    </w:p>
    <w:p w14:paraId="1673163C" w14:textId="649C0E4D" w:rsidR="005F0739" w:rsidRPr="008B6D55" w:rsidRDefault="005F0739" w:rsidP="005F0739">
      <w:pPr>
        <w:jc w:val="center"/>
        <w:rPr>
          <w:rFonts w:cstheme="minorHAnsi"/>
        </w:rPr>
      </w:pPr>
      <w:r w:rsidRPr="008B6D55">
        <w:rPr>
          <w:rFonts w:cstheme="minorHAnsi"/>
        </w:rPr>
        <w:t>Network Effects in the Formation of the Financial Industry’s Regulatory Preferences in the European Union</w:t>
      </w:r>
    </w:p>
    <w:p w14:paraId="5828B6EA" w14:textId="77777777" w:rsidR="005F0739" w:rsidRPr="008B6D55" w:rsidRDefault="005F0739" w:rsidP="005F0739">
      <w:pPr>
        <w:jc w:val="center"/>
        <w:rPr>
          <w:rFonts w:cstheme="minorHAnsi"/>
        </w:rPr>
      </w:pPr>
    </w:p>
    <w:p w14:paraId="566FB4AC" w14:textId="77777777" w:rsidR="005F0739" w:rsidRPr="008B6D55" w:rsidRDefault="005F0739" w:rsidP="00752803">
      <w:pPr>
        <w:jc w:val="center"/>
        <w:rPr>
          <w:rFonts w:cstheme="minorHAnsi"/>
          <w:szCs w:val="22"/>
        </w:rPr>
      </w:pPr>
    </w:p>
    <w:p w14:paraId="49F7B1C8" w14:textId="1BCCA7CE" w:rsidR="00752803" w:rsidRPr="008B6D55" w:rsidRDefault="00752803" w:rsidP="00752803">
      <w:pPr>
        <w:jc w:val="center"/>
        <w:rPr>
          <w:rFonts w:cstheme="minorHAnsi"/>
          <w:sz w:val="36"/>
          <w:szCs w:val="36"/>
        </w:rPr>
      </w:pPr>
      <w:r w:rsidRPr="008B6D55">
        <w:rPr>
          <w:rFonts w:cstheme="minorHAnsi"/>
          <w:sz w:val="36"/>
          <w:szCs w:val="36"/>
        </w:rPr>
        <w:t>Appendix</w:t>
      </w:r>
    </w:p>
    <w:p w14:paraId="154E543E" w14:textId="79029028" w:rsidR="008B6D55" w:rsidRPr="008B6D55" w:rsidRDefault="008B6D55" w:rsidP="008B6D55">
      <w:pPr>
        <w:rPr>
          <w:rFonts w:ascii="Garamond" w:hAnsi="Garamond"/>
          <w:sz w:val="36"/>
          <w:szCs w:val="36"/>
        </w:rPr>
      </w:pPr>
    </w:p>
    <w:p w14:paraId="7261533A" w14:textId="1AC2CC49" w:rsidR="008B6D55" w:rsidRDefault="008B6D55" w:rsidP="008B6D55">
      <w:pPr>
        <w:rPr>
          <w:rFonts w:ascii="Garamond" w:hAnsi="Garamond"/>
          <w:szCs w:val="22"/>
        </w:rPr>
      </w:pPr>
    </w:p>
    <w:sdt>
      <w:sdtPr>
        <w:rPr>
          <w:rFonts w:asciiTheme="minorHAnsi" w:eastAsiaTheme="minorHAnsi" w:hAnsiTheme="minorHAnsi" w:cstheme="minorBidi"/>
          <w:b w:val="0"/>
          <w:bCs w:val="0"/>
          <w:color w:val="auto"/>
          <w:sz w:val="24"/>
          <w:szCs w:val="24"/>
          <w:lang w:val="en-GB"/>
        </w:rPr>
        <w:id w:val="-1461804894"/>
        <w:docPartObj>
          <w:docPartGallery w:val="Table of Contents"/>
          <w:docPartUnique/>
        </w:docPartObj>
      </w:sdtPr>
      <w:sdtEndPr>
        <w:rPr>
          <w:noProof/>
        </w:rPr>
      </w:sdtEndPr>
      <w:sdtContent>
        <w:p w14:paraId="18B5EE27" w14:textId="00AD59FD" w:rsidR="008B6D55" w:rsidRDefault="008B6D55">
          <w:pPr>
            <w:pStyle w:val="TOCHeading"/>
          </w:pPr>
          <w:r>
            <w:t>Table of Contents</w:t>
          </w:r>
        </w:p>
        <w:p w14:paraId="4AB4CC79" w14:textId="31777576" w:rsidR="00865476" w:rsidRDefault="008B6D55">
          <w:pPr>
            <w:pStyle w:val="TOC2"/>
            <w:tabs>
              <w:tab w:val="right" w:leader="dot" w:pos="901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6985864" w:history="1">
            <w:r w:rsidR="00865476" w:rsidRPr="00F87B75">
              <w:rPr>
                <w:rStyle w:val="Hyperlink"/>
                <w:noProof/>
              </w:rPr>
              <w:t>Table A1: Coefficient Estimates, with 95% CIs, of Regressions Explaining Stringency Preference</w:t>
            </w:r>
            <w:r w:rsidR="00865476">
              <w:rPr>
                <w:noProof/>
                <w:webHidden/>
              </w:rPr>
              <w:tab/>
            </w:r>
            <w:r w:rsidR="00865476">
              <w:rPr>
                <w:noProof/>
                <w:webHidden/>
              </w:rPr>
              <w:fldChar w:fldCharType="begin"/>
            </w:r>
            <w:r w:rsidR="00865476">
              <w:rPr>
                <w:noProof/>
                <w:webHidden/>
              </w:rPr>
              <w:instrText xml:space="preserve"> PAGEREF _Toc6985864 \h </w:instrText>
            </w:r>
            <w:r w:rsidR="00865476">
              <w:rPr>
                <w:noProof/>
                <w:webHidden/>
              </w:rPr>
            </w:r>
            <w:r w:rsidR="00865476">
              <w:rPr>
                <w:noProof/>
                <w:webHidden/>
              </w:rPr>
              <w:fldChar w:fldCharType="separate"/>
            </w:r>
            <w:r w:rsidR="00865476">
              <w:rPr>
                <w:noProof/>
                <w:webHidden/>
              </w:rPr>
              <w:t>2</w:t>
            </w:r>
            <w:r w:rsidR="00865476">
              <w:rPr>
                <w:noProof/>
                <w:webHidden/>
              </w:rPr>
              <w:fldChar w:fldCharType="end"/>
            </w:r>
          </w:hyperlink>
        </w:p>
        <w:p w14:paraId="1515084A" w14:textId="32CCC171" w:rsidR="00865476" w:rsidRDefault="00BF398A">
          <w:pPr>
            <w:pStyle w:val="TOC2"/>
            <w:tabs>
              <w:tab w:val="right" w:leader="dot" w:pos="9010"/>
            </w:tabs>
            <w:rPr>
              <w:rFonts w:eastAsiaTheme="minorEastAsia" w:cstheme="minorBidi"/>
              <w:b w:val="0"/>
              <w:bCs w:val="0"/>
              <w:noProof/>
              <w:sz w:val="24"/>
              <w:szCs w:val="24"/>
            </w:rPr>
          </w:pPr>
          <w:hyperlink w:anchor="_Toc6985865" w:history="1">
            <w:r w:rsidR="00865476" w:rsidRPr="00F87B75">
              <w:rPr>
                <w:rStyle w:val="Hyperlink"/>
                <w:noProof/>
              </w:rPr>
              <w:t>Table A2: Coefficient Estimates, with 95G CIs, of Regressions Explaining Preference Distance</w:t>
            </w:r>
            <w:r w:rsidR="00865476">
              <w:rPr>
                <w:noProof/>
                <w:webHidden/>
              </w:rPr>
              <w:tab/>
            </w:r>
            <w:r w:rsidR="00865476">
              <w:rPr>
                <w:noProof/>
                <w:webHidden/>
              </w:rPr>
              <w:fldChar w:fldCharType="begin"/>
            </w:r>
            <w:r w:rsidR="00865476">
              <w:rPr>
                <w:noProof/>
                <w:webHidden/>
              </w:rPr>
              <w:instrText xml:space="preserve"> PAGEREF _Toc6985865 \h </w:instrText>
            </w:r>
            <w:r w:rsidR="00865476">
              <w:rPr>
                <w:noProof/>
                <w:webHidden/>
              </w:rPr>
            </w:r>
            <w:r w:rsidR="00865476">
              <w:rPr>
                <w:noProof/>
                <w:webHidden/>
              </w:rPr>
              <w:fldChar w:fldCharType="separate"/>
            </w:r>
            <w:r w:rsidR="00865476">
              <w:rPr>
                <w:noProof/>
                <w:webHidden/>
              </w:rPr>
              <w:t>3</w:t>
            </w:r>
            <w:r w:rsidR="00865476">
              <w:rPr>
                <w:noProof/>
                <w:webHidden/>
              </w:rPr>
              <w:fldChar w:fldCharType="end"/>
            </w:r>
          </w:hyperlink>
        </w:p>
        <w:p w14:paraId="62EBB98D" w14:textId="478F91AF" w:rsidR="00865476" w:rsidRDefault="00BF398A">
          <w:pPr>
            <w:pStyle w:val="TOC2"/>
            <w:tabs>
              <w:tab w:val="right" w:leader="dot" w:pos="9010"/>
            </w:tabs>
            <w:rPr>
              <w:rFonts w:eastAsiaTheme="minorEastAsia" w:cstheme="minorBidi"/>
              <w:b w:val="0"/>
              <w:bCs w:val="0"/>
              <w:noProof/>
              <w:sz w:val="24"/>
              <w:szCs w:val="24"/>
            </w:rPr>
          </w:pPr>
          <w:hyperlink w:anchor="_Toc6985866" w:history="1">
            <w:r w:rsidR="00865476" w:rsidRPr="00F87B75">
              <w:rPr>
                <w:rStyle w:val="Hyperlink"/>
                <w:noProof/>
              </w:rPr>
              <w:t>Figure 1: Coefficient Plot of Regression Results, Model 1.5 and 1.6</w:t>
            </w:r>
            <w:r w:rsidR="00865476">
              <w:rPr>
                <w:noProof/>
                <w:webHidden/>
              </w:rPr>
              <w:tab/>
            </w:r>
            <w:r w:rsidR="00865476">
              <w:rPr>
                <w:noProof/>
                <w:webHidden/>
              </w:rPr>
              <w:fldChar w:fldCharType="begin"/>
            </w:r>
            <w:r w:rsidR="00865476">
              <w:rPr>
                <w:noProof/>
                <w:webHidden/>
              </w:rPr>
              <w:instrText xml:space="preserve"> PAGEREF _Toc6985866 \h </w:instrText>
            </w:r>
            <w:r w:rsidR="00865476">
              <w:rPr>
                <w:noProof/>
                <w:webHidden/>
              </w:rPr>
            </w:r>
            <w:r w:rsidR="00865476">
              <w:rPr>
                <w:noProof/>
                <w:webHidden/>
              </w:rPr>
              <w:fldChar w:fldCharType="separate"/>
            </w:r>
            <w:r w:rsidR="00865476">
              <w:rPr>
                <w:noProof/>
                <w:webHidden/>
              </w:rPr>
              <w:t>4</w:t>
            </w:r>
            <w:r w:rsidR="00865476">
              <w:rPr>
                <w:noProof/>
                <w:webHidden/>
              </w:rPr>
              <w:fldChar w:fldCharType="end"/>
            </w:r>
          </w:hyperlink>
        </w:p>
        <w:p w14:paraId="083A38AF" w14:textId="61441C2E" w:rsidR="00865476" w:rsidRDefault="00BF398A">
          <w:pPr>
            <w:pStyle w:val="TOC2"/>
            <w:tabs>
              <w:tab w:val="right" w:leader="dot" w:pos="9010"/>
            </w:tabs>
            <w:rPr>
              <w:rFonts w:eastAsiaTheme="minorEastAsia" w:cstheme="minorBidi"/>
              <w:b w:val="0"/>
              <w:bCs w:val="0"/>
              <w:noProof/>
              <w:sz w:val="24"/>
              <w:szCs w:val="24"/>
            </w:rPr>
          </w:pPr>
          <w:hyperlink w:anchor="_Toc6985867" w:history="1">
            <w:r w:rsidR="00865476" w:rsidRPr="00F87B75">
              <w:rPr>
                <w:rStyle w:val="Hyperlink"/>
                <w:noProof/>
              </w:rPr>
              <w:t>Figure 2: Coefficient Plot of Regression Results, Model 2.5 and 2.6</w:t>
            </w:r>
            <w:r w:rsidR="00865476">
              <w:rPr>
                <w:noProof/>
                <w:webHidden/>
              </w:rPr>
              <w:tab/>
            </w:r>
            <w:r w:rsidR="00865476">
              <w:rPr>
                <w:noProof/>
                <w:webHidden/>
              </w:rPr>
              <w:fldChar w:fldCharType="begin"/>
            </w:r>
            <w:r w:rsidR="00865476">
              <w:rPr>
                <w:noProof/>
                <w:webHidden/>
              </w:rPr>
              <w:instrText xml:space="preserve"> PAGEREF _Toc6985867 \h </w:instrText>
            </w:r>
            <w:r w:rsidR="00865476">
              <w:rPr>
                <w:noProof/>
                <w:webHidden/>
              </w:rPr>
            </w:r>
            <w:r w:rsidR="00865476">
              <w:rPr>
                <w:noProof/>
                <w:webHidden/>
              </w:rPr>
              <w:fldChar w:fldCharType="separate"/>
            </w:r>
            <w:r w:rsidR="00865476">
              <w:rPr>
                <w:noProof/>
                <w:webHidden/>
              </w:rPr>
              <w:t>4</w:t>
            </w:r>
            <w:r w:rsidR="00865476">
              <w:rPr>
                <w:noProof/>
                <w:webHidden/>
              </w:rPr>
              <w:fldChar w:fldCharType="end"/>
            </w:r>
          </w:hyperlink>
        </w:p>
        <w:p w14:paraId="3C9D389D" w14:textId="090D8359" w:rsidR="00865476" w:rsidRDefault="00BF398A">
          <w:pPr>
            <w:pStyle w:val="TOC2"/>
            <w:tabs>
              <w:tab w:val="right" w:leader="dot" w:pos="9010"/>
            </w:tabs>
            <w:rPr>
              <w:rFonts w:eastAsiaTheme="minorEastAsia" w:cstheme="minorBidi"/>
              <w:b w:val="0"/>
              <w:bCs w:val="0"/>
              <w:noProof/>
              <w:sz w:val="24"/>
              <w:szCs w:val="24"/>
            </w:rPr>
          </w:pPr>
          <w:hyperlink w:anchor="_Toc6985868" w:history="1">
            <w:r w:rsidR="00865476" w:rsidRPr="00F87B75">
              <w:rPr>
                <w:rStyle w:val="Hyperlink"/>
                <w:noProof/>
              </w:rPr>
              <w:t>Table A3. List of Issues per Consultation Proposal</w:t>
            </w:r>
            <w:r w:rsidR="00865476">
              <w:rPr>
                <w:noProof/>
                <w:webHidden/>
              </w:rPr>
              <w:tab/>
            </w:r>
            <w:r w:rsidR="00865476">
              <w:rPr>
                <w:noProof/>
                <w:webHidden/>
              </w:rPr>
              <w:fldChar w:fldCharType="begin"/>
            </w:r>
            <w:r w:rsidR="00865476">
              <w:rPr>
                <w:noProof/>
                <w:webHidden/>
              </w:rPr>
              <w:instrText xml:space="preserve"> PAGEREF _Toc6985868 \h </w:instrText>
            </w:r>
            <w:r w:rsidR="00865476">
              <w:rPr>
                <w:noProof/>
                <w:webHidden/>
              </w:rPr>
            </w:r>
            <w:r w:rsidR="00865476">
              <w:rPr>
                <w:noProof/>
                <w:webHidden/>
              </w:rPr>
              <w:fldChar w:fldCharType="separate"/>
            </w:r>
            <w:r w:rsidR="00865476">
              <w:rPr>
                <w:noProof/>
                <w:webHidden/>
              </w:rPr>
              <w:t>5</w:t>
            </w:r>
            <w:r w:rsidR="00865476">
              <w:rPr>
                <w:noProof/>
                <w:webHidden/>
              </w:rPr>
              <w:fldChar w:fldCharType="end"/>
            </w:r>
          </w:hyperlink>
        </w:p>
        <w:p w14:paraId="167E1C19" w14:textId="6884D38E" w:rsidR="008B6D55" w:rsidRDefault="008B6D55">
          <w:r>
            <w:rPr>
              <w:b/>
              <w:bCs/>
              <w:noProof/>
            </w:rPr>
            <w:fldChar w:fldCharType="end"/>
          </w:r>
        </w:p>
      </w:sdtContent>
    </w:sdt>
    <w:p w14:paraId="3E23DBDE" w14:textId="00B6BB34" w:rsidR="008B6D55" w:rsidRDefault="008B6D55" w:rsidP="008B6D55">
      <w:pPr>
        <w:rPr>
          <w:rFonts w:ascii="Garamond" w:hAnsi="Garamond"/>
          <w:szCs w:val="22"/>
        </w:rPr>
      </w:pPr>
    </w:p>
    <w:p w14:paraId="7D386E69" w14:textId="78F0BF02" w:rsidR="008B6D55" w:rsidRDefault="008B6D55" w:rsidP="008B6D55">
      <w:pPr>
        <w:rPr>
          <w:rFonts w:ascii="Garamond" w:hAnsi="Garamond"/>
          <w:szCs w:val="22"/>
        </w:rPr>
      </w:pPr>
    </w:p>
    <w:p w14:paraId="46DCA7B0" w14:textId="1A19DD70" w:rsidR="008B6D55" w:rsidRDefault="008B6D55" w:rsidP="008B6D55">
      <w:pPr>
        <w:rPr>
          <w:rFonts w:ascii="Garamond" w:hAnsi="Garamond"/>
          <w:szCs w:val="22"/>
        </w:rPr>
      </w:pPr>
    </w:p>
    <w:p w14:paraId="6D50C4A3" w14:textId="4E948ED6" w:rsidR="008B6D55" w:rsidRDefault="008B6D55" w:rsidP="008B6D55">
      <w:pPr>
        <w:rPr>
          <w:rFonts w:ascii="Garamond" w:hAnsi="Garamond"/>
          <w:szCs w:val="22"/>
        </w:rPr>
      </w:pPr>
    </w:p>
    <w:p w14:paraId="343877B1" w14:textId="755493DE" w:rsidR="008B6D55" w:rsidRDefault="008B6D55" w:rsidP="008B6D55">
      <w:pPr>
        <w:rPr>
          <w:rFonts w:ascii="Garamond" w:hAnsi="Garamond"/>
          <w:szCs w:val="22"/>
        </w:rPr>
      </w:pPr>
    </w:p>
    <w:p w14:paraId="48B9B24B" w14:textId="16F9D0D3" w:rsidR="008B6D55" w:rsidRDefault="008B6D55" w:rsidP="008B6D55">
      <w:pPr>
        <w:rPr>
          <w:rFonts w:ascii="Garamond" w:hAnsi="Garamond"/>
          <w:szCs w:val="22"/>
        </w:rPr>
      </w:pPr>
    </w:p>
    <w:p w14:paraId="08CCDF82" w14:textId="5C3C2FD3" w:rsidR="008B6D55" w:rsidRDefault="008B6D55" w:rsidP="008B6D55">
      <w:pPr>
        <w:rPr>
          <w:rFonts w:ascii="Garamond" w:hAnsi="Garamond"/>
          <w:szCs w:val="22"/>
        </w:rPr>
      </w:pPr>
    </w:p>
    <w:p w14:paraId="0C0395C3" w14:textId="009500BB" w:rsidR="008B6D55" w:rsidRDefault="008B6D55" w:rsidP="008B6D55">
      <w:pPr>
        <w:rPr>
          <w:rFonts w:ascii="Garamond" w:hAnsi="Garamond"/>
          <w:szCs w:val="22"/>
        </w:rPr>
      </w:pPr>
    </w:p>
    <w:p w14:paraId="6F49C3D2" w14:textId="7BEA50D7" w:rsidR="008B6D55" w:rsidRDefault="008B6D55" w:rsidP="008B6D55">
      <w:pPr>
        <w:rPr>
          <w:rFonts w:ascii="Garamond" w:hAnsi="Garamond"/>
          <w:szCs w:val="22"/>
        </w:rPr>
      </w:pPr>
    </w:p>
    <w:p w14:paraId="672C2FBB" w14:textId="252FFADE" w:rsidR="008B6D55" w:rsidRDefault="008B6D55" w:rsidP="008B6D55">
      <w:pPr>
        <w:rPr>
          <w:rFonts w:ascii="Garamond" w:hAnsi="Garamond"/>
          <w:szCs w:val="22"/>
        </w:rPr>
      </w:pPr>
    </w:p>
    <w:p w14:paraId="3CB7D9A3" w14:textId="74250486" w:rsidR="008B6D55" w:rsidRDefault="008B6D55" w:rsidP="008B6D55">
      <w:pPr>
        <w:rPr>
          <w:rFonts w:ascii="Garamond" w:hAnsi="Garamond"/>
          <w:szCs w:val="22"/>
        </w:rPr>
      </w:pPr>
    </w:p>
    <w:p w14:paraId="4B2B7F5E" w14:textId="5EC20832" w:rsidR="008B6D55" w:rsidRDefault="008B6D55" w:rsidP="008B6D55">
      <w:pPr>
        <w:rPr>
          <w:rFonts w:ascii="Garamond" w:hAnsi="Garamond"/>
          <w:szCs w:val="22"/>
        </w:rPr>
      </w:pPr>
    </w:p>
    <w:p w14:paraId="54C15834" w14:textId="1861AE44" w:rsidR="008B6D55" w:rsidRDefault="008B6D55" w:rsidP="008B6D55">
      <w:pPr>
        <w:rPr>
          <w:rFonts w:ascii="Garamond" w:hAnsi="Garamond"/>
          <w:szCs w:val="22"/>
        </w:rPr>
      </w:pPr>
    </w:p>
    <w:p w14:paraId="76672557" w14:textId="6E10751C" w:rsidR="008B6D55" w:rsidRDefault="008B6D55" w:rsidP="008B6D55">
      <w:pPr>
        <w:rPr>
          <w:rFonts w:ascii="Garamond" w:hAnsi="Garamond"/>
          <w:szCs w:val="22"/>
        </w:rPr>
      </w:pPr>
    </w:p>
    <w:p w14:paraId="0869B2C7" w14:textId="59FC3CA8" w:rsidR="008B6D55" w:rsidRDefault="008B6D55" w:rsidP="008B6D55">
      <w:pPr>
        <w:rPr>
          <w:rFonts w:ascii="Garamond" w:hAnsi="Garamond"/>
          <w:szCs w:val="22"/>
        </w:rPr>
      </w:pPr>
    </w:p>
    <w:p w14:paraId="3CAFD3FF" w14:textId="4064A4BE" w:rsidR="008B6D55" w:rsidRDefault="008B6D55" w:rsidP="008B6D55">
      <w:pPr>
        <w:rPr>
          <w:rFonts w:ascii="Garamond" w:hAnsi="Garamond"/>
          <w:szCs w:val="22"/>
        </w:rPr>
      </w:pPr>
    </w:p>
    <w:p w14:paraId="7010F552" w14:textId="55A044FF" w:rsidR="008B6D55" w:rsidRDefault="008B6D55" w:rsidP="008B6D55">
      <w:pPr>
        <w:rPr>
          <w:rFonts w:ascii="Garamond" w:hAnsi="Garamond"/>
          <w:szCs w:val="22"/>
        </w:rPr>
      </w:pPr>
    </w:p>
    <w:p w14:paraId="0083CE5F" w14:textId="5B90BCEB" w:rsidR="008B6D55" w:rsidRDefault="008B6D55" w:rsidP="008B6D55">
      <w:pPr>
        <w:rPr>
          <w:rFonts w:ascii="Garamond" w:hAnsi="Garamond"/>
          <w:szCs w:val="22"/>
        </w:rPr>
      </w:pPr>
    </w:p>
    <w:p w14:paraId="5AAC7C3B" w14:textId="2626C837" w:rsidR="008B6D55" w:rsidRDefault="008B6D55" w:rsidP="008B6D55">
      <w:pPr>
        <w:rPr>
          <w:rFonts w:ascii="Garamond" w:hAnsi="Garamond"/>
          <w:szCs w:val="22"/>
        </w:rPr>
      </w:pPr>
    </w:p>
    <w:p w14:paraId="38DBA539" w14:textId="5D5E3ADF" w:rsidR="008B6D55" w:rsidRDefault="008B6D55" w:rsidP="008B6D55">
      <w:pPr>
        <w:rPr>
          <w:rFonts w:ascii="Garamond" w:hAnsi="Garamond"/>
          <w:szCs w:val="22"/>
        </w:rPr>
      </w:pPr>
    </w:p>
    <w:p w14:paraId="03055B93" w14:textId="7F96D2B7" w:rsidR="008B6D55" w:rsidRDefault="008B6D55" w:rsidP="008B6D55">
      <w:pPr>
        <w:rPr>
          <w:rFonts w:ascii="Garamond" w:hAnsi="Garamond"/>
          <w:szCs w:val="22"/>
        </w:rPr>
      </w:pPr>
    </w:p>
    <w:p w14:paraId="581EBF27" w14:textId="7D9DF81F" w:rsidR="008B6D55" w:rsidRDefault="008B6D55" w:rsidP="008B6D55">
      <w:pPr>
        <w:rPr>
          <w:rFonts w:ascii="Garamond" w:hAnsi="Garamond"/>
          <w:szCs w:val="22"/>
        </w:rPr>
      </w:pPr>
    </w:p>
    <w:p w14:paraId="3044AA49" w14:textId="5A951CE8" w:rsidR="008B6D55" w:rsidRDefault="008B6D55" w:rsidP="008B6D55">
      <w:pPr>
        <w:rPr>
          <w:rFonts w:ascii="Garamond" w:hAnsi="Garamond"/>
          <w:szCs w:val="22"/>
        </w:rPr>
      </w:pPr>
    </w:p>
    <w:p w14:paraId="2582CF98" w14:textId="2662AF7F" w:rsidR="008B6D55" w:rsidRDefault="008B6D55" w:rsidP="008B6D55">
      <w:pPr>
        <w:rPr>
          <w:rFonts w:ascii="Garamond" w:hAnsi="Garamond"/>
          <w:szCs w:val="22"/>
        </w:rPr>
      </w:pPr>
    </w:p>
    <w:p w14:paraId="32F3543C" w14:textId="77777777" w:rsidR="008B6D55" w:rsidRDefault="008B6D55" w:rsidP="008B6D55">
      <w:pPr>
        <w:rPr>
          <w:rFonts w:ascii="Garamond" w:hAnsi="Garamond"/>
          <w:szCs w:val="22"/>
        </w:rPr>
      </w:pPr>
    </w:p>
    <w:p w14:paraId="1AEC4517" w14:textId="77777777" w:rsidR="008B6D55" w:rsidRDefault="008B6D55" w:rsidP="008B6D55">
      <w:pPr>
        <w:rPr>
          <w:rFonts w:ascii="Garamond" w:hAnsi="Garamond"/>
          <w:szCs w:val="22"/>
        </w:rPr>
      </w:pPr>
    </w:p>
    <w:p w14:paraId="49A2FB9C" w14:textId="77777777" w:rsidR="008B6D55" w:rsidRPr="0076708F" w:rsidRDefault="008B6D55" w:rsidP="008B6D55">
      <w:pPr>
        <w:rPr>
          <w:rFonts w:ascii="Garamond" w:hAnsi="Garamond"/>
          <w:szCs w:val="22"/>
        </w:rPr>
      </w:pPr>
    </w:p>
    <w:p w14:paraId="3E6C1C6C" w14:textId="77777777" w:rsidR="00752803" w:rsidRDefault="00752803" w:rsidP="00752803">
      <w:pPr>
        <w:jc w:val="both"/>
        <w:rPr>
          <w:rFonts w:ascii="Garamond" w:hAnsi="Garamond"/>
          <w:sz w:val="22"/>
          <w:szCs w:val="22"/>
        </w:rPr>
      </w:pPr>
    </w:p>
    <w:p w14:paraId="1EE3A054" w14:textId="2DD6812D" w:rsidR="00752803" w:rsidRPr="008B6D55" w:rsidRDefault="00752803" w:rsidP="008B6D55">
      <w:pPr>
        <w:pStyle w:val="Heading2"/>
        <w:jc w:val="center"/>
        <w:rPr>
          <w:sz w:val="20"/>
          <w:szCs w:val="20"/>
        </w:rPr>
      </w:pPr>
      <w:bookmarkStart w:id="0" w:name="_Toc6985864"/>
      <w:r w:rsidRPr="008B6D55">
        <w:rPr>
          <w:sz w:val="20"/>
          <w:szCs w:val="20"/>
        </w:rPr>
        <w:t>Table A1: Coefficient Estimates, with 95% CIs, of</w:t>
      </w:r>
      <w:r w:rsidR="008B6D55">
        <w:rPr>
          <w:sz w:val="20"/>
          <w:szCs w:val="20"/>
        </w:rPr>
        <w:t xml:space="preserve"> </w:t>
      </w:r>
      <w:r w:rsidRPr="008B6D55">
        <w:rPr>
          <w:sz w:val="20"/>
          <w:szCs w:val="20"/>
        </w:rPr>
        <w:t>Regressions Explaining Stringency Preference</w:t>
      </w:r>
      <w:bookmarkEnd w:id="0"/>
    </w:p>
    <w:tbl>
      <w:tblPr>
        <w:tblW w:w="0" w:type="auto"/>
        <w:jc w:val="center"/>
        <w:tblLayout w:type="fixed"/>
        <w:tblLook w:val="0000" w:firstRow="0" w:lastRow="0" w:firstColumn="0" w:lastColumn="0" w:noHBand="0" w:noVBand="0"/>
      </w:tblPr>
      <w:tblGrid>
        <w:gridCol w:w="2834"/>
        <w:gridCol w:w="1116"/>
        <w:gridCol w:w="1044"/>
        <w:gridCol w:w="1080"/>
      </w:tblGrid>
      <w:tr w:rsidR="00752803" w:rsidRPr="0075681F" w14:paraId="2684A12E" w14:textId="77777777" w:rsidTr="0075681F">
        <w:trPr>
          <w:jc w:val="center"/>
        </w:trPr>
        <w:tc>
          <w:tcPr>
            <w:tcW w:w="2834" w:type="dxa"/>
            <w:tcBorders>
              <w:top w:val="single" w:sz="4" w:space="0" w:color="auto"/>
            </w:tcBorders>
            <w:tcMar>
              <w:top w:w="100" w:type="nil"/>
              <w:right w:w="100" w:type="nil"/>
            </w:tcMar>
            <w:vAlign w:val="center"/>
          </w:tcPr>
          <w:p w14:paraId="1D8A8A4A"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Borders>
              <w:top w:val="single" w:sz="4" w:space="0" w:color="auto"/>
            </w:tcBorders>
            <w:tcMar>
              <w:top w:w="100" w:type="nil"/>
              <w:right w:w="100" w:type="nil"/>
            </w:tcMar>
            <w:vAlign w:val="center"/>
          </w:tcPr>
          <w:p w14:paraId="66E7EF34"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(1)</w:t>
            </w:r>
          </w:p>
        </w:tc>
        <w:tc>
          <w:tcPr>
            <w:tcW w:w="1044" w:type="dxa"/>
            <w:tcBorders>
              <w:top w:val="single" w:sz="4" w:space="0" w:color="auto"/>
            </w:tcBorders>
            <w:tcMar>
              <w:top w:w="100" w:type="nil"/>
              <w:right w:w="100" w:type="nil"/>
            </w:tcMar>
            <w:vAlign w:val="center"/>
          </w:tcPr>
          <w:p w14:paraId="6AD0922D"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(2)</w:t>
            </w:r>
          </w:p>
        </w:tc>
        <w:tc>
          <w:tcPr>
            <w:tcW w:w="1080" w:type="dxa"/>
            <w:tcBorders>
              <w:top w:val="single" w:sz="4" w:space="0" w:color="auto"/>
            </w:tcBorders>
            <w:tcMar>
              <w:top w:w="100" w:type="nil"/>
              <w:right w:w="100" w:type="nil"/>
            </w:tcMar>
            <w:vAlign w:val="center"/>
          </w:tcPr>
          <w:p w14:paraId="5E84C4F4"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(3)</w:t>
            </w:r>
          </w:p>
        </w:tc>
      </w:tr>
      <w:tr w:rsidR="00752803" w:rsidRPr="0075681F" w14:paraId="0B806983" w14:textId="77777777" w:rsidTr="0075681F">
        <w:trPr>
          <w:jc w:val="center"/>
        </w:trPr>
        <w:tc>
          <w:tcPr>
            <w:tcW w:w="2834" w:type="dxa"/>
            <w:tcBorders>
              <w:bottom w:val="single" w:sz="4" w:space="0" w:color="auto"/>
            </w:tcBorders>
            <w:tcMar>
              <w:top w:w="100" w:type="nil"/>
              <w:right w:w="100" w:type="nil"/>
            </w:tcMar>
            <w:vAlign w:val="center"/>
          </w:tcPr>
          <w:p w14:paraId="492821B3"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Borders>
              <w:bottom w:val="single" w:sz="4" w:space="0" w:color="auto"/>
            </w:tcBorders>
            <w:tcMar>
              <w:top w:w="100" w:type="nil"/>
              <w:right w:w="100" w:type="nil"/>
            </w:tcMar>
            <w:vAlign w:val="center"/>
          </w:tcPr>
          <w:p w14:paraId="23A1AE84"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Model 1</w:t>
            </w:r>
          </w:p>
        </w:tc>
        <w:tc>
          <w:tcPr>
            <w:tcW w:w="1044" w:type="dxa"/>
            <w:tcBorders>
              <w:bottom w:val="single" w:sz="4" w:space="0" w:color="auto"/>
            </w:tcBorders>
            <w:tcMar>
              <w:top w:w="100" w:type="nil"/>
              <w:right w:w="100" w:type="nil"/>
            </w:tcMar>
            <w:vAlign w:val="center"/>
          </w:tcPr>
          <w:p w14:paraId="0CB0B34E"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Model 2</w:t>
            </w:r>
          </w:p>
        </w:tc>
        <w:tc>
          <w:tcPr>
            <w:tcW w:w="1080" w:type="dxa"/>
            <w:tcBorders>
              <w:bottom w:val="single" w:sz="4" w:space="0" w:color="auto"/>
            </w:tcBorders>
            <w:tcMar>
              <w:top w:w="100" w:type="nil"/>
              <w:right w:w="100" w:type="nil"/>
            </w:tcMar>
            <w:vAlign w:val="center"/>
          </w:tcPr>
          <w:p w14:paraId="71DB7766"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Model 3</w:t>
            </w:r>
          </w:p>
        </w:tc>
      </w:tr>
      <w:tr w:rsidR="00752803" w:rsidRPr="0075681F" w14:paraId="21FC1F1E" w14:textId="77777777" w:rsidTr="0075681F">
        <w:trPr>
          <w:jc w:val="center"/>
        </w:trPr>
        <w:tc>
          <w:tcPr>
            <w:tcW w:w="2834" w:type="dxa"/>
            <w:tcBorders>
              <w:top w:val="single" w:sz="4" w:space="0" w:color="auto"/>
            </w:tcBorders>
            <w:tcMar>
              <w:top w:w="100" w:type="nil"/>
              <w:right w:w="100" w:type="nil"/>
            </w:tcMar>
            <w:vAlign w:val="center"/>
          </w:tcPr>
          <w:p w14:paraId="585C77F7"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Association</w:t>
            </w:r>
          </w:p>
        </w:tc>
        <w:tc>
          <w:tcPr>
            <w:tcW w:w="1116" w:type="dxa"/>
            <w:tcBorders>
              <w:top w:val="single" w:sz="4" w:space="0" w:color="auto"/>
            </w:tcBorders>
            <w:tcMar>
              <w:top w:w="100" w:type="nil"/>
              <w:right w:w="100" w:type="nil"/>
            </w:tcMar>
            <w:vAlign w:val="center"/>
          </w:tcPr>
          <w:p w14:paraId="6E733377"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0.0628</w:t>
            </w:r>
          </w:p>
        </w:tc>
        <w:tc>
          <w:tcPr>
            <w:tcW w:w="1044" w:type="dxa"/>
            <w:tcBorders>
              <w:top w:val="single" w:sz="4" w:space="0" w:color="auto"/>
            </w:tcBorders>
            <w:tcMar>
              <w:top w:w="100" w:type="nil"/>
              <w:right w:w="100" w:type="nil"/>
            </w:tcMar>
            <w:vAlign w:val="center"/>
          </w:tcPr>
          <w:p w14:paraId="548A5C48"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0.731</w:t>
            </w:r>
            <w:r w:rsidRPr="0075681F">
              <w:rPr>
                <w:rFonts w:cstheme="minorHAnsi"/>
                <w:sz w:val="16"/>
                <w:szCs w:val="16"/>
                <w:vertAlign w:val="superscript"/>
                <w:lang w:val="en-US"/>
              </w:rPr>
              <w:t>**</w:t>
            </w:r>
          </w:p>
        </w:tc>
        <w:tc>
          <w:tcPr>
            <w:tcW w:w="1080" w:type="dxa"/>
            <w:tcBorders>
              <w:top w:val="single" w:sz="4" w:space="0" w:color="auto"/>
            </w:tcBorders>
            <w:tcMar>
              <w:top w:w="100" w:type="nil"/>
              <w:right w:w="100" w:type="nil"/>
            </w:tcMar>
            <w:vAlign w:val="center"/>
          </w:tcPr>
          <w:p w14:paraId="5B032054"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0.590</w:t>
            </w:r>
            <w:r w:rsidRPr="0075681F">
              <w:rPr>
                <w:rFonts w:cstheme="minorHAnsi"/>
                <w:sz w:val="16"/>
                <w:szCs w:val="16"/>
                <w:vertAlign w:val="superscript"/>
                <w:lang w:val="en-US"/>
              </w:rPr>
              <w:t>*</w:t>
            </w:r>
          </w:p>
        </w:tc>
      </w:tr>
      <w:tr w:rsidR="00752803" w:rsidRPr="0075681F" w14:paraId="5F4849B0" w14:textId="77777777" w:rsidTr="00DF107F">
        <w:trPr>
          <w:jc w:val="center"/>
        </w:trPr>
        <w:tc>
          <w:tcPr>
            <w:tcW w:w="2834" w:type="dxa"/>
            <w:tcMar>
              <w:top w:w="100" w:type="nil"/>
              <w:right w:w="100" w:type="nil"/>
            </w:tcMar>
            <w:vAlign w:val="center"/>
          </w:tcPr>
          <w:p w14:paraId="60428B40"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73E50FC8"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(0.135)</w:t>
            </w:r>
          </w:p>
        </w:tc>
        <w:tc>
          <w:tcPr>
            <w:tcW w:w="1044" w:type="dxa"/>
            <w:tcMar>
              <w:top w:w="100" w:type="nil"/>
              <w:right w:w="100" w:type="nil"/>
            </w:tcMar>
            <w:vAlign w:val="center"/>
          </w:tcPr>
          <w:p w14:paraId="359B5D53"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(0.304)</w:t>
            </w:r>
          </w:p>
        </w:tc>
        <w:tc>
          <w:tcPr>
            <w:tcW w:w="1080" w:type="dxa"/>
            <w:tcMar>
              <w:top w:w="100" w:type="nil"/>
              <w:right w:w="100" w:type="nil"/>
            </w:tcMar>
            <w:vAlign w:val="center"/>
          </w:tcPr>
          <w:p w14:paraId="245801C3"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(0.330)</w:t>
            </w:r>
          </w:p>
        </w:tc>
      </w:tr>
      <w:tr w:rsidR="00752803" w:rsidRPr="0075681F" w14:paraId="55BC5340" w14:textId="77777777" w:rsidTr="00DF107F">
        <w:trPr>
          <w:jc w:val="center"/>
        </w:trPr>
        <w:tc>
          <w:tcPr>
            <w:tcW w:w="2834" w:type="dxa"/>
            <w:tcMar>
              <w:top w:w="100" w:type="nil"/>
              <w:right w:w="100" w:type="nil"/>
            </w:tcMar>
            <w:vAlign w:val="center"/>
          </w:tcPr>
          <w:p w14:paraId="733FD973"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7385FBEC"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44" w:type="dxa"/>
            <w:tcMar>
              <w:top w:w="100" w:type="nil"/>
              <w:right w:w="100" w:type="nil"/>
            </w:tcMar>
            <w:vAlign w:val="center"/>
          </w:tcPr>
          <w:p w14:paraId="761E8358"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80" w:type="dxa"/>
            <w:tcMar>
              <w:top w:w="100" w:type="nil"/>
              <w:right w:w="100" w:type="nil"/>
            </w:tcMar>
            <w:vAlign w:val="center"/>
          </w:tcPr>
          <w:p w14:paraId="0BA1B57E" w14:textId="77777777" w:rsidR="00752803" w:rsidRPr="0075681F" w:rsidRDefault="00752803" w:rsidP="00DF107F">
            <w:pPr>
              <w:widowControl w:val="0"/>
              <w:autoSpaceDE w:val="0"/>
              <w:autoSpaceDN w:val="0"/>
              <w:adjustRightInd w:val="0"/>
              <w:rPr>
                <w:rFonts w:cstheme="minorHAnsi"/>
                <w:sz w:val="16"/>
                <w:szCs w:val="16"/>
                <w:lang w:val="en-US"/>
              </w:rPr>
            </w:pPr>
          </w:p>
        </w:tc>
      </w:tr>
      <w:tr w:rsidR="00752803" w:rsidRPr="0075681F" w14:paraId="1B945A00" w14:textId="77777777" w:rsidTr="00DF107F">
        <w:trPr>
          <w:jc w:val="center"/>
        </w:trPr>
        <w:tc>
          <w:tcPr>
            <w:tcW w:w="2834" w:type="dxa"/>
            <w:tcMar>
              <w:top w:w="100" w:type="nil"/>
              <w:right w:w="100" w:type="nil"/>
            </w:tcMar>
            <w:vAlign w:val="center"/>
          </w:tcPr>
          <w:p w14:paraId="34D2AC19"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Financial Organizations</w:t>
            </w:r>
          </w:p>
        </w:tc>
        <w:tc>
          <w:tcPr>
            <w:tcW w:w="1116" w:type="dxa"/>
            <w:tcMar>
              <w:top w:w="100" w:type="nil"/>
              <w:right w:w="100" w:type="nil"/>
            </w:tcMar>
            <w:vAlign w:val="center"/>
          </w:tcPr>
          <w:p w14:paraId="1120F980"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-0.217</w:t>
            </w:r>
          </w:p>
        </w:tc>
        <w:tc>
          <w:tcPr>
            <w:tcW w:w="1044" w:type="dxa"/>
            <w:tcMar>
              <w:top w:w="100" w:type="nil"/>
              <w:right w:w="100" w:type="nil"/>
            </w:tcMar>
            <w:vAlign w:val="center"/>
          </w:tcPr>
          <w:p w14:paraId="391062BD"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0.163</w:t>
            </w:r>
          </w:p>
        </w:tc>
        <w:tc>
          <w:tcPr>
            <w:tcW w:w="1080" w:type="dxa"/>
            <w:tcMar>
              <w:top w:w="100" w:type="nil"/>
              <w:right w:w="100" w:type="nil"/>
            </w:tcMar>
            <w:vAlign w:val="center"/>
          </w:tcPr>
          <w:p w14:paraId="44A8D230"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-0.0556</w:t>
            </w:r>
          </w:p>
        </w:tc>
      </w:tr>
      <w:tr w:rsidR="00752803" w:rsidRPr="0075681F" w14:paraId="22BB82D8" w14:textId="77777777" w:rsidTr="00DF107F">
        <w:trPr>
          <w:jc w:val="center"/>
        </w:trPr>
        <w:tc>
          <w:tcPr>
            <w:tcW w:w="2834" w:type="dxa"/>
            <w:tcMar>
              <w:top w:w="100" w:type="nil"/>
              <w:right w:w="100" w:type="nil"/>
            </w:tcMar>
            <w:vAlign w:val="center"/>
          </w:tcPr>
          <w:p w14:paraId="254D6E52"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268DFBBC"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(0.322)</w:t>
            </w:r>
          </w:p>
        </w:tc>
        <w:tc>
          <w:tcPr>
            <w:tcW w:w="1044" w:type="dxa"/>
            <w:tcMar>
              <w:top w:w="100" w:type="nil"/>
              <w:right w:w="100" w:type="nil"/>
            </w:tcMar>
            <w:vAlign w:val="center"/>
          </w:tcPr>
          <w:p w14:paraId="2FFF1AC3"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(0.314)</w:t>
            </w:r>
          </w:p>
        </w:tc>
        <w:tc>
          <w:tcPr>
            <w:tcW w:w="1080" w:type="dxa"/>
            <w:tcMar>
              <w:top w:w="100" w:type="nil"/>
              <w:right w:w="100" w:type="nil"/>
            </w:tcMar>
            <w:vAlign w:val="center"/>
          </w:tcPr>
          <w:p w14:paraId="68B27EE8"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(0.347)</w:t>
            </w:r>
          </w:p>
        </w:tc>
      </w:tr>
      <w:tr w:rsidR="00752803" w:rsidRPr="0075681F" w14:paraId="02379159" w14:textId="77777777" w:rsidTr="00DF107F">
        <w:trPr>
          <w:jc w:val="center"/>
        </w:trPr>
        <w:tc>
          <w:tcPr>
            <w:tcW w:w="2834" w:type="dxa"/>
            <w:tcMar>
              <w:top w:w="100" w:type="nil"/>
              <w:right w:w="100" w:type="nil"/>
            </w:tcMar>
            <w:vAlign w:val="center"/>
          </w:tcPr>
          <w:p w14:paraId="0E9755EA"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5EC7A362"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44" w:type="dxa"/>
            <w:tcMar>
              <w:top w:w="100" w:type="nil"/>
              <w:right w:w="100" w:type="nil"/>
            </w:tcMar>
            <w:vAlign w:val="center"/>
          </w:tcPr>
          <w:p w14:paraId="2BD3DB57"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80" w:type="dxa"/>
            <w:tcMar>
              <w:top w:w="100" w:type="nil"/>
              <w:right w:w="100" w:type="nil"/>
            </w:tcMar>
            <w:vAlign w:val="center"/>
          </w:tcPr>
          <w:p w14:paraId="7992724B" w14:textId="77777777" w:rsidR="00752803" w:rsidRPr="0075681F" w:rsidRDefault="00752803" w:rsidP="00DF107F">
            <w:pPr>
              <w:widowControl w:val="0"/>
              <w:autoSpaceDE w:val="0"/>
              <w:autoSpaceDN w:val="0"/>
              <w:adjustRightInd w:val="0"/>
              <w:rPr>
                <w:rFonts w:cstheme="minorHAnsi"/>
                <w:sz w:val="16"/>
                <w:szCs w:val="16"/>
                <w:lang w:val="en-US"/>
              </w:rPr>
            </w:pPr>
          </w:p>
        </w:tc>
      </w:tr>
      <w:tr w:rsidR="00752803" w:rsidRPr="0075681F" w14:paraId="1D9E5195" w14:textId="77777777" w:rsidTr="00DF107F">
        <w:trPr>
          <w:jc w:val="center"/>
        </w:trPr>
        <w:tc>
          <w:tcPr>
            <w:tcW w:w="2834" w:type="dxa"/>
            <w:tcMar>
              <w:top w:w="100" w:type="nil"/>
              <w:right w:w="100" w:type="nil"/>
            </w:tcMar>
            <w:vAlign w:val="center"/>
          </w:tcPr>
          <w:p w14:paraId="28CFBE9A"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Unions, NGOs, Consumer Groups</w:t>
            </w:r>
          </w:p>
        </w:tc>
        <w:tc>
          <w:tcPr>
            <w:tcW w:w="1116" w:type="dxa"/>
            <w:tcMar>
              <w:top w:w="100" w:type="nil"/>
              <w:right w:w="100" w:type="nil"/>
            </w:tcMar>
            <w:vAlign w:val="center"/>
          </w:tcPr>
          <w:p w14:paraId="44CFE76C"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1.078</w:t>
            </w:r>
            <w:r w:rsidRPr="0075681F">
              <w:rPr>
                <w:rFonts w:cstheme="minorHAnsi"/>
                <w:sz w:val="16"/>
                <w:szCs w:val="16"/>
                <w:vertAlign w:val="superscript"/>
                <w:lang w:val="en-US"/>
              </w:rPr>
              <w:t>**</w:t>
            </w:r>
          </w:p>
        </w:tc>
        <w:tc>
          <w:tcPr>
            <w:tcW w:w="1044" w:type="dxa"/>
            <w:tcMar>
              <w:top w:w="100" w:type="nil"/>
              <w:right w:w="100" w:type="nil"/>
            </w:tcMar>
            <w:vAlign w:val="center"/>
          </w:tcPr>
          <w:p w14:paraId="76EE0408"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1.028</w:t>
            </w:r>
            <w:r w:rsidRPr="0075681F">
              <w:rPr>
                <w:rFonts w:cstheme="minorHAnsi"/>
                <w:sz w:val="16"/>
                <w:szCs w:val="16"/>
                <w:vertAlign w:val="superscript"/>
                <w:lang w:val="en-US"/>
              </w:rPr>
              <w:t>***</w:t>
            </w:r>
          </w:p>
        </w:tc>
        <w:tc>
          <w:tcPr>
            <w:tcW w:w="1080" w:type="dxa"/>
            <w:tcMar>
              <w:top w:w="100" w:type="nil"/>
              <w:right w:w="100" w:type="nil"/>
            </w:tcMar>
            <w:vAlign w:val="center"/>
          </w:tcPr>
          <w:p w14:paraId="241D9308"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0.952</w:t>
            </w:r>
            <w:r w:rsidRPr="0075681F">
              <w:rPr>
                <w:rFonts w:cstheme="minorHAnsi"/>
                <w:sz w:val="16"/>
                <w:szCs w:val="16"/>
                <w:vertAlign w:val="superscript"/>
                <w:lang w:val="en-US"/>
              </w:rPr>
              <w:t>**</w:t>
            </w:r>
          </w:p>
        </w:tc>
      </w:tr>
      <w:tr w:rsidR="00752803" w:rsidRPr="0075681F" w14:paraId="5AB8337E" w14:textId="77777777" w:rsidTr="00DF107F">
        <w:trPr>
          <w:jc w:val="center"/>
        </w:trPr>
        <w:tc>
          <w:tcPr>
            <w:tcW w:w="2834" w:type="dxa"/>
            <w:tcMar>
              <w:top w:w="100" w:type="nil"/>
              <w:right w:w="100" w:type="nil"/>
            </w:tcMar>
            <w:vAlign w:val="center"/>
          </w:tcPr>
          <w:p w14:paraId="5DAC7308"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3BC5D2B2"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(0.434)</w:t>
            </w:r>
          </w:p>
        </w:tc>
        <w:tc>
          <w:tcPr>
            <w:tcW w:w="1044" w:type="dxa"/>
            <w:tcMar>
              <w:top w:w="100" w:type="nil"/>
              <w:right w:w="100" w:type="nil"/>
            </w:tcMar>
            <w:vAlign w:val="center"/>
          </w:tcPr>
          <w:p w14:paraId="2F30D9DF"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(0.394)</w:t>
            </w:r>
          </w:p>
        </w:tc>
        <w:tc>
          <w:tcPr>
            <w:tcW w:w="1080" w:type="dxa"/>
            <w:tcMar>
              <w:top w:w="100" w:type="nil"/>
              <w:right w:w="100" w:type="nil"/>
            </w:tcMar>
            <w:vAlign w:val="center"/>
          </w:tcPr>
          <w:p w14:paraId="00230660"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(0.470)</w:t>
            </w:r>
          </w:p>
        </w:tc>
      </w:tr>
      <w:tr w:rsidR="00752803" w:rsidRPr="0075681F" w14:paraId="52AF8D2D" w14:textId="77777777" w:rsidTr="00DF107F">
        <w:trPr>
          <w:jc w:val="center"/>
        </w:trPr>
        <w:tc>
          <w:tcPr>
            <w:tcW w:w="2834" w:type="dxa"/>
            <w:tcMar>
              <w:top w:w="100" w:type="nil"/>
              <w:right w:w="100" w:type="nil"/>
            </w:tcMar>
            <w:vAlign w:val="center"/>
          </w:tcPr>
          <w:p w14:paraId="679C3F77"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703BA686"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44" w:type="dxa"/>
            <w:tcMar>
              <w:top w:w="100" w:type="nil"/>
              <w:right w:w="100" w:type="nil"/>
            </w:tcMar>
            <w:vAlign w:val="center"/>
          </w:tcPr>
          <w:p w14:paraId="3B704AE8"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80" w:type="dxa"/>
            <w:tcMar>
              <w:top w:w="100" w:type="nil"/>
              <w:right w:w="100" w:type="nil"/>
            </w:tcMar>
            <w:vAlign w:val="center"/>
          </w:tcPr>
          <w:p w14:paraId="5DF6733B" w14:textId="77777777" w:rsidR="00752803" w:rsidRPr="0075681F" w:rsidRDefault="00752803" w:rsidP="00DF107F">
            <w:pPr>
              <w:widowControl w:val="0"/>
              <w:autoSpaceDE w:val="0"/>
              <w:autoSpaceDN w:val="0"/>
              <w:adjustRightInd w:val="0"/>
              <w:rPr>
                <w:rFonts w:cstheme="minorHAnsi"/>
                <w:sz w:val="16"/>
                <w:szCs w:val="16"/>
                <w:lang w:val="en-US"/>
              </w:rPr>
            </w:pPr>
          </w:p>
        </w:tc>
      </w:tr>
      <w:tr w:rsidR="00752803" w:rsidRPr="0075681F" w14:paraId="3328A0B5" w14:textId="77777777" w:rsidTr="00DF107F">
        <w:trPr>
          <w:jc w:val="center"/>
        </w:trPr>
        <w:tc>
          <w:tcPr>
            <w:tcW w:w="2834" w:type="dxa"/>
            <w:tcMar>
              <w:top w:w="100" w:type="nil"/>
              <w:right w:w="100" w:type="nil"/>
            </w:tcMar>
            <w:vAlign w:val="center"/>
          </w:tcPr>
          <w:p w14:paraId="33C7E305"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Peak Business Association</w:t>
            </w:r>
          </w:p>
        </w:tc>
        <w:tc>
          <w:tcPr>
            <w:tcW w:w="1116" w:type="dxa"/>
            <w:tcMar>
              <w:top w:w="100" w:type="nil"/>
              <w:right w:w="100" w:type="nil"/>
            </w:tcMar>
            <w:vAlign w:val="center"/>
          </w:tcPr>
          <w:p w14:paraId="165D1155"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-0.192</w:t>
            </w:r>
          </w:p>
        </w:tc>
        <w:tc>
          <w:tcPr>
            <w:tcW w:w="1044" w:type="dxa"/>
            <w:tcMar>
              <w:top w:w="100" w:type="nil"/>
              <w:right w:w="100" w:type="nil"/>
            </w:tcMar>
            <w:vAlign w:val="center"/>
          </w:tcPr>
          <w:p w14:paraId="0B6EAD8B"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-0.501</w:t>
            </w:r>
          </w:p>
        </w:tc>
        <w:tc>
          <w:tcPr>
            <w:tcW w:w="1080" w:type="dxa"/>
            <w:tcMar>
              <w:top w:w="100" w:type="nil"/>
              <w:right w:w="100" w:type="nil"/>
            </w:tcMar>
            <w:vAlign w:val="center"/>
          </w:tcPr>
          <w:p w14:paraId="300461CC"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-0.690</w:t>
            </w:r>
          </w:p>
        </w:tc>
      </w:tr>
      <w:tr w:rsidR="00752803" w:rsidRPr="0075681F" w14:paraId="0251D202" w14:textId="77777777" w:rsidTr="00DF107F">
        <w:trPr>
          <w:jc w:val="center"/>
        </w:trPr>
        <w:tc>
          <w:tcPr>
            <w:tcW w:w="2834" w:type="dxa"/>
            <w:tcMar>
              <w:top w:w="100" w:type="nil"/>
              <w:right w:w="100" w:type="nil"/>
            </w:tcMar>
            <w:vAlign w:val="center"/>
          </w:tcPr>
          <w:p w14:paraId="38AA122D"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6F881AB1"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(0.553)</w:t>
            </w:r>
          </w:p>
        </w:tc>
        <w:tc>
          <w:tcPr>
            <w:tcW w:w="1044" w:type="dxa"/>
            <w:tcMar>
              <w:top w:w="100" w:type="nil"/>
              <w:right w:w="100" w:type="nil"/>
            </w:tcMar>
            <w:vAlign w:val="center"/>
          </w:tcPr>
          <w:p w14:paraId="5374EA0B"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(0.549)</w:t>
            </w:r>
          </w:p>
        </w:tc>
        <w:tc>
          <w:tcPr>
            <w:tcW w:w="1080" w:type="dxa"/>
            <w:tcMar>
              <w:top w:w="100" w:type="nil"/>
              <w:right w:w="100" w:type="nil"/>
            </w:tcMar>
            <w:vAlign w:val="center"/>
          </w:tcPr>
          <w:p w14:paraId="474377A5"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(0.550)</w:t>
            </w:r>
          </w:p>
        </w:tc>
      </w:tr>
      <w:tr w:rsidR="00752803" w:rsidRPr="0075681F" w14:paraId="52817D92" w14:textId="77777777" w:rsidTr="00DF107F">
        <w:trPr>
          <w:jc w:val="center"/>
        </w:trPr>
        <w:tc>
          <w:tcPr>
            <w:tcW w:w="2834" w:type="dxa"/>
            <w:tcMar>
              <w:top w:w="100" w:type="nil"/>
              <w:right w:w="100" w:type="nil"/>
            </w:tcMar>
            <w:vAlign w:val="center"/>
          </w:tcPr>
          <w:p w14:paraId="17F23AC5"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42C55935"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44" w:type="dxa"/>
            <w:tcMar>
              <w:top w:w="100" w:type="nil"/>
              <w:right w:w="100" w:type="nil"/>
            </w:tcMar>
            <w:vAlign w:val="center"/>
          </w:tcPr>
          <w:p w14:paraId="27FC153B"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80" w:type="dxa"/>
            <w:tcMar>
              <w:top w:w="100" w:type="nil"/>
              <w:right w:w="100" w:type="nil"/>
            </w:tcMar>
            <w:vAlign w:val="center"/>
          </w:tcPr>
          <w:p w14:paraId="0CC73D25" w14:textId="77777777" w:rsidR="00752803" w:rsidRPr="0075681F" w:rsidRDefault="00752803" w:rsidP="00DF107F">
            <w:pPr>
              <w:widowControl w:val="0"/>
              <w:autoSpaceDE w:val="0"/>
              <w:autoSpaceDN w:val="0"/>
              <w:adjustRightInd w:val="0"/>
              <w:rPr>
                <w:rFonts w:cstheme="minorHAnsi"/>
                <w:sz w:val="16"/>
                <w:szCs w:val="16"/>
                <w:lang w:val="en-US"/>
              </w:rPr>
            </w:pPr>
          </w:p>
        </w:tc>
      </w:tr>
      <w:tr w:rsidR="00752803" w:rsidRPr="0075681F" w14:paraId="4FA54586" w14:textId="77777777" w:rsidTr="00DF107F">
        <w:trPr>
          <w:jc w:val="center"/>
        </w:trPr>
        <w:tc>
          <w:tcPr>
            <w:tcW w:w="2834" w:type="dxa"/>
            <w:tcMar>
              <w:top w:w="100" w:type="nil"/>
              <w:right w:w="100" w:type="nil"/>
            </w:tcMar>
            <w:vAlign w:val="center"/>
          </w:tcPr>
          <w:p w14:paraId="4CBB2EAB"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Non-Financial Business (incl. Energy)</w:t>
            </w:r>
          </w:p>
        </w:tc>
        <w:tc>
          <w:tcPr>
            <w:tcW w:w="1116" w:type="dxa"/>
            <w:tcMar>
              <w:top w:w="100" w:type="nil"/>
              <w:right w:w="100" w:type="nil"/>
            </w:tcMar>
            <w:vAlign w:val="center"/>
          </w:tcPr>
          <w:p w14:paraId="43FA2DCA"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-0.518</w:t>
            </w:r>
          </w:p>
        </w:tc>
        <w:tc>
          <w:tcPr>
            <w:tcW w:w="1044" w:type="dxa"/>
            <w:tcMar>
              <w:top w:w="100" w:type="nil"/>
              <w:right w:w="100" w:type="nil"/>
            </w:tcMar>
            <w:vAlign w:val="center"/>
          </w:tcPr>
          <w:p w14:paraId="6FBB65C9"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-0.326</w:t>
            </w:r>
          </w:p>
        </w:tc>
        <w:tc>
          <w:tcPr>
            <w:tcW w:w="1080" w:type="dxa"/>
            <w:tcMar>
              <w:top w:w="100" w:type="nil"/>
              <w:right w:w="100" w:type="nil"/>
            </w:tcMar>
            <w:vAlign w:val="center"/>
          </w:tcPr>
          <w:p w14:paraId="033CD432"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-0.559</w:t>
            </w:r>
          </w:p>
        </w:tc>
      </w:tr>
      <w:tr w:rsidR="00752803" w:rsidRPr="0075681F" w14:paraId="6F5EA43F" w14:textId="77777777" w:rsidTr="00DF107F">
        <w:trPr>
          <w:jc w:val="center"/>
        </w:trPr>
        <w:tc>
          <w:tcPr>
            <w:tcW w:w="2834" w:type="dxa"/>
            <w:tcMar>
              <w:top w:w="100" w:type="nil"/>
              <w:right w:w="100" w:type="nil"/>
            </w:tcMar>
            <w:vAlign w:val="center"/>
          </w:tcPr>
          <w:p w14:paraId="12690AD7"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62D18676"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(0.394)</w:t>
            </w:r>
          </w:p>
        </w:tc>
        <w:tc>
          <w:tcPr>
            <w:tcW w:w="1044" w:type="dxa"/>
            <w:tcMar>
              <w:top w:w="100" w:type="nil"/>
              <w:right w:w="100" w:type="nil"/>
            </w:tcMar>
            <w:vAlign w:val="center"/>
          </w:tcPr>
          <w:p w14:paraId="1B204B17"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(0.359)</w:t>
            </w:r>
          </w:p>
        </w:tc>
        <w:tc>
          <w:tcPr>
            <w:tcW w:w="1080" w:type="dxa"/>
            <w:tcMar>
              <w:top w:w="100" w:type="nil"/>
              <w:right w:w="100" w:type="nil"/>
            </w:tcMar>
            <w:vAlign w:val="center"/>
          </w:tcPr>
          <w:p w14:paraId="40ED6C40"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(0.400)</w:t>
            </w:r>
          </w:p>
        </w:tc>
      </w:tr>
      <w:tr w:rsidR="00752803" w:rsidRPr="0075681F" w14:paraId="1CA40015" w14:textId="77777777" w:rsidTr="00DF107F">
        <w:trPr>
          <w:jc w:val="center"/>
        </w:trPr>
        <w:tc>
          <w:tcPr>
            <w:tcW w:w="2834" w:type="dxa"/>
            <w:tcMar>
              <w:top w:w="100" w:type="nil"/>
              <w:right w:w="100" w:type="nil"/>
            </w:tcMar>
            <w:vAlign w:val="center"/>
          </w:tcPr>
          <w:p w14:paraId="1CCFEC4A"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6FA89FD5"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44" w:type="dxa"/>
            <w:tcMar>
              <w:top w:w="100" w:type="nil"/>
              <w:right w:w="100" w:type="nil"/>
            </w:tcMar>
            <w:vAlign w:val="center"/>
          </w:tcPr>
          <w:p w14:paraId="33089D20"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80" w:type="dxa"/>
            <w:tcMar>
              <w:top w:w="100" w:type="nil"/>
              <w:right w:w="100" w:type="nil"/>
            </w:tcMar>
            <w:vAlign w:val="center"/>
          </w:tcPr>
          <w:p w14:paraId="6C809A15" w14:textId="77777777" w:rsidR="00752803" w:rsidRPr="0075681F" w:rsidRDefault="00752803" w:rsidP="00DF107F">
            <w:pPr>
              <w:widowControl w:val="0"/>
              <w:autoSpaceDE w:val="0"/>
              <w:autoSpaceDN w:val="0"/>
              <w:adjustRightInd w:val="0"/>
              <w:rPr>
                <w:rFonts w:cstheme="minorHAnsi"/>
                <w:sz w:val="16"/>
                <w:szCs w:val="16"/>
                <w:lang w:val="en-US"/>
              </w:rPr>
            </w:pPr>
          </w:p>
        </w:tc>
      </w:tr>
      <w:tr w:rsidR="00752803" w:rsidRPr="0075681F" w14:paraId="112D4698" w14:textId="77777777" w:rsidTr="00DF107F">
        <w:trPr>
          <w:jc w:val="center"/>
        </w:trPr>
        <w:tc>
          <w:tcPr>
            <w:tcW w:w="2834" w:type="dxa"/>
            <w:tcMar>
              <w:top w:w="100" w:type="nil"/>
              <w:right w:w="100" w:type="nil"/>
            </w:tcMar>
            <w:vAlign w:val="center"/>
          </w:tcPr>
          <w:p w14:paraId="5AA3E132"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Financial Sector Associations</w:t>
            </w:r>
          </w:p>
        </w:tc>
        <w:tc>
          <w:tcPr>
            <w:tcW w:w="1116" w:type="dxa"/>
            <w:tcMar>
              <w:top w:w="100" w:type="nil"/>
              <w:right w:w="100" w:type="nil"/>
            </w:tcMar>
            <w:vAlign w:val="center"/>
          </w:tcPr>
          <w:p w14:paraId="5C032483"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44" w:type="dxa"/>
            <w:tcMar>
              <w:top w:w="100" w:type="nil"/>
              <w:right w:w="100" w:type="nil"/>
            </w:tcMar>
            <w:vAlign w:val="center"/>
          </w:tcPr>
          <w:p w14:paraId="7F9C9E43"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-0.738</w:t>
            </w:r>
            <w:r w:rsidRPr="0075681F">
              <w:rPr>
                <w:rFonts w:cstheme="minorHAnsi"/>
                <w:sz w:val="16"/>
                <w:szCs w:val="16"/>
                <w:vertAlign w:val="superscript"/>
                <w:lang w:val="en-US"/>
              </w:rPr>
              <w:t>**</w:t>
            </w:r>
          </w:p>
        </w:tc>
        <w:tc>
          <w:tcPr>
            <w:tcW w:w="1080" w:type="dxa"/>
            <w:tcMar>
              <w:top w:w="100" w:type="nil"/>
              <w:right w:w="100" w:type="nil"/>
            </w:tcMar>
            <w:vAlign w:val="center"/>
          </w:tcPr>
          <w:p w14:paraId="36706707"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-0.639</w:t>
            </w:r>
            <w:r w:rsidRPr="0075681F">
              <w:rPr>
                <w:rFonts w:cstheme="minorHAnsi"/>
                <w:sz w:val="16"/>
                <w:szCs w:val="16"/>
                <w:vertAlign w:val="superscript"/>
                <w:lang w:val="en-US"/>
              </w:rPr>
              <w:t>*</w:t>
            </w:r>
          </w:p>
        </w:tc>
      </w:tr>
      <w:tr w:rsidR="00752803" w:rsidRPr="0075681F" w14:paraId="052AA235" w14:textId="77777777" w:rsidTr="00DF107F">
        <w:trPr>
          <w:jc w:val="center"/>
        </w:trPr>
        <w:tc>
          <w:tcPr>
            <w:tcW w:w="2834" w:type="dxa"/>
            <w:tcMar>
              <w:top w:w="100" w:type="nil"/>
              <w:right w:w="100" w:type="nil"/>
            </w:tcMar>
            <w:vAlign w:val="center"/>
          </w:tcPr>
          <w:p w14:paraId="10FA00E6"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62013C90"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44" w:type="dxa"/>
            <w:tcMar>
              <w:top w:w="100" w:type="nil"/>
              <w:right w:w="100" w:type="nil"/>
            </w:tcMar>
            <w:vAlign w:val="center"/>
          </w:tcPr>
          <w:p w14:paraId="647D4550"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(0.318)</w:t>
            </w:r>
          </w:p>
        </w:tc>
        <w:tc>
          <w:tcPr>
            <w:tcW w:w="1080" w:type="dxa"/>
            <w:tcMar>
              <w:top w:w="100" w:type="nil"/>
              <w:right w:w="100" w:type="nil"/>
            </w:tcMar>
            <w:vAlign w:val="center"/>
          </w:tcPr>
          <w:p w14:paraId="34D90892"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(0.349)</w:t>
            </w:r>
          </w:p>
        </w:tc>
      </w:tr>
      <w:tr w:rsidR="00752803" w:rsidRPr="0075681F" w14:paraId="3FC7A14C" w14:textId="77777777" w:rsidTr="00DF107F">
        <w:trPr>
          <w:jc w:val="center"/>
        </w:trPr>
        <w:tc>
          <w:tcPr>
            <w:tcW w:w="2834" w:type="dxa"/>
            <w:tcMar>
              <w:top w:w="100" w:type="nil"/>
              <w:right w:w="100" w:type="nil"/>
            </w:tcMar>
            <w:vAlign w:val="center"/>
          </w:tcPr>
          <w:p w14:paraId="4F9D8493"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68F3D384"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44" w:type="dxa"/>
            <w:tcMar>
              <w:top w:w="100" w:type="nil"/>
              <w:right w:w="100" w:type="nil"/>
            </w:tcMar>
            <w:vAlign w:val="center"/>
          </w:tcPr>
          <w:p w14:paraId="6D06602B"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80" w:type="dxa"/>
            <w:tcMar>
              <w:top w:w="100" w:type="nil"/>
              <w:right w:w="100" w:type="nil"/>
            </w:tcMar>
            <w:vAlign w:val="center"/>
          </w:tcPr>
          <w:p w14:paraId="28A43D12" w14:textId="77777777" w:rsidR="00752803" w:rsidRPr="0075681F" w:rsidRDefault="00752803" w:rsidP="00DF107F">
            <w:pPr>
              <w:widowControl w:val="0"/>
              <w:autoSpaceDE w:val="0"/>
              <w:autoSpaceDN w:val="0"/>
              <w:adjustRightInd w:val="0"/>
              <w:rPr>
                <w:rFonts w:cstheme="minorHAnsi"/>
                <w:sz w:val="16"/>
                <w:szCs w:val="16"/>
                <w:lang w:val="en-US"/>
              </w:rPr>
            </w:pPr>
          </w:p>
        </w:tc>
      </w:tr>
      <w:tr w:rsidR="00752803" w:rsidRPr="0075681F" w14:paraId="305210E1" w14:textId="77777777" w:rsidTr="00DF107F">
        <w:trPr>
          <w:jc w:val="center"/>
        </w:trPr>
        <w:tc>
          <w:tcPr>
            <w:tcW w:w="2834" w:type="dxa"/>
            <w:tcMar>
              <w:top w:w="100" w:type="nil"/>
              <w:right w:w="100" w:type="nil"/>
            </w:tcMar>
            <w:vAlign w:val="center"/>
          </w:tcPr>
          <w:p w14:paraId="6883BE91"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Number of Staff</w:t>
            </w:r>
          </w:p>
        </w:tc>
        <w:tc>
          <w:tcPr>
            <w:tcW w:w="1116" w:type="dxa"/>
            <w:tcMar>
              <w:top w:w="100" w:type="nil"/>
              <w:right w:w="100" w:type="nil"/>
            </w:tcMar>
            <w:vAlign w:val="center"/>
          </w:tcPr>
          <w:p w14:paraId="2132B857"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44" w:type="dxa"/>
            <w:tcMar>
              <w:top w:w="100" w:type="nil"/>
              <w:right w:w="100" w:type="nil"/>
            </w:tcMar>
            <w:vAlign w:val="center"/>
          </w:tcPr>
          <w:p w14:paraId="31D69828"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80" w:type="dxa"/>
            <w:tcMar>
              <w:top w:w="100" w:type="nil"/>
              <w:right w:w="100" w:type="nil"/>
            </w:tcMar>
            <w:vAlign w:val="center"/>
          </w:tcPr>
          <w:p w14:paraId="1097F300"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0.00757</w:t>
            </w:r>
          </w:p>
        </w:tc>
      </w:tr>
      <w:tr w:rsidR="00752803" w:rsidRPr="0075681F" w14:paraId="158E94FB" w14:textId="77777777" w:rsidTr="00DF107F">
        <w:trPr>
          <w:jc w:val="center"/>
        </w:trPr>
        <w:tc>
          <w:tcPr>
            <w:tcW w:w="2834" w:type="dxa"/>
            <w:tcMar>
              <w:top w:w="100" w:type="nil"/>
              <w:right w:w="100" w:type="nil"/>
            </w:tcMar>
            <w:vAlign w:val="center"/>
          </w:tcPr>
          <w:p w14:paraId="575E6553"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5B61F5F8"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44" w:type="dxa"/>
            <w:tcMar>
              <w:top w:w="100" w:type="nil"/>
              <w:right w:w="100" w:type="nil"/>
            </w:tcMar>
            <w:vAlign w:val="center"/>
          </w:tcPr>
          <w:p w14:paraId="58261C9C"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80" w:type="dxa"/>
            <w:tcMar>
              <w:top w:w="100" w:type="nil"/>
              <w:right w:w="100" w:type="nil"/>
            </w:tcMar>
            <w:vAlign w:val="center"/>
          </w:tcPr>
          <w:p w14:paraId="49246DA1"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(0.00888)</w:t>
            </w:r>
          </w:p>
        </w:tc>
      </w:tr>
      <w:tr w:rsidR="00752803" w:rsidRPr="0075681F" w14:paraId="366DC9B6" w14:textId="77777777" w:rsidTr="00DF107F">
        <w:trPr>
          <w:jc w:val="center"/>
        </w:trPr>
        <w:tc>
          <w:tcPr>
            <w:tcW w:w="2834" w:type="dxa"/>
            <w:tcMar>
              <w:top w:w="100" w:type="nil"/>
              <w:right w:w="100" w:type="nil"/>
            </w:tcMar>
            <w:vAlign w:val="center"/>
          </w:tcPr>
          <w:p w14:paraId="19F60C58"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0F44576D"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44" w:type="dxa"/>
            <w:tcMar>
              <w:top w:w="100" w:type="nil"/>
              <w:right w:w="100" w:type="nil"/>
            </w:tcMar>
            <w:vAlign w:val="center"/>
          </w:tcPr>
          <w:p w14:paraId="4BDAA0B4"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80" w:type="dxa"/>
            <w:tcMar>
              <w:top w:w="100" w:type="nil"/>
              <w:right w:w="100" w:type="nil"/>
            </w:tcMar>
            <w:vAlign w:val="center"/>
          </w:tcPr>
          <w:p w14:paraId="1D53E465" w14:textId="77777777" w:rsidR="00752803" w:rsidRPr="0075681F" w:rsidRDefault="00752803" w:rsidP="00DF107F">
            <w:pPr>
              <w:widowControl w:val="0"/>
              <w:autoSpaceDE w:val="0"/>
              <w:autoSpaceDN w:val="0"/>
              <w:adjustRightInd w:val="0"/>
              <w:rPr>
                <w:rFonts w:cstheme="minorHAnsi"/>
                <w:sz w:val="16"/>
                <w:szCs w:val="16"/>
                <w:lang w:val="en-US"/>
              </w:rPr>
            </w:pPr>
          </w:p>
        </w:tc>
      </w:tr>
      <w:tr w:rsidR="00752803" w:rsidRPr="0075681F" w14:paraId="6E401A6C" w14:textId="77777777" w:rsidTr="00DF107F">
        <w:trPr>
          <w:jc w:val="center"/>
        </w:trPr>
        <w:tc>
          <w:tcPr>
            <w:tcW w:w="2834" w:type="dxa"/>
            <w:tcMar>
              <w:top w:w="100" w:type="nil"/>
              <w:right w:w="100" w:type="nil"/>
            </w:tcMar>
            <w:vAlign w:val="center"/>
          </w:tcPr>
          <w:p w14:paraId="2CE02ED9"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Number of Lobbyists</w:t>
            </w:r>
          </w:p>
        </w:tc>
        <w:tc>
          <w:tcPr>
            <w:tcW w:w="1116" w:type="dxa"/>
            <w:tcMar>
              <w:top w:w="100" w:type="nil"/>
              <w:right w:w="100" w:type="nil"/>
            </w:tcMar>
            <w:vAlign w:val="center"/>
          </w:tcPr>
          <w:p w14:paraId="2F720B9B"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44" w:type="dxa"/>
            <w:tcMar>
              <w:top w:w="100" w:type="nil"/>
              <w:right w:w="100" w:type="nil"/>
            </w:tcMar>
            <w:vAlign w:val="center"/>
          </w:tcPr>
          <w:p w14:paraId="45340BCE"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80" w:type="dxa"/>
            <w:tcMar>
              <w:top w:w="100" w:type="nil"/>
              <w:right w:w="100" w:type="nil"/>
            </w:tcMar>
            <w:vAlign w:val="center"/>
          </w:tcPr>
          <w:p w14:paraId="78B5B726"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-0.0127</w:t>
            </w:r>
          </w:p>
        </w:tc>
      </w:tr>
      <w:tr w:rsidR="00752803" w:rsidRPr="0075681F" w14:paraId="100B6EA2" w14:textId="77777777" w:rsidTr="00DF107F">
        <w:trPr>
          <w:jc w:val="center"/>
        </w:trPr>
        <w:tc>
          <w:tcPr>
            <w:tcW w:w="2834" w:type="dxa"/>
            <w:tcMar>
              <w:top w:w="100" w:type="nil"/>
              <w:right w:w="100" w:type="nil"/>
            </w:tcMar>
            <w:vAlign w:val="center"/>
          </w:tcPr>
          <w:p w14:paraId="2C42978C"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11BCA882"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44" w:type="dxa"/>
            <w:tcMar>
              <w:top w:w="100" w:type="nil"/>
              <w:right w:w="100" w:type="nil"/>
            </w:tcMar>
            <w:vAlign w:val="center"/>
          </w:tcPr>
          <w:p w14:paraId="0D99441E" w14:textId="77777777" w:rsidR="00752803" w:rsidRPr="0075681F" w:rsidRDefault="00752803" w:rsidP="00DF107F">
            <w:pPr>
              <w:widowControl w:val="0"/>
              <w:autoSpaceDE w:val="0"/>
              <w:autoSpaceDN w:val="0"/>
              <w:adjustRightInd w:val="0"/>
              <w:jc w:val="center"/>
              <w:rPr>
                <w:rFonts w:cstheme="minorHAnsi"/>
                <w:sz w:val="16"/>
                <w:szCs w:val="16"/>
                <w:lang w:val="en-US"/>
              </w:rPr>
            </w:pPr>
          </w:p>
        </w:tc>
        <w:tc>
          <w:tcPr>
            <w:tcW w:w="1080" w:type="dxa"/>
            <w:tcMar>
              <w:top w:w="100" w:type="nil"/>
              <w:right w:w="100" w:type="nil"/>
            </w:tcMar>
            <w:vAlign w:val="center"/>
          </w:tcPr>
          <w:p w14:paraId="4BD6F1EA"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(0.0199)</w:t>
            </w:r>
          </w:p>
        </w:tc>
      </w:tr>
      <w:tr w:rsidR="00752803" w:rsidRPr="0075681F" w14:paraId="69591F68" w14:textId="77777777" w:rsidTr="00DF107F">
        <w:trPr>
          <w:jc w:val="center"/>
        </w:trPr>
        <w:tc>
          <w:tcPr>
            <w:tcW w:w="2834" w:type="dxa"/>
            <w:tcBorders>
              <w:bottom w:val="single" w:sz="4" w:space="0" w:color="auto"/>
            </w:tcBorders>
            <w:tcMar>
              <w:top w:w="100" w:type="nil"/>
              <w:right w:w="100" w:type="nil"/>
            </w:tcMar>
            <w:vAlign w:val="center"/>
          </w:tcPr>
          <w:p w14:paraId="21A0016A"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Borders>
              <w:bottom w:val="single" w:sz="4" w:space="0" w:color="auto"/>
            </w:tcBorders>
            <w:tcMar>
              <w:top w:w="100" w:type="nil"/>
              <w:right w:w="100" w:type="nil"/>
            </w:tcMar>
            <w:vAlign w:val="center"/>
          </w:tcPr>
          <w:p w14:paraId="1262FAB4"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44" w:type="dxa"/>
            <w:tcBorders>
              <w:bottom w:val="single" w:sz="4" w:space="0" w:color="auto"/>
            </w:tcBorders>
            <w:tcMar>
              <w:top w:w="100" w:type="nil"/>
              <w:right w:w="100" w:type="nil"/>
            </w:tcMar>
            <w:vAlign w:val="center"/>
          </w:tcPr>
          <w:p w14:paraId="7A3891E5" w14:textId="77777777" w:rsidR="00752803" w:rsidRPr="0075681F" w:rsidRDefault="00752803" w:rsidP="00DF107F">
            <w:pPr>
              <w:widowControl w:val="0"/>
              <w:autoSpaceDE w:val="0"/>
              <w:autoSpaceDN w:val="0"/>
              <w:adjustRightInd w:val="0"/>
              <w:rPr>
                <w:rFonts w:cstheme="minorHAnsi"/>
                <w:sz w:val="16"/>
                <w:szCs w:val="16"/>
                <w:lang w:val="en-US"/>
              </w:rPr>
            </w:pPr>
          </w:p>
        </w:tc>
        <w:tc>
          <w:tcPr>
            <w:tcW w:w="1080" w:type="dxa"/>
            <w:tcBorders>
              <w:bottom w:val="single" w:sz="4" w:space="0" w:color="auto"/>
            </w:tcBorders>
            <w:tcMar>
              <w:top w:w="100" w:type="nil"/>
              <w:right w:w="100" w:type="nil"/>
            </w:tcMar>
            <w:vAlign w:val="center"/>
          </w:tcPr>
          <w:p w14:paraId="6741FB78" w14:textId="77777777" w:rsidR="00752803" w:rsidRPr="0075681F" w:rsidRDefault="00752803" w:rsidP="00DF107F">
            <w:pPr>
              <w:widowControl w:val="0"/>
              <w:autoSpaceDE w:val="0"/>
              <w:autoSpaceDN w:val="0"/>
              <w:adjustRightInd w:val="0"/>
              <w:rPr>
                <w:rFonts w:cstheme="minorHAnsi"/>
                <w:sz w:val="16"/>
                <w:szCs w:val="16"/>
                <w:lang w:val="en-US"/>
              </w:rPr>
            </w:pPr>
          </w:p>
        </w:tc>
      </w:tr>
      <w:tr w:rsidR="00752803" w:rsidRPr="0075681F" w14:paraId="4646AA29" w14:textId="77777777" w:rsidTr="00DF107F">
        <w:trPr>
          <w:jc w:val="center"/>
        </w:trPr>
        <w:tc>
          <w:tcPr>
            <w:tcW w:w="2834" w:type="dxa"/>
            <w:tcBorders>
              <w:top w:val="single" w:sz="4" w:space="0" w:color="auto"/>
            </w:tcBorders>
            <w:tcMar>
              <w:top w:w="100" w:type="nil"/>
              <w:right w:w="100" w:type="nil"/>
            </w:tcMar>
            <w:vAlign w:val="center"/>
          </w:tcPr>
          <w:p w14:paraId="1B16B971"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Constant</w:t>
            </w:r>
          </w:p>
        </w:tc>
        <w:tc>
          <w:tcPr>
            <w:tcW w:w="1116" w:type="dxa"/>
            <w:tcBorders>
              <w:top w:val="single" w:sz="4" w:space="0" w:color="auto"/>
            </w:tcBorders>
            <w:tcMar>
              <w:top w:w="100" w:type="nil"/>
              <w:right w:w="100" w:type="nil"/>
            </w:tcMar>
            <w:vAlign w:val="center"/>
          </w:tcPr>
          <w:p w14:paraId="51D4E3AA"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-0.256</w:t>
            </w:r>
          </w:p>
        </w:tc>
        <w:tc>
          <w:tcPr>
            <w:tcW w:w="1044" w:type="dxa"/>
            <w:tcBorders>
              <w:top w:val="single" w:sz="4" w:space="0" w:color="auto"/>
            </w:tcBorders>
            <w:tcMar>
              <w:top w:w="100" w:type="nil"/>
              <w:right w:w="100" w:type="nil"/>
            </w:tcMar>
            <w:vAlign w:val="center"/>
          </w:tcPr>
          <w:p w14:paraId="6F2ED2C3"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-0.604</w:t>
            </w:r>
            <w:r w:rsidRPr="0075681F">
              <w:rPr>
                <w:rFonts w:cstheme="minorHAnsi"/>
                <w:sz w:val="16"/>
                <w:szCs w:val="16"/>
                <w:vertAlign w:val="superscript"/>
                <w:lang w:val="en-US"/>
              </w:rPr>
              <w:t>*</w:t>
            </w:r>
          </w:p>
        </w:tc>
        <w:tc>
          <w:tcPr>
            <w:tcW w:w="1080" w:type="dxa"/>
            <w:tcBorders>
              <w:top w:val="single" w:sz="4" w:space="0" w:color="auto"/>
            </w:tcBorders>
            <w:tcMar>
              <w:top w:w="100" w:type="nil"/>
              <w:right w:w="100" w:type="nil"/>
            </w:tcMar>
            <w:vAlign w:val="center"/>
          </w:tcPr>
          <w:p w14:paraId="72587328"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-0.253</w:t>
            </w:r>
          </w:p>
        </w:tc>
      </w:tr>
      <w:tr w:rsidR="00752803" w:rsidRPr="0075681F" w14:paraId="7B829DCB" w14:textId="77777777" w:rsidTr="00DF107F">
        <w:trPr>
          <w:jc w:val="center"/>
        </w:trPr>
        <w:tc>
          <w:tcPr>
            <w:tcW w:w="2834" w:type="dxa"/>
            <w:tcMar>
              <w:top w:w="100" w:type="nil"/>
              <w:right w:w="100" w:type="nil"/>
            </w:tcMar>
            <w:vAlign w:val="center"/>
          </w:tcPr>
          <w:p w14:paraId="1FFABEA3" w14:textId="77777777" w:rsidR="00752803" w:rsidRPr="0075681F" w:rsidRDefault="00752803" w:rsidP="00DF107F">
            <w:pPr>
              <w:widowControl w:val="0"/>
              <w:autoSpaceDE w:val="0"/>
              <w:autoSpaceDN w:val="0"/>
              <w:adjustRightInd w:val="0"/>
              <w:rPr>
                <w:rFonts w:cstheme="minorHAnsi"/>
                <w:sz w:val="16"/>
                <w:szCs w:val="16"/>
                <w:lang w:val="en-US"/>
              </w:rPr>
            </w:pPr>
          </w:p>
        </w:tc>
        <w:tc>
          <w:tcPr>
            <w:tcW w:w="1116" w:type="dxa"/>
            <w:tcMar>
              <w:top w:w="100" w:type="nil"/>
              <w:right w:w="100" w:type="nil"/>
            </w:tcMar>
            <w:vAlign w:val="center"/>
          </w:tcPr>
          <w:p w14:paraId="71704196"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(0.345)</w:t>
            </w:r>
          </w:p>
        </w:tc>
        <w:tc>
          <w:tcPr>
            <w:tcW w:w="1044" w:type="dxa"/>
            <w:tcMar>
              <w:top w:w="100" w:type="nil"/>
              <w:right w:w="100" w:type="nil"/>
            </w:tcMar>
            <w:vAlign w:val="center"/>
          </w:tcPr>
          <w:p w14:paraId="7A91178B"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(0.333)</w:t>
            </w:r>
          </w:p>
        </w:tc>
        <w:tc>
          <w:tcPr>
            <w:tcW w:w="1080" w:type="dxa"/>
            <w:tcMar>
              <w:top w:w="100" w:type="nil"/>
              <w:right w:w="100" w:type="nil"/>
            </w:tcMar>
            <w:vAlign w:val="center"/>
          </w:tcPr>
          <w:p w14:paraId="2B4119AC"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(0.361)</w:t>
            </w:r>
          </w:p>
        </w:tc>
      </w:tr>
      <w:tr w:rsidR="00752803" w:rsidRPr="0075681F" w14:paraId="368875F7" w14:textId="77777777" w:rsidTr="00DF107F">
        <w:trPr>
          <w:jc w:val="center"/>
        </w:trPr>
        <w:tc>
          <w:tcPr>
            <w:tcW w:w="2834" w:type="dxa"/>
            <w:tcMar>
              <w:top w:w="100" w:type="nil"/>
              <w:right w:w="100" w:type="nil"/>
            </w:tcMar>
            <w:vAlign w:val="center"/>
          </w:tcPr>
          <w:p w14:paraId="5CEC6B6E"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sz w:val="16"/>
                <w:szCs w:val="16"/>
                <w:lang w:val="en-US"/>
              </w:rPr>
              <w:t>Observations</w:t>
            </w:r>
          </w:p>
        </w:tc>
        <w:tc>
          <w:tcPr>
            <w:tcW w:w="1116" w:type="dxa"/>
            <w:tcMar>
              <w:top w:w="100" w:type="nil"/>
              <w:right w:w="100" w:type="nil"/>
            </w:tcMar>
            <w:vAlign w:val="center"/>
          </w:tcPr>
          <w:p w14:paraId="74E2505F"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452</w:t>
            </w:r>
          </w:p>
        </w:tc>
        <w:tc>
          <w:tcPr>
            <w:tcW w:w="1044" w:type="dxa"/>
            <w:tcMar>
              <w:top w:w="100" w:type="nil"/>
              <w:right w:w="100" w:type="nil"/>
            </w:tcMar>
            <w:vAlign w:val="center"/>
          </w:tcPr>
          <w:p w14:paraId="29323E8E"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452</w:t>
            </w:r>
          </w:p>
        </w:tc>
        <w:tc>
          <w:tcPr>
            <w:tcW w:w="1080" w:type="dxa"/>
            <w:tcMar>
              <w:top w:w="100" w:type="nil"/>
              <w:right w:w="100" w:type="nil"/>
            </w:tcMar>
            <w:vAlign w:val="center"/>
          </w:tcPr>
          <w:p w14:paraId="079692C0"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371</w:t>
            </w:r>
          </w:p>
        </w:tc>
      </w:tr>
      <w:tr w:rsidR="00752803" w:rsidRPr="0075681F" w14:paraId="76D3C742" w14:textId="77777777" w:rsidTr="00DF107F">
        <w:trPr>
          <w:jc w:val="center"/>
        </w:trPr>
        <w:tc>
          <w:tcPr>
            <w:tcW w:w="2834" w:type="dxa"/>
            <w:tcMar>
              <w:top w:w="100" w:type="nil"/>
              <w:right w:w="100" w:type="nil"/>
            </w:tcMar>
            <w:vAlign w:val="center"/>
          </w:tcPr>
          <w:p w14:paraId="2C2250A2"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i/>
                <w:iCs/>
                <w:sz w:val="16"/>
                <w:szCs w:val="16"/>
                <w:lang w:val="en-US"/>
              </w:rPr>
              <w:t>AIC</w:t>
            </w:r>
          </w:p>
        </w:tc>
        <w:tc>
          <w:tcPr>
            <w:tcW w:w="1116" w:type="dxa"/>
            <w:tcMar>
              <w:top w:w="100" w:type="nil"/>
              <w:right w:w="100" w:type="nil"/>
            </w:tcMar>
            <w:vAlign w:val="center"/>
          </w:tcPr>
          <w:p w14:paraId="3B7C30C4"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433.3</w:t>
            </w:r>
          </w:p>
        </w:tc>
        <w:tc>
          <w:tcPr>
            <w:tcW w:w="1044" w:type="dxa"/>
            <w:tcMar>
              <w:top w:w="100" w:type="nil"/>
              <w:right w:w="100" w:type="nil"/>
            </w:tcMar>
            <w:vAlign w:val="center"/>
          </w:tcPr>
          <w:p w14:paraId="2667A7D8"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434.3</w:t>
            </w:r>
          </w:p>
        </w:tc>
        <w:tc>
          <w:tcPr>
            <w:tcW w:w="1080" w:type="dxa"/>
            <w:tcMar>
              <w:top w:w="100" w:type="nil"/>
              <w:right w:w="100" w:type="nil"/>
            </w:tcMar>
            <w:vAlign w:val="center"/>
          </w:tcPr>
          <w:p w14:paraId="719EDEBC"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368.9</w:t>
            </w:r>
          </w:p>
        </w:tc>
      </w:tr>
      <w:tr w:rsidR="00752803" w:rsidRPr="0075681F" w14:paraId="1F0DC91D" w14:textId="77777777" w:rsidTr="00DF107F">
        <w:trPr>
          <w:jc w:val="center"/>
        </w:trPr>
        <w:tc>
          <w:tcPr>
            <w:tcW w:w="2834" w:type="dxa"/>
            <w:tcBorders>
              <w:bottom w:val="single" w:sz="4" w:space="0" w:color="auto"/>
            </w:tcBorders>
            <w:tcMar>
              <w:top w:w="100" w:type="nil"/>
              <w:right w:w="100" w:type="nil"/>
            </w:tcMar>
            <w:vAlign w:val="center"/>
          </w:tcPr>
          <w:p w14:paraId="35901DA6" w14:textId="77777777" w:rsidR="00752803" w:rsidRPr="0075681F" w:rsidRDefault="00752803" w:rsidP="00DF107F">
            <w:pPr>
              <w:widowControl w:val="0"/>
              <w:autoSpaceDE w:val="0"/>
              <w:autoSpaceDN w:val="0"/>
              <w:adjustRightInd w:val="0"/>
              <w:rPr>
                <w:rFonts w:cstheme="minorHAnsi"/>
                <w:sz w:val="16"/>
                <w:szCs w:val="16"/>
                <w:lang w:val="en-US"/>
              </w:rPr>
            </w:pPr>
            <w:r w:rsidRPr="0075681F">
              <w:rPr>
                <w:rFonts w:cstheme="minorHAnsi"/>
                <w:i/>
                <w:iCs/>
                <w:sz w:val="16"/>
                <w:szCs w:val="16"/>
                <w:lang w:val="en-US"/>
              </w:rPr>
              <w:t>BIC</w:t>
            </w:r>
          </w:p>
        </w:tc>
        <w:tc>
          <w:tcPr>
            <w:tcW w:w="1116" w:type="dxa"/>
            <w:tcBorders>
              <w:bottom w:val="single" w:sz="4" w:space="0" w:color="auto"/>
            </w:tcBorders>
            <w:tcMar>
              <w:top w:w="100" w:type="nil"/>
              <w:right w:w="100" w:type="nil"/>
            </w:tcMar>
            <w:vAlign w:val="center"/>
          </w:tcPr>
          <w:p w14:paraId="74CE27B8"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569.0</w:t>
            </w:r>
          </w:p>
        </w:tc>
        <w:tc>
          <w:tcPr>
            <w:tcW w:w="1044" w:type="dxa"/>
            <w:tcBorders>
              <w:bottom w:val="single" w:sz="4" w:space="0" w:color="auto"/>
            </w:tcBorders>
            <w:tcMar>
              <w:top w:w="100" w:type="nil"/>
              <w:right w:w="100" w:type="nil"/>
            </w:tcMar>
            <w:vAlign w:val="center"/>
          </w:tcPr>
          <w:p w14:paraId="23D6A373"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574.2</w:t>
            </w:r>
          </w:p>
        </w:tc>
        <w:tc>
          <w:tcPr>
            <w:tcW w:w="1080" w:type="dxa"/>
            <w:tcBorders>
              <w:bottom w:val="single" w:sz="4" w:space="0" w:color="auto"/>
            </w:tcBorders>
            <w:tcMar>
              <w:top w:w="100" w:type="nil"/>
              <w:right w:w="100" w:type="nil"/>
            </w:tcMar>
            <w:vAlign w:val="center"/>
          </w:tcPr>
          <w:p w14:paraId="7C4931F0" w14:textId="77777777" w:rsidR="00752803" w:rsidRPr="0075681F" w:rsidRDefault="00752803" w:rsidP="00DF107F">
            <w:pPr>
              <w:widowControl w:val="0"/>
              <w:autoSpaceDE w:val="0"/>
              <w:autoSpaceDN w:val="0"/>
              <w:adjustRightInd w:val="0"/>
              <w:jc w:val="center"/>
              <w:rPr>
                <w:rFonts w:cstheme="minorHAnsi"/>
                <w:sz w:val="16"/>
                <w:szCs w:val="16"/>
                <w:lang w:val="en-US"/>
              </w:rPr>
            </w:pPr>
            <w:r w:rsidRPr="0075681F">
              <w:rPr>
                <w:rFonts w:cstheme="minorHAnsi"/>
                <w:sz w:val="16"/>
                <w:szCs w:val="16"/>
                <w:lang w:val="en-US"/>
              </w:rPr>
              <w:t>505.9</w:t>
            </w:r>
          </w:p>
        </w:tc>
      </w:tr>
    </w:tbl>
    <w:p w14:paraId="6EE91A00" w14:textId="77777777" w:rsidR="00752803" w:rsidRPr="0075681F" w:rsidRDefault="00752803" w:rsidP="00752803">
      <w:pPr>
        <w:widowControl w:val="0"/>
        <w:autoSpaceDE w:val="0"/>
        <w:autoSpaceDN w:val="0"/>
        <w:adjustRightInd w:val="0"/>
        <w:ind w:left="1710" w:right="1640"/>
        <w:rPr>
          <w:rFonts w:cstheme="minorHAnsi"/>
          <w:sz w:val="16"/>
          <w:szCs w:val="16"/>
          <w:lang w:val="en-US"/>
        </w:rPr>
      </w:pPr>
      <w:r w:rsidRPr="0075681F">
        <w:rPr>
          <w:rFonts w:cstheme="minorHAnsi"/>
          <w:sz w:val="16"/>
          <w:szCs w:val="16"/>
          <w:lang w:val="en-US"/>
        </w:rPr>
        <w:t>Notes: Robust standard errors in parentheses. Consultation dummies omitted. Jurisdiction-level dummies omitted. * p &lt; 0.10, ** p &lt; 0.05, *** p &lt; 0.01</w:t>
      </w:r>
    </w:p>
    <w:p w14:paraId="7F97623D" w14:textId="77777777" w:rsidR="00752803" w:rsidRDefault="00752803" w:rsidP="00752803">
      <w:pPr>
        <w:widowControl w:val="0"/>
        <w:autoSpaceDE w:val="0"/>
        <w:autoSpaceDN w:val="0"/>
        <w:adjustRightInd w:val="0"/>
        <w:rPr>
          <w:rFonts w:ascii="Times New Roman" w:hAnsi="Times New Roman" w:cs="Times New Roman"/>
          <w:lang w:val="en-US"/>
        </w:rPr>
      </w:pPr>
    </w:p>
    <w:p w14:paraId="6DA0C242" w14:textId="77777777" w:rsidR="00752803" w:rsidRDefault="00752803" w:rsidP="00752803">
      <w:pPr>
        <w:jc w:val="both"/>
        <w:rPr>
          <w:rFonts w:ascii="Garamond" w:hAnsi="Garamond"/>
          <w:sz w:val="22"/>
          <w:szCs w:val="22"/>
        </w:rPr>
      </w:pPr>
    </w:p>
    <w:p w14:paraId="4B4940CE" w14:textId="77777777" w:rsidR="00752803" w:rsidRDefault="00752803" w:rsidP="00752803">
      <w:pPr>
        <w:jc w:val="both"/>
        <w:rPr>
          <w:rFonts w:ascii="Garamond" w:hAnsi="Garamond"/>
          <w:sz w:val="22"/>
          <w:szCs w:val="22"/>
        </w:rPr>
      </w:pPr>
    </w:p>
    <w:p w14:paraId="54480F27" w14:textId="77777777" w:rsidR="00752803" w:rsidRDefault="00752803" w:rsidP="00752803">
      <w:pPr>
        <w:jc w:val="both"/>
        <w:rPr>
          <w:rFonts w:ascii="Garamond" w:hAnsi="Garamond"/>
          <w:sz w:val="22"/>
          <w:szCs w:val="22"/>
        </w:rPr>
      </w:pPr>
    </w:p>
    <w:p w14:paraId="6B7A2FB8" w14:textId="77777777" w:rsidR="00752803" w:rsidRDefault="00752803" w:rsidP="00752803">
      <w:pPr>
        <w:jc w:val="both"/>
        <w:rPr>
          <w:rFonts w:ascii="Garamond" w:hAnsi="Garamond"/>
          <w:sz w:val="22"/>
          <w:szCs w:val="22"/>
        </w:rPr>
      </w:pPr>
    </w:p>
    <w:p w14:paraId="49859CE8" w14:textId="77777777" w:rsidR="00752803" w:rsidRDefault="00752803" w:rsidP="00752803">
      <w:pPr>
        <w:jc w:val="both"/>
        <w:rPr>
          <w:rFonts w:ascii="Garamond" w:hAnsi="Garamond"/>
          <w:sz w:val="22"/>
          <w:szCs w:val="22"/>
        </w:rPr>
      </w:pPr>
      <w:r>
        <w:rPr>
          <w:rFonts w:ascii="Garamond" w:hAnsi="Garamond"/>
          <w:sz w:val="22"/>
          <w:szCs w:val="22"/>
        </w:rPr>
        <w:br w:type="page"/>
      </w:r>
    </w:p>
    <w:p w14:paraId="25E13BE3" w14:textId="77777777" w:rsidR="00752803" w:rsidRDefault="00752803" w:rsidP="00752803">
      <w:pPr>
        <w:jc w:val="both"/>
        <w:rPr>
          <w:rFonts w:ascii="Garamond" w:hAnsi="Garamond"/>
          <w:sz w:val="22"/>
          <w:szCs w:val="22"/>
        </w:rPr>
      </w:pPr>
    </w:p>
    <w:p w14:paraId="774F0AFC" w14:textId="0A9B56EE" w:rsidR="00752803" w:rsidRPr="008B6D55" w:rsidRDefault="00752803" w:rsidP="008B6D55">
      <w:pPr>
        <w:pStyle w:val="Heading2"/>
        <w:jc w:val="center"/>
        <w:rPr>
          <w:sz w:val="20"/>
          <w:szCs w:val="20"/>
        </w:rPr>
      </w:pPr>
      <w:bookmarkStart w:id="1" w:name="_Toc6985865"/>
      <w:r w:rsidRPr="008B6D55">
        <w:rPr>
          <w:sz w:val="20"/>
          <w:szCs w:val="20"/>
        </w:rPr>
        <w:t>Table A2: Coefficient Estimates, with 95G CIs, of</w:t>
      </w:r>
      <w:r w:rsidR="008B6D55">
        <w:rPr>
          <w:sz w:val="20"/>
          <w:szCs w:val="20"/>
        </w:rPr>
        <w:t xml:space="preserve"> </w:t>
      </w:r>
      <w:r w:rsidRPr="008B6D55">
        <w:rPr>
          <w:sz w:val="20"/>
          <w:szCs w:val="20"/>
        </w:rPr>
        <w:t>Regressions Explaining Preference Distance</w:t>
      </w:r>
      <w:bookmarkEnd w:id="1"/>
    </w:p>
    <w:p w14:paraId="2E655FAE" w14:textId="77777777" w:rsidR="00752803" w:rsidRDefault="00752803" w:rsidP="00752803">
      <w:pPr>
        <w:widowControl w:val="0"/>
        <w:autoSpaceDE w:val="0"/>
        <w:autoSpaceDN w:val="0"/>
        <w:adjustRightInd w:val="0"/>
        <w:rPr>
          <w:rFonts w:ascii="Times New Roman" w:hAnsi="Times New Roman" w:cs="Times New Roman"/>
          <w:lang w:val="en-US"/>
        </w:rPr>
      </w:pPr>
    </w:p>
    <w:tbl>
      <w:tblPr>
        <w:tblW w:w="0" w:type="auto"/>
        <w:jc w:val="center"/>
        <w:tblLayout w:type="fixed"/>
        <w:tblLook w:val="0000" w:firstRow="0" w:lastRow="0" w:firstColumn="0" w:lastColumn="0" w:noHBand="0" w:noVBand="0"/>
      </w:tblPr>
      <w:tblGrid>
        <w:gridCol w:w="2564"/>
        <w:gridCol w:w="886"/>
        <w:gridCol w:w="810"/>
      </w:tblGrid>
      <w:tr w:rsidR="00752803" w:rsidRPr="009329B1" w14:paraId="52C132F8" w14:textId="77777777" w:rsidTr="00965D00">
        <w:trPr>
          <w:jc w:val="center"/>
        </w:trPr>
        <w:tc>
          <w:tcPr>
            <w:tcW w:w="2564" w:type="dxa"/>
            <w:tcBorders>
              <w:top w:val="single" w:sz="4" w:space="0" w:color="auto"/>
            </w:tcBorders>
            <w:tcMar>
              <w:top w:w="100" w:type="nil"/>
              <w:right w:w="100" w:type="nil"/>
            </w:tcMar>
            <w:vAlign w:val="center"/>
          </w:tcPr>
          <w:p w14:paraId="0214730D"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Borders>
              <w:top w:val="single" w:sz="4" w:space="0" w:color="auto"/>
            </w:tcBorders>
            <w:tcMar>
              <w:top w:w="100" w:type="nil"/>
              <w:right w:w="100" w:type="nil"/>
            </w:tcMar>
            <w:vAlign w:val="center"/>
          </w:tcPr>
          <w:p w14:paraId="658E6F38"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(1)</w:t>
            </w:r>
          </w:p>
        </w:tc>
        <w:tc>
          <w:tcPr>
            <w:tcW w:w="810" w:type="dxa"/>
            <w:tcBorders>
              <w:top w:val="single" w:sz="4" w:space="0" w:color="auto"/>
            </w:tcBorders>
            <w:tcMar>
              <w:top w:w="100" w:type="nil"/>
              <w:right w:w="100" w:type="nil"/>
            </w:tcMar>
            <w:vAlign w:val="center"/>
          </w:tcPr>
          <w:p w14:paraId="244DABB6"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Pr>
                <w:rFonts w:ascii="Garamond" w:hAnsi="Garamond" w:cs="Times New Roman"/>
                <w:sz w:val="16"/>
                <w:szCs w:val="16"/>
                <w:lang w:val="en-US"/>
              </w:rPr>
              <w:t>(2</w:t>
            </w:r>
            <w:r w:rsidRPr="009329B1">
              <w:rPr>
                <w:rFonts w:ascii="Garamond" w:hAnsi="Garamond" w:cs="Times New Roman"/>
                <w:sz w:val="16"/>
                <w:szCs w:val="16"/>
                <w:lang w:val="en-US"/>
              </w:rPr>
              <w:t>)</w:t>
            </w:r>
          </w:p>
        </w:tc>
      </w:tr>
      <w:tr w:rsidR="00752803" w:rsidRPr="009329B1" w14:paraId="1D06ACAE" w14:textId="77777777" w:rsidTr="00965D00">
        <w:trPr>
          <w:jc w:val="center"/>
        </w:trPr>
        <w:tc>
          <w:tcPr>
            <w:tcW w:w="2564" w:type="dxa"/>
            <w:tcMar>
              <w:top w:w="100" w:type="nil"/>
              <w:right w:w="100" w:type="nil"/>
            </w:tcMar>
            <w:vAlign w:val="center"/>
          </w:tcPr>
          <w:p w14:paraId="58CD235E"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50D2ADBB"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Model 1</w:t>
            </w:r>
          </w:p>
        </w:tc>
        <w:tc>
          <w:tcPr>
            <w:tcW w:w="810" w:type="dxa"/>
            <w:tcMar>
              <w:top w:w="100" w:type="nil"/>
              <w:right w:w="100" w:type="nil"/>
            </w:tcMar>
            <w:vAlign w:val="center"/>
          </w:tcPr>
          <w:p w14:paraId="3D5FBDF1"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Pr>
                <w:rFonts w:ascii="Garamond" w:hAnsi="Garamond" w:cs="Times New Roman"/>
                <w:sz w:val="16"/>
                <w:szCs w:val="16"/>
                <w:lang w:val="en-US"/>
              </w:rPr>
              <w:t>Model 2</w:t>
            </w:r>
          </w:p>
        </w:tc>
      </w:tr>
      <w:tr w:rsidR="00752803" w:rsidRPr="009329B1" w14:paraId="40D13A29" w14:textId="77777777" w:rsidTr="00965D00">
        <w:trPr>
          <w:jc w:val="center"/>
        </w:trPr>
        <w:tc>
          <w:tcPr>
            <w:tcW w:w="2564" w:type="dxa"/>
            <w:tcBorders>
              <w:top w:val="single" w:sz="4" w:space="0" w:color="auto"/>
            </w:tcBorders>
            <w:tcMar>
              <w:top w:w="100" w:type="nil"/>
              <w:right w:w="100" w:type="nil"/>
            </w:tcMar>
            <w:vAlign w:val="center"/>
          </w:tcPr>
          <w:p w14:paraId="63C2BE3D"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bookmarkStart w:id="2" w:name="_GoBack"/>
            <w:bookmarkEnd w:id="2"/>
            <w:r w:rsidRPr="009329B1">
              <w:rPr>
                <w:rFonts w:ascii="Garamond" w:hAnsi="Garamond" w:cs="Times New Roman"/>
                <w:sz w:val="16"/>
                <w:szCs w:val="16"/>
                <w:lang w:val="en-US"/>
              </w:rPr>
              <w:t>In Same Association</w:t>
            </w:r>
          </w:p>
        </w:tc>
        <w:tc>
          <w:tcPr>
            <w:tcW w:w="886" w:type="dxa"/>
            <w:tcBorders>
              <w:top w:val="single" w:sz="4" w:space="0" w:color="auto"/>
            </w:tcBorders>
            <w:tcMar>
              <w:top w:w="100" w:type="nil"/>
              <w:right w:w="100" w:type="nil"/>
            </w:tcMar>
            <w:vAlign w:val="center"/>
          </w:tcPr>
          <w:p w14:paraId="41090B58"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-0.131</w:t>
            </w:r>
            <w:r w:rsidRPr="009329B1">
              <w:rPr>
                <w:rFonts w:ascii="Garamond" w:hAnsi="Garamond" w:cs="Times New Roman"/>
                <w:sz w:val="16"/>
                <w:szCs w:val="16"/>
                <w:vertAlign w:val="superscript"/>
                <w:lang w:val="en-US"/>
              </w:rPr>
              <w:t>**</w:t>
            </w:r>
          </w:p>
        </w:tc>
        <w:tc>
          <w:tcPr>
            <w:tcW w:w="810" w:type="dxa"/>
            <w:tcBorders>
              <w:top w:val="single" w:sz="4" w:space="0" w:color="auto"/>
            </w:tcBorders>
            <w:tcMar>
              <w:top w:w="100" w:type="nil"/>
              <w:right w:w="100" w:type="nil"/>
            </w:tcMar>
            <w:vAlign w:val="center"/>
          </w:tcPr>
          <w:p w14:paraId="1304F900"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p>
        </w:tc>
      </w:tr>
      <w:tr w:rsidR="00752803" w:rsidRPr="009329B1" w14:paraId="0AE5FB63" w14:textId="77777777" w:rsidTr="00DF107F">
        <w:trPr>
          <w:jc w:val="center"/>
        </w:trPr>
        <w:tc>
          <w:tcPr>
            <w:tcW w:w="2564" w:type="dxa"/>
            <w:tcMar>
              <w:top w:w="100" w:type="nil"/>
              <w:right w:w="100" w:type="nil"/>
            </w:tcMar>
            <w:vAlign w:val="center"/>
          </w:tcPr>
          <w:p w14:paraId="35B10379"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62DF04DC"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(0.0533)</w:t>
            </w:r>
          </w:p>
        </w:tc>
        <w:tc>
          <w:tcPr>
            <w:tcW w:w="810" w:type="dxa"/>
            <w:tcMar>
              <w:top w:w="100" w:type="nil"/>
              <w:right w:w="100" w:type="nil"/>
            </w:tcMar>
            <w:vAlign w:val="center"/>
          </w:tcPr>
          <w:p w14:paraId="20CA45D7"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p>
        </w:tc>
      </w:tr>
      <w:tr w:rsidR="00752803" w:rsidRPr="009329B1" w14:paraId="79CA016F" w14:textId="77777777" w:rsidTr="00DF107F">
        <w:trPr>
          <w:jc w:val="center"/>
        </w:trPr>
        <w:tc>
          <w:tcPr>
            <w:tcW w:w="2564" w:type="dxa"/>
            <w:tcMar>
              <w:top w:w="100" w:type="nil"/>
              <w:right w:w="100" w:type="nil"/>
            </w:tcMar>
            <w:vAlign w:val="center"/>
          </w:tcPr>
          <w:p w14:paraId="33E9B3DF"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27A6409D"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10" w:type="dxa"/>
            <w:tcMar>
              <w:top w:w="100" w:type="nil"/>
              <w:right w:w="100" w:type="nil"/>
            </w:tcMar>
            <w:vAlign w:val="center"/>
          </w:tcPr>
          <w:p w14:paraId="30098F44"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r>
      <w:tr w:rsidR="00752803" w:rsidRPr="009329B1" w14:paraId="0757CD27" w14:textId="77777777" w:rsidTr="00DF107F">
        <w:trPr>
          <w:jc w:val="center"/>
        </w:trPr>
        <w:tc>
          <w:tcPr>
            <w:tcW w:w="2564" w:type="dxa"/>
            <w:tcMar>
              <w:top w:w="100" w:type="nil"/>
              <w:right w:w="100" w:type="nil"/>
            </w:tcMar>
            <w:vAlign w:val="center"/>
          </w:tcPr>
          <w:p w14:paraId="55A60871"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Same country</w:t>
            </w:r>
          </w:p>
        </w:tc>
        <w:tc>
          <w:tcPr>
            <w:tcW w:w="886" w:type="dxa"/>
            <w:tcMar>
              <w:top w:w="100" w:type="nil"/>
              <w:right w:w="100" w:type="nil"/>
            </w:tcMar>
            <w:vAlign w:val="center"/>
          </w:tcPr>
          <w:p w14:paraId="5D9EC079"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-0.103</w:t>
            </w:r>
          </w:p>
        </w:tc>
        <w:tc>
          <w:tcPr>
            <w:tcW w:w="810" w:type="dxa"/>
            <w:tcMar>
              <w:top w:w="100" w:type="nil"/>
              <w:right w:w="100" w:type="nil"/>
            </w:tcMar>
            <w:vAlign w:val="center"/>
          </w:tcPr>
          <w:p w14:paraId="2E4AD19A"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-0.100</w:t>
            </w:r>
          </w:p>
        </w:tc>
      </w:tr>
      <w:tr w:rsidR="00752803" w:rsidRPr="009329B1" w14:paraId="575BAEA3" w14:textId="77777777" w:rsidTr="00DF107F">
        <w:trPr>
          <w:jc w:val="center"/>
        </w:trPr>
        <w:tc>
          <w:tcPr>
            <w:tcW w:w="2564" w:type="dxa"/>
            <w:tcMar>
              <w:top w:w="100" w:type="nil"/>
              <w:right w:w="100" w:type="nil"/>
            </w:tcMar>
            <w:vAlign w:val="center"/>
          </w:tcPr>
          <w:p w14:paraId="4E65FA3A"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393D7197"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(0.0675)</w:t>
            </w:r>
          </w:p>
        </w:tc>
        <w:tc>
          <w:tcPr>
            <w:tcW w:w="810" w:type="dxa"/>
            <w:tcMar>
              <w:top w:w="100" w:type="nil"/>
              <w:right w:w="100" w:type="nil"/>
            </w:tcMar>
            <w:vAlign w:val="center"/>
          </w:tcPr>
          <w:p w14:paraId="053B84A0"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(0.0678)</w:t>
            </w:r>
          </w:p>
        </w:tc>
      </w:tr>
      <w:tr w:rsidR="00752803" w:rsidRPr="009329B1" w14:paraId="41BD7580" w14:textId="77777777" w:rsidTr="00DF107F">
        <w:trPr>
          <w:jc w:val="center"/>
        </w:trPr>
        <w:tc>
          <w:tcPr>
            <w:tcW w:w="2564" w:type="dxa"/>
            <w:tcMar>
              <w:top w:w="100" w:type="nil"/>
              <w:right w:w="100" w:type="nil"/>
            </w:tcMar>
            <w:vAlign w:val="center"/>
          </w:tcPr>
          <w:p w14:paraId="73478C1D"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1AD719C4"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10" w:type="dxa"/>
            <w:tcMar>
              <w:top w:w="100" w:type="nil"/>
              <w:right w:w="100" w:type="nil"/>
            </w:tcMar>
            <w:vAlign w:val="center"/>
          </w:tcPr>
          <w:p w14:paraId="490436F7"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r>
      <w:tr w:rsidR="00752803" w:rsidRPr="009329B1" w14:paraId="5B19CA14" w14:textId="77777777" w:rsidTr="00DF107F">
        <w:trPr>
          <w:jc w:val="center"/>
        </w:trPr>
        <w:tc>
          <w:tcPr>
            <w:tcW w:w="2564" w:type="dxa"/>
            <w:tcMar>
              <w:top w:w="100" w:type="nil"/>
              <w:right w:w="100" w:type="nil"/>
            </w:tcMar>
            <w:vAlign w:val="center"/>
          </w:tcPr>
          <w:p w14:paraId="1C518C30"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Both Target of Regulation</w:t>
            </w:r>
          </w:p>
        </w:tc>
        <w:tc>
          <w:tcPr>
            <w:tcW w:w="886" w:type="dxa"/>
            <w:tcMar>
              <w:top w:w="100" w:type="nil"/>
              <w:right w:w="100" w:type="nil"/>
            </w:tcMar>
            <w:vAlign w:val="center"/>
          </w:tcPr>
          <w:p w14:paraId="7F7BDB5C"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0.164</w:t>
            </w:r>
            <w:r w:rsidRPr="009329B1">
              <w:rPr>
                <w:rFonts w:ascii="Garamond" w:hAnsi="Garamond" w:cs="Times New Roman"/>
                <w:sz w:val="16"/>
                <w:szCs w:val="16"/>
                <w:vertAlign w:val="superscript"/>
                <w:lang w:val="en-US"/>
              </w:rPr>
              <w:t>**</w:t>
            </w:r>
          </w:p>
        </w:tc>
        <w:tc>
          <w:tcPr>
            <w:tcW w:w="810" w:type="dxa"/>
            <w:tcMar>
              <w:top w:w="100" w:type="nil"/>
              <w:right w:w="100" w:type="nil"/>
            </w:tcMar>
            <w:vAlign w:val="center"/>
          </w:tcPr>
          <w:p w14:paraId="4D9B5507"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p>
        </w:tc>
      </w:tr>
      <w:tr w:rsidR="00752803" w:rsidRPr="009329B1" w14:paraId="1B76CCFE" w14:textId="77777777" w:rsidTr="00DF107F">
        <w:trPr>
          <w:jc w:val="center"/>
        </w:trPr>
        <w:tc>
          <w:tcPr>
            <w:tcW w:w="2564" w:type="dxa"/>
            <w:tcMar>
              <w:top w:w="100" w:type="nil"/>
              <w:right w:w="100" w:type="nil"/>
            </w:tcMar>
            <w:vAlign w:val="center"/>
          </w:tcPr>
          <w:p w14:paraId="076A479F"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134A56E3"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(0.0665)</w:t>
            </w:r>
          </w:p>
        </w:tc>
        <w:tc>
          <w:tcPr>
            <w:tcW w:w="810" w:type="dxa"/>
            <w:tcMar>
              <w:top w:w="100" w:type="nil"/>
              <w:right w:w="100" w:type="nil"/>
            </w:tcMar>
            <w:vAlign w:val="center"/>
          </w:tcPr>
          <w:p w14:paraId="25F3F7D1"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p>
        </w:tc>
      </w:tr>
      <w:tr w:rsidR="00752803" w:rsidRPr="009329B1" w14:paraId="159E29C9" w14:textId="77777777" w:rsidTr="00DF107F">
        <w:trPr>
          <w:jc w:val="center"/>
        </w:trPr>
        <w:tc>
          <w:tcPr>
            <w:tcW w:w="2564" w:type="dxa"/>
            <w:tcMar>
              <w:top w:w="100" w:type="nil"/>
              <w:right w:w="100" w:type="nil"/>
            </w:tcMar>
            <w:vAlign w:val="center"/>
          </w:tcPr>
          <w:p w14:paraId="37A2EB5D"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002C2661"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10" w:type="dxa"/>
            <w:tcMar>
              <w:top w:w="100" w:type="nil"/>
              <w:right w:w="100" w:type="nil"/>
            </w:tcMar>
            <w:vAlign w:val="center"/>
          </w:tcPr>
          <w:p w14:paraId="38C917AD"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r>
      <w:tr w:rsidR="00752803" w:rsidRPr="009329B1" w14:paraId="3915820A" w14:textId="77777777" w:rsidTr="00DF107F">
        <w:trPr>
          <w:jc w:val="center"/>
        </w:trPr>
        <w:tc>
          <w:tcPr>
            <w:tcW w:w="2564" w:type="dxa"/>
            <w:tcMar>
              <w:top w:w="100" w:type="nil"/>
              <w:right w:w="100" w:type="nil"/>
            </w:tcMar>
            <w:vAlign w:val="center"/>
          </w:tcPr>
          <w:p w14:paraId="6FB5AF07"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Same Org. Type</w:t>
            </w:r>
          </w:p>
        </w:tc>
        <w:tc>
          <w:tcPr>
            <w:tcW w:w="886" w:type="dxa"/>
            <w:tcMar>
              <w:top w:w="100" w:type="nil"/>
              <w:right w:w="100" w:type="nil"/>
            </w:tcMar>
            <w:vAlign w:val="center"/>
          </w:tcPr>
          <w:p w14:paraId="2808836D"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-0.375</w:t>
            </w:r>
            <w:r w:rsidRPr="009329B1">
              <w:rPr>
                <w:rFonts w:ascii="Garamond" w:hAnsi="Garamond" w:cs="Times New Roman"/>
                <w:sz w:val="16"/>
                <w:szCs w:val="16"/>
                <w:vertAlign w:val="superscript"/>
                <w:lang w:val="en-US"/>
              </w:rPr>
              <w:t>***</w:t>
            </w:r>
          </w:p>
        </w:tc>
        <w:tc>
          <w:tcPr>
            <w:tcW w:w="810" w:type="dxa"/>
            <w:tcMar>
              <w:top w:w="100" w:type="nil"/>
              <w:right w:w="100" w:type="nil"/>
            </w:tcMar>
            <w:vAlign w:val="center"/>
          </w:tcPr>
          <w:p w14:paraId="69A6A504"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-0.282</w:t>
            </w:r>
            <w:r w:rsidRPr="009329B1">
              <w:rPr>
                <w:rFonts w:ascii="Garamond" w:hAnsi="Garamond" w:cs="Times New Roman"/>
                <w:sz w:val="16"/>
                <w:szCs w:val="16"/>
                <w:vertAlign w:val="superscript"/>
                <w:lang w:val="en-US"/>
              </w:rPr>
              <w:t>***</w:t>
            </w:r>
          </w:p>
        </w:tc>
      </w:tr>
      <w:tr w:rsidR="00752803" w:rsidRPr="009329B1" w14:paraId="54735A6B" w14:textId="77777777" w:rsidTr="00DF107F">
        <w:trPr>
          <w:jc w:val="center"/>
        </w:trPr>
        <w:tc>
          <w:tcPr>
            <w:tcW w:w="2564" w:type="dxa"/>
            <w:tcMar>
              <w:top w:w="100" w:type="nil"/>
              <w:right w:w="100" w:type="nil"/>
            </w:tcMar>
            <w:vAlign w:val="center"/>
          </w:tcPr>
          <w:p w14:paraId="092A8F94"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40D2E15B"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(0.0610)</w:t>
            </w:r>
          </w:p>
        </w:tc>
        <w:tc>
          <w:tcPr>
            <w:tcW w:w="810" w:type="dxa"/>
            <w:tcMar>
              <w:top w:w="100" w:type="nil"/>
              <w:right w:w="100" w:type="nil"/>
            </w:tcMar>
            <w:vAlign w:val="center"/>
          </w:tcPr>
          <w:p w14:paraId="751C298F"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(0.0521)</w:t>
            </w:r>
          </w:p>
        </w:tc>
      </w:tr>
      <w:tr w:rsidR="00752803" w:rsidRPr="009329B1" w14:paraId="1C417D55" w14:textId="77777777" w:rsidTr="00DF107F">
        <w:trPr>
          <w:jc w:val="center"/>
        </w:trPr>
        <w:tc>
          <w:tcPr>
            <w:tcW w:w="2564" w:type="dxa"/>
            <w:tcMar>
              <w:top w:w="100" w:type="nil"/>
              <w:right w:w="100" w:type="nil"/>
            </w:tcMar>
            <w:vAlign w:val="center"/>
          </w:tcPr>
          <w:p w14:paraId="6860A44B"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5E8BC0E3"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10" w:type="dxa"/>
            <w:tcMar>
              <w:top w:w="100" w:type="nil"/>
              <w:right w:w="100" w:type="nil"/>
            </w:tcMar>
            <w:vAlign w:val="center"/>
          </w:tcPr>
          <w:p w14:paraId="3273B708"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r>
      <w:tr w:rsidR="00752803" w:rsidRPr="009329B1" w14:paraId="357D0A58" w14:textId="77777777" w:rsidTr="00DF107F">
        <w:trPr>
          <w:jc w:val="center"/>
        </w:trPr>
        <w:tc>
          <w:tcPr>
            <w:tcW w:w="2564" w:type="dxa"/>
            <w:tcMar>
              <w:top w:w="100" w:type="nil"/>
              <w:right w:w="100" w:type="nil"/>
            </w:tcMar>
            <w:vAlign w:val="center"/>
          </w:tcPr>
          <w:p w14:paraId="1771EE0A"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Mixed Business</w:t>
            </w:r>
          </w:p>
        </w:tc>
        <w:tc>
          <w:tcPr>
            <w:tcW w:w="886" w:type="dxa"/>
            <w:tcMar>
              <w:top w:w="100" w:type="nil"/>
              <w:right w:w="100" w:type="nil"/>
            </w:tcMar>
            <w:vAlign w:val="center"/>
          </w:tcPr>
          <w:p w14:paraId="08C5A60A"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-0.00512</w:t>
            </w:r>
          </w:p>
        </w:tc>
        <w:tc>
          <w:tcPr>
            <w:tcW w:w="810" w:type="dxa"/>
            <w:tcMar>
              <w:top w:w="100" w:type="nil"/>
              <w:right w:w="100" w:type="nil"/>
            </w:tcMar>
            <w:vAlign w:val="center"/>
          </w:tcPr>
          <w:p w14:paraId="217F8E26"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0.0387</w:t>
            </w:r>
          </w:p>
        </w:tc>
      </w:tr>
      <w:tr w:rsidR="00752803" w:rsidRPr="009329B1" w14:paraId="15C085A6" w14:textId="77777777" w:rsidTr="00DF107F">
        <w:trPr>
          <w:jc w:val="center"/>
        </w:trPr>
        <w:tc>
          <w:tcPr>
            <w:tcW w:w="2564" w:type="dxa"/>
            <w:tcMar>
              <w:top w:w="100" w:type="nil"/>
              <w:right w:w="100" w:type="nil"/>
            </w:tcMar>
            <w:vAlign w:val="center"/>
          </w:tcPr>
          <w:p w14:paraId="190290D6"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127B246E"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(0.126)</w:t>
            </w:r>
          </w:p>
        </w:tc>
        <w:tc>
          <w:tcPr>
            <w:tcW w:w="810" w:type="dxa"/>
            <w:tcMar>
              <w:top w:w="100" w:type="nil"/>
              <w:right w:w="100" w:type="nil"/>
            </w:tcMar>
            <w:vAlign w:val="center"/>
          </w:tcPr>
          <w:p w14:paraId="19315CC4"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(0.106)</w:t>
            </w:r>
          </w:p>
        </w:tc>
      </w:tr>
      <w:tr w:rsidR="00752803" w:rsidRPr="009329B1" w14:paraId="3AA1FA12" w14:textId="77777777" w:rsidTr="00DF107F">
        <w:trPr>
          <w:jc w:val="center"/>
        </w:trPr>
        <w:tc>
          <w:tcPr>
            <w:tcW w:w="2564" w:type="dxa"/>
            <w:tcMar>
              <w:top w:w="100" w:type="nil"/>
              <w:right w:w="100" w:type="nil"/>
            </w:tcMar>
            <w:vAlign w:val="center"/>
          </w:tcPr>
          <w:p w14:paraId="15D3FEDC"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00E4F154"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10" w:type="dxa"/>
            <w:tcMar>
              <w:top w:w="100" w:type="nil"/>
              <w:right w:w="100" w:type="nil"/>
            </w:tcMar>
            <w:vAlign w:val="center"/>
          </w:tcPr>
          <w:p w14:paraId="6A0AC7DB"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r>
      <w:tr w:rsidR="00752803" w:rsidRPr="009329B1" w14:paraId="75D989F1" w14:textId="77777777" w:rsidTr="00DF107F">
        <w:trPr>
          <w:jc w:val="center"/>
        </w:trPr>
        <w:tc>
          <w:tcPr>
            <w:tcW w:w="2564" w:type="dxa"/>
            <w:tcMar>
              <w:top w:w="100" w:type="nil"/>
              <w:right w:w="100" w:type="nil"/>
            </w:tcMar>
            <w:vAlign w:val="center"/>
          </w:tcPr>
          <w:p w14:paraId="73035DDA"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Business and Union/NGO/Consumer</w:t>
            </w:r>
          </w:p>
        </w:tc>
        <w:tc>
          <w:tcPr>
            <w:tcW w:w="886" w:type="dxa"/>
            <w:tcMar>
              <w:top w:w="100" w:type="nil"/>
              <w:right w:w="100" w:type="nil"/>
            </w:tcMar>
            <w:vAlign w:val="center"/>
          </w:tcPr>
          <w:p w14:paraId="633461D0"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-0.182</w:t>
            </w:r>
          </w:p>
        </w:tc>
        <w:tc>
          <w:tcPr>
            <w:tcW w:w="810" w:type="dxa"/>
            <w:tcMar>
              <w:top w:w="100" w:type="nil"/>
              <w:right w:w="100" w:type="nil"/>
            </w:tcMar>
            <w:vAlign w:val="center"/>
          </w:tcPr>
          <w:p w14:paraId="6B995EDF"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-0.155</w:t>
            </w:r>
          </w:p>
        </w:tc>
      </w:tr>
      <w:tr w:rsidR="00752803" w:rsidRPr="009329B1" w14:paraId="3CAE6D1B" w14:textId="77777777" w:rsidTr="00DF107F">
        <w:trPr>
          <w:jc w:val="center"/>
        </w:trPr>
        <w:tc>
          <w:tcPr>
            <w:tcW w:w="2564" w:type="dxa"/>
            <w:tcMar>
              <w:top w:w="100" w:type="nil"/>
              <w:right w:w="100" w:type="nil"/>
            </w:tcMar>
            <w:vAlign w:val="center"/>
          </w:tcPr>
          <w:p w14:paraId="358DE959"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203DCC7B"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(0.150)</w:t>
            </w:r>
          </w:p>
        </w:tc>
        <w:tc>
          <w:tcPr>
            <w:tcW w:w="810" w:type="dxa"/>
            <w:tcMar>
              <w:top w:w="100" w:type="nil"/>
              <w:right w:w="100" w:type="nil"/>
            </w:tcMar>
            <w:vAlign w:val="center"/>
          </w:tcPr>
          <w:p w14:paraId="7DDA59A8"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(0.140)</w:t>
            </w:r>
          </w:p>
        </w:tc>
      </w:tr>
      <w:tr w:rsidR="00752803" w:rsidRPr="009329B1" w14:paraId="1CD1D7D5" w14:textId="77777777" w:rsidTr="00DF107F">
        <w:trPr>
          <w:jc w:val="center"/>
        </w:trPr>
        <w:tc>
          <w:tcPr>
            <w:tcW w:w="2564" w:type="dxa"/>
            <w:tcMar>
              <w:top w:w="100" w:type="nil"/>
              <w:right w:w="100" w:type="nil"/>
            </w:tcMar>
            <w:vAlign w:val="center"/>
          </w:tcPr>
          <w:p w14:paraId="0A9C6E04"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2E3554B0"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10" w:type="dxa"/>
            <w:tcMar>
              <w:top w:w="100" w:type="nil"/>
              <w:right w:w="100" w:type="nil"/>
            </w:tcMar>
            <w:vAlign w:val="center"/>
          </w:tcPr>
          <w:p w14:paraId="4EFEB77B"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r>
      <w:tr w:rsidR="00752803" w:rsidRPr="009329B1" w14:paraId="5543D618" w14:textId="77777777" w:rsidTr="00DF107F">
        <w:trPr>
          <w:jc w:val="center"/>
        </w:trPr>
        <w:tc>
          <w:tcPr>
            <w:tcW w:w="2564" w:type="dxa"/>
            <w:tcMar>
              <w:top w:w="100" w:type="nil"/>
              <w:right w:w="100" w:type="nil"/>
            </w:tcMar>
            <w:vAlign w:val="center"/>
          </w:tcPr>
          <w:p w14:paraId="3951BA4E"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Differential Lobby Resources</w:t>
            </w:r>
          </w:p>
        </w:tc>
        <w:tc>
          <w:tcPr>
            <w:tcW w:w="886" w:type="dxa"/>
            <w:tcMar>
              <w:top w:w="100" w:type="nil"/>
              <w:right w:w="100" w:type="nil"/>
            </w:tcMar>
            <w:vAlign w:val="center"/>
          </w:tcPr>
          <w:p w14:paraId="0F651775"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0.0341</w:t>
            </w:r>
            <w:r w:rsidRPr="009329B1">
              <w:rPr>
                <w:rFonts w:ascii="Garamond" w:hAnsi="Garamond" w:cs="Times New Roman"/>
                <w:sz w:val="16"/>
                <w:szCs w:val="16"/>
                <w:vertAlign w:val="superscript"/>
                <w:lang w:val="en-US"/>
              </w:rPr>
              <w:t>***</w:t>
            </w:r>
          </w:p>
        </w:tc>
        <w:tc>
          <w:tcPr>
            <w:tcW w:w="810" w:type="dxa"/>
            <w:tcMar>
              <w:top w:w="100" w:type="nil"/>
              <w:right w:w="100" w:type="nil"/>
            </w:tcMar>
            <w:vAlign w:val="center"/>
          </w:tcPr>
          <w:p w14:paraId="3441A42B"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0.0303</w:t>
            </w:r>
            <w:r w:rsidRPr="009329B1">
              <w:rPr>
                <w:rFonts w:ascii="Garamond" w:hAnsi="Garamond" w:cs="Times New Roman"/>
                <w:sz w:val="16"/>
                <w:szCs w:val="16"/>
                <w:vertAlign w:val="superscript"/>
                <w:lang w:val="en-US"/>
              </w:rPr>
              <w:t>***</w:t>
            </w:r>
          </w:p>
        </w:tc>
      </w:tr>
      <w:tr w:rsidR="00752803" w:rsidRPr="009329B1" w14:paraId="08DD0EEA" w14:textId="77777777" w:rsidTr="00DF107F">
        <w:trPr>
          <w:jc w:val="center"/>
        </w:trPr>
        <w:tc>
          <w:tcPr>
            <w:tcW w:w="2564" w:type="dxa"/>
            <w:tcMar>
              <w:top w:w="100" w:type="nil"/>
              <w:right w:w="100" w:type="nil"/>
            </w:tcMar>
            <w:vAlign w:val="center"/>
          </w:tcPr>
          <w:p w14:paraId="267933B5"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12C16A31"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(0.00891)</w:t>
            </w:r>
          </w:p>
        </w:tc>
        <w:tc>
          <w:tcPr>
            <w:tcW w:w="810" w:type="dxa"/>
            <w:tcMar>
              <w:top w:w="100" w:type="nil"/>
              <w:right w:w="100" w:type="nil"/>
            </w:tcMar>
            <w:vAlign w:val="center"/>
          </w:tcPr>
          <w:p w14:paraId="21139F90"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(0.00882)</w:t>
            </w:r>
          </w:p>
        </w:tc>
      </w:tr>
      <w:tr w:rsidR="00752803" w:rsidRPr="009329B1" w14:paraId="66EFA8E8" w14:textId="77777777" w:rsidTr="00DF107F">
        <w:trPr>
          <w:jc w:val="center"/>
        </w:trPr>
        <w:tc>
          <w:tcPr>
            <w:tcW w:w="2564" w:type="dxa"/>
            <w:tcMar>
              <w:top w:w="100" w:type="nil"/>
              <w:right w:w="100" w:type="nil"/>
            </w:tcMar>
            <w:vAlign w:val="center"/>
          </w:tcPr>
          <w:p w14:paraId="2391D1F2"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2C2FE777"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10" w:type="dxa"/>
            <w:tcMar>
              <w:top w:w="100" w:type="nil"/>
              <w:right w:w="100" w:type="nil"/>
            </w:tcMar>
            <w:vAlign w:val="center"/>
          </w:tcPr>
          <w:p w14:paraId="44CF7CB3"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r>
      <w:tr w:rsidR="00752803" w:rsidRPr="009329B1" w14:paraId="74585C57" w14:textId="77777777" w:rsidTr="00DF107F">
        <w:trPr>
          <w:jc w:val="center"/>
        </w:trPr>
        <w:tc>
          <w:tcPr>
            <w:tcW w:w="2564" w:type="dxa"/>
            <w:tcMar>
              <w:top w:w="100" w:type="nil"/>
              <w:right w:w="100" w:type="nil"/>
            </w:tcMar>
            <w:vAlign w:val="center"/>
          </w:tcPr>
          <w:p w14:paraId="132FA9DF"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Differential Staff Resources</w:t>
            </w:r>
          </w:p>
        </w:tc>
        <w:tc>
          <w:tcPr>
            <w:tcW w:w="886" w:type="dxa"/>
            <w:tcMar>
              <w:top w:w="100" w:type="nil"/>
              <w:right w:w="100" w:type="nil"/>
            </w:tcMar>
            <w:vAlign w:val="center"/>
          </w:tcPr>
          <w:p w14:paraId="26947E78"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-0.0163</w:t>
            </w:r>
            <w:r w:rsidRPr="009329B1">
              <w:rPr>
                <w:rFonts w:ascii="Garamond" w:hAnsi="Garamond" w:cs="Times New Roman"/>
                <w:sz w:val="16"/>
                <w:szCs w:val="16"/>
                <w:vertAlign w:val="superscript"/>
                <w:lang w:val="en-US"/>
              </w:rPr>
              <w:t>***</w:t>
            </w:r>
          </w:p>
        </w:tc>
        <w:tc>
          <w:tcPr>
            <w:tcW w:w="810" w:type="dxa"/>
            <w:tcMar>
              <w:top w:w="100" w:type="nil"/>
              <w:right w:w="100" w:type="nil"/>
            </w:tcMar>
            <w:vAlign w:val="center"/>
          </w:tcPr>
          <w:p w14:paraId="29C48CC0"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-0.0166</w:t>
            </w:r>
            <w:r w:rsidRPr="009329B1">
              <w:rPr>
                <w:rFonts w:ascii="Garamond" w:hAnsi="Garamond" w:cs="Times New Roman"/>
                <w:sz w:val="16"/>
                <w:szCs w:val="16"/>
                <w:vertAlign w:val="superscript"/>
                <w:lang w:val="en-US"/>
              </w:rPr>
              <w:t>***</w:t>
            </w:r>
          </w:p>
        </w:tc>
      </w:tr>
      <w:tr w:rsidR="00752803" w:rsidRPr="009329B1" w14:paraId="3EF56EDE" w14:textId="77777777" w:rsidTr="00DF107F">
        <w:trPr>
          <w:jc w:val="center"/>
        </w:trPr>
        <w:tc>
          <w:tcPr>
            <w:tcW w:w="2564" w:type="dxa"/>
            <w:tcMar>
              <w:top w:w="100" w:type="nil"/>
              <w:right w:w="100" w:type="nil"/>
            </w:tcMar>
            <w:vAlign w:val="center"/>
          </w:tcPr>
          <w:p w14:paraId="7CDB7774"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0A82951B"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(0.00382)</w:t>
            </w:r>
          </w:p>
        </w:tc>
        <w:tc>
          <w:tcPr>
            <w:tcW w:w="810" w:type="dxa"/>
            <w:tcMar>
              <w:top w:w="100" w:type="nil"/>
              <w:right w:w="100" w:type="nil"/>
            </w:tcMar>
            <w:vAlign w:val="center"/>
          </w:tcPr>
          <w:p w14:paraId="4E9ED8F1"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(0.00382)</w:t>
            </w:r>
          </w:p>
        </w:tc>
      </w:tr>
      <w:tr w:rsidR="00752803" w:rsidRPr="009329B1" w14:paraId="169F97C2" w14:textId="77777777" w:rsidTr="00DF107F">
        <w:trPr>
          <w:jc w:val="center"/>
        </w:trPr>
        <w:tc>
          <w:tcPr>
            <w:tcW w:w="2564" w:type="dxa"/>
            <w:tcMar>
              <w:top w:w="100" w:type="nil"/>
              <w:right w:w="100" w:type="nil"/>
            </w:tcMar>
            <w:vAlign w:val="center"/>
          </w:tcPr>
          <w:p w14:paraId="68AB01E7"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0374F129"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10" w:type="dxa"/>
            <w:tcMar>
              <w:top w:w="100" w:type="nil"/>
              <w:right w:w="100" w:type="nil"/>
            </w:tcMar>
            <w:vAlign w:val="center"/>
          </w:tcPr>
          <w:p w14:paraId="38545722"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r>
      <w:tr w:rsidR="00752803" w:rsidRPr="009329B1" w14:paraId="479BE9CE" w14:textId="77777777" w:rsidTr="00DF107F">
        <w:trPr>
          <w:jc w:val="center"/>
        </w:trPr>
        <w:tc>
          <w:tcPr>
            <w:tcW w:w="2564" w:type="dxa"/>
            <w:tcMar>
              <w:top w:w="100" w:type="nil"/>
              <w:right w:w="100" w:type="nil"/>
            </w:tcMar>
            <w:vAlign w:val="center"/>
          </w:tcPr>
          <w:p w14:paraId="038DB03E"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Network Distance</w:t>
            </w:r>
          </w:p>
        </w:tc>
        <w:tc>
          <w:tcPr>
            <w:tcW w:w="886" w:type="dxa"/>
            <w:tcMar>
              <w:top w:w="100" w:type="nil"/>
              <w:right w:w="100" w:type="nil"/>
            </w:tcMar>
            <w:vAlign w:val="center"/>
          </w:tcPr>
          <w:p w14:paraId="6DAEE7ED"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p>
        </w:tc>
        <w:tc>
          <w:tcPr>
            <w:tcW w:w="810" w:type="dxa"/>
            <w:tcMar>
              <w:top w:w="100" w:type="nil"/>
              <w:right w:w="100" w:type="nil"/>
            </w:tcMar>
            <w:vAlign w:val="center"/>
          </w:tcPr>
          <w:p w14:paraId="6A047225"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0.0781</w:t>
            </w:r>
            <w:r w:rsidRPr="009329B1">
              <w:rPr>
                <w:rFonts w:ascii="Garamond" w:hAnsi="Garamond" w:cs="Times New Roman"/>
                <w:sz w:val="16"/>
                <w:szCs w:val="16"/>
                <w:vertAlign w:val="superscript"/>
                <w:lang w:val="en-US"/>
              </w:rPr>
              <w:t>***</w:t>
            </w:r>
          </w:p>
        </w:tc>
      </w:tr>
      <w:tr w:rsidR="00752803" w:rsidRPr="009329B1" w14:paraId="3E58511B" w14:textId="77777777" w:rsidTr="00DF107F">
        <w:trPr>
          <w:jc w:val="center"/>
        </w:trPr>
        <w:tc>
          <w:tcPr>
            <w:tcW w:w="2564" w:type="dxa"/>
            <w:tcBorders>
              <w:bottom w:val="single" w:sz="4" w:space="0" w:color="auto"/>
            </w:tcBorders>
            <w:tcMar>
              <w:top w:w="100" w:type="nil"/>
              <w:right w:w="100" w:type="nil"/>
            </w:tcMar>
            <w:vAlign w:val="center"/>
          </w:tcPr>
          <w:p w14:paraId="4365610C"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Borders>
              <w:bottom w:val="single" w:sz="4" w:space="0" w:color="auto"/>
            </w:tcBorders>
            <w:tcMar>
              <w:top w:w="100" w:type="nil"/>
              <w:right w:w="100" w:type="nil"/>
            </w:tcMar>
            <w:vAlign w:val="center"/>
          </w:tcPr>
          <w:p w14:paraId="2348E1B4"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p>
        </w:tc>
        <w:tc>
          <w:tcPr>
            <w:tcW w:w="810" w:type="dxa"/>
            <w:tcBorders>
              <w:bottom w:val="single" w:sz="4" w:space="0" w:color="auto"/>
            </w:tcBorders>
            <w:tcMar>
              <w:top w:w="100" w:type="nil"/>
              <w:right w:w="100" w:type="nil"/>
            </w:tcMar>
            <w:vAlign w:val="center"/>
          </w:tcPr>
          <w:p w14:paraId="3E076FC9"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(0.0278)</w:t>
            </w:r>
          </w:p>
        </w:tc>
      </w:tr>
      <w:tr w:rsidR="00752803" w:rsidRPr="009329B1" w14:paraId="666AA523" w14:textId="77777777" w:rsidTr="00DF107F">
        <w:trPr>
          <w:jc w:val="center"/>
        </w:trPr>
        <w:tc>
          <w:tcPr>
            <w:tcW w:w="2564" w:type="dxa"/>
            <w:tcBorders>
              <w:top w:val="single" w:sz="4" w:space="0" w:color="auto"/>
            </w:tcBorders>
            <w:tcMar>
              <w:top w:w="100" w:type="nil"/>
              <w:right w:w="100" w:type="nil"/>
            </w:tcMar>
            <w:vAlign w:val="center"/>
          </w:tcPr>
          <w:p w14:paraId="5D2C3F8A"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Borders>
              <w:top w:val="single" w:sz="4" w:space="0" w:color="auto"/>
            </w:tcBorders>
            <w:tcMar>
              <w:top w:w="100" w:type="nil"/>
              <w:right w:w="100" w:type="nil"/>
            </w:tcMar>
            <w:vAlign w:val="center"/>
          </w:tcPr>
          <w:p w14:paraId="058E7CF5"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10" w:type="dxa"/>
            <w:tcBorders>
              <w:top w:val="single" w:sz="4" w:space="0" w:color="auto"/>
            </w:tcBorders>
            <w:tcMar>
              <w:top w:w="100" w:type="nil"/>
              <w:right w:w="100" w:type="nil"/>
            </w:tcMar>
            <w:vAlign w:val="center"/>
          </w:tcPr>
          <w:p w14:paraId="465C8517"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r>
      <w:tr w:rsidR="00752803" w:rsidRPr="009329B1" w14:paraId="5076EFA2" w14:textId="77777777" w:rsidTr="00DF107F">
        <w:trPr>
          <w:jc w:val="center"/>
        </w:trPr>
        <w:tc>
          <w:tcPr>
            <w:tcW w:w="2564" w:type="dxa"/>
            <w:tcMar>
              <w:top w:w="100" w:type="nil"/>
              <w:right w:w="100" w:type="nil"/>
            </w:tcMar>
            <w:vAlign w:val="center"/>
          </w:tcPr>
          <w:p w14:paraId="244E0B21"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Constant</w:t>
            </w:r>
          </w:p>
        </w:tc>
        <w:tc>
          <w:tcPr>
            <w:tcW w:w="886" w:type="dxa"/>
            <w:tcMar>
              <w:top w:w="100" w:type="nil"/>
              <w:right w:w="100" w:type="nil"/>
            </w:tcMar>
            <w:vAlign w:val="center"/>
          </w:tcPr>
          <w:p w14:paraId="610DBB8A"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-1.275</w:t>
            </w:r>
            <w:r w:rsidRPr="009329B1">
              <w:rPr>
                <w:rFonts w:ascii="Garamond" w:hAnsi="Garamond" w:cs="Times New Roman"/>
                <w:sz w:val="16"/>
                <w:szCs w:val="16"/>
                <w:vertAlign w:val="superscript"/>
                <w:lang w:val="en-US"/>
              </w:rPr>
              <w:t>***</w:t>
            </w:r>
          </w:p>
        </w:tc>
        <w:tc>
          <w:tcPr>
            <w:tcW w:w="810" w:type="dxa"/>
            <w:tcMar>
              <w:top w:w="100" w:type="nil"/>
              <w:right w:w="100" w:type="nil"/>
            </w:tcMar>
            <w:vAlign w:val="center"/>
          </w:tcPr>
          <w:p w14:paraId="66E09311"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-1.606</w:t>
            </w:r>
            <w:r w:rsidRPr="009329B1">
              <w:rPr>
                <w:rFonts w:ascii="Garamond" w:hAnsi="Garamond" w:cs="Times New Roman"/>
                <w:sz w:val="16"/>
                <w:szCs w:val="16"/>
                <w:vertAlign w:val="superscript"/>
                <w:lang w:val="en-US"/>
              </w:rPr>
              <w:t>***</w:t>
            </w:r>
          </w:p>
        </w:tc>
      </w:tr>
      <w:tr w:rsidR="00752803" w:rsidRPr="009329B1" w14:paraId="1695D750" w14:textId="77777777" w:rsidTr="00DF107F">
        <w:trPr>
          <w:jc w:val="center"/>
        </w:trPr>
        <w:tc>
          <w:tcPr>
            <w:tcW w:w="2564" w:type="dxa"/>
            <w:tcMar>
              <w:top w:w="100" w:type="nil"/>
              <w:right w:w="100" w:type="nil"/>
            </w:tcMar>
            <w:vAlign w:val="center"/>
          </w:tcPr>
          <w:p w14:paraId="7DD3E85F"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p>
        </w:tc>
        <w:tc>
          <w:tcPr>
            <w:tcW w:w="886" w:type="dxa"/>
            <w:tcMar>
              <w:top w:w="100" w:type="nil"/>
              <w:right w:w="100" w:type="nil"/>
            </w:tcMar>
            <w:vAlign w:val="center"/>
          </w:tcPr>
          <w:p w14:paraId="45869280"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(0.125)</w:t>
            </w:r>
          </w:p>
        </w:tc>
        <w:tc>
          <w:tcPr>
            <w:tcW w:w="810" w:type="dxa"/>
            <w:tcMar>
              <w:top w:w="100" w:type="nil"/>
              <w:right w:w="100" w:type="nil"/>
            </w:tcMar>
            <w:vAlign w:val="center"/>
          </w:tcPr>
          <w:p w14:paraId="56AF1A6E"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(0.161)</w:t>
            </w:r>
          </w:p>
        </w:tc>
      </w:tr>
      <w:tr w:rsidR="00752803" w:rsidRPr="009329B1" w14:paraId="482E0D71" w14:textId="77777777" w:rsidTr="00DF107F">
        <w:trPr>
          <w:jc w:val="center"/>
        </w:trPr>
        <w:tc>
          <w:tcPr>
            <w:tcW w:w="2564" w:type="dxa"/>
            <w:tcMar>
              <w:top w:w="100" w:type="nil"/>
              <w:right w:w="100" w:type="nil"/>
            </w:tcMar>
            <w:vAlign w:val="center"/>
          </w:tcPr>
          <w:p w14:paraId="0D71DA61"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Observations</w:t>
            </w:r>
          </w:p>
        </w:tc>
        <w:tc>
          <w:tcPr>
            <w:tcW w:w="886" w:type="dxa"/>
            <w:tcMar>
              <w:top w:w="100" w:type="nil"/>
              <w:right w:w="100" w:type="nil"/>
            </w:tcMar>
            <w:vAlign w:val="center"/>
          </w:tcPr>
          <w:p w14:paraId="63D36532"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2463</w:t>
            </w:r>
          </w:p>
        </w:tc>
        <w:tc>
          <w:tcPr>
            <w:tcW w:w="810" w:type="dxa"/>
            <w:tcMar>
              <w:top w:w="100" w:type="nil"/>
              <w:right w:w="100" w:type="nil"/>
            </w:tcMar>
            <w:vAlign w:val="center"/>
          </w:tcPr>
          <w:p w14:paraId="3FDE2494"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2463</w:t>
            </w:r>
          </w:p>
        </w:tc>
      </w:tr>
      <w:tr w:rsidR="00752803" w:rsidRPr="009329B1" w14:paraId="7F35347F" w14:textId="77777777" w:rsidTr="00DF107F">
        <w:trPr>
          <w:jc w:val="center"/>
        </w:trPr>
        <w:tc>
          <w:tcPr>
            <w:tcW w:w="2564" w:type="dxa"/>
            <w:tcMar>
              <w:top w:w="100" w:type="nil"/>
              <w:right w:w="100" w:type="nil"/>
            </w:tcMar>
            <w:vAlign w:val="center"/>
          </w:tcPr>
          <w:p w14:paraId="29C6936D"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sz w:val="16"/>
                <w:szCs w:val="16"/>
                <w:lang w:val="en-US"/>
              </w:rPr>
              <w:t xml:space="preserve">Pseudo </w:t>
            </w:r>
            <w:r w:rsidRPr="009329B1">
              <w:rPr>
                <w:rFonts w:ascii="Garamond" w:hAnsi="Garamond" w:cs="Times New Roman"/>
                <w:i/>
                <w:iCs/>
                <w:sz w:val="16"/>
                <w:szCs w:val="16"/>
                <w:lang w:val="en-US"/>
              </w:rPr>
              <w:t>R</w:t>
            </w:r>
            <w:r w:rsidRPr="009329B1">
              <w:rPr>
                <w:rFonts w:ascii="Garamond" w:hAnsi="Garamond" w:cs="Times New Roman"/>
                <w:sz w:val="16"/>
                <w:szCs w:val="16"/>
                <w:vertAlign w:val="superscript"/>
                <w:lang w:val="en-US"/>
              </w:rPr>
              <w:t>2</w:t>
            </w:r>
          </w:p>
        </w:tc>
        <w:tc>
          <w:tcPr>
            <w:tcW w:w="886" w:type="dxa"/>
            <w:tcMar>
              <w:top w:w="100" w:type="nil"/>
              <w:right w:w="100" w:type="nil"/>
            </w:tcMar>
            <w:vAlign w:val="center"/>
          </w:tcPr>
          <w:p w14:paraId="42127B3D"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p>
        </w:tc>
        <w:tc>
          <w:tcPr>
            <w:tcW w:w="810" w:type="dxa"/>
            <w:tcMar>
              <w:top w:w="100" w:type="nil"/>
              <w:right w:w="100" w:type="nil"/>
            </w:tcMar>
            <w:vAlign w:val="center"/>
          </w:tcPr>
          <w:p w14:paraId="5A0EA74E"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p>
        </w:tc>
      </w:tr>
      <w:tr w:rsidR="00752803" w:rsidRPr="009329B1" w14:paraId="09E8AB02" w14:textId="77777777" w:rsidTr="00DF107F">
        <w:trPr>
          <w:jc w:val="center"/>
        </w:trPr>
        <w:tc>
          <w:tcPr>
            <w:tcW w:w="2564" w:type="dxa"/>
            <w:tcMar>
              <w:top w:w="100" w:type="nil"/>
              <w:right w:w="100" w:type="nil"/>
            </w:tcMar>
            <w:vAlign w:val="center"/>
          </w:tcPr>
          <w:p w14:paraId="372BF22F"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i/>
                <w:iCs/>
                <w:sz w:val="16"/>
                <w:szCs w:val="16"/>
                <w:lang w:val="en-US"/>
              </w:rPr>
              <w:t>AIC</w:t>
            </w:r>
          </w:p>
        </w:tc>
        <w:tc>
          <w:tcPr>
            <w:tcW w:w="886" w:type="dxa"/>
            <w:tcMar>
              <w:top w:w="100" w:type="nil"/>
              <w:right w:w="100" w:type="nil"/>
            </w:tcMar>
            <w:vAlign w:val="center"/>
          </w:tcPr>
          <w:p w14:paraId="2BF6CD44"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1870.9</w:t>
            </w:r>
          </w:p>
        </w:tc>
        <w:tc>
          <w:tcPr>
            <w:tcW w:w="810" w:type="dxa"/>
            <w:tcMar>
              <w:top w:w="100" w:type="nil"/>
              <w:right w:w="100" w:type="nil"/>
            </w:tcMar>
            <w:vAlign w:val="center"/>
          </w:tcPr>
          <w:p w14:paraId="362D7B87"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1870.1</w:t>
            </w:r>
          </w:p>
        </w:tc>
      </w:tr>
      <w:tr w:rsidR="00752803" w:rsidRPr="009329B1" w14:paraId="62D4D9B3" w14:textId="77777777" w:rsidTr="00DF107F">
        <w:trPr>
          <w:jc w:val="center"/>
        </w:trPr>
        <w:tc>
          <w:tcPr>
            <w:tcW w:w="2564" w:type="dxa"/>
            <w:tcMar>
              <w:top w:w="100" w:type="nil"/>
              <w:right w:w="100" w:type="nil"/>
            </w:tcMar>
            <w:vAlign w:val="center"/>
          </w:tcPr>
          <w:p w14:paraId="3DF531B6" w14:textId="77777777" w:rsidR="00752803" w:rsidRPr="009329B1" w:rsidRDefault="00752803" w:rsidP="00DF107F">
            <w:pPr>
              <w:widowControl w:val="0"/>
              <w:autoSpaceDE w:val="0"/>
              <w:autoSpaceDN w:val="0"/>
              <w:adjustRightInd w:val="0"/>
              <w:rPr>
                <w:rFonts w:ascii="Garamond" w:hAnsi="Garamond" w:cs="Times New Roman"/>
                <w:sz w:val="16"/>
                <w:szCs w:val="16"/>
                <w:lang w:val="en-US"/>
              </w:rPr>
            </w:pPr>
            <w:r w:rsidRPr="009329B1">
              <w:rPr>
                <w:rFonts w:ascii="Garamond" w:hAnsi="Garamond" w:cs="Times New Roman"/>
                <w:i/>
                <w:iCs/>
                <w:sz w:val="16"/>
                <w:szCs w:val="16"/>
                <w:lang w:val="en-US"/>
              </w:rPr>
              <w:t>BIC</w:t>
            </w:r>
          </w:p>
        </w:tc>
        <w:tc>
          <w:tcPr>
            <w:tcW w:w="886" w:type="dxa"/>
            <w:tcMar>
              <w:top w:w="100" w:type="nil"/>
              <w:right w:w="100" w:type="nil"/>
            </w:tcMar>
            <w:vAlign w:val="center"/>
          </w:tcPr>
          <w:p w14:paraId="0280DFA0"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1946.4</w:t>
            </w:r>
          </w:p>
        </w:tc>
        <w:tc>
          <w:tcPr>
            <w:tcW w:w="810" w:type="dxa"/>
            <w:tcMar>
              <w:top w:w="100" w:type="nil"/>
              <w:right w:w="100" w:type="nil"/>
            </w:tcMar>
            <w:vAlign w:val="center"/>
          </w:tcPr>
          <w:p w14:paraId="250F9BB3" w14:textId="77777777" w:rsidR="00752803" w:rsidRPr="009329B1" w:rsidRDefault="00752803" w:rsidP="00DF107F">
            <w:pPr>
              <w:widowControl w:val="0"/>
              <w:autoSpaceDE w:val="0"/>
              <w:autoSpaceDN w:val="0"/>
              <w:adjustRightInd w:val="0"/>
              <w:jc w:val="center"/>
              <w:rPr>
                <w:rFonts w:ascii="Garamond" w:hAnsi="Garamond" w:cs="Times New Roman"/>
                <w:sz w:val="16"/>
                <w:szCs w:val="16"/>
                <w:lang w:val="en-US"/>
              </w:rPr>
            </w:pPr>
            <w:r w:rsidRPr="009329B1">
              <w:rPr>
                <w:rFonts w:ascii="Garamond" w:hAnsi="Garamond" w:cs="Times New Roman"/>
                <w:sz w:val="16"/>
                <w:szCs w:val="16"/>
                <w:lang w:val="en-US"/>
              </w:rPr>
              <w:t>1939.8</w:t>
            </w:r>
          </w:p>
        </w:tc>
      </w:tr>
    </w:tbl>
    <w:p w14:paraId="1AB0974C" w14:textId="77777777" w:rsidR="00752803" w:rsidRPr="00A2105F" w:rsidRDefault="00752803" w:rsidP="00752803">
      <w:pPr>
        <w:widowControl w:val="0"/>
        <w:autoSpaceDE w:val="0"/>
        <w:autoSpaceDN w:val="0"/>
        <w:adjustRightInd w:val="0"/>
        <w:ind w:left="2610" w:right="2630"/>
        <w:rPr>
          <w:rFonts w:ascii="Garamond" w:hAnsi="Garamond" w:cs="Times New Roman"/>
          <w:sz w:val="16"/>
          <w:szCs w:val="20"/>
          <w:lang w:val="en-US"/>
        </w:rPr>
      </w:pPr>
      <w:r w:rsidRPr="00A2105F">
        <w:rPr>
          <w:rFonts w:ascii="Garamond" w:hAnsi="Garamond" w:cs="Times New Roman"/>
          <w:sz w:val="16"/>
          <w:szCs w:val="20"/>
          <w:lang w:val="en-US"/>
        </w:rPr>
        <w:t>Notes: Standard errors in parentheses</w:t>
      </w:r>
      <w:r>
        <w:rPr>
          <w:rFonts w:ascii="Garamond" w:hAnsi="Garamond" w:cs="Times New Roman"/>
          <w:sz w:val="16"/>
          <w:szCs w:val="20"/>
          <w:lang w:val="en-US"/>
        </w:rPr>
        <w:t xml:space="preserve">. Consultation fixed effects omitted. </w:t>
      </w:r>
      <w:r w:rsidRPr="00A2105F">
        <w:rPr>
          <w:rFonts w:ascii="Garamond" w:hAnsi="Garamond" w:cs="Times New Roman"/>
          <w:sz w:val="16"/>
          <w:szCs w:val="20"/>
          <w:vertAlign w:val="superscript"/>
          <w:lang w:val="en-US"/>
        </w:rPr>
        <w:t>*</w:t>
      </w:r>
      <w:r w:rsidRPr="00A2105F">
        <w:rPr>
          <w:rFonts w:ascii="Garamond" w:hAnsi="Garamond" w:cs="Times New Roman"/>
          <w:sz w:val="16"/>
          <w:szCs w:val="20"/>
          <w:lang w:val="en-US"/>
        </w:rPr>
        <w:t xml:space="preserve"> </w:t>
      </w:r>
      <w:r w:rsidRPr="00A2105F">
        <w:rPr>
          <w:rFonts w:ascii="Garamond" w:hAnsi="Garamond" w:cs="Times New Roman"/>
          <w:i/>
          <w:iCs/>
          <w:sz w:val="16"/>
          <w:szCs w:val="20"/>
          <w:lang w:val="en-US"/>
        </w:rPr>
        <w:t>p</w:t>
      </w:r>
      <w:r>
        <w:rPr>
          <w:rFonts w:ascii="Garamond" w:hAnsi="Garamond" w:cs="Times New Roman"/>
          <w:sz w:val="16"/>
          <w:szCs w:val="20"/>
          <w:lang w:val="en-US"/>
        </w:rPr>
        <w:t xml:space="preserve"> &lt; 0.1</w:t>
      </w:r>
      <w:r w:rsidRPr="00A2105F">
        <w:rPr>
          <w:rFonts w:ascii="Garamond" w:hAnsi="Garamond" w:cs="Times New Roman"/>
          <w:sz w:val="16"/>
          <w:szCs w:val="20"/>
          <w:lang w:val="en-US"/>
        </w:rPr>
        <w:t xml:space="preserve">, </w:t>
      </w:r>
      <w:r w:rsidRPr="00A2105F">
        <w:rPr>
          <w:rFonts w:ascii="Garamond" w:hAnsi="Garamond" w:cs="Times New Roman"/>
          <w:sz w:val="16"/>
          <w:szCs w:val="20"/>
          <w:vertAlign w:val="superscript"/>
          <w:lang w:val="en-US"/>
        </w:rPr>
        <w:t>**</w:t>
      </w:r>
      <w:r w:rsidRPr="00A2105F">
        <w:rPr>
          <w:rFonts w:ascii="Garamond" w:hAnsi="Garamond" w:cs="Times New Roman"/>
          <w:sz w:val="16"/>
          <w:szCs w:val="20"/>
          <w:lang w:val="en-US"/>
        </w:rPr>
        <w:t xml:space="preserve"> </w:t>
      </w:r>
      <w:r w:rsidRPr="00A2105F">
        <w:rPr>
          <w:rFonts w:ascii="Garamond" w:hAnsi="Garamond" w:cs="Times New Roman"/>
          <w:i/>
          <w:iCs/>
          <w:sz w:val="16"/>
          <w:szCs w:val="20"/>
          <w:lang w:val="en-US"/>
        </w:rPr>
        <w:t>p</w:t>
      </w:r>
      <w:r w:rsidRPr="00A2105F">
        <w:rPr>
          <w:rFonts w:ascii="Garamond" w:hAnsi="Garamond" w:cs="Times New Roman"/>
          <w:sz w:val="16"/>
          <w:szCs w:val="20"/>
          <w:lang w:val="en-US"/>
        </w:rPr>
        <w:t xml:space="preserve"> &lt; 0.05, </w:t>
      </w:r>
      <w:r w:rsidRPr="00A2105F">
        <w:rPr>
          <w:rFonts w:ascii="Garamond" w:hAnsi="Garamond" w:cs="Times New Roman"/>
          <w:sz w:val="16"/>
          <w:szCs w:val="20"/>
          <w:vertAlign w:val="superscript"/>
          <w:lang w:val="en-US"/>
        </w:rPr>
        <w:t>***</w:t>
      </w:r>
      <w:r w:rsidRPr="00A2105F">
        <w:rPr>
          <w:rFonts w:ascii="Garamond" w:hAnsi="Garamond" w:cs="Times New Roman"/>
          <w:sz w:val="16"/>
          <w:szCs w:val="20"/>
          <w:lang w:val="en-US"/>
        </w:rPr>
        <w:t xml:space="preserve"> </w:t>
      </w:r>
      <w:r w:rsidRPr="00A2105F">
        <w:rPr>
          <w:rFonts w:ascii="Garamond" w:hAnsi="Garamond" w:cs="Times New Roman"/>
          <w:i/>
          <w:iCs/>
          <w:sz w:val="16"/>
          <w:szCs w:val="20"/>
          <w:lang w:val="en-US"/>
        </w:rPr>
        <w:t>p</w:t>
      </w:r>
      <w:r w:rsidRPr="00A2105F">
        <w:rPr>
          <w:rFonts w:ascii="Garamond" w:hAnsi="Garamond" w:cs="Times New Roman"/>
          <w:sz w:val="16"/>
          <w:szCs w:val="20"/>
          <w:lang w:val="en-US"/>
        </w:rPr>
        <w:t xml:space="preserve"> &lt; 0.01</w:t>
      </w:r>
    </w:p>
    <w:p w14:paraId="03A90E56" w14:textId="77777777" w:rsidR="00752803" w:rsidRDefault="00752803" w:rsidP="00752803">
      <w:pPr>
        <w:jc w:val="both"/>
        <w:rPr>
          <w:rFonts w:ascii="Garamond" w:hAnsi="Garamond"/>
          <w:sz w:val="22"/>
          <w:szCs w:val="22"/>
        </w:rPr>
      </w:pPr>
    </w:p>
    <w:p w14:paraId="0797B6E9" w14:textId="77777777" w:rsidR="00752803" w:rsidRDefault="00752803" w:rsidP="00752803">
      <w:pPr>
        <w:spacing w:line="360" w:lineRule="auto"/>
        <w:jc w:val="both"/>
        <w:rPr>
          <w:rFonts w:ascii="Garamond" w:hAnsi="Garamond"/>
          <w:sz w:val="22"/>
          <w:szCs w:val="22"/>
        </w:rPr>
      </w:pPr>
    </w:p>
    <w:p w14:paraId="6250CEED" w14:textId="77777777" w:rsidR="00752803" w:rsidRPr="00647685" w:rsidRDefault="00752803" w:rsidP="00752803">
      <w:pPr>
        <w:jc w:val="both"/>
        <w:rPr>
          <w:rFonts w:ascii="Garamond" w:hAnsi="Garamond"/>
          <w:sz w:val="22"/>
          <w:szCs w:val="22"/>
        </w:rPr>
      </w:pPr>
    </w:p>
    <w:p w14:paraId="511F4279" w14:textId="77777777" w:rsidR="00752803" w:rsidRPr="00647685" w:rsidRDefault="00752803" w:rsidP="00752803">
      <w:pPr>
        <w:rPr>
          <w:rFonts w:ascii="Garamond" w:hAnsi="Garamond"/>
          <w:sz w:val="22"/>
          <w:szCs w:val="22"/>
          <w:lang w:val="en-US"/>
        </w:rPr>
      </w:pPr>
    </w:p>
    <w:p w14:paraId="3745F6C5" w14:textId="52F77CB3" w:rsidR="002A53A3" w:rsidRDefault="00BF398A" w:rsidP="00752803"/>
    <w:p w14:paraId="7B77B498" w14:textId="3A5815B1" w:rsidR="00E53F06" w:rsidRDefault="00E53F06" w:rsidP="00752803"/>
    <w:p w14:paraId="6045057C" w14:textId="123574D8" w:rsidR="00E53F06" w:rsidRDefault="00E53F06" w:rsidP="00752803"/>
    <w:p w14:paraId="27D0442F" w14:textId="7BD47E03" w:rsidR="00E53F06" w:rsidRDefault="00E53F06" w:rsidP="00752803"/>
    <w:p w14:paraId="21F3291C" w14:textId="087CDFEE" w:rsidR="00E53F06" w:rsidRDefault="00E53F06" w:rsidP="00752803"/>
    <w:p w14:paraId="39A76F40" w14:textId="6763B028" w:rsidR="00E53F06" w:rsidRDefault="00E53F06" w:rsidP="00752803"/>
    <w:p w14:paraId="7669DA6D" w14:textId="3BF34502" w:rsidR="00E53F06" w:rsidRDefault="00E53F06" w:rsidP="00752803"/>
    <w:p w14:paraId="7EAB34F1" w14:textId="091AEBE1" w:rsidR="008B6D55" w:rsidRDefault="008B6D55" w:rsidP="00752803"/>
    <w:p w14:paraId="68D7C09F" w14:textId="38058235" w:rsidR="008B6D55" w:rsidRDefault="008B6D55" w:rsidP="00752803"/>
    <w:p w14:paraId="4660FB0D" w14:textId="118C0CB9" w:rsidR="008B6D55" w:rsidRDefault="008B6D55" w:rsidP="00752803"/>
    <w:p w14:paraId="44D0D75E" w14:textId="1AE319E7" w:rsidR="008B6D55" w:rsidRDefault="008B6D55" w:rsidP="00752803"/>
    <w:p w14:paraId="156563D9" w14:textId="6DB446C2" w:rsidR="008B6D55" w:rsidRDefault="008B6D55" w:rsidP="00752803"/>
    <w:p w14:paraId="380B72E5" w14:textId="2A437CC1" w:rsidR="008B6D55" w:rsidRDefault="008B6D55" w:rsidP="00752803"/>
    <w:p w14:paraId="7A15CF7A" w14:textId="31C57395" w:rsidR="008B6D55" w:rsidRDefault="008B6D55" w:rsidP="00752803"/>
    <w:p w14:paraId="7EEFE322" w14:textId="77777777" w:rsidR="008B6D55" w:rsidRDefault="008B6D55" w:rsidP="00752803"/>
    <w:p w14:paraId="11FBB231" w14:textId="7FEFBE30" w:rsidR="00E53F06" w:rsidRDefault="00E53F06" w:rsidP="00752803"/>
    <w:p w14:paraId="2B604714" w14:textId="279385B0" w:rsidR="00E53F06" w:rsidRDefault="00E53F06" w:rsidP="00752803"/>
    <w:p w14:paraId="7C616576" w14:textId="228FA48F" w:rsidR="00E53F06" w:rsidRPr="008B6D55" w:rsidRDefault="00E53F06" w:rsidP="008B6D55">
      <w:pPr>
        <w:pStyle w:val="Heading2"/>
        <w:jc w:val="center"/>
        <w:rPr>
          <w:sz w:val="20"/>
          <w:szCs w:val="20"/>
        </w:rPr>
      </w:pPr>
      <w:bookmarkStart w:id="3" w:name="_Toc6985866"/>
      <w:r w:rsidRPr="008B6D55">
        <w:rPr>
          <w:sz w:val="20"/>
          <w:szCs w:val="20"/>
        </w:rPr>
        <w:lastRenderedPageBreak/>
        <w:t xml:space="preserve">Figure </w:t>
      </w:r>
      <w:r w:rsidR="00865476">
        <w:rPr>
          <w:sz w:val="20"/>
          <w:szCs w:val="20"/>
        </w:rPr>
        <w:t>1</w:t>
      </w:r>
      <w:r w:rsidRPr="008B6D55">
        <w:rPr>
          <w:sz w:val="20"/>
          <w:szCs w:val="20"/>
        </w:rPr>
        <w:t>: Coefficient Plo</w:t>
      </w:r>
      <w:r w:rsidR="00865476">
        <w:rPr>
          <w:sz w:val="20"/>
          <w:szCs w:val="20"/>
        </w:rPr>
        <w:t>t of Regression Results, Model 1.5 and 1.6</w:t>
      </w:r>
      <w:bookmarkEnd w:id="3"/>
    </w:p>
    <w:p w14:paraId="617C65FC" w14:textId="77777777" w:rsidR="00E53F06" w:rsidRDefault="00E53F06" w:rsidP="00752803"/>
    <w:p w14:paraId="67AA03CC" w14:textId="4B4F61DE" w:rsidR="00E53F06" w:rsidRDefault="00E53F06" w:rsidP="00752803">
      <w:r w:rsidRPr="007D3D37">
        <w:rPr>
          <w:rFonts w:cstheme="minorHAnsi"/>
          <w:noProof/>
          <w:lang w:val="en-US"/>
        </w:rPr>
        <w:drawing>
          <wp:inline distT="0" distB="0" distL="0" distR="0" wp14:anchorId="1310847E" wp14:editId="7BB79BE8">
            <wp:extent cx="4114800" cy="2992582"/>
            <wp:effectExtent l="0" t="0" r="0" b="508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992582"/>
                    </a:xfrm>
                    <a:prstGeom prst="rect">
                      <a:avLst/>
                    </a:prstGeom>
                    <a:noFill/>
                    <a:ln>
                      <a:noFill/>
                    </a:ln>
                  </pic:spPr>
                </pic:pic>
              </a:graphicData>
            </a:graphic>
          </wp:inline>
        </w:drawing>
      </w:r>
    </w:p>
    <w:p w14:paraId="3F6A6527" w14:textId="6FB76B65" w:rsidR="006E2B52" w:rsidRDefault="006E2B52" w:rsidP="00752803"/>
    <w:p w14:paraId="6AA006E9" w14:textId="1836175A" w:rsidR="006E2B52" w:rsidRDefault="006E2B52" w:rsidP="00752803"/>
    <w:p w14:paraId="6E2A9117" w14:textId="720CFE70" w:rsidR="006E2B52" w:rsidRDefault="006E2B52" w:rsidP="00752803"/>
    <w:p w14:paraId="7789FBDB" w14:textId="038FF36D" w:rsidR="006E2B52" w:rsidRDefault="006E2B52" w:rsidP="00752803"/>
    <w:p w14:paraId="1B0C4C25" w14:textId="2DA62E7B" w:rsidR="006E2B52" w:rsidRPr="008B6D55" w:rsidRDefault="006E2B52" w:rsidP="008B6D55">
      <w:pPr>
        <w:pStyle w:val="Heading2"/>
        <w:jc w:val="center"/>
        <w:rPr>
          <w:sz w:val="20"/>
          <w:szCs w:val="20"/>
        </w:rPr>
      </w:pPr>
      <w:bookmarkStart w:id="4" w:name="_Toc6985867"/>
      <w:r w:rsidRPr="008B6D55">
        <w:rPr>
          <w:sz w:val="20"/>
          <w:szCs w:val="20"/>
        </w:rPr>
        <w:t xml:space="preserve">Figure </w:t>
      </w:r>
      <w:r w:rsidR="00865476">
        <w:rPr>
          <w:sz w:val="20"/>
          <w:szCs w:val="20"/>
        </w:rPr>
        <w:t>2</w:t>
      </w:r>
      <w:r w:rsidRPr="008B6D55">
        <w:rPr>
          <w:sz w:val="20"/>
          <w:szCs w:val="20"/>
        </w:rPr>
        <w:t>: Coefficient Plot of Regression Results</w:t>
      </w:r>
      <w:r w:rsidR="00865476">
        <w:rPr>
          <w:sz w:val="20"/>
          <w:szCs w:val="20"/>
        </w:rPr>
        <w:t>, Model 2.5 and 2.6</w:t>
      </w:r>
      <w:bookmarkEnd w:id="4"/>
    </w:p>
    <w:p w14:paraId="447A619B" w14:textId="25FF5C50" w:rsidR="006E2B52" w:rsidRDefault="006E2B52" w:rsidP="00752803"/>
    <w:p w14:paraId="50853D35" w14:textId="3CE261C7" w:rsidR="006E2B52" w:rsidRDefault="006E2B52" w:rsidP="00752803">
      <w:r w:rsidRPr="007D3D37">
        <w:rPr>
          <w:rFonts w:cstheme="minorHAnsi"/>
          <w:noProof/>
          <w:lang w:val="en-US"/>
        </w:rPr>
        <w:drawing>
          <wp:inline distT="0" distB="0" distL="0" distR="0" wp14:anchorId="214C2F8F" wp14:editId="02C932B5">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3CDF1BF" w14:textId="1EC02027" w:rsidR="000E5A8F" w:rsidRDefault="000E5A8F" w:rsidP="00752803"/>
    <w:p w14:paraId="4B9E43FF" w14:textId="11A36096" w:rsidR="000E5A8F" w:rsidRDefault="000E5A8F" w:rsidP="00752803"/>
    <w:p w14:paraId="43BD10E4" w14:textId="473DCFB9" w:rsidR="000E5A8F" w:rsidRDefault="000E5A8F" w:rsidP="00752803"/>
    <w:p w14:paraId="7BCC4D8E" w14:textId="67C83519" w:rsidR="000E5A8F" w:rsidRDefault="000E5A8F" w:rsidP="00752803"/>
    <w:p w14:paraId="7BA1CB09" w14:textId="77777777" w:rsidR="008B6D55" w:rsidRDefault="008B6D55" w:rsidP="000E5A8F"/>
    <w:p w14:paraId="546B8C40" w14:textId="7657CEF9" w:rsidR="000E5A8F" w:rsidRPr="008B6D55" w:rsidRDefault="000E5A8F" w:rsidP="008B6D55">
      <w:pPr>
        <w:pStyle w:val="Heading2"/>
        <w:rPr>
          <w:sz w:val="20"/>
          <w:szCs w:val="20"/>
        </w:rPr>
      </w:pPr>
      <w:bookmarkStart w:id="5" w:name="_Toc6985868"/>
      <w:r w:rsidRPr="008B6D55">
        <w:rPr>
          <w:sz w:val="20"/>
          <w:szCs w:val="20"/>
        </w:rPr>
        <w:t>Table A</w:t>
      </w:r>
      <w:r w:rsidR="008B6D55" w:rsidRPr="008B6D55">
        <w:rPr>
          <w:sz w:val="20"/>
          <w:szCs w:val="20"/>
        </w:rPr>
        <w:t>3</w:t>
      </w:r>
      <w:r w:rsidRPr="008B6D55">
        <w:rPr>
          <w:sz w:val="20"/>
          <w:szCs w:val="20"/>
        </w:rPr>
        <w:t>. List of Issues per Consultation Proposal</w:t>
      </w:r>
      <w:bookmarkEnd w:id="5"/>
    </w:p>
    <w:tbl>
      <w:tblPr>
        <w:tblStyle w:val="TableGrid"/>
        <w:tblW w:w="10348" w:type="dxa"/>
        <w:tblInd w:w="-714" w:type="dxa"/>
        <w:tblLook w:val="04A0" w:firstRow="1" w:lastRow="0" w:firstColumn="1" w:lastColumn="0" w:noHBand="0" w:noVBand="1"/>
      </w:tblPr>
      <w:tblGrid>
        <w:gridCol w:w="851"/>
        <w:gridCol w:w="4394"/>
        <w:gridCol w:w="5103"/>
      </w:tblGrid>
      <w:tr w:rsidR="000E5A8F" w:rsidRPr="008B6D55" w14:paraId="6BB8A6C8" w14:textId="77777777" w:rsidTr="000E5A8F">
        <w:tc>
          <w:tcPr>
            <w:tcW w:w="10348" w:type="dxa"/>
            <w:gridSpan w:val="3"/>
          </w:tcPr>
          <w:p w14:paraId="3CF059FA" w14:textId="77777777" w:rsidR="000E5A8F" w:rsidRPr="008B6D55" w:rsidRDefault="000E5A8F" w:rsidP="009321B9">
            <w:pPr>
              <w:rPr>
                <w:rFonts w:cstheme="minorHAnsi"/>
                <w:sz w:val="16"/>
                <w:szCs w:val="16"/>
              </w:rPr>
            </w:pPr>
            <w:r w:rsidRPr="008B6D55">
              <w:rPr>
                <w:rFonts w:cstheme="minorHAnsi"/>
                <w:sz w:val="16"/>
                <w:szCs w:val="16"/>
              </w:rPr>
              <w:t>Consultation 1: POSSIBLE FURTHER CHANGES TO THE  CAPITAL REQUIREMENTS DIRECTIVE</w:t>
            </w:r>
          </w:p>
        </w:tc>
      </w:tr>
      <w:tr w:rsidR="000E5A8F" w:rsidRPr="008B6D55" w14:paraId="100D9519" w14:textId="77777777" w:rsidTr="000E5A8F">
        <w:tc>
          <w:tcPr>
            <w:tcW w:w="851" w:type="dxa"/>
          </w:tcPr>
          <w:p w14:paraId="25E33421" w14:textId="77777777" w:rsidR="000E5A8F" w:rsidRPr="008B6D55" w:rsidRDefault="000E5A8F" w:rsidP="009321B9">
            <w:pPr>
              <w:rPr>
                <w:rFonts w:cstheme="minorHAnsi"/>
                <w:sz w:val="16"/>
                <w:szCs w:val="16"/>
              </w:rPr>
            </w:pPr>
            <w:r w:rsidRPr="008B6D55">
              <w:rPr>
                <w:rFonts w:cstheme="minorHAnsi"/>
                <w:sz w:val="16"/>
                <w:szCs w:val="16"/>
              </w:rPr>
              <w:t>Issue #</w:t>
            </w:r>
          </w:p>
        </w:tc>
        <w:tc>
          <w:tcPr>
            <w:tcW w:w="4394" w:type="dxa"/>
          </w:tcPr>
          <w:p w14:paraId="18539801" w14:textId="77777777" w:rsidR="000E5A8F" w:rsidRPr="008B6D55" w:rsidRDefault="000E5A8F" w:rsidP="009321B9">
            <w:pPr>
              <w:rPr>
                <w:rFonts w:cstheme="minorHAnsi"/>
                <w:b/>
                <w:sz w:val="16"/>
                <w:szCs w:val="16"/>
                <w:u w:val="single"/>
              </w:rPr>
            </w:pPr>
            <w:r w:rsidRPr="008B6D55">
              <w:rPr>
                <w:rFonts w:cstheme="minorHAnsi"/>
                <w:sz w:val="16"/>
                <w:szCs w:val="16"/>
              </w:rPr>
              <w:t>Question / Issue topic</w:t>
            </w:r>
          </w:p>
        </w:tc>
        <w:tc>
          <w:tcPr>
            <w:tcW w:w="5103" w:type="dxa"/>
          </w:tcPr>
          <w:p w14:paraId="59FB12D0" w14:textId="77777777" w:rsidR="000E5A8F" w:rsidRPr="008B6D55" w:rsidRDefault="000E5A8F" w:rsidP="009321B9">
            <w:pPr>
              <w:rPr>
                <w:rFonts w:cstheme="minorHAnsi"/>
                <w:b/>
                <w:sz w:val="16"/>
                <w:szCs w:val="16"/>
                <w:u w:val="single"/>
              </w:rPr>
            </w:pPr>
            <w:r w:rsidRPr="008B6D55">
              <w:rPr>
                <w:rFonts w:cstheme="minorHAnsi"/>
                <w:sz w:val="16"/>
                <w:szCs w:val="16"/>
              </w:rPr>
              <w:t>Coding Rules</w:t>
            </w:r>
          </w:p>
        </w:tc>
      </w:tr>
      <w:tr w:rsidR="000E5A8F" w:rsidRPr="008B6D55" w14:paraId="5C18C740" w14:textId="77777777" w:rsidTr="000E5A8F">
        <w:tc>
          <w:tcPr>
            <w:tcW w:w="851" w:type="dxa"/>
          </w:tcPr>
          <w:p w14:paraId="741DAA42"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w:t>
            </w:r>
          </w:p>
        </w:tc>
        <w:tc>
          <w:tcPr>
            <w:tcW w:w="4394" w:type="dxa"/>
            <w:shd w:val="clear" w:color="auto" w:fill="auto"/>
          </w:tcPr>
          <w:p w14:paraId="31199F70" w14:textId="77777777" w:rsidR="000E5A8F" w:rsidRPr="008B6D55" w:rsidRDefault="000E5A8F" w:rsidP="009321B9">
            <w:pPr>
              <w:rPr>
                <w:rFonts w:cstheme="minorHAnsi"/>
                <w:sz w:val="16"/>
                <w:szCs w:val="16"/>
              </w:rPr>
            </w:pPr>
            <w:r w:rsidRPr="008B6D55">
              <w:rPr>
                <w:rFonts w:cstheme="minorHAnsi"/>
                <w:sz w:val="16"/>
                <w:szCs w:val="16"/>
              </w:rPr>
              <w:t xml:space="preserve">The Commission services suggest that the through-the-cycle value adjustment should not count as regulatory capital (see ANNEX 1, suggested amendment to Article 57). Do you agree? </w:t>
            </w:r>
          </w:p>
        </w:tc>
        <w:tc>
          <w:tcPr>
            <w:tcW w:w="5103" w:type="dxa"/>
            <w:shd w:val="clear" w:color="auto" w:fill="auto"/>
          </w:tcPr>
          <w:p w14:paraId="3F065019" w14:textId="77777777" w:rsidR="000E5A8F" w:rsidRPr="008B6D55" w:rsidRDefault="000E5A8F" w:rsidP="009321B9">
            <w:pPr>
              <w:rPr>
                <w:rFonts w:cstheme="minorHAnsi"/>
                <w:sz w:val="16"/>
                <w:szCs w:val="16"/>
              </w:rPr>
            </w:pPr>
            <w:r w:rsidRPr="008B6D55">
              <w:rPr>
                <w:rFonts w:cstheme="minorHAnsi"/>
                <w:sz w:val="16"/>
                <w:szCs w:val="16"/>
              </w:rPr>
              <w:t xml:space="preserve">1 = supports proposal that through-the-cycle adjustment </w:t>
            </w:r>
            <w:r w:rsidRPr="008B6D55">
              <w:rPr>
                <w:rFonts w:cstheme="minorHAnsi"/>
                <w:sz w:val="16"/>
                <w:szCs w:val="16"/>
                <w:u w:val="single"/>
              </w:rPr>
              <w:t>should not</w:t>
            </w:r>
            <w:r w:rsidRPr="008B6D55">
              <w:rPr>
                <w:rFonts w:cstheme="minorHAnsi"/>
                <w:sz w:val="16"/>
                <w:szCs w:val="16"/>
              </w:rPr>
              <w:t xml:space="preserve"> count as ‘regulatory capital’</w:t>
            </w:r>
          </w:p>
          <w:p w14:paraId="703BA2B3" w14:textId="77777777" w:rsidR="000E5A8F" w:rsidRPr="008B6D55" w:rsidRDefault="000E5A8F" w:rsidP="009321B9">
            <w:pPr>
              <w:rPr>
                <w:rFonts w:cstheme="minorHAnsi"/>
                <w:sz w:val="16"/>
                <w:szCs w:val="16"/>
              </w:rPr>
            </w:pPr>
            <w:r w:rsidRPr="008B6D55">
              <w:rPr>
                <w:rFonts w:cstheme="minorHAnsi"/>
                <w:sz w:val="16"/>
                <w:szCs w:val="16"/>
              </w:rPr>
              <w:t xml:space="preserve">2 = supports less stringent approach; through-the-cycle adjustment </w:t>
            </w:r>
            <w:r w:rsidRPr="008B6D55">
              <w:rPr>
                <w:rFonts w:cstheme="minorHAnsi"/>
                <w:sz w:val="16"/>
                <w:szCs w:val="16"/>
                <w:u w:val="single"/>
              </w:rPr>
              <w:t>should</w:t>
            </w:r>
            <w:r w:rsidRPr="008B6D55">
              <w:rPr>
                <w:rFonts w:cstheme="minorHAnsi"/>
                <w:sz w:val="16"/>
                <w:szCs w:val="16"/>
              </w:rPr>
              <w:t xml:space="preserve"> count as regulatory capital; concerns with only covering ‘unexpected losses’ (not expected losses)</w:t>
            </w:r>
          </w:p>
          <w:p w14:paraId="3ADDA224" w14:textId="77777777" w:rsidR="000E5A8F" w:rsidRPr="008B6D55" w:rsidRDefault="000E5A8F" w:rsidP="009321B9">
            <w:pPr>
              <w:rPr>
                <w:rFonts w:cstheme="minorHAnsi"/>
                <w:sz w:val="16"/>
                <w:szCs w:val="16"/>
              </w:rPr>
            </w:pPr>
            <w:r w:rsidRPr="008B6D55">
              <w:rPr>
                <w:rFonts w:cstheme="minorHAnsi"/>
                <w:sz w:val="16"/>
                <w:szCs w:val="16"/>
              </w:rPr>
              <w:t>3 = supports more stringent approach; e.g., in addition to through-the-cycle adjustment, doing more to cover ‘</w:t>
            </w:r>
            <w:r w:rsidRPr="008B6D55">
              <w:rPr>
                <w:rFonts w:cstheme="minorHAnsi"/>
                <w:sz w:val="16"/>
                <w:szCs w:val="16"/>
                <w:u w:val="single"/>
              </w:rPr>
              <w:t>expected</w:t>
            </w:r>
            <w:r w:rsidRPr="008B6D55">
              <w:rPr>
                <w:rFonts w:cstheme="minorHAnsi"/>
                <w:sz w:val="16"/>
                <w:szCs w:val="16"/>
              </w:rPr>
              <w:t>’ losses</w:t>
            </w:r>
          </w:p>
          <w:p w14:paraId="63A21552"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06ADE3EF" w14:textId="77777777" w:rsidTr="000E5A8F">
        <w:tc>
          <w:tcPr>
            <w:tcW w:w="851" w:type="dxa"/>
          </w:tcPr>
          <w:p w14:paraId="3DA0C1A2"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2</w:t>
            </w:r>
          </w:p>
        </w:tc>
        <w:tc>
          <w:tcPr>
            <w:tcW w:w="4394" w:type="dxa"/>
            <w:shd w:val="clear" w:color="auto" w:fill="auto"/>
          </w:tcPr>
          <w:p w14:paraId="5B314675" w14:textId="77777777" w:rsidR="000E5A8F" w:rsidRPr="008B6D55" w:rsidRDefault="000E5A8F" w:rsidP="009321B9">
            <w:pPr>
              <w:rPr>
                <w:rFonts w:cstheme="minorHAnsi"/>
                <w:sz w:val="16"/>
                <w:szCs w:val="16"/>
              </w:rPr>
            </w:pPr>
            <w:r w:rsidRPr="008B6D55">
              <w:rPr>
                <w:rFonts w:cstheme="minorHAnsi"/>
                <w:sz w:val="16"/>
                <w:szCs w:val="16"/>
              </w:rPr>
              <w:t xml:space="preserve">Should off-balance sheet items be captured under the formula for through-the-cycle expected loss provisioning, given that 'provisions' for off-balance sheet items are not recognised in all relevant accounting standards? Should only assets subject to an impairment test be subject to through-the-cycle expected loss provisioning? (See ANNEX 1, suggested Article 74a (2).) </w:t>
            </w:r>
          </w:p>
          <w:p w14:paraId="0C68D1D8" w14:textId="77777777" w:rsidR="000E5A8F" w:rsidRPr="008B6D55" w:rsidRDefault="000E5A8F" w:rsidP="009321B9">
            <w:pPr>
              <w:rPr>
                <w:rFonts w:cstheme="minorHAnsi"/>
                <w:i/>
                <w:sz w:val="16"/>
                <w:szCs w:val="16"/>
              </w:rPr>
            </w:pPr>
          </w:p>
        </w:tc>
        <w:tc>
          <w:tcPr>
            <w:tcW w:w="5103" w:type="dxa"/>
            <w:shd w:val="clear" w:color="auto" w:fill="auto"/>
          </w:tcPr>
          <w:p w14:paraId="2C470F0E" w14:textId="77777777" w:rsidR="000E5A8F" w:rsidRPr="008B6D55" w:rsidRDefault="000E5A8F" w:rsidP="009321B9">
            <w:pPr>
              <w:rPr>
                <w:rFonts w:cstheme="minorHAnsi"/>
                <w:sz w:val="16"/>
                <w:szCs w:val="16"/>
              </w:rPr>
            </w:pPr>
            <w:r w:rsidRPr="008B6D55">
              <w:rPr>
                <w:rFonts w:cstheme="minorHAnsi"/>
                <w:sz w:val="16"/>
                <w:szCs w:val="16"/>
              </w:rPr>
              <w:t>1 = supports proposal; capture on-balance sheet items (e.g., loans) and off-balance sheet items 1 = supports proposal; capture on-balance sheet items (e.g., loans) and off-balance sheet items which are subject to provision according to the relevant accounting standards  (e.g., guarantees)</w:t>
            </w:r>
          </w:p>
          <w:p w14:paraId="3D195FC8" w14:textId="77777777" w:rsidR="000E5A8F" w:rsidRPr="008B6D55" w:rsidRDefault="000E5A8F" w:rsidP="009321B9">
            <w:pPr>
              <w:rPr>
                <w:rFonts w:cstheme="minorHAnsi"/>
                <w:sz w:val="16"/>
                <w:szCs w:val="16"/>
              </w:rPr>
            </w:pPr>
            <w:r w:rsidRPr="008B6D55">
              <w:rPr>
                <w:rFonts w:cstheme="minorHAnsi"/>
                <w:sz w:val="16"/>
                <w:szCs w:val="16"/>
              </w:rPr>
              <w:t>2 = supports less stringent approach; only capture on-balance sheet items</w:t>
            </w:r>
          </w:p>
          <w:p w14:paraId="117C5161" w14:textId="77777777" w:rsidR="000E5A8F" w:rsidRPr="008B6D55" w:rsidRDefault="000E5A8F" w:rsidP="009321B9">
            <w:pPr>
              <w:rPr>
                <w:rFonts w:cstheme="minorHAnsi"/>
                <w:sz w:val="16"/>
                <w:szCs w:val="16"/>
              </w:rPr>
            </w:pPr>
            <w:r w:rsidRPr="008B6D55">
              <w:rPr>
                <w:rFonts w:cstheme="minorHAnsi"/>
                <w:sz w:val="16"/>
                <w:szCs w:val="16"/>
              </w:rPr>
              <w:t xml:space="preserve">3 = supports more stringent approach; proposal of more stringent option(s) </w:t>
            </w:r>
          </w:p>
          <w:p w14:paraId="694AA1EB" w14:textId="77777777" w:rsidR="000E5A8F" w:rsidRPr="008B6D55" w:rsidRDefault="000E5A8F" w:rsidP="009321B9">
            <w:pPr>
              <w:rPr>
                <w:rFonts w:cstheme="minorHAnsi"/>
                <w:sz w:val="16"/>
                <w:szCs w:val="16"/>
              </w:rPr>
            </w:pPr>
            <w:r w:rsidRPr="008B6D55">
              <w:rPr>
                <w:rFonts w:cstheme="minorHAnsi"/>
                <w:sz w:val="16"/>
                <w:szCs w:val="16"/>
              </w:rPr>
              <w:t xml:space="preserve">4 = cannot be determined </w:t>
            </w:r>
          </w:p>
          <w:p w14:paraId="6F32B09A" w14:textId="77777777" w:rsidR="000E5A8F" w:rsidRPr="008B6D55" w:rsidRDefault="000E5A8F" w:rsidP="009321B9">
            <w:pPr>
              <w:rPr>
                <w:rFonts w:cstheme="minorHAnsi"/>
                <w:sz w:val="16"/>
                <w:szCs w:val="16"/>
              </w:rPr>
            </w:pPr>
          </w:p>
        </w:tc>
      </w:tr>
      <w:tr w:rsidR="000E5A8F" w:rsidRPr="008B6D55" w14:paraId="2CB1020B" w14:textId="77777777" w:rsidTr="000E5A8F">
        <w:tc>
          <w:tcPr>
            <w:tcW w:w="851" w:type="dxa"/>
          </w:tcPr>
          <w:p w14:paraId="580DEF29"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w:t>
            </w:r>
          </w:p>
        </w:tc>
        <w:tc>
          <w:tcPr>
            <w:tcW w:w="4394" w:type="dxa"/>
            <w:shd w:val="clear" w:color="auto" w:fill="auto"/>
          </w:tcPr>
          <w:p w14:paraId="299CDF99" w14:textId="77777777" w:rsidR="000E5A8F" w:rsidRPr="008B6D55" w:rsidRDefault="000E5A8F" w:rsidP="009321B9">
            <w:pPr>
              <w:rPr>
                <w:rFonts w:cstheme="minorHAnsi"/>
                <w:sz w:val="16"/>
                <w:szCs w:val="16"/>
              </w:rPr>
            </w:pPr>
            <w:r w:rsidRPr="008B6D55">
              <w:rPr>
                <w:rFonts w:cstheme="minorHAnsi"/>
                <w:sz w:val="16"/>
                <w:szCs w:val="16"/>
              </w:rPr>
              <w:t xml:space="preserve">At this point, the suggestion is not to include the option for competent authorities to allow internal methods to determine expected losses across an economic cycle. As an alternative to the regulatory approach to calculate counter-cyclical factors, would it be desirable to allow firms' internal methodologies (to be validated by supervisors)? </w:t>
            </w:r>
          </w:p>
        </w:tc>
        <w:tc>
          <w:tcPr>
            <w:tcW w:w="5103" w:type="dxa"/>
            <w:shd w:val="clear" w:color="auto" w:fill="auto"/>
          </w:tcPr>
          <w:p w14:paraId="023AB30C" w14:textId="77777777" w:rsidR="000E5A8F" w:rsidRPr="008B6D55" w:rsidRDefault="000E5A8F" w:rsidP="009321B9">
            <w:pPr>
              <w:rPr>
                <w:rFonts w:cstheme="minorHAnsi"/>
                <w:sz w:val="16"/>
                <w:szCs w:val="16"/>
              </w:rPr>
            </w:pPr>
            <w:r w:rsidRPr="008B6D55">
              <w:rPr>
                <w:rFonts w:cstheme="minorHAnsi"/>
                <w:sz w:val="16"/>
                <w:szCs w:val="16"/>
              </w:rPr>
              <w:t xml:space="preserve">1 = supports proposal; firms should not be allowed use </w:t>
            </w:r>
            <w:r w:rsidRPr="008B6D55">
              <w:rPr>
                <w:rFonts w:cstheme="minorHAnsi"/>
                <w:sz w:val="16"/>
                <w:szCs w:val="16"/>
                <w:u w:val="single"/>
              </w:rPr>
              <w:t>internal methods</w:t>
            </w:r>
            <w:r w:rsidRPr="008B6D55">
              <w:rPr>
                <w:rFonts w:cstheme="minorHAnsi"/>
                <w:sz w:val="16"/>
                <w:szCs w:val="16"/>
              </w:rPr>
              <w:t xml:space="preserve"> </w:t>
            </w:r>
          </w:p>
          <w:p w14:paraId="20F38B42" w14:textId="77777777" w:rsidR="000E5A8F" w:rsidRPr="008B6D55" w:rsidRDefault="000E5A8F" w:rsidP="009321B9">
            <w:pPr>
              <w:rPr>
                <w:rFonts w:cstheme="minorHAnsi"/>
                <w:sz w:val="16"/>
                <w:szCs w:val="16"/>
              </w:rPr>
            </w:pPr>
            <w:r w:rsidRPr="008B6D55">
              <w:rPr>
                <w:rFonts w:cstheme="minorHAnsi"/>
                <w:sz w:val="16"/>
                <w:szCs w:val="16"/>
              </w:rPr>
              <w:t xml:space="preserve">2 = supports less stringent approach; firms should be allowed to use </w:t>
            </w:r>
            <w:r w:rsidRPr="008B6D55">
              <w:rPr>
                <w:rFonts w:cstheme="minorHAnsi"/>
                <w:sz w:val="16"/>
                <w:szCs w:val="16"/>
                <w:u w:val="single"/>
              </w:rPr>
              <w:t xml:space="preserve">internal methods </w:t>
            </w:r>
            <w:r w:rsidRPr="008B6D55">
              <w:rPr>
                <w:rFonts w:cstheme="minorHAnsi"/>
                <w:sz w:val="16"/>
                <w:szCs w:val="16"/>
              </w:rPr>
              <w:t>(i.e., bottom up approach)</w:t>
            </w:r>
            <w:r w:rsidRPr="008B6D55">
              <w:rPr>
                <w:rFonts w:cstheme="minorHAnsi"/>
                <w:sz w:val="16"/>
                <w:szCs w:val="16"/>
                <w:u w:val="single"/>
              </w:rPr>
              <w:t>;</w:t>
            </w:r>
            <w:r w:rsidRPr="008B6D55">
              <w:rPr>
                <w:rFonts w:cstheme="minorHAnsi"/>
                <w:sz w:val="16"/>
                <w:szCs w:val="16"/>
              </w:rPr>
              <w:t xml:space="preserve"> yes, it would be desirable to allow firms to use internal methods</w:t>
            </w:r>
          </w:p>
          <w:p w14:paraId="3A3229C9" w14:textId="77777777" w:rsidR="000E5A8F" w:rsidRPr="008B6D55" w:rsidRDefault="000E5A8F" w:rsidP="009321B9">
            <w:pPr>
              <w:rPr>
                <w:rFonts w:cstheme="minorHAnsi"/>
                <w:sz w:val="16"/>
                <w:szCs w:val="16"/>
              </w:rPr>
            </w:pPr>
            <w:r w:rsidRPr="008B6D55">
              <w:rPr>
                <w:rFonts w:cstheme="minorHAnsi"/>
                <w:sz w:val="16"/>
                <w:szCs w:val="16"/>
              </w:rPr>
              <w:t xml:space="preserve">3 = supports more stringent approach; </w:t>
            </w:r>
          </w:p>
          <w:p w14:paraId="3179E773"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52CFD1E8" w14:textId="77777777" w:rsidTr="000E5A8F">
        <w:tc>
          <w:tcPr>
            <w:tcW w:w="851" w:type="dxa"/>
          </w:tcPr>
          <w:p w14:paraId="1DA81C9E"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w:t>
            </w:r>
          </w:p>
        </w:tc>
        <w:tc>
          <w:tcPr>
            <w:tcW w:w="4394" w:type="dxa"/>
            <w:shd w:val="clear" w:color="auto" w:fill="auto"/>
          </w:tcPr>
          <w:p w14:paraId="555E8ADA" w14:textId="77777777" w:rsidR="000E5A8F" w:rsidRPr="008B6D55" w:rsidRDefault="000E5A8F" w:rsidP="009321B9">
            <w:pPr>
              <w:rPr>
                <w:rFonts w:cstheme="minorHAnsi"/>
                <w:sz w:val="16"/>
                <w:szCs w:val="16"/>
              </w:rPr>
            </w:pPr>
            <w:r w:rsidRPr="008B6D55">
              <w:rPr>
                <w:rFonts w:cstheme="minorHAnsi"/>
                <w:sz w:val="16"/>
                <w:szCs w:val="16"/>
              </w:rPr>
              <w:t xml:space="preserve">Should the exposure class of Article 86 (i.e. for credit institutions subject to the IRB approach) be used irrespective of the fact that the credit institution may be under the Standardised approach?  </w:t>
            </w:r>
          </w:p>
        </w:tc>
        <w:tc>
          <w:tcPr>
            <w:tcW w:w="5103" w:type="dxa"/>
            <w:shd w:val="clear" w:color="auto" w:fill="auto"/>
          </w:tcPr>
          <w:p w14:paraId="2701A28A" w14:textId="77777777" w:rsidR="000E5A8F" w:rsidRPr="008B6D55" w:rsidRDefault="000E5A8F" w:rsidP="009321B9">
            <w:pPr>
              <w:rPr>
                <w:rFonts w:cstheme="minorHAnsi"/>
                <w:sz w:val="16"/>
                <w:szCs w:val="16"/>
              </w:rPr>
            </w:pPr>
            <w:r w:rsidRPr="008B6D55">
              <w:rPr>
                <w:rFonts w:cstheme="minorHAnsi"/>
                <w:sz w:val="16"/>
                <w:szCs w:val="16"/>
              </w:rPr>
              <w:t>1 = supports proposal; use exposure class of Art. 86 irrespective that credit institution is under Standardized approach</w:t>
            </w:r>
          </w:p>
          <w:p w14:paraId="04C55DB4" w14:textId="77777777" w:rsidR="000E5A8F" w:rsidRPr="008B6D55" w:rsidRDefault="000E5A8F" w:rsidP="009321B9">
            <w:pPr>
              <w:rPr>
                <w:rFonts w:cstheme="minorHAnsi"/>
                <w:sz w:val="16"/>
                <w:szCs w:val="16"/>
              </w:rPr>
            </w:pPr>
            <w:r w:rsidRPr="008B6D55">
              <w:rPr>
                <w:rFonts w:cstheme="minorHAnsi"/>
                <w:sz w:val="16"/>
                <w:szCs w:val="16"/>
              </w:rPr>
              <w:t>2 = N/A</w:t>
            </w:r>
          </w:p>
          <w:p w14:paraId="22A88681" w14:textId="77777777" w:rsidR="000E5A8F" w:rsidRPr="008B6D55" w:rsidRDefault="000E5A8F" w:rsidP="009321B9">
            <w:pPr>
              <w:rPr>
                <w:rFonts w:cstheme="minorHAnsi"/>
                <w:sz w:val="16"/>
                <w:szCs w:val="16"/>
              </w:rPr>
            </w:pPr>
            <w:r w:rsidRPr="008B6D55">
              <w:rPr>
                <w:rFonts w:cstheme="minorHAnsi"/>
                <w:sz w:val="16"/>
                <w:szCs w:val="16"/>
              </w:rPr>
              <w:t>3 = N/A</w:t>
            </w:r>
          </w:p>
          <w:p w14:paraId="363CBA9C"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749DD0EA" w14:textId="77777777" w:rsidTr="000E5A8F">
        <w:tc>
          <w:tcPr>
            <w:tcW w:w="851" w:type="dxa"/>
          </w:tcPr>
          <w:p w14:paraId="09B485F4"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5</w:t>
            </w:r>
          </w:p>
        </w:tc>
        <w:tc>
          <w:tcPr>
            <w:tcW w:w="4394" w:type="dxa"/>
            <w:shd w:val="clear" w:color="auto" w:fill="auto"/>
          </w:tcPr>
          <w:p w14:paraId="6D839EDB" w14:textId="77777777" w:rsidR="000E5A8F" w:rsidRPr="008B6D55" w:rsidRDefault="000E5A8F" w:rsidP="009321B9">
            <w:pPr>
              <w:rPr>
                <w:rFonts w:cstheme="minorHAnsi"/>
                <w:sz w:val="16"/>
                <w:szCs w:val="16"/>
              </w:rPr>
            </w:pPr>
            <w:r w:rsidRPr="008B6D55">
              <w:rPr>
                <w:rFonts w:cstheme="minorHAnsi"/>
                <w:sz w:val="16"/>
                <w:szCs w:val="16"/>
              </w:rPr>
              <w:t xml:space="preserve">Please give your views on the following approaches: </w:t>
            </w:r>
          </w:p>
          <w:p w14:paraId="6D7220C1" w14:textId="77777777" w:rsidR="000E5A8F" w:rsidRPr="008B6D55" w:rsidRDefault="000E5A8F" w:rsidP="009321B9">
            <w:pPr>
              <w:rPr>
                <w:rFonts w:cstheme="minorHAnsi"/>
                <w:sz w:val="16"/>
                <w:szCs w:val="16"/>
              </w:rPr>
            </w:pPr>
            <w:r w:rsidRPr="008B6D55">
              <w:rPr>
                <w:rFonts w:cstheme="minorHAnsi"/>
                <w:sz w:val="16"/>
                <w:szCs w:val="16"/>
              </w:rPr>
              <w:t xml:space="preserve">1) the Spanish model of through-the-cycle expected loss provisioning; </w:t>
            </w:r>
          </w:p>
          <w:p w14:paraId="4E5F8D37" w14:textId="77777777" w:rsidR="000E5A8F" w:rsidRPr="008B6D55" w:rsidRDefault="000E5A8F" w:rsidP="009321B9">
            <w:pPr>
              <w:rPr>
                <w:rFonts w:cstheme="minorHAnsi"/>
                <w:sz w:val="16"/>
                <w:szCs w:val="16"/>
              </w:rPr>
            </w:pPr>
            <w:r w:rsidRPr="008B6D55">
              <w:rPr>
                <w:rFonts w:cstheme="minorHAnsi"/>
                <w:sz w:val="16"/>
                <w:szCs w:val="16"/>
              </w:rPr>
              <w:t xml:space="preserve">2) a 'simplified' Spanish model. </w:t>
            </w:r>
          </w:p>
          <w:p w14:paraId="42B94F9F" w14:textId="77777777" w:rsidR="000E5A8F" w:rsidRPr="008B6D55" w:rsidRDefault="000E5A8F" w:rsidP="009321B9">
            <w:pPr>
              <w:rPr>
                <w:rFonts w:cstheme="minorHAnsi"/>
                <w:sz w:val="16"/>
                <w:szCs w:val="16"/>
              </w:rPr>
            </w:pPr>
            <w:r w:rsidRPr="008B6D55">
              <w:rPr>
                <w:rFonts w:cstheme="minorHAnsi"/>
                <w:sz w:val="16"/>
                <w:szCs w:val="16"/>
              </w:rPr>
              <w:t xml:space="preserve">  </w:t>
            </w:r>
          </w:p>
        </w:tc>
        <w:tc>
          <w:tcPr>
            <w:tcW w:w="5103" w:type="dxa"/>
            <w:shd w:val="clear" w:color="auto" w:fill="auto"/>
          </w:tcPr>
          <w:p w14:paraId="5A305C07" w14:textId="77777777" w:rsidR="000E5A8F" w:rsidRPr="008B6D55" w:rsidRDefault="000E5A8F" w:rsidP="009321B9">
            <w:pPr>
              <w:rPr>
                <w:rFonts w:cstheme="minorHAnsi"/>
                <w:sz w:val="16"/>
                <w:szCs w:val="16"/>
              </w:rPr>
            </w:pPr>
            <w:r w:rsidRPr="008B6D55">
              <w:rPr>
                <w:rFonts w:cstheme="minorHAnsi"/>
                <w:sz w:val="16"/>
                <w:szCs w:val="16"/>
              </w:rPr>
              <w:t xml:space="preserve">1 = Supports proposal; supports the simplified Spanish model </w:t>
            </w:r>
          </w:p>
          <w:p w14:paraId="0C476D82" w14:textId="77777777" w:rsidR="000E5A8F" w:rsidRPr="008B6D55" w:rsidRDefault="000E5A8F" w:rsidP="009321B9">
            <w:pPr>
              <w:rPr>
                <w:rFonts w:cstheme="minorHAnsi"/>
                <w:sz w:val="16"/>
                <w:szCs w:val="16"/>
              </w:rPr>
            </w:pPr>
            <w:r w:rsidRPr="008B6D55">
              <w:rPr>
                <w:rFonts w:cstheme="minorHAnsi"/>
                <w:sz w:val="16"/>
                <w:szCs w:val="16"/>
              </w:rPr>
              <w:t>2 = N/A</w:t>
            </w:r>
          </w:p>
          <w:p w14:paraId="2B40DC76" w14:textId="77777777" w:rsidR="000E5A8F" w:rsidRPr="008B6D55" w:rsidRDefault="000E5A8F" w:rsidP="009321B9">
            <w:pPr>
              <w:rPr>
                <w:rFonts w:cstheme="minorHAnsi"/>
                <w:sz w:val="16"/>
                <w:szCs w:val="16"/>
              </w:rPr>
            </w:pPr>
            <w:r w:rsidRPr="008B6D55">
              <w:rPr>
                <w:rFonts w:cstheme="minorHAnsi"/>
                <w:sz w:val="16"/>
                <w:szCs w:val="16"/>
              </w:rPr>
              <w:t xml:space="preserve">3 = N/A </w:t>
            </w:r>
          </w:p>
          <w:p w14:paraId="7256523D" w14:textId="77777777" w:rsidR="000E5A8F" w:rsidRPr="008B6D55" w:rsidRDefault="000E5A8F" w:rsidP="009321B9">
            <w:pPr>
              <w:rPr>
                <w:rFonts w:cstheme="minorHAnsi"/>
                <w:sz w:val="16"/>
                <w:szCs w:val="16"/>
              </w:rPr>
            </w:pPr>
            <w:r w:rsidRPr="008B6D55">
              <w:rPr>
                <w:rFonts w:cstheme="minorHAnsi"/>
                <w:sz w:val="16"/>
                <w:szCs w:val="16"/>
              </w:rPr>
              <w:t>4 = Cannot be determined</w:t>
            </w:r>
            <w:r w:rsidRPr="008B6D55">
              <w:rPr>
                <w:rFonts w:cstheme="minorHAnsi"/>
                <w:b/>
                <w:sz w:val="16"/>
                <w:szCs w:val="16"/>
              </w:rPr>
              <w:t xml:space="preserve"> </w:t>
            </w:r>
            <w:r w:rsidRPr="008B6D55">
              <w:rPr>
                <w:rFonts w:cstheme="minorHAnsi"/>
                <w:sz w:val="16"/>
                <w:szCs w:val="16"/>
              </w:rPr>
              <w:t xml:space="preserve"> </w:t>
            </w:r>
          </w:p>
        </w:tc>
      </w:tr>
      <w:tr w:rsidR="000E5A8F" w:rsidRPr="008B6D55" w14:paraId="52687884" w14:textId="77777777" w:rsidTr="000E5A8F">
        <w:tc>
          <w:tcPr>
            <w:tcW w:w="851" w:type="dxa"/>
            <w:shd w:val="clear" w:color="auto" w:fill="FFFFFF" w:themeFill="background1"/>
          </w:tcPr>
          <w:p w14:paraId="65648A6E"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6</w:t>
            </w:r>
          </w:p>
        </w:tc>
        <w:tc>
          <w:tcPr>
            <w:tcW w:w="4394" w:type="dxa"/>
            <w:shd w:val="clear" w:color="auto" w:fill="FFFFFF" w:themeFill="background1"/>
          </w:tcPr>
          <w:p w14:paraId="5D1F8DAD" w14:textId="77777777" w:rsidR="000E5A8F" w:rsidRPr="008B6D55" w:rsidRDefault="000E5A8F" w:rsidP="009321B9">
            <w:pPr>
              <w:rPr>
                <w:rFonts w:cstheme="minorHAnsi"/>
                <w:sz w:val="16"/>
                <w:szCs w:val="16"/>
              </w:rPr>
            </w:pPr>
            <w:r w:rsidRPr="008B6D55">
              <w:rPr>
                <w:rFonts w:cstheme="minorHAnsi"/>
                <w:sz w:val="16"/>
                <w:szCs w:val="16"/>
              </w:rPr>
              <w:t xml:space="preserve">Should new risk categories (as suggested above) be introduced along the lines of the Spanish system or, alternatively, should the current risk categories of the CRD (e.g. credit quality steps in Annex VI) be used? </w:t>
            </w:r>
          </w:p>
          <w:p w14:paraId="1E8B1F62" w14:textId="77777777" w:rsidR="000E5A8F" w:rsidRPr="008B6D55" w:rsidRDefault="000E5A8F" w:rsidP="009321B9">
            <w:pPr>
              <w:rPr>
                <w:rFonts w:cstheme="minorHAnsi"/>
                <w:sz w:val="16"/>
                <w:szCs w:val="16"/>
              </w:rPr>
            </w:pPr>
            <w:r w:rsidRPr="008B6D55">
              <w:rPr>
                <w:rFonts w:cstheme="minorHAnsi"/>
                <w:b/>
                <w:sz w:val="16"/>
                <w:szCs w:val="16"/>
              </w:rPr>
              <w:t xml:space="preserve"> </w:t>
            </w:r>
          </w:p>
        </w:tc>
        <w:tc>
          <w:tcPr>
            <w:tcW w:w="5103" w:type="dxa"/>
            <w:shd w:val="clear" w:color="auto" w:fill="FFFFFF" w:themeFill="background1"/>
          </w:tcPr>
          <w:p w14:paraId="5A3FBDE7" w14:textId="77777777" w:rsidR="000E5A8F" w:rsidRPr="008B6D55" w:rsidRDefault="000E5A8F" w:rsidP="009321B9">
            <w:pPr>
              <w:rPr>
                <w:rFonts w:cstheme="minorHAnsi"/>
                <w:sz w:val="16"/>
                <w:szCs w:val="16"/>
              </w:rPr>
            </w:pPr>
            <w:r w:rsidRPr="008B6D55">
              <w:rPr>
                <w:rFonts w:cstheme="minorHAnsi"/>
                <w:sz w:val="16"/>
                <w:szCs w:val="16"/>
              </w:rPr>
              <w:t>1 = supports proposal; use ‘Spanish model’ risk categories</w:t>
            </w:r>
          </w:p>
          <w:p w14:paraId="5A6535D0" w14:textId="77777777" w:rsidR="000E5A8F" w:rsidRPr="008B6D55" w:rsidRDefault="000E5A8F" w:rsidP="009321B9">
            <w:pPr>
              <w:rPr>
                <w:rFonts w:cstheme="minorHAnsi"/>
                <w:sz w:val="16"/>
                <w:szCs w:val="16"/>
              </w:rPr>
            </w:pPr>
            <w:r w:rsidRPr="008B6D55">
              <w:rPr>
                <w:rFonts w:cstheme="minorHAnsi"/>
                <w:sz w:val="16"/>
                <w:szCs w:val="16"/>
              </w:rPr>
              <w:t>2 = supports less stringent approach; use current risk categories of CRD</w:t>
            </w:r>
          </w:p>
          <w:p w14:paraId="77CE3FCE" w14:textId="77777777" w:rsidR="000E5A8F" w:rsidRPr="008B6D55" w:rsidRDefault="000E5A8F" w:rsidP="009321B9">
            <w:pPr>
              <w:rPr>
                <w:rFonts w:cstheme="minorHAnsi"/>
                <w:sz w:val="16"/>
                <w:szCs w:val="16"/>
              </w:rPr>
            </w:pPr>
            <w:r w:rsidRPr="008B6D55">
              <w:rPr>
                <w:rFonts w:cstheme="minorHAnsi"/>
                <w:sz w:val="16"/>
                <w:szCs w:val="16"/>
              </w:rPr>
              <w:t>3 = N/A</w:t>
            </w:r>
          </w:p>
          <w:p w14:paraId="3E72BA79"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724D2323" w14:textId="77777777" w:rsidTr="000E5A8F">
        <w:tc>
          <w:tcPr>
            <w:tcW w:w="851" w:type="dxa"/>
          </w:tcPr>
          <w:p w14:paraId="0CE44183"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7</w:t>
            </w:r>
          </w:p>
        </w:tc>
        <w:tc>
          <w:tcPr>
            <w:tcW w:w="4394" w:type="dxa"/>
            <w:shd w:val="clear" w:color="auto" w:fill="auto"/>
          </w:tcPr>
          <w:p w14:paraId="2BB20519" w14:textId="77777777" w:rsidR="000E5A8F" w:rsidRPr="008B6D55" w:rsidRDefault="000E5A8F" w:rsidP="009321B9">
            <w:pPr>
              <w:rPr>
                <w:rFonts w:cstheme="minorHAnsi"/>
                <w:sz w:val="16"/>
                <w:szCs w:val="16"/>
              </w:rPr>
            </w:pPr>
            <w:r w:rsidRPr="008B6D55">
              <w:rPr>
                <w:rFonts w:cstheme="minorHAnsi"/>
                <w:sz w:val="16"/>
                <w:szCs w:val="16"/>
              </w:rPr>
              <w:t xml:space="preserve">Is the 'location of the borrower' (as opposed to the booking of the exposure) the right approach, with a view to avoiding regulatory arbitrage? (See ANNEX 1, suggested Annex IXb 2.) </w:t>
            </w:r>
          </w:p>
          <w:p w14:paraId="677A66FF" w14:textId="77777777" w:rsidR="000E5A8F" w:rsidRPr="008B6D55" w:rsidRDefault="000E5A8F" w:rsidP="009321B9">
            <w:pPr>
              <w:rPr>
                <w:rFonts w:cstheme="minorHAnsi"/>
                <w:color w:val="FF0000"/>
                <w:sz w:val="16"/>
                <w:szCs w:val="16"/>
              </w:rPr>
            </w:pPr>
          </w:p>
        </w:tc>
        <w:tc>
          <w:tcPr>
            <w:tcW w:w="5103" w:type="dxa"/>
            <w:shd w:val="clear" w:color="auto" w:fill="auto"/>
          </w:tcPr>
          <w:p w14:paraId="5DCE3973" w14:textId="77777777" w:rsidR="000E5A8F" w:rsidRPr="008B6D55" w:rsidRDefault="000E5A8F" w:rsidP="009321B9">
            <w:pPr>
              <w:rPr>
                <w:rFonts w:cstheme="minorHAnsi"/>
                <w:sz w:val="16"/>
                <w:szCs w:val="16"/>
              </w:rPr>
            </w:pPr>
            <w:r w:rsidRPr="008B6D55">
              <w:rPr>
                <w:rFonts w:cstheme="minorHAnsi"/>
                <w:sz w:val="16"/>
                <w:szCs w:val="16"/>
              </w:rPr>
              <w:t>1 = supports proposal; location of borrower is right approach</w:t>
            </w:r>
          </w:p>
          <w:p w14:paraId="4B7ED16F" w14:textId="77777777" w:rsidR="000E5A8F" w:rsidRPr="008B6D55" w:rsidRDefault="000E5A8F" w:rsidP="009321B9">
            <w:pPr>
              <w:rPr>
                <w:rFonts w:cstheme="minorHAnsi"/>
                <w:sz w:val="16"/>
                <w:szCs w:val="16"/>
              </w:rPr>
            </w:pPr>
            <w:r w:rsidRPr="008B6D55">
              <w:rPr>
                <w:rFonts w:cstheme="minorHAnsi"/>
                <w:sz w:val="16"/>
                <w:szCs w:val="16"/>
              </w:rPr>
              <w:t>2 = N/A</w:t>
            </w:r>
          </w:p>
          <w:p w14:paraId="5B35754D" w14:textId="77777777" w:rsidR="000E5A8F" w:rsidRPr="008B6D55" w:rsidRDefault="000E5A8F" w:rsidP="009321B9">
            <w:pPr>
              <w:rPr>
                <w:rFonts w:cstheme="minorHAnsi"/>
                <w:sz w:val="16"/>
                <w:szCs w:val="16"/>
              </w:rPr>
            </w:pPr>
            <w:r w:rsidRPr="008B6D55">
              <w:rPr>
                <w:rFonts w:cstheme="minorHAnsi"/>
                <w:sz w:val="16"/>
                <w:szCs w:val="16"/>
              </w:rPr>
              <w:t>3 = N/A</w:t>
            </w:r>
          </w:p>
          <w:p w14:paraId="2CE1ECFB"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1B6530D9" w14:textId="77777777" w:rsidTr="000E5A8F">
        <w:tc>
          <w:tcPr>
            <w:tcW w:w="851" w:type="dxa"/>
            <w:shd w:val="clear" w:color="auto" w:fill="FFFFFF" w:themeFill="background1"/>
          </w:tcPr>
          <w:p w14:paraId="1449DA46"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8</w:t>
            </w:r>
          </w:p>
        </w:tc>
        <w:tc>
          <w:tcPr>
            <w:tcW w:w="4394" w:type="dxa"/>
            <w:shd w:val="clear" w:color="auto" w:fill="FFFFFF" w:themeFill="background1"/>
          </w:tcPr>
          <w:p w14:paraId="704759E9" w14:textId="77777777" w:rsidR="000E5A8F" w:rsidRPr="008B6D55" w:rsidRDefault="000E5A8F" w:rsidP="009321B9">
            <w:pPr>
              <w:rPr>
                <w:rFonts w:cstheme="minorHAnsi"/>
                <w:sz w:val="16"/>
                <w:szCs w:val="16"/>
              </w:rPr>
            </w:pPr>
            <w:r w:rsidRPr="008B6D55">
              <w:rPr>
                <w:rFonts w:cstheme="minorHAnsi"/>
                <w:sz w:val="16"/>
                <w:szCs w:val="16"/>
              </w:rPr>
              <w:t xml:space="preserve">Please give your views on the scope of disclosure requirements for through-the-cycle expected loss provisioning. (See ANNEX 1, suggested amendment to Annex XII (17).) </w:t>
            </w:r>
          </w:p>
          <w:p w14:paraId="7C513F78" w14:textId="77777777" w:rsidR="000E5A8F" w:rsidRPr="008B6D55" w:rsidRDefault="000E5A8F" w:rsidP="009321B9">
            <w:pPr>
              <w:rPr>
                <w:rFonts w:cstheme="minorHAnsi"/>
                <w:sz w:val="16"/>
                <w:szCs w:val="16"/>
              </w:rPr>
            </w:pPr>
          </w:p>
          <w:p w14:paraId="53FCDA4D" w14:textId="77777777" w:rsidR="000E5A8F" w:rsidRPr="008B6D55" w:rsidRDefault="000E5A8F" w:rsidP="009321B9">
            <w:pPr>
              <w:rPr>
                <w:rFonts w:cstheme="minorHAnsi"/>
                <w:sz w:val="16"/>
                <w:szCs w:val="16"/>
              </w:rPr>
            </w:pPr>
            <w:r w:rsidRPr="008B6D55">
              <w:rPr>
                <w:rFonts w:cstheme="minorHAnsi"/>
                <w:sz w:val="16"/>
                <w:szCs w:val="16"/>
              </w:rPr>
              <w:t xml:space="preserve"> </w:t>
            </w:r>
          </w:p>
        </w:tc>
        <w:tc>
          <w:tcPr>
            <w:tcW w:w="5103" w:type="dxa"/>
            <w:shd w:val="clear" w:color="auto" w:fill="FFFFFF" w:themeFill="background1"/>
          </w:tcPr>
          <w:p w14:paraId="264F919E" w14:textId="77777777" w:rsidR="000E5A8F" w:rsidRPr="008B6D55" w:rsidRDefault="000E5A8F" w:rsidP="009321B9">
            <w:pPr>
              <w:rPr>
                <w:rFonts w:cstheme="minorHAnsi"/>
                <w:sz w:val="16"/>
                <w:szCs w:val="16"/>
              </w:rPr>
            </w:pPr>
            <w:r w:rsidRPr="008B6D55">
              <w:rPr>
                <w:rFonts w:cstheme="minorHAnsi"/>
                <w:sz w:val="16"/>
                <w:szCs w:val="16"/>
              </w:rPr>
              <w:t xml:space="preserve">1 = Supports scope of disclosure proposed by the Commission </w:t>
            </w:r>
          </w:p>
          <w:p w14:paraId="5592257A" w14:textId="77777777" w:rsidR="000E5A8F" w:rsidRPr="008B6D55" w:rsidRDefault="000E5A8F" w:rsidP="009321B9">
            <w:pPr>
              <w:rPr>
                <w:rFonts w:cstheme="minorHAnsi"/>
                <w:sz w:val="16"/>
                <w:szCs w:val="16"/>
              </w:rPr>
            </w:pPr>
            <w:r w:rsidRPr="008B6D55">
              <w:rPr>
                <w:rFonts w:cstheme="minorHAnsi"/>
                <w:sz w:val="16"/>
                <w:szCs w:val="16"/>
              </w:rPr>
              <w:t xml:space="preserve">2 = Supports less stringent approach; ie. The exposures and risk categories should not be disclosed, only the overall level of provisions, the disclosures shouldn’t have to be in a common format, shouldn’t have to be published </w:t>
            </w:r>
          </w:p>
          <w:p w14:paraId="62B4934F" w14:textId="77777777" w:rsidR="000E5A8F" w:rsidRPr="008B6D55" w:rsidRDefault="000E5A8F" w:rsidP="009321B9">
            <w:pPr>
              <w:rPr>
                <w:rFonts w:cstheme="minorHAnsi"/>
                <w:sz w:val="16"/>
                <w:szCs w:val="16"/>
              </w:rPr>
            </w:pPr>
            <w:r w:rsidRPr="008B6D55">
              <w:rPr>
                <w:rFonts w:cstheme="minorHAnsi"/>
                <w:sz w:val="16"/>
                <w:szCs w:val="16"/>
              </w:rPr>
              <w:t xml:space="preserve">3 = Supports more stringent approach; ie. The calculations used should be disclosed, the disclosures should be made available on the institution’s website, the disclosures should be externally audited </w:t>
            </w:r>
          </w:p>
          <w:p w14:paraId="44841D4F"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31E520A6" w14:textId="77777777" w:rsidTr="000E5A8F">
        <w:tc>
          <w:tcPr>
            <w:tcW w:w="851" w:type="dxa"/>
          </w:tcPr>
          <w:p w14:paraId="140FC3CF"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9</w:t>
            </w:r>
          </w:p>
        </w:tc>
        <w:tc>
          <w:tcPr>
            <w:tcW w:w="4394" w:type="dxa"/>
            <w:shd w:val="clear" w:color="auto" w:fill="auto"/>
          </w:tcPr>
          <w:p w14:paraId="3BD7A0E9" w14:textId="77777777" w:rsidR="000E5A8F" w:rsidRPr="008B6D55" w:rsidRDefault="000E5A8F" w:rsidP="009321B9">
            <w:pPr>
              <w:rPr>
                <w:rFonts w:cstheme="minorHAnsi"/>
                <w:sz w:val="16"/>
                <w:szCs w:val="16"/>
              </w:rPr>
            </w:pPr>
            <w:r w:rsidRPr="008B6D55">
              <w:rPr>
                <w:rFonts w:cstheme="minorHAnsi"/>
                <w:sz w:val="16"/>
                <w:szCs w:val="16"/>
              </w:rPr>
              <w:t xml:space="preserve">Do you consider that the risk weights suggested will be effective in discouraging unsafe practices and irresponsible lending in foreign currency denominated housing loans? </w:t>
            </w:r>
          </w:p>
        </w:tc>
        <w:tc>
          <w:tcPr>
            <w:tcW w:w="5103" w:type="dxa"/>
            <w:shd w:val="clear" w:color="auto" w:fill="auto"/>
          </w:tcPr>
          <w:p w14:paraId="5A44D3C6" w14:textId="77777777" w:rsidR="000E5A8F" w:rsidRPr="008B6D55" w:rsidRDefault="000E5A8F" w:rsidP="009321B9">
            <w:pPr>
              <w:rPr>
                <w:rFonts w:cstheme="minorHAnsi"/>
                <w:sz w:val="16"/>
                <w:szCs w:val="16"/>
              </w:rPr>
            </w:pPr>
            <w:r w:rsidRPr="008B6D55">
              <w:rPr>
                <w:rFonts w:cstheme="minorHAnsi"/>
                <w:sz w:val="16"/>
                <w:szCs w:val="16"/>
              </w:rPr>
              <w:t>1 = supports proposal; yes, they will be effective</w:t>
            </w:r>
          </w:p>
          <w:p w14:paraId="1D7D3790" w14:textId="77777777" w:rsidR="000E5A8F" w:rsidRPr="008B6D55" w:rsidRDefault="000E5A8F" w:rsidP="009321B9">
            <w:pPr>
              <w:rPr>
                <w:rFonts w:cstheme="minorHAnsi"/>
                <w:sz w:val="16"/>
                <w:szCs w:val="16"/>
              </w:rPr>
            </w:pPr>
            <w:r w:rsidRPr="008B6D55">
              <w:rPr>
                <w:rFonts w:cstheme="minorHAnsi"/>
                <w:sz w:val="16"/>
                <w:szCs w:val="16"/>
              </w:rPr>
              <w:t>2 = supports less stringent approach; no, the will not be effective; they are too high; unsafe practices and irresponsible lending exaggerated.</w:t>
            </w:r>
          </w:p>
          <w:p w14:paraId="67C9409D" w14:textId="77777777" w:rsidR="000E5A8F" w:rsidRPr="008B6D55" w:rsidRDefault="000E5A8F" w:rsidP="009321B9">
            <w:pPr>
              <w:rPr>
                <w:rFonts w:cstheme="minorHAnsi"/>
                <w:sz w:val="16"/>
                <w:szCs w:val="16"/>
              </w:rPr>
            </w:pPr>
            <w:r w:rsidRPr="008B6D55">
              <w:rPr>
                <w:rFonts w:cstheme="minorHAnsi"/>
                <w:sz w:val="16"/>
                <w:szCs w:val="16"/>
              </w:rPr>
              <w:t>3 = supports more stringent approach; no, the will not be effective; they are too low</w:t>
            </w:r>
          </w:p>
          <w:p w14:paraId="2EC0B4CE"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3B53B786" w14:textId="77777777" w:rsidTr="000E5A8F">
        <w:tc>
          <w:tcPr>
            <w:tcW w:w="851" w:type="dxa"/>
            <w:shd w:val="clear" w:color="auto" w:fill="auto"/>
          </w:tcPr>
          <w:p w14:paraId="3E2243A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10</w:t>
            </w:r>
          </w:p>
        </w:tc>
        <w:tc>
          <w:tcPr>
            <w:tcW w:w="4394" w:type="dxa"/>
            <w:shd w:val="clear" w:color="auto" w:fill="auto"/>
          </w:tcPr>
          <w:p w14:paraId="438AB5E9" w14:textId="77777777" w:rsidR="000E5A8F" w:rsidRPr="008B6D55" w:rsidRDefault="000E5A8F" w:rsidP="009321B9">
            <w:pPr>
              <w:rPr>
                <w:rFonts w:cstheme="minorHAnsi"/>
                <w:sz w:val="16"/>
                <w:szCs w:val="16"/>
              </w:rPr>
            </w:pPr>
            <w:r w:rsidRPr="008B6D55">
              <w:rPr>
                <w:rFonts w:cstheme="minorHAnsi"/>
                <w:sz w:val="16"/>
                <w:szCs w:val="16"/>
              </w:rPr>
              <w:t xml:space="preserve">Do you consider a loan to value ratio of 50% or less is sufficient objective evidence that the borrower has sufficient private wealth to withstand currency movements and potentially correlated movements in property prices? </w:t>
            </w:r>
          </w:p>
        </w:tc>
        <w:tc>
          <w:tcPr>
            <w:tcW w:w="5103" w:type="dxa"/>
            <w:shd w:val="clear" w:color="auto" w:fill="auto"/>
          </w:tcPr>
          <w:p w14:paraId="3B718DBA" w14:textId="77777777" w:rsidR="000E5A8F" w:rsidRPr="008B6D55" w:rsidRDefault="000E5A8F" w:rsidP="009321B9">
            <w:pPr>
              <w:rPr>
                <w:rFonts w:cstheme="minorHAnsi"/>
                <w:sz w:val="16"/>
                <w:szCs w:val="16"/>
              </w:rPr>
            </w:pPr>
            <w:r w:rsidRPr="008B6D55">
              <w:rPr>
                <w:rFonts w:cstheme="minorHAnsi"/>
                <w:sz w:val="16"/>
                <w:szCs w:val="16"/>
              </w:rPr>
              <w:t xml:space="preserve">1 = Supports the proposal; agrees that the LTV ratio is sufficient </w:t>
            </w:r>
          </w:p>
          <w:p w14:paraId="0E56E97F" w14:textId="77777777" w:rsidR="000E5A8F" w:rsidRPr="008B6D55" w:rsidRDefault="000E5A8F" w:rsidP="009321B9">
            <w:pPr>
              <w:rPr>
                <w:rFonts w:cstheme="minorHAnsi"/>
                <w:sz w:val="16"/>
                <w:szCs w:val="16"/>
              </w:rPr>
            </w:pPr>
            <w:r w:rsidRPr="008B6D55">
              <w:rPr>
                <w:rFonts w:cstheme="minorHAnsi"/>
                <w:sz w:val="16"/>
                <w:szCs w:val="16"/>
              </w:rPr>
              <w:t xml:space="preserve">2 = Supports less stringent regulation; the LTV ratio/threshold should be higher </w:t>
            </w:r>
          </w:p>
          <w:p w14:paraId="37486735" w14:textId="77777777" w:rsidR="000E5A8F" w:rsidRPr="008B6D55" w:rsidRDefault="000E5A8F" w:rsidP="009321B9">
            <w:pPr>
              <w:rPr>
                <w:rFonts w:cstheme="minorHAnsi"/>
                <w:sz w:val="16"/>
                <w:szCs w:val="16"/>
              </w:rPr>
            </w:pPr>
            <w:r w:rsidRPr="008B6D55">
              <w:rPr>
                <w:rFonts w:cstheme="minorHAnsi"/>
                <w:sz w:val="16"/>
                <w:szCs w:val="16"/>
              </w:rPr>
              <w:t xml:space="preserve">3 = Supports more stringent regulation; the LTV ratio should be lower </w:t>
            </w:r>
          </w:p>
          <w:p w14:paraId="6FAC2D53"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387B5E25" w14:textId="77777777" w:rsidTr="000E5A8F">
        <w:tc>
          <w:tcPr>
            <w:tcW w:w="851" w:type="dxa"/>
          </w:tcPr>
          <w:p w14:paraId="15B45896"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11</w:t>
            </w:r>
          </w:p>
        </w:tc>
        <w:tc>
          <w:tcPr>
            <w:tcW w:w="4394" w:type="dxa"/>
            <w:shd w:val="clear" w:color="auto" w:fill="auto"/>
          </w:tcPr>
          <w:p w14:paraId="42B74237" w14:textId="77777777" w:rsidR="000E5A8F" w:rsidRPr="008B6D55" w:rsidRDefault="000E5A8F" w:rsidP="009321B9">
            <w:pPr>
              <w:rPr>
                <w:rFonts w:cstheme="minorHAnsi"/>
                <w:sz w:val="16"/>
                <w:szCs w:val="16"/>
              </w:rPr>
            </w:pPr>
            <w:r w:rsidRPr="008B6D55">
              <w:rPr>
                <w:rFonts w:cstheme="minorHAnsi"/>
                <w:sz w:val="16"/>
                <w:szCs w:val="16"/>
              </w:rPr>
              <w:t xml:space="preserve">Is this suggested scope of maximum harmonisation in 2006/48/EC and 2006/49/EC appropriate? </w:t>
            </w:r>
          </w:p>
          <w:p w14:paraId="0B741C03" w14:textId="77777777" w:rsidR="000E5A8F" w:rsidRPr="008B6D55" w:rsidRDefault="000E5A8F" w:rsidP="009321B9">
            <w:pPr>
              <w:rPr>
                <w:rFonts w:cstheme="minorHAnsi"/>
                <w:sz w:val="16"/>
                <w:szCs w:val="16"/>
              </w:rPr>
            </w:pPr>
          </w:p>
          <w:p w14:paraId="00636560" w14:textId="77777777" w:rsidR="000E5A8F" w:rsidRPr="008B6D55" w:rsidRDefault="000E5A8F" w:rsidP="009321B9">
            <w:pPr>
              <w:rPr>
                <w:rFonts w:cstheme="minorHAnsi"/>
                <w:sz w:val="16"/>
                <w:szCs w:val="16"/>
              </w:rPr>
            </w:pPr>
          </w:p>
        </w:tc>
        <w:tc>
          <w:tcPr>
            <w:tcW w:w="5103" w:type="dxa"/>
            <w:shd w:val="clear" w:color="auto" w:fill="auto"/>
          </w:tcPr>
          <w:p w14:paraId="0034D5E4" w14:textId="77777777" w:rsidR="000E5A8F" w:rsidRPr="008B6D55" w:rsidRDefault="000E5A8F" w:rsidP="009321B9">
            <w:pPr>
              <w:rPr>
                <w:rFonts w:cstheme="minorHAnsi"/>
                <w:sz w:val="16"/>
                <w:szCs w:val="16"/>
              </w:rPr>
            </w:pPr>
            <w:r w:rsidRPr="008B6D55">
              <w:rPr>
                <w:rFonts w:cstheme="minorHAnsi"/>
                <w:sz w:val="16"/>
                <w:szCs w:val="16"/>
              </w:rPr>
              <w:t>1 = supports proposal; eliminate third part of 2006/48/EC and 2006/49/EC (</w:t>
            </w:r>
            <w:r w:rsidRPr="008B6D55">
              <w:rPr>
                <w:rFonts w:eastAsiaTheme="minorEastAsia" w:cstheme="minorHAnsi"/>
                <w:color w:val="000000"/>
                <w:sz w:val="16"/>
                <w:szCs w:val="16"/>
              </w:rPr>
              <w:t>Additions in areas which are fully harmonized); engage in maximum harmonization in Pillar 1 and Pillar 3</w:t>
            </w:r>
          </w:p>
          <w:p w14:paraId="05FE4049" w14:textId="77777777" w:rsidR="000E5A8F" w:rsidRPr="008B6D55" w:rsidRDefault="000E5A8F" w:rsidP="009321B9">
            <w:pPr>
              <w:rPr>
                <w:rFonts w:cstheme="minorHAnsi"/>
                <w:sz w:val="16"/>
                <w:szCs w:val="16"/>
              </w:rPr>
            </w:pPr>
            <w:r w:rsidRPr="008B6D55">
              <w:rPr>
                <w:rFonts w:cstheme="minorHAnsi"/>
                <w:sz w:val="16"/>
                <w:szCs w:val="16"/>
              </w:rPr>
              <w:lastRenderedPageBreak/>
              <w:t xml:space="preserve">2 = supports less stringent approach; the Commission should remove all discretionary treatment of Member states as this increases the stringency of regulation above that specified in the CRD </w:t>
            </w:r>
          </w:p>
          <w:p w14:paraId="05F4D1B4" w14:textId="77777777" w:rsidR="000E5A8F" w:rsidRPr="008B6D55" w:rsidRDefault="000E5A8F" w:rsidP="009321B9">
            <w:pPr>
              <w:rPr>
                <w:rFonts w:cstheme="minorHAnsi"/>
                <w:sz w:val="16"/>
                <w:szCs w:val="16"/>
              </w:rPr>
            </w:pPr>
            <w:r w:rsidRPr="008B6D55">
              <w:rPr>
                <w:rFonts w:cstheme="minorHAnsi"/>
                <w:sz w:val="16"/>
                <w:szCs w:val="16"/>
              </w:rPr>
              <w:t>3 = supports more stringent approach; the Commission should retain the provision in 2006/48/EC and 2006/49/EC that allow Member states to make regulatory additions at the national level</w:t>
            </w:r>
          </w:p>
          <w:p w14:paraId="1C1DA623"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781CB536" w14:textId="77777777" w:rsidTr="000E5A8F">
        <w:tc>
          <w:tcPr>
            <w:tcW w:w="851" w:type="dxa"/>
            <w:shd w:val="clear" w:color="auto" w:fill="auto"/>
          </w:tcPr>
          <w:p w14:paraId="6FD77DC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lastRenderedPageBreak/>
              <w:t>12</w:t>
            </w:r>
          </w:p>
        </w:tc>
        <w:tc>
          <w:tcPr>
            <w:tcW w:w="4394" w:type="dxa"/>
            <w:shd w:val="clear" w:color="auto" w:fill="auto"/>
          </w:tcPr>
          <w:p w14:paraId="3901B21C" w14:textId="77777777" w:rsidR="000E5A8F" w:rsidRPr="008B6D55" w:rsidRDefault="000E5A8F" w:rsidP="009321B9">
            <w:pPr>
              <w:rPr>
                <w:rFonts w:cstheme="minorHAnsi"/>
                <w:sz w:val="16"/>
                <w:szCs w:val="16"/>
              </w:rPr>
            </w:pPr>
            <w:r w:rsidRPr="008B6D55">
              <w:rPr>
                <w:rFonts w:cstheme="minorHAnsi"/>
                <w:sz w:val="16"/>
                <w:szCs w:val="16"/>
              </w:rPr>
              <w:t xml:space="preserve">Is the suggested prudential treatment for both residential and commercial real estate is sufficiently sound? </w:t>
            </w:r>
          </w:p>
        </w:tc>
        <w:tc>
          <w:tcPr>
            <w:tcW w:w="5103" w:type="dxa"/>
            <w:shd w:val="clear" w:color="auto" w:fill="auto"/>
          </w:tcPr>
          <w:p w14:paraId="111A9C3D" w14:textId="77777777" w:rsidR="000E5A8F" w:rsidRPr="008B6D55" w:rsidRDefault="000E5A8F" w:rsidP="009321B9">
            <w:pPr>
              <w:rPr>
                <w:rFonts w:cstheme="minorHAnsi"/>
                <w:sz w:val="16"/>
                <w:szCs w:val="16"/>
              </w:rPr>
            </w:pPr>
            <w:r w:rsidRPr="008B6D55">
              <w:rPr>
                <w:rFonts w:cstheme="minorHAnsi"/>
                <w:sz w:val="16"/>
                <w:szCs w:val="16"/>
              </w:rPr>
              <w:t xml:space="preserve">1 = Support the proposal </w:t>
            </w:r>
          </w:p>
          <w:p w14:paraId="44E88F40" w14:textId="77777777" w:rsidR="000E5A8F" w:rsidRPr="008B6D55" w:rsidRDefault="000E5A8F" w:rsidP="009321B9">
            <w:pPr>
              <w:rPr>
                <w:rFonts w:cstheme="minorHAnsi"/>
                <w:sz w:val="16"/>
                <w:szCs w:val="16"/>
              </w:rPr>
            </w:pPr>
            <w:r w:rsidRPr="008B6D55">
              <w:rPr>
                <w:rFonts w:cstheme="minorHAnsi"/>
                <w:sz w:val="16"/>
                <w:szCs w:val="16"/>
              </w:rPr>
              <w:t xml:space="preserve">2 = Support less stringent approach; the LTV ratio is too low, the inclusion of hard tests is too strict </w:t>
            </w:r>
          </w:p>
          <w:p w14:paraId="28CC61D8" w14:textId="77777777" w:rsidR="000E5A8F" w:rsidRPr="008B6D55" w:rsidRDefault="000E5A8F" w:rsidP="009321B9">
            <w:pPr>
              <w:rPr>
                <w:rFonts w:cstheme="minorHAnsi"/>
                <w:sz w:val="16"/>
                <w:szCs w:val="16"/>
              </w:rPr>
            </w:pPr>
            <w:r w:rsidRPr="008B6D55">
              <w:rPr>
                <w:rFonts w:cstheme="minorHAnsi"/>
                <w:sz w:val="16"/>
                <w:szCs w:val="16"/>
              </w:rPr>
              <w:t xml:space="preserve">3 = Support more stringent approach; the LTV ratio should be lower, more requirements should be fulfilled before a preferential risk-weighting is awarded </w:t>
            </w:r>
          </w:p>
          <w:p w14:paraId="43D25BE8"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56162F77" w14:textId="77777777" w:rsidTr="000E5A8F">
        <w:tc>
          <w:tcPr>
            <w:tcW w:w="851" w:type="dxa"/>
            <w:shd w:val="clear" w:color="auto" w:fill="auto"/>
          </w:tcPr>
          <w:p w14:paraId="0060C1F8"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13</w:t>
            </w:r>
          </w:p>
        </w:tc>
        <w:tc>
          <w:tcPr>
            <w:tcW w:w="4394" w:type="dxa"/>
            <w:shd w:val="clear" w:color="auto" w:fill="auto"/>
          </w:tcPr>
          <w:p w14:paraId="1AFE098F" w14:textId="77777777" w:rsidR="000E5A8F" w:rsidRPr="008B6D55" w:rsidRDefault="000E5A8F" w:rsidP="009321B9">
            <w:pPr>
              <w:rPr>
                <w:rFonts w:cstheme="minorHAnsi"/>
                <w:sz w:val="16"/>
                <w:szCs w:val="16"/>
              </w:rPr>
            </w:pPr>
            <w:r w:rsidRPr="008B6D55">
              <w:rPr>
                <w:rFonts w:cstheme="minorHAnsi"/>
                <w:sz w:val="16"/>
                <w:szCs w:val="16"/>
              </w:rPr>
              <w:t xml:space="preserve">Is the suggested timeline (2012) for a single definition of default (i.e. 90 days) is appropriate.  Section 4 (Simplification of the Bank Branch Accounts Directive) </w:t>
            </w:r>
          </w:p>
          <w:p w14:paraId="1EC16AD9" w14:textId="77777777" w:rsidR="000E5A8F" w:rsidRPr="008B6D55" w:rsidRDefault="000E5A8F" w:rsidP="009321B9">
            <w:pPr>
              <w:rPr>
                <w:rFonts w:cstheme="minorHAnsi"/>
                <w:sz w:val="16"/>
                <w:szCs w:val="16"/>
              </w:rPr>
            </w:pPr>
          </w:p>
          <w:p w14:paraId="7D2CDC06" w14:textId="77777777" w:rsidR="000E5A8F" w:rsidRPr="008B6D55" w:rsidRDefault="000E5A8F" w:rsidP="009321B9">
            <w:pPr>
              <w:rPr>
                <w:rFonts w:cstheme="minorHAnsi"/>
                <w:sz w:val="16"/>
                <w:szCs w:val="16"/>
              </w:rPr>
            </w:pPr>
            <w:r w:rsidRPr="008B6D55">
              <w:rPr>
                <w:rFonts w:cstheme="minorHAnsi"/>
                <w:sz w:val="16"/>
                <w:szCs w:val="16"/>
              </w:rPr>
              <w:t xml:space="preserve"> </w:t>
            </w:r>
          </w:p>
        </w:tc>
        <w:tc>
          <w:tcPr>
            <w:tcW w:w="5103" w:type="dxa"/>
            <w:shd w:val="clear" w:color="auto" w:fill="auto"/>
          </w:tcPr>
          <w:p w14:paraId="3D01C02D" w14:textId="77777777" w:rsidR="000E5A8F" w:rsidRPr="008B6D55" w:rsidRDefault="000E5A8F" w:rsidP="009321B9">
            <w:pPr>
              <w:rPr>
                <w:rFonts w:cstheme="minorHAnsi"/>
                <w:sz w:val="16"/>
                <w:szCs w:val="16"/>
              </w:rPr>
            </w:pPr>
            <w:r w:rsidRPr="008B6D55">
              <w:rPr>
                <w:rFonts w:cstheme="minorHAnsi"/>
                <w:sz w:val="16"/>
                <w:szCs w:val="16"/>
              </w:rPr>
              <w:t xml:space="preserve">1 = supports the proposal </w:t>
            </w:r>
          </w:p>
          <w:p w14:paraId="07364AB4" w14:textId="77777777" w:rsidR="000E5A8F" w:rsidRPr="008B6D55" w:rsidRDefault="000E5A8F" w:rsidP="009321B9">
            <w:pPr>
              <w:rPr>
                <w:rFonts w:cstheme="minorHAnsi"/>
                <w:sz w:val="16"/>
                <w:szCs w:val="16"/>
              </w:rPr>
            </w:pPr>
            <w:r w:rsidRPr="008B6D55">
              <w:rPr>
                <w:rFonts w:cstheme="minorHAnsi"/>
                <w:sz w:val="16"/>
                <w:szCs w:val="16"/>
              </w:rPr>
              <w:t xml:space="preserve">2 = supports a less stringent approach; a longer deadline for the implementation of the single definition </w:t>
            </w:r>
          </w:p>
          <w:p w14:paraId="48DC9263" w14:textId="77777777" w:rsidR="000E5A8F" w:rsidRPr="008B6D55" w:rsidRDefault="000E5A8F" w:rsidP="009321B9">
            <w:pPr>
              <w:rPr>
                <w:rFonts w:cstheme="minorHAnsi"/>
                <w:sz w:val="16"/>
                <w:szCs w:val="16"/>
              </w:rPr>
            </w:pPr>
            <w:r w:rsidRPr="008B6D55">
              <w:rPr>
                <w:rFonts w:cstheme="minorHAnsi"/>
                <w:sz w:val="16"/>
                <w:szCs w:val="16"/>
              </w:rPr>
              <w:t xml:space="preserve">3 = supports more stringent approach; a shorter deadline for the implementation of the single definition </w:t>
            </w:r>
          </w:p>
          <w:p w14:paraId="50E8C63E" w14:textId="77777777" w:rsidR="000E5A8F" w:rsidRPr="008B6D55" w:rsidRDefault="000E5A8F" w:rsidP="009321B9">
            <w:pPr>
              <w:rPr>
                <w:rFonts w:cstheme="minorHAnsi"/>
                <w:sz w:val="16"/>
                <w:szCs w:val="16"/>
              </w:rPr>
            </w:pPr>
            <w:r w:rsidRPr="008B6D55">
              <w:rPr>
                <w:rFonts w:cstheme="minorHAnsi"/>
                <w:sz w:val="16"/>
                <w:szCs w:val="16"/>
              </w:rPr>
              <w:t xml:space="preserve">4 = Cannot be determined </w:t>
            </w:r>
          </w:p>
          <w:p w14:paraId="0D0A100B" w14:textId="77777777" w:rsidR="000E5A8F" w:rsidRPr="008B6D55" w:rsidRDefault="000E5A8F" w:rsidP="009321B9">
            <w:pPr>
              <w:rPr>
                <w:rFonts w:cstheme="minorHAnsi"/>
                <w:sz w:val="16"/>
                <w:szCs w:val="16"/>
              </w:rPr>
            </w:pPr>
          </w:p>
        </w:tc>
      </w:tr>
      <w:tr w:rsidR="000E5A8F" w:rsidRPr="008B6D55" w14:paraId="7411C158" w14:textId="77777777" w:rsidTr="000E5A8F">
        <w:tc>
          <w:tcPr>
            <w:tcW w:w="851" w:type="dxa"/>
          </w:tcPr>
          <w:p w14:paraId="2C27CE49"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14</w:t>
            </w:r>
          </w:p>
        </w:tc>
        <w:tc>
          <w:tcPr>
            <w:tcW w:w="4394" w:type="dxa"/>
            <w:shd w:val="clear" w:color="auto" w:fill="auto"/>
          </w:tcPr>
          <w:p w14:paraId="0E218922" w14:textId="77777777" w:rsidR="000E5A8F" w:rsidRPr="008B6D55" w:rsidRDefault="000E5A8F" w:rsidP="009321B9">
            <w:pPr>
              <w:rPr>
                <w:rFonts w:cstheme="minorHAnsi"/>
                <w:sz w:val="16"/>
                <w:szCs w:val="16"/>
              </w:rPr>
            </w:pPr>
            <w:r w:rsidRPr="008B6D55">
              <w:rPr>
                <w:rFonts w:cstheme="minorHAnsi"/>
                <w:sz w:val="16"/>
                <w:szCs w:val="16"/>
              </w:rPr>
              <w:t>Do you agree that the Bank Branch accounts Directive 89/117/EEC should be amended so that Member States can no longer require the publication of additional information by branches of credit institutions established in other Member States.</w:t>
            </w:r>
          </w:p>
          <w:p w14:paraId="3796A330" w14:textId="77777777" w:rsidR="000E5A8F" w:rsidRPr="008B6D55" w:rsidRDefault="000E5A8F" w:rsidP="009321B9">
            <w:pPr>
              <w:rPr>
                <w:rFonts w:cstheme="minorHAnsi"/>
                <w:sz w:val="16"/>
                <w:szCs w:val="16"/>
              </w:rPr>
            </w:pPr>
          </w:p>
        </w:tc>
        <w:tc>
          <w:tcPr>
            <w:tcW w:w="5103" w:type="dxa"/>
            <w:shd w:val="clear" w:color="auto" w:fill="auto"/>
          </w:tcPr>
          <w:p w14:paraId="28FF2701" w14:textId="77777777" w:rsidR="000E5A8F" w:rsidRPr="008B6D55" w:rsidRDefault="000E5A8F" w:rsidP="009321B9">
            <w:pPr>
              <w:rPr>
                <w:rFonts w:cstheme="minorHAnsi"/>
                <w:sz w:val="16"/>
                <w:szCs w:val="16"/>
              </w:rPr>
            </w:pPr>
            <w:r w:rsidRPr="008B6D55">
              <w:rPr>
                <w:rFonts w:cstheme="minorHAnsi"/>
                <w:sz w:val="16"/>
                <w:szCs w:val="16"/>
              </w:rPr>
              <w:t>1 = Supports proposal; yes, it should be amended as proposed</w:t>
            </w:r>
          </w:p>
          <w:p w14:paraId="5F881E8A" w14:textId="77777777" w:rsidR="000E5A8F" w:rsidRPr="008B6D55" w:rsidRDefault="000E5A8F" w:rsidP="009321B9">
            <w:pPr>
              <w:rPr>
                <w:rFonts w:cstheme="minorHAnsi"/>
                <w:sz w:val="16"/>
                <w:szCs w:val="16"/>
              </w:rPr>
            </w:pPr>
            <w:r w:rsidRPr="008B6D55">
              <w:rPr>
                <w:rFonts w:cstheme="minorHAnsi"/>
                <w:sz w:val="16"/>
                <w:szCs w:val="16"/>
              </w:rPr>
              <w:t xml:space="preserve">2 = Supports less stringent approach </w:t>
            </w:r>
          </w:p>
          <w:p w14:paraId="0408716C" w14:textId="77777777" w:rsidR="000E5A8F" w:rsidRPr="008B6D55" w:rsidRDefault="000E5A8F" w:rsidP="009321B9">
            <w:pPr>
              <w:rPr>
                <w:rFonts w:cstheme="minorHAnsi"/>
                <w:sz w:val="16"/>
                <w:szCs w:val="16"/>
              </w:rPr>
            </w:pPr>
            <w:r w:rsidRPr="008B6D55">
              <w:rPr>
                <w:rFonts w:cstheme="minorHAnsi"/>
                <w:sz w:val="16"/>
                <w:szCs w:val="16"/>
              </w:rPr>
              <w:t xml:space="preserve">3 = Supports more stringent approach; Member states should still be able to require branches to publish additional information </w:t>
            </w:r>
          </w:p>
          <w:p w14:paraId="52F3F52E" w14:textId="77777777" w:rsidR="000E5A8F" w:rsidRPr="008B6D55" w:rsidRDefault="000E5A8F" w:rsidP="009321B9">
            <w:pPr>
              <w:rPr>
                <w:rFonts w:cstheme="minorHAnsi"/>
                <w:sz w:val="16"/>
                <w:szCs w:val="16"/>
              </w:rPr>
            </w:pPr>
            <w:r w:rsidRPr="008B6D55">
              <w:rPr>
                <w:rFonts w:cstheme="minorHAnsi"/>
                <w:sz w:val="16"/>
                <w:szCs w:val="16"/>
              </w:rPr>
              <w:t>4 = Cannot be determined</w:t>
            </w:r>
          </w:p>
        </w:tc>
      </w:tr>
      <w:tr w:rsidR="000E5A8F" w:rsidRPr="008B6D55" w14:paraId="449065F6" w14:textId="77777777" w:rsidTr="000E5A8F">
        <w:tc>
          <w:tcPr>
            <w:tcW w:w="10348" w:type="dxa"/>
            <w:gridSpan w:val="3"/>
          </w:tcPr>
          <w:p w14:paraId="683352CA" w14:textId="77777777" w:rsidR="000E5A8F" w:rsidRPr="008B6D55" w:rsidRDefault="000E5A8F" w:rsidP="009321B9">
            <w:pPr>
              <w:rPr>
                <w:rFonts w:cstheme="minorHAnsi"/>
                <w:sz w:val="16"/>
                <w:szCs w:val="16"/>
              </w:rPr>
            </w:pPr>
          </w:p>
          <w:p w14:paraId="13FBF91C" w14:textId="77777777" w:rsidR="000E5A8F" w:rsidRPr="008B6D55" w:rsidRDefault="000E5A8F" w:rsidP="009321B9">
            <w:pPr>
              <w:rPr>
                <w:rFonts w:cstheme="minorHAnsi"/>
                <w:sz w:val="16"/>
                <w:szCs w:val="16"/>
              </w:rPr>
            </w:pPr>
            <w:r w:rsidRPr="008B6D55">
              <w:rPr>
                <w:rFonts w:cstheme="minorHAnsi"/>
                <w:sz w:val="16"/>
                <w:szCs w:val="16"/>
              </w:rPr>
              <w:t>Consultation 2: POSSIBLE FURTHER CHANGES TO THE  CAPITAL REQUIREMENTS DIRECTIVE</w:t>
            </w:r>
          </w:p>
        </w:tc>
      </w:tr>
      <w:tr w:rsidR="000E5A8F" w:rsidRPr="008B6D55" w14:paraId="4F4622F0" w14:textId="77777777" w:rsidTr="000E5A8F">
        <w:tc>
          <w:tcPr>
            <w:tcW w:w="851" w:type="dxa"/>
          </w:tcPr>
          <w:p w14:paraId="72A47072" w14:textId="77777777" w:rsidR="000E5A8F" w:rsidRPr="008B6D55" w:rsidRDefault="000E5A8F" w:rsidP="009321B9">
            <w:pPr>
              <w:rPr>
                <w:rFonts w:cstheme="minorHAnsi"/>
                <w:sz w:val="16"/>
                <w:szCs w:val="16"/>
              </w:rPr>
            </w:pPr>
            <w:r w:rsidRPr="008B6D55">
              <w:rPr>
                <w:rFonts w:cstheme="minorHAnsi"/>
                <w:sz w:val="16"/>
                <w:szCs w:val="16"/>
              </w:rPr>
              <w:t>Issue #</w:t>
            </w:r>
          </w:p>
        </w:tc>
        <w:tc>
          <w:tcPr>
            <w:tcW w:w="4394" w:type="dxa"/>
          </w:tcPr>
          <w:p w14:paraId="297ABCB4" w14:textId="77777777" w:rsidR="000E5A8F" w:rsidRPr="008B6D55" w:rsidRDefault="000E5A8F" w:rsidP="009321B9">
            <w:pPr>
              <w:rPr>
                <w:rFonts w:cstheme="minorHAnsi"/>
                <w:b/>
                <w:sz w:val="16"/>
                <w:szCs w:val="16"/>
                <w:u w:val="single"/>
              </w:rPr>
            </w:pPr>
            <w:r w:rsidRPr="008B6D55">
              <w:rPr>
                <w:rFonts w:cstheme="minorHAnsi"/>
                <w:sz w:val="16"/>
                <w:szCs w:val="16"/>
              </w:rPr>
              <w:t>Question</w:t>
            </w:r>
          </w:p>
        </w:tc>
        <w:tc>
          <w:tcPr>
            <w:tcW w:w="5103" w:type="dxa"/>
          </w:tcPr>
          <w:p w14:paraId="64A5FF75" w14:textId="77777777" w:rsidR="000E5A8F" w:rsidRPr="008B6D55" w:rsidRDefault="000E5A8F" w:rsidP="009321B9">
            <w:pPr>
              <w:rPr>
                <w:rFonts w:cstheme="minorHAnsi"/>
                <w:b/>
                <w:sz w:val="16"/>
                <w:szCs w:val="16"/>
                <w:u w:val="single"/>
              </w:rPr>
            </w:pPr>
            <w:r w:rsidRPr="008B6D55">
              <w:rPr>
                <w:rFonts w:cstheme="minorHAnsi"/>
                <w:sz w:val="16"/>
                <w:szCs w:val="16"/>
              </w:rPr>
              <w:t>Coding Rules</w:t>
            </w:r>
          </w:p>
        </w:tc>
      </w:tr>
      <w:tr w:rsidR="000E5A8F" w:rsidRPr="008B6D55" w14:paraId="7884F2E8" w14:textId="77777777" w:rsidTr="000E5A8F">
        <w:tc>
          <w:tcPr>
            <w:tcW w:w="851" w:type="dxa"/>
          </w:tcPr>
          <w:p w14:paraId="50B73F8E"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15</w:t>
            </w:r>
          </w:p>
        </w:tc>
        <w:tc>
          <w:tcPr>
            <w:tcW w:w="4394" w:type="dxa"/>
          </w:tcPr>
          <w:p w14:paraId="210E19C8"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Section I: Liquidity standards;</w:t>
            </w:r>
          </w:p>
          <w:p w14:paraId="34FFD66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The first objective is to promote the short-term resilience of the liquidity risk profile of institutions by ensuring that they have sufficient high quality liquid assets to survive an acute stress scenario lasting for one month. This objective would be pursued by a Liquidity Coverage Requirement. The second objective is to promote resilience over the longer term by imposing a Net Stable Funding Requirement and requiring institutions to fund their activities with more stable sources of funding on an ongoing structural basis. Both standards would be worded as requirements that credit institutions have to fulfill at all times. It is however clear that under stress, for instance because of a sudden loss of deposits, credit institutions could fail to meet the requirements. In such circumstances, credit institutions would be required to restore compliance over a short timeframe and competent authorities would be require to define a restoration plan and to follow its implementation up.</w:t>
            </w:r>
          </w:p>
        </w:tc>
        <w:tc>
          <w:tcPr>
            <w:tcW w:w="5103" w:type="dxa"/>
          </w:tcPr>
          <w:p w14:paraId="55D1624B" w14:textId="77777777" w:rsidR="000E5A8F" w:rsidRPr="008B6D55" w:rsidRDefault="000E5A8F" w:rsidP="009321B9">
            <w:pPr>
              <w:rPr>
                <w:rFonts w:cstheme="minorHAnsi"/>
                <w:sz w:val="16"/>
                <w:szCs w:val="16"/>
              </w:rPr>
            </w:pPr>
            <w:r w:rsidRPr="008B6D55">
              <w:rPr>
                <w:rFonts w:cstheme="minorHAnsi"/>
                <w:sz w:val="16"/>
                <w:szCs w:val="16"/>
              </w:rPr>
              <w:t>1 = position that supports this requirement</w:t>
            </w:r>
          </w:p>
          <w:p w14:paraId="5CB4C384" w14:textId="77777777" w:rsidR="000E5A8F" w:rsidRPr="008B6D55" w:rsidRDefault="000E5A8F" w:rsidP="009321B9">
            <w:pPr>
              <w:rPr>
                <w:rFonts w:cstheme="minorHAnsi"/>
                <w:sz w:val="16"/>
                <w:szCs w:val="16"/>
              </w:rPr>
            </w:pPr>
            <w:r w:rsidRPr="008B6D55">
              <w:rPr>
                <w:rFonts w:cstheme="minorHAnsi"/>
                <w:sz w:val="16"/>
                <w:szCs w:val="16"/>
              </w:rPr>
              <w:t>2 = position that supports less stringency than this requirement</w:t>
            </w:r>
          </w:p>
          <w:p w14:paraId="1DBD8ADA" w14:textId="77777777" w:rsidR="000E5A8F" w:rsidRPr="008B6D55" w:rsidRDefault="000E5A8F" w:rsidP="009321B9">
            <w:pPr>
              <w:rPr>
                <w:rFonts w:cstheme="minorHAnsi"/>
                <w:sz w:val="16"/>
                <w:szCs w:val="16"/>
              </w:rPr>
            </w:pPr>
            <w:r w:rsidRPr="008B6D55">
              <w:rPr>
                <w:rFonts w:cstheme="minorHAnsi"/>
                <w:sz w:val="16"/>
                <w:szCs w:val="16"/>
              </w:rPr>
              <w:t>3 = position that supports more stringency than this requirement</w:t>
            </w:r>
          </w:p>
          <w:p w14:paraId="0B849641" w14:textId="77777777" w:rsidR="000E5A8F" w:rsidRPr="008B6D55" w:rsidRDefault="000E5A8F" w:rsidP="009321B9">
            <w:pPr>
              <w:rPr>
                <w:rFonts w:cstheme="minorHAnsi"/>
                <w:sz w:val="16"/>
                <w:szCs w:val="16"/>
                <w:u w:val="single"/>
              </w:rPr>
            </w:pPr>
            <w:r w:rsidRPr="008B6D55">
              <w:rPr>
                <w:rFonts w:cstheme="minorHAnsi"/>
                <w:sz w:val="16"/>
                <w:szCs w:val="16"/>
              </w:rPr>
              <w:t>4 = Cannot be determined  / unclear / ambiguous</w:t>
            </w:r>
          </w:p>
        </w:tc>
      </w:tr>
      <w:tr w:rsidR="000E5A8F" w:rsidRPr="008B6D55" w14:paraId="057C6656" w14:textId="77777777" w:rsidTr="000E5A8F">
        <w:tc>
          <w:tcPr>
            <w:tcW w:w="851" w:type="dxa"/>
          </w:tcPr>
          <w:p w14:paraId="1F67B06F" w14:textId="77777777" w:rsidR="000E5A8F" w:rsidRPr="008B6D55" w:rsidRDefault="000E5A8F" w:rsidP="009321B9">
            <w:pPr>
              <w:rPr>
                <w:rFonts w:cstheme="minorHAnsi"/>
                <w:sz w:val="16"/>
                <w:szCs w:val="16"/>
              </w:rPr>
            </w:pPr>
            <w:r w:rsidRPr="008B6D55">
              <w:rPr>
                <w:rFonts w:cstheme="minorHAnsi"/>
                <w:sz w:val="16"/>
                <w:szCs w:val="16"/>
              </w:rPr>
              <w:t>16</w:t>
            </w:r>
          </w:p>
        </w:tc>
        <w:tc>
          <w:tcPr>
            <w:tcW w:w="4394" w:type="dxa"/>
          </w:tcPr>
          <w:p w14:paraId="67E8596E" w14:textId="77777777" w:rsidR="000E5A8F" w:rsidRPr="008B6D55" w:rsidRDefault="000E5A8F" w:rsidP="009321B9">
            <w:pPr>
              <w:rPr>
                <w:rFonts w:cstheme="minorHAnsi"/>
                <w:sz w:val="16"/>
                <w:szCs w:val="16"/>
              </w:rPr>
            </w:pPr>
            <w:r w:rsidRPr="008B6D55">
              <w:rPr>
                <w:rFonts w:cstheme="minorHAnsi"/>
                <w:sz w:val="16"/>
                <w:szCs w:val="16"/>
              </w:rPr>
              <w:t>Section II: Definition of capital;</w:t>
            </w:r>
          </w:p>
          <w:p w14:paraId="57BBB943" w14:textId="77777777" w:rsidR="000E5A8F" w:rsidRPr="008B6D55" w:rsidRDefault="000E5A8F" w:rsidP="009321B9">
            <w:pPr>
              <w:rPr>
                <w:rFonts w:cstheme="minorHAnsi"/>
                <w:sz w:val="16"/>
                <w:szCs w:val="16"/>
              </w:rPr>
            </w:pPr>
            <w:r w:rsidRPr="008B6D55">
              <w:rPr>
                <w:rFonts w:cstheme="minorHAnsi"/>
                <w:sz w:val="16"/>
                <w:szCs w:val="16"/>
              </w:rPr>
              <w:t xml:space="preserve">The EC proposal comprises: </w:t>
            </w:r>
          </w:p>
          <w:p w14:paraId="57BF132F" w14:textId="77777777" w:rsidR="000E5A8F" w:rsidRPr="008B6D55" w:rsidRDefault="000E5A8F" w:rsidP="009321B9">
            <w:pPr>
              <w:rPr>
                <w:rFonts w:cstheme="minorHAnsi"/>
                <w:sz w:val="16"/>
                <w:szCs w:val="16"/>
              </w:rPr>
            </w:pPr>
            <w:r w:rsidRPr="008B6D55">
              <w:rPr>
                <w:rFonts w:cstheme="minorHAnsi"/>
                <w:sz w:val="16"/>
                <w:szCs w:val="16"/>
              </w:rPr>
              <w:t>− strengthen, harmonise and simplify the definition of capital;</w:t>
            </w:r>
          </w:p>
          <w:p w14:paraId="584FD5BA" w14:textId="77777777" w:rsidR="000E5A8F" w:rsidRPr="008B6D55" w:rsidRDefault="000E5A8F" w:rsidP="009321B9">
            <w:pPr>
              <w:rPr>
                <w:rFonts w:cstheme="minorHAnsi"/>
                <w:sz w:val="16"/>
                <w:szCs w:val="16"/>
              </w:rPr>
            </w:pPr>
            <w:r w:rsidRPr="008B6D55">
              <w:rPr>
                <w:rFonts w:cstheme="minorHAnsi"/>
                <w:sz w:val="16"/>
                <w:szCs w:val="16"/>
              </w:rPr>
              <w:t xml:space="preserve">− specify explicit minimum capital limits; </w:t>
            </w:r>
          </w:p>
          <w:p w14:paraId="09C730BE" w14:textId="77777777" w:rsidR="000E5A8F" w:rsidRPr="008B6D55" w:rsidRDefault="000E5A8F" w:rsidP="009321B9">
            <w:pPr>
              <w:rPr>
                <w:rFonts w:cstheme="minorHAnsi"/>
                <w:sz w:val="16"/>
                <w:szCs w:val="16"/>
              </w:rPr>
            </w:pPr>
            <w:r w:rsidRPr="008B6D55">
              <w:rPr>
                <w:rFonts w:cstheme="minorHAnsi"/>
                <w:sz w:val="16"/>
                <w:szCs w:val="16"/>
              </w:rPr>
              <w:t>− enhance disclosure requirements in respect of capital.</w:t>
            </w:r>
          </w:p>
        </w:tc>
        <w:tc>
          <w:tcPr>
            <w:tcW w:w="5103" w:type="dxa"/>
          </w:tcPr>
          <w:p w14:paraId="39A59947" w14:textId="77777777" w:rsidR="000E5A8F" w:rsidRPr="008B6D55" w:rsidRDefault="000E5A8F" w:rsidP="009321B9">
            <w:pPr>
              <w:rPr>
                <w:rFonts w:cstheme="minorHAnsi"/>
                <w:sz w:val="16"/>
                <w:szCs w:val="16"/>
              </w:rPr>
            </w:pPr>
            <w:r w:rsidRPr="008B6D55">
              <w:rPr>
                <w:rFonts w:cstheme="minorHAnsi"/>
                <w:sz w:val="16"/>
                <w:szCs w:val="16"/>
              </w:rPr>
              <w:t>1 = position that supports this requirement</w:t>
            </w:r>
          </w:p>
          <w:p w14:paraId="20F611BC" w14:textId="77777777" w:rsidR="000E5A8F" w:rsidRPr="008B6D55" w:rsidRDefault="000E5A8F" w:rsidP="009321B9">
            <w:pPr>
              <w:rPr>
                <w:rFonts w:cstheme="minorHAnsi"/>
                <w:sz w:val="16"/>
                <w:szCs w:val="16"/>
              </w:rPr>
            </w:pPr>
            <w:r w:rsidRPr="008B6D55">
              <w:rPr>
                <w:rFonts w:cstheme="minorHAnsi"/>
                <w:sz w:val="16"/>
                <w:szCs w:val="16"/>
              </w:rPr>
              <w:t>2 = position that supports less stringency than this requirement</w:t>
            </w:r>
          </w:p>
          <w:p w14:paraId="1B132414" w14:textId="77777777" w:rsidR="000E5A8F" w:rsidRPr="008B6D55" w:rsidRDefault="000E5A8F" w:rsidP="009321B9">
            <w:pPr>
              <w:rPr>
                <w:rFonts w:cstheme="minorHAnsi"/>
                <w:sz w:val="16"/>
                <w:szCs w:val="16"/>
              </w:rPr>
            </w:pPr>
            <w:r w:rsidRPr="008B6D55">
              <w:rPr>
                <w:rFonts w:cstheme="minorHAnsi"/>
                <w:sz w:val="16"/>
                <w:szCs w:val="16"/>
              </w:rPr>
              <w:t>3 = position that supports more stringency than this requirement</w:t>
            </w:r>
          </w:p>
          <w:p w14:paraId="485BD162" w14:textId="77777777" w:rsidR="000E5A8F" w:rsidRPr="008B6D55" w:rsidRDefault="000E5A8F" w:rsidP="009321B9">
            <w:pPr>
              <w:rPr>
                <w:rFonts w:cstheme="minorHAnsi"/>
                <w:sz w:val="16"/>
                <w:szCs w:val="16"/>
              </w:rPr>
            </w:pPr>
            <w:r w:rsidRPr="008B6D55">
              <w:rPr>
                <w:rFonts w:cstheme="minorHAnsi"/>
                <w:sz w:val="16"/>
                <w:szCs w:val="16"/>
              </w:rPr>
              <w:t>4 = Cannot be determined  / unclear / ambiguous</w:t>
            </w:r>
          </w:p>
        </w:tc>
      </w:tr>
      <w:tr w:rsidR="000E5A8F" w:rsidRPr="008B6D55" w14:paraId="46B70430" w14:textId="77777777" w:rsidTr="000E5A8F">
        <w:tc>
          <w:tcPr>
            <w:tcW w:w="851" w:type="dxa"/>
          </w:tcPr>
          <w:p w14:paraId="106E9A88" w14:textId="77777777" w:rsidR="000E5A8F" w:rsidRPr="008B6D55" w:rsidRDefault="000E5A8F" w:rsidP="009321B9">
            <w:pPr>
              <w:rPr>
                <w:rFonts w:eastAsiaTheme="minorEastAsia" w:cstheme="minorHAnsi"/>
                <w:sz w:val="16"/>
                <w:szCs w:val="16"/>
              </w:rPr>
            </w:pPr>
            <w:r w:rsidRPr="008B6D55">
              <w:rPr>
                <w:rFonts w:eastAsiaTheme="minorEastAsia" w:cstheme="minorHAnsi"/>
                <w:sz w:val="16"/>
                <w:szCs w:val="16"/>
              </w:rPr>
              <w:t>17</w:t>
            </w:r>
          </w:p>
        </w:tc>
        <w:tc>
          <w:tcPr>
            <w:tcW w:w="4394" w:type="dxa"/>
          </w:tcPr>
          <w:p w14:paraId="7E2B0A1A" w14:textId="77777777" w:rsidR="000E5A8F" w:rsidRPr="008B6D55" w:rsidRDefault="000E5A8F" w:rsidP="009321B9">
            <w:pPr>
              <w:rPr>
                <w:rFonts w:eastAsiaTheme="minorEastAsia" w:cstheme="minorHAnsi"/>
                <w:sz w:val="16"/>
                <w:szCs w:val="16"/>
              </w:rPr>
            </w:pPr>
            <w:r w:rsidRPr="008B6D55">
              <w:rPr>
                <w:rFonts w:eastAsiaTheme="minorEastAsia" w:cstheme="minorHAnsi"/>
                <w:sz w:val="16"/>
                <w:szCs w:val="16"/>
              </w:rPr>
              <w:t>Section III: Leverage ratio</w:t>
            </w:r>
          </w:p>
          <w:p w14:paraId="542F7836" w14:textId="77777777" w:rsidR="000E5A8F" w:rsidRPr="008B6D55" w:rsidRDefault="000E5A8F" w:rsidP="009321B9">
            <w:pPr>
              <w:rPr>
                <w:rFonts w:cstheme="minorHAnsi"/>
                <w:sz w:val="16"/>
                <w:szCs w:val="16"/>
              </w:rPr>
            </w:pPr>
            <w:r w:rsidRPr="008B6D55">
              <w:rPr>
                <w:rFonts w:cstheme="minorHAnsi"/>
                <w:sz w:val="16"/>
                <w:szCs w:val="16"/>
              </w:rPr>
              <w:t>leverage ratio is (commonly) a </w:t>
            </w:r>
            <w:hyperlink r:id="rId10" w:history="1">
              <w:r w:rsidRPr="008B6D55">
                <w:rPr>
                  <w:rFonts w:cstheme="minorHAnsi"/>
                  <w:sz w:val="16"/>
                  <w:szCs w:val="16"/>
                </w:rPr>
                <w:t>debt-to-equity ratio</w:t>
              </w:r>
            </w:hyperlink>
            <w:r w:rsidRPr="008B6D55">
              <w:rPr>
                <w:rFonts w:cstheme="minorHAnsi"/>
                <w:sz w:val="16"/>
                <w:szCs w:val="16"/>
              </w:rPr>
              <w:t>. It is expressed as:</w:t>
            </w:r>
          </w:p>
          <w:p w14:paraId="3C2397B1" w14:textId="77777777" w:rsidR="000E5A8F" w:rsidRPr="008B6D55" w:rsidRDefault="000E5A8F" w:rsidP="009321B9">
            <w:pPr>
              <w:rPr>
                <w:rFonts w:cstheme="minorHAnsi"/>
                <w:i/>
                <w:sz w:val="16"/>
                <w:szCs w:val="16"/>
              </w:rPr>
            </w:pPr>
            <w:r w:rsidRPr="008B6D55">
              <w:rPr>
                <w:rFonts w:cstheme="minorHAnsi"/>
                <w:i/>
                <w:sz w:val="16"/>
                <w:szCs w:val="16"/>
              </w:rPr>
              <w:t>Total debt / Total Equity</w:t>
            </w:r>
          </w:p>
          <w:p w14:paraId="3C7F469B" w14:textId="77777777" w:rsidR="000E5A8F" w:rsidRPr="008B6D55" w:rsidRDefault="000E5A8F" w:rsidP="009321B9">
            <w:pPr>
              <w:rPr>
                <w:rFonts w:cstheme="minorHAnsi"/>
                <w:sz w:val="16"/>
                <w:szCs w:val="16"/>
              </w:rPr>
            </w:pPr>
            <w:r w:rsidRPr="008B6D55">
              <w:rPr>
                <w:rFonts w:cstheme="minorHAnsi"/>
                <w:sz w:val="16"/>
                <w:szCs w:val="16"/>
              </w:rPr>
              <w:t xml:space="preserve">A high debt/equity ratio generally indicates that a company has been aggressive in financing its growth with debt. This can result in volatile earnings as a result of the additional interest expense, and if it is very high, it may increase the chances of a default or bankruptcy. </w:t>
            </w:r>
          </w:p>
        </w:tc>
        <w:tc>
          <w:tcPr>
            <w:tcW w:w="5103" w:type="dxa"/>
          </w:tcPr>
          <w:p w14:paraId="79C471F6" w14:textId="77777777" w:rsidR="000E5A8F" w:rsidRPr="008B6D55" w:rsidRDefault="000E5A8F" w:rsidP="009321B9">
            <w:pPr>
              <w:rPr>
                <w:rFonts w:cstheme="minorHAnsi"/>
                <w:sz w:val="16"/>
                <w:szCs w:val="16"/>
              </w:rPr>
            </w:pPr>
            <w:r w:rsidRPr="008B6D55">
              <w:rPr>
                <w:rFonts w:cstheme="minorHAnsi"/>
                <w:sz w:val="16"/>
                <w:szCs w:val="16"/>
              </w:rPr>
              <w:t>1 = n/a</w:t>
            </w:r>
          </w:p>
          <w:p w14:paraId="0054D96A" w14:textId="77777777" w:rsidR="000E5A8F" w:rsidRPr="008B6D55" w:rsidRDefault="000E5A8F" w:rsidP="009321B9">
            <w:pPr>
              <w:rPr>
                <w:rFonts w:cstheme="minorHAnsi"/>
                <w:sz w:val="16"/>
                <w:szCs w:val="16"/>
              </w:rPr>
            </w:pPr>
            <w:r w:rsidRPr="008B6D55">
              <w:rPr>
                <w:rFonts w:cstheme="minorHAnsi"/>
                <w:sz w:val="16"/>
                <w:szCs w:val="16"/>
              </w:rPr>
              <w:t>2 = position that supports less stringency than this requirement</w:t>
            </w:r>
          </w:p>
          <w:p w14:paraId="5225727A" w14:textId="77777777" w:rsidR="000E5A8F" w:rsidRPr="008B6D55" w:rsidRDefault="000E5A8F" w:rsidP="009321B9">
            <w:pPr>
              <w:rPr>
                <w:rFonts w:cstheme="minorHAnsi"/>
                <w:sz w:val="16"/>
                <w:szCs w:val="16"/>
              </w:rPr>
            </w:pPr>
            <w:r w:rsidRPr="008B6D55">
              <w:rPr>
                <w:rFonts w:cstheme="minorHAnsi"/>
                <w:sz w:val="16"/>
                <w:szCs w:val="16"/>
              </w:rPr>
              <w:t>3 = position that supports more stringency than this requirement</w:t>
            </w:r>
          </w:p>
          <w:p w14:paraId="01A58A4B" w14:textId="77777777" w:rsidR="000E5A8F" w:rsidRPr="008B6D55" w:rsidRDefault="000E5A8F" w:rsidP="009321B9">
            <w:pPr>
              <w:rPr>
                <w:rFonts w:cstheme="minorHAnsi"/>
                <w:sz w:val="16"/>
                <w:szCs w:val="16"/>
              </w:rPr>
            </w:pPr>
            <w:r w:rsidRPr="008B6D55">
              <w:rPr>
                <w:rFonts w:cstheme="minorHAnsi"/>
                <w:sz w:val="16"/>
                <w:szCs w:val="16"/>
              </w:rPr>
              <w:t>4 = Cannot be determined  / unclear / ambiguous</w:t>
            </w:r>
          </w:p>
        </w:tc>
      </w:tr>
      <w:tr w:rsidR="000E5A8F" w:rsidRPr="008B6D55" w14:paraId="067B9F0F" w14:textId="77777777" w:rsidTr="000E5A8F">
        <w:tc>
          <w:tcPr>
            <w:tcW w:w="851" w:type="dxa"/>
          </w:tcPr>
          <w:p w14:paraId="76286DF7"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18</w:t>
            </w:r>
          </w:p>
        </w:tc>
        <w:tc>
          <w:tcPr>
            <w:tcW w:w="4394" w:type="dxa"/>
          </w:tcPr>
          <w:p w14:paraId="080FA1CF"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 xml:space="preserve">Section IV: Counterparty credit risk: The Commission services are considering a legislative proposal amending the treatment of counterparty credit risk (CCR)21 in the Capital Requirements Directive. The purpose of such proposal would be to strengthen the capital requirements for counterparty credit exposures arising from institutions’ derivatives, repo and securities financing activities. The objective of these amendments (…) would be to raise the capital buffers backing these exposures, reduce procyclicality and provide additional incentives to move </w:t>
            </w:r>
            <w:r w:rsidRPr="008B6D55">
              <w:rPr>
                <w:rFonts w:eastAsiaTheme="minorEastAsia" w:cstheme="minorHAnsi"/>
                <w:sz w:val="16"/>
                <w:szCs w:val="16"/>
              </w:rPr>
              <w:lastRenderedPageBreak/>
              <w:t>OTC derivative contracts to central counterparties, thus helping reduce systemic risk across the financial system. They would also provide incentives to strengthen the risk management of counterparty credit exposures.</w:t>
            </w:r>
          </w:p>
        </w:tc>
        <w:tc>
          <w:tcPr>
            <w:tcW w:w="5103" w:type="dxa"/>
          </w:tcPr>
          <w:p w14:paraId="5ABF2617" w14:textId="77777777" w:rsidR="000E5A8F" w:rsidRPr="008B6D55" w:rsidRDefault="000E5A8F" w:rsidP="009321B9">
            <w:pPr>
              <w:rPr>
                <w:rFonts w:cstheme="minorHAnsi"/>
                <w:sz w:val="16"/>
                <w:szCs w:val="16"/>
              </w:rPr>
            </w:pPr>
            <w:r w:rsidRPr="008B6D55">
              <w:rPr>
                <w:rFonts w:cstheme="minorHAnsi"/>
                <w:sz w:val="16"/>
                <w:szCs w:val="16"/>
              </w:rPr>
              <w:lastRenderedPageBreak/>
              <w:t>1 = position that supports this requirement</w:t>
            </w:r>
          </w:p>
          <w:p w14:paraId="72251A6B" w14:textId="77777777" w:rsidR="000E5A8F" w:rsidRPr="008B6D55" w:rsidRDefault="000E5A8F" w:rsidP="009321B9">
            <w:pPr>
              <w:rPr>
                <w:rFonts w:cstheme="minorHAnsi"/>
                <w:sz w:val="16"/>
                <w:szCs w:val="16"/>
              </w:rPr>
            </w:pPr>
            <w:r w:rsidRPr="008B6D55">
              <w:rPr>
                <w:rFonts w:cstheme="minorHAnsi"/>
                <w:sz w:val="16"/>
                <w:szCs w:val="16"/>
              </w:rPr>
              <w:t>2 = position that supports less stringency than this requirement</w:t>
            </w:r>
          </w:p>
          <w:p w14:paraId="14736173" w14:textId="77777777" w:rsidR="000E5A8F" w:rsidRPr="008B6D55" w:rsidRDefault="000E5A8F" w:rsidP="009321B9">
            <w:pPr>
              <w:rPr>
                <w:rFonts w:cstheme="minorHAnsi"/>
                <w:sz w:val="16"/>
                <w:szCs w:val="16"/>
              </w:rPr>
            </w:pPr>
            <w:r w:rsidRPr="008B6D55">
              <w:rPr>
                <w:rFonts w:cstheme="minorHAnsi"/>
                <w:sz w:val="16"/>
                <w:szCs w:val="16"/>
              </w:rPr>
              <w:t>3 = position that supports more stringency than this requirement</w:t>
            </w:r>
          </w:p>
          <w:p w14:paraId="296E45E1" w14:textId="77777777" w:rsidR="000E5A8F" w:rsidRPr="008B6D55" w:rsidRDefault="000E5A8F" w:rsidP="009321B9">
            <w:pPr>
              <w:rPr>
                <w:rFonts w:cstheme="minorHAnsi"/>
                <w:sz w:val="16"/>
                <w:szCs w:val="16"/>
              </w:rPr>
            </w:pPr>
            <w:r w:rsidRPr="008B6D55">
              <w:rPr>
                <w:rFonts w:cstheme="minorHAnsi"/>
                <w:sz w:val="16"/>
                <w:szCs w:val="16"/>
              </w:rPr>
              <w:t>4 = Cannot be determined  / unclear / ambiguous</w:t>
            </w:r>
          </w:p>
        </w:tc>
      </w:tr>
      <w:tr w:rsidR="000E5A8F" w:rsidRPr="008B6D55" w14:paraId="53B99146" w14:textId="77777777" w:rsidTr="000E5A8F">
        <w:tc>
          <w:tcPr>
            <w:tcW w:w="851" w:type="dxa"/>
          </w:tcPr>
          <w:p w14:paraId="4F91BF84" w14:textId="77777777" w:rsidR="000E5A8F" w:rsidRPr="008B6D55" w:rsidRDefault="000E5A8F" w:rsidP="009321B9">
            <w:pPr>
              <w:rPr>
                <w:rFonts w:eastAsiaTheme="minorEastAsia" w:cstheme="minorHAnsi"/>
                <w:sz w:val="16"/>
                <w:szCs w:val="16"/>
              </w:rPr>
            </w:pPr>
            <w:r w:rsidRPr="008B6D55">
              <w:rPr>
                <w:rFonts w:eastAsiaTheme="minorEastAsia" w:cstheme="minorHAnsi"/>
                <w:sz w:val="16"/>
                <w:szCs w:val="16"/>
              </w:rPr>
              <w:t>19</w:t>
            </w:r>
          </w:p>
        </w:tc>
        <w:tc>
          <w:tcPr>
            <w:tcW w:w="4394" w:type="dxa"/>
          </w:tcPr>
          <w:p w14:paraId="256D0638" w14:textId="77777777" w:rsidR="000E5A8F" w:rsidRPr="008B6D55" w:rsidRDefault="000E5A8F" w:rsidP="009321B9">
            <w:pPr>
              <w:rPr>
                <w:rFonts w:eastAsiaTheme="minorEastAsia" w:cstheme="minorHAnsi"/>
                <w:sz w:val="16"/>
                <w:szCs w:val="16"/>
              </w:rPr>
            </w:pPr>
            <w:r w:rsidRPr="008B6D55">
              <w:rPr>
                <w:rFonts w:eastAsiaTheme="minorEastAsia" w:cstheme="minorHAnsi"/>
                <w:sz w:val="16"/>
                <w:szCs w:val="16"/>
              </w:rPr>
              <w:t>Section VI: Systemically important financial institutions</w:t>
            </w:r>
          </w:p>
          <w:p w14:paraId="62944EF5" w14:textId="77777777" w:rsidR="000E5A8F" w:rsidRPr="008B6D55" w:rsidRDefault="000E5A8F" w:rsidP="009321B9">
            <w:pPr>
              <w:rPr>
                <w:rFonts w:eastAsiaTheme="minorEastAsia" w:cstheme="minorHAnsi"/>
                <w:sz w:val="16"/>
                <w:szCs w:val="16"/>
              </w:rPr>
            </w:pPr>
            <w:r w:rsidRPr="008B6D55">
              <w:rPr>
                <w:rFonts w:eastAsiaTheme="minorEastAsia" w:cstheme="minorHAnsi"/>
                <w:sz w:val="16"/>
                <w:szCs w:val="16"/>
              </w:rPr>
              <w:t>EC proposal to mitigate systemic risk involves</w:t>
            </w:r>
          </w:p>
          <w:p w14:paraId="6EA60B2E" w14:textId="77777777" w:rsidR="000E5A8F" w:rsidRPr="008B6D55" w:rsidRDefault="000E5A8F" w:rsidP="000E5A8F">
            <w:pPr>
              <w:pStyle w:val="ListParagraph"/>
              <w:numPr>
                <w:ilvl w:val="0"/>
                <w:numId w:val="1"/>
              </w:numPr>
              <w:rPr>
                <w:rFonts w:eastAsiaTheme="minorEastAsia" w:cstheme="minorHAnsi"/>
                <w:sz w:val="16"/>
                <w:szCs w:val="16"/>
              </w:rPr>
            </w:pPr>
            <w:r w:rsidRPr="008B6D55">
              <w:rPr>
                <w:rFonts w:eastAsiaTheme="minorEastAsia" w:cstheme="minorHAnsi"/>
                <w:sz w:val="16"/>
                <w:szCs w:val="16"/>
              </w:rPr>
              <w:t>more monitoring of financial institutions</w:t>
            </w:r>
          </w:p>
          <w:p w14:paraId="7307DF6A" w14:textId="77777777" w:rsidR="000E5A8F" w:rsidRPr="008B6D55" w:rsidRDefault="000E5A8F" w:rsidP="000E5A8F">
            <w:pPr>
              <w:pStyle w:val="ListParagraph"/>
              <w:numPr>
                <w:ilvl w:val="0"/>
                <w:numId w:val="1"/>
              </w:numPr>
              <w:rPr>
                <w:rFonts w:eastAsiaTheme="minorEastAsia" w:cstheme="minorHAnsi"/>
                <w:sz w:val="16"/>
                <w:szCs w:val="16"/>
              </w:rPr>
            </w:pPr>
            <w:r w:rsidRPr="008B6D55">
              <w:rPr>
                <w:rFonts w:eastAsiaTheme="minorEastAsia" w:cstheme="minorHAnsi"/>
                <w:sz w:val="16"/>
                <w:szCs w:val="16"/>
              </w:rPr>
              <w:t>limiting the scope of “permissible activities” in which financial institutions can engage</w:t>
            </w:r>
          </w:p>
          <w:p w14:paraId="1012E184" w14:textId="77777777" w:rsidR="000E5A8F" w:rsidRPr="008B6D55" w:rsidRDefault="000E5A8F" w:rsidP="000E5A8F">
            <w:pPr>
              <w:pStyle w:val="ListParagraph"/>
              <w:numPr>
                <w:ilvl w:val="0"/>
                <w:numId w:val="1"/>
              </w:numPr>
              <w:rPr>
                <w:rFonts w:eastAsiaTheme="minorEastAsia" w:cstheme="minorHAnsi"/>
                <w:sz w:val="16"/>
                <w:szCs w:val="16"/>
              </w:rPr>
            </w:pPr>
            <w:r w:rsidRPr="008B6D55">
              <w:rPr>
                <w:rFonts w:eastAsiaTheme="minorEastAsia" w:cstheme="minorHAnsi"/>
                <w:sz w:val="16"/>
                <w:szCs w:val="16"/>
              </w:rPr>
              <w:t>limiting the size of financial institutions</w:t>
            </w:r>
          </w:p>
        </w:tc>
        <w:tc>
          <w:tcPr>
            <w:tcW w:w="5103" w:type="dxa"/>
          </w:tcPr>
          <w:p w14:paraId="3F62501B" w14:textId="77777777" w:rsidR="000E5A8F" w:rsidRPr="008B6D55" w:rsidRDefault="000E5A8F" w:rsidP="009321B9">
            <w:pPr>
              <w:rPr>
                <w:rFonts w:cstheme="minorHAnsi"/>
                <w:sz w:val="16"/>
                <w:szCs w:val="16"/>
              </w:rPr>
            </w:pPr>
            <w:r w:rsidRPr="008B6D55">
              <w:rPr>
                <w:rFonts w:cstheme="minorHAnsi"/>
                <w:sz w:val="16"/>
                <w:szCs w:val="16"/>
              </w:rPr>
              <w:t>1 = position that supports this requirement</w:t>
            </w:r>
          </w:p>
          <w:p w14:paraId="39A7FCC4" w14:textId="77777777" w:rsidR="000E5A8F" w:rsidRPr="008B6D55" w:rsidRDefault="000E5A8F" w:rsidP="009321B9">
            <w:pPr>
              <w:rPr>
                <w:rFonts w:cstheme="minorHAnsi"/>
                <w:sz w:val="16"/>
                <w:szCs w:val="16"/>
              </w:rPr>
            </w:pPr>
            <w:r w:rsidRPr="008B6D55">
              <w:rPr>
                <w:rFonts w:cstheme="minorHAnsi"/>
                <w:sz w:val="16"/>
                <w:szCs w:val="16"/>
              </w:rPr>
              <w:t>2 = position that supports less stringency than this requirement</w:t>
            </w:r>
          </w:p>
          <w:p w14:paraId="7C98C6B0" w14:textId="77777777" w:rsidR="000E5A8F" w:rsidRPr="008B6D55" w:rsidRDefault="000E5A8F" w:rsidP="009321B9">
            <w:pPr>
              <w:rPr>
                <w:rFonts w:cstheme="minorHAnsi"/>
                <w:sz w:val="16"/>
                <w:szCs w:val="16"/>
              </w:rPr>
            </w:pPr>
            <w:r w:rsidRPr="008B6D55">
              <w:rPr>
                <w:rFonts w:cstheme="minorHAnsi"/>
                <w:sz w:val="16"/>
                <w:szCs w:val="16"/>
              </w:rPr>
              <w:t>3 = position that supports more stringency than this requirement</w:t>
            </w:r>
          </w:p>
          <w:p w14:paraId="0C0B45D4" w14:textId="77777777" w:rsidR="000E5A8F" w:rsidRPr="008B6D55" w:rsidRDefault="000E5A8F" w:rsidP="009321B9">
            <w:pPr>
              <w:rPr>
                <w:rFonts w:cstheme="minorHAnsi"/>
                <w:sz w:val="16"/>
                <w:szCs w:val="16"/>
              </w:rPr>
            </w:pPr>
            <w:r w:rsidRPr="008B6D55">
              <w:rPr>
                <w:rFonts w:cstheme="minorHAnsi"/>
                <w:sz w:val="16"/>
                <w:szCs w:val="16"/>
              </w:rPr>
              <w:t>4 = Cannot be determined  / unclear / ambiguous</w:t>
            </w:r>
          </w:p>
          <w:p w14:paraId="27827B1B" w14:textId="77777777" w:rsidR="000E5A8F" w:rsidRPr="008B6D55" w:rsidRDefault="000E5A8F" w:rsidP="009321B9">
            <w:pPr>
              <w:rPr>
                <w:rFonts w:cstheme="minorHAnsi"/>
                <w:sz w:val="16"/>
                <w:szCs w:val="16"/>
              </w:rPr>
            </w:pPr>
            <w:r w:rsidRPr="008B6D55">
              <w:rPr>
                <w:rFonts w:cstheme="minorHAnsi"/>
                <w:sz w:val="16"/>
                <w:szCs w:val="16"/>
              </w:rPr>
              <w:t>4 = Cannot be determined  / unclear / ambiguous</w:t>
            </w:r>
          </w:p>
        </w:tc>
      </w:tr>
      <w:tr w:rsidR="000E5A8F" w:rsidRPr="008B6D55" w14:paraId="6CBE4329" w14:textId="77777777" w:rsidTr="000E5A8F">
        <w:tc>
          <w:tcPr>
            <w:tcW w:w="851" w:type="dxa"/>
          </w:tcPr>
          <w:p w14:paraId="11071BCD" w14:textId="77777777" w:rsidR="000E5A8F" w:rsidRPr="008B6D55" w:rsidRDefault="000E5A8F" w:rsidP="009321B9">
            <w:pPr>
              <w:rPr>
                <w:rFonts w:eastAsiaTheme="minorEastAsia" w:cstheme="minorHAnsi"/>
                <w:sz w:val="16"/>
                <w:szCs w:val="16"/>
              </w:rPr>
            </w:pPr>
            <w:r w:rsidRPr="008B6D55">
              <w:rPr>
                <w:rFonts w:eastAsiaTheme="minorEastAsia" w:cstheme="minorHAnsi"/>
                <w:sz w:val="16"/>
                <w:szCs w:val="16"/>
              </w:rPr>
              <w:t>20</w:t>
            </w:r>
          </w:p>
        </w:tc>
        <w:tc>
          <w:tcPr>
            <w:tcW w:w="4394" w:type="dxa"/>
          </w:tcPr>
          <w:p w14:paraId="58C23421" w14:textId="77777777" w:rsidR="000E5A8F" w:rsidRPr="008B6D55" w:rsidRDefault="000E5A8F" w:rsidP="009321B9">
            <w:pPr>
              <w:rPr>
                <w:rFonts w:eastAsiaTheme="minorEastAsia" w:cstheme="minorHAnsi"/>
                <w:sz w:val="16"/>
                <w:szCs w:val="16"/>
              </w:rPr>
            </w:pPr>
            <w:r w:rsidRPr="008B6D55">
              <w:rPr>
                <w:rFonts w:eastAsiaTheme="minorEastAsia" w:cstheme="minorHAnsi"/>
                <w:sz w:val="16"/>
                <w:szCs w:val="16"/>
              </w:rPr>
              <w:t>Section VII: Single rule book in banking</w:t>
            </w:r>
          </w:p>
          <w:p w14:paraId="2D56B9B8" w14:textId="77777777" w:rsidR="000E5A8F" w:rsidRPr="008B6D55" w:rsidRDefault="000E5A8F" w:rsidP="009321B9">
            <w:pPr>
              <w:rPr>
                <w:rFonts w:cstheme="minorHAnsi"/>
                <w:sz w:val="16"/>
                <w:szCs w:val="16"/>
              </w:rPr>
            </w:pPr>
            <w:r w:rsidRPr="008B6D55">
              <w:rPr>
                <w:rFonts w:cstheme="minorHAnsi"/>
                <w:sz w:val="16"/>
                <w:szCs w:val="16"/>
              </w:rPr>
              <w:t>European banking legislation is currently based on a Directive which leaves room for significant divergences in national rules. This has created a regulatory patchwork, leading to legal uncertainty, enabling institutions to exploit regulatory loopholes, distorting competition, and making it burdensome for firms to operate across the Single Market.</w:t>
            </w:r>
          </w:p>
          <w:p w14:paraId="731F989D" w14:textId="77777777" w:rsidR="000E5A8F" w:rsidRPr="008B6D55" w:rsidRDefault="000E5A8F" w:rsidP="009321B9">
            <w:pPr>
              <w:rPr>
                <w:rFonts w:cstheme="minorHAnsi"/>
                <w:sz w:val="16"/>
                <w:szCs w:val="16"/>
              </w:rPr>
            </w:pPr>
            <w:r w:rsidRPr="008B6D55">
              <w:rPr>
                <w:rFonts w:cstheme="minorHAnsi"/>
                <w:sz w:val="16"/>
                <w:szCs w:val="16"/>
              </w:rPr>
              <w:t xml:space="preserve"> The Single Rulebook aims to provide a single set of harmonised prudential rules which institutions throughout the EU must respect.</w:t>
            </w:r>
          </w:p>
          <w:p w14:paraId="1E2EB7E6" w14:textId="77777777" w:rsidR="000E5A8F" w:rsidRPr="008B6D55" w:rsidRDefault="000E5A8F" w:rsidP="009321B9">
            <w:pPr>
              <w:rPr>
                <w:rFonts w:eastAsiaTheme="minorEastAsia" w:cstheme="minorHAnsi"/>
                <w:sz w:val="16"/>
                <w:szCs w:val="16"/>
              </w:rPr>
            </w:pPr>
          </w:p>
        </w:tc>
        <w:tc>
          <w:tcPr>
            <w:tcW w:w="5103" w:type="dxa"/>
          </w:tcPr>
          <w:p w14:paraId="0151A596" w14:textId="77777777" w:rsidR="000E5A8F" w:rsidRPr="008B6D55" w:rsidRDefault="000E5A8F" w:rsidP="009321B9">
            <w:pPr>
              <w:rPr>
                <w:rFonts w:cstheme="minorHAnsi"/>
                <w:sz w:val="16"/>
                <w:szCs w:val="16"/>
              </w:rPr>
            </w:pPr>
            <w:r w:rsidRPr="008B6D55">
              <w:rPr>
                <w:rFonts w:cstheme="minorHAnsi"/>
                <w:sz w:val="16"/>
                <w:szCs w:val="16"/>
              </w:rPr>
              <w:t>1 = n/a</w:t>
            </w:r>
          </w:p>
          <w:p w14:paraId="344A135B" w14:textId="77777777" w:rsidR="000E5A8F" w:rsidRPr="008B6D55" w:rsidRDefault="000E5A8F" w:rsidP="009321B9">
            <w:pPr>
              <w:rPr>
                <w:rFonts w:cstheme="minorHAnsi"/>
                <w:sz w:val="16"/>
                <w:szCs w:val="16"/>
              </w:rPr>
            </w:pPr>
            <w:r w:rsidRPr="008B6D55">
              <w:rPr>
                <w:rFonts w:cstheme="minorHAnsi"/>
                <w:sz w:val="16"/>
                <w:szCs w:val="16"/>
              </w:rPr>
              <w:t>2 = position that supports less stringency than this requirement</w:t>
            </w:r>
          </w:p>
          <w:p w14:paraId="18D555D1" w14:textId="77777777" w:rsidR="000E5A8F" w:rsidRPr="008B6D55" w:rsidRDefault="000E5A8F" w:rsidP="009321B9">
            <w:pPr>
              <w:rPr>
                <w:rFonts w:cstheme="minorHAnsi"/>
                <w:sz w:val="16"/>
                <w:szCs w:val="16"/>
              </w:rPr>
            </w:pPr>
            <w:r w:rsidRPr="008B6D55">
              <w:rPr>
                <w:rFonts w:cstheme="minorHAnsi"/>
                <w:sz w:val="16"/>
                <w:szCs w:val="16"/>
              </w:rPr>
              <w:t>3 = position that supports more stringency than this requirement</w:t>
            </w:r>
          </w:p>
          <w:p w14:paraId="4B49E40A" w14:textId="77777777" w:rsidR="000E5A8F" w:rsidRPr="008B6D55" w:rsidRDefault="000E5A8F" w:rsidP="009321B9">
            <w:pPr>
              <w:rPr>
                <w:rFonts w:cstheme="minorHAnsi"/>
                <w:sz w:val="16"/>
                <w:szCs w:val="16"/>
              </w:rPr>
            </w:pPr>
            <w:r w:rsidRPr="008B6D55">
              <w:rPr>
                <w:rFonts w:cstheme="minorHAnsi"/>
                <w:sz w:val="16"/>
                <w:szCs w:val="16"/>
              </w:rPr>
              <w:t>4 = Cannot be determined  / unclear / ambiguous</w:t>
            </w:r>
          </w:p>
        </w:tc>
      </w:tr>
      <w:tr w:rsidR="000E5A8F" w:rsidRPr="008B6D55" w14:paraId="621B4E59" w14:textId="77777777" w:rsidTr="000E5A8F">
        <w:tc>
          <w:tcPr>
            <w:tcW w:w="10348" w:type="dxa"/>
            <w:gridSpan w:val="3"/>
          </w:tcPr>
          <w:p w14:paraId="5A23773A" w14:textId="77777777" w:rsidR="000E5A8F" w:rsidRPr="008B6D55" w:rsidRDefault="000E5A8F" w:rsidP="009321B9">
            <w:pPr>
              <w:rPr>
                <w:rFonts w:cstheme="minorHAnsi"/>
                <w:b/>
                <w:sz w:val="16"/>
                <w:szCs w:val="16"/>
              </w:rPr>
            </w:pPr>
          </w:p>
          <w:p w14:paraId="1DA1C550" w14:textId="77777777" w:rsidR="000E5A8F" w:rsidRPr="008B6D55" w:rsidRDefault="000E5A8F" w:rsidP="009321B9">
            <w:pPr>
              <w:rPr>
                <w:rFonts w:eastAsiaTheme="minorEastAsia" w:cstheme="minorHAnsi"/>
                <w:sz w:val="16"/>
                <w:szCs w:val="16"/>
              </w:rPr>
            </w:pPr>
            <w:r w:rsidRPr="008B6D55">
              <w:rPr>
                <w:rFonts w:cstheme="minorHAnsi"/>
                <w:sz w:val="16"/>
                <w:szCs w:val="16"/>
              </w:rPr>
              <w:t>Consultation 3: Consultation on the Harmonization of Solvency Rules Applicable to Institutions for Occupational Retirement Provision (IORPs) covered by Article 17 of the IORP Directive and IORPs Operation on a Cross Border Basis</w:t>
            </w:r>
          </w:p>
        </w:tc>
      </w:tr>
      <w:tr w:rsidR="000E5A8F" w:rsidRPr="008B6D55" w14:paraId="03A33277" w14:textId="77777777" w:rsidTr="000E5A8F">
        <w:tc>
          <w:tcPr>
            <w:tcW w:w="851" w:type="dxa"/>
          </w:tcPr>
          <w:p w14:paraId="4C99A6B1" w14:textId="77777777" w:rsidR="000E5A8F" w:rsidRPr="008B6D55" w:rsidRDefault="000E5A8F" w:rsidP="009321B9">
            <w:pPr>
              <w:rPr>
                <w:rFonts w:cstheme="minorHAnsi"/>
                <w:sz w:val="16"/>
                <w:szCs w:val="16"/>
              </w:rPr>
            </w:pPr>
            <w:r w:rsidRPr="008B6D55">
              <w:rPr>
                <w:rFonts w:cstheme="minorHAnsi"/>
                <w:sz w:val="16"/>
                <w:szCs w:val="16"/>
              </w:rPr>
              <w:t>Issue #</w:t>
            </w:r>
          </w:p>
        </w:tc>
        <w:tc>
          <w:tcPr>
            <w:tcW w:w="4394" w:type="dxa"/>
          </w:tcPr>
          <w:p w14:paraId="3D9C9F87" w14:textId="77777777" w:rsidR="000E5A8F" w:rsidRPr="008B6D55" w:rsidRDefault="000E5A8F" w:rsidP="009321B9">
            <w:pPr>
              <w:rPr>
                <w:rFonts w:cstheme="minorHAnsi"/>
                <w:sz w:val="16"/>
                <w:szCs w:val="16"/>
              </w:rPr>
            </w:pPr>
            <w:r w:rsidRPr="008B6D55">
              <w:rPr>
                <w:rFonts w:cstheme="minorHAnsi"/>
                <w:sz w:val="16"/>
                <w:szCs w:val="16"/>
              </w:rPr>
              <w:t>Question</w:t>
            </w:r>
          </w:p>
        </w:tc>
        <w:tc>
          <w:tcPr>
            <w:tcW w:w="5103" w:type="dxa"/>
          </w:tcPr>
          <w:p w14:paraId="3CA0E5F8" w14:textId="77777777" w:rsidR="000E5A8F" w:rsidRPr="008B6D55" w:rsidRDefault="000E5A8F" w:rsidP="009321B9">
            <w:pPr>
              <w:rPr>
                <w:rFonts w:cstheme="minorHAnsi"/>
                <w:sz w:val="16"/>
                <w:szCs w:val="16"/>
              </w:rPr>
            </w:pPr>
            <w:r w:rsidRPr="008B6D55">
              <w:rPr>
                <w:rFonts w:cstheme="minorHAnsi"/>
                <w:sz w:val="16"/>
                <w:szCs w:val="16"/>
              </w:rPr>
              <w:t>Coding Rules</w:t>
            </w:r>
          </w:p>
        </w:tc>
      </w:tr>
      <w:tr w:rsidR="000E5A8F" w:rsidRPr="008B6D55" w14:paraId="38439E7D" w14:textId="77777777" w:rsidTr="000E5A8F">
        <w:tc>
          <w:tcPr>
            <w:tcW w:w="851" w:type="dxa"/>
          </w:tcPr>
          <w:p w14:paraId="26D3AAC4" w14:textId="77777777" w:rsidR="000E5A8F" w:rsidRPr="008B6D55" w:rsidRDefault="000E5A8F" w:rsidP="009321B9">
            <w:pPr>
              <w:rPr>
                <w:rFonts w:cstheme="minorHAnsi"/>
                <w:sz w:val="16"/>
                <w:szCs w:val="16"/>
              </w:rPr>
            </w:pPr>
            <w:r w:rsidRPr="008B6D55">
              <w:rPr>
                <w:rFonts w:cstheme="minorHAnsi"/>
                <w:sz w:val="16"/>
                <w:szCs w:val="16"/>
              </w:rPr>
              <w:t>21</w:t>
            </w:r>
          </w:p>
        </w:tc>
        <w:tc>
          <w:tcPr>
            <w:tcW w:w="4394" w:type="dxa"/>
          </w:tcPr>
          <w:p w14:paraId="214AE923" w14:textId="77777777" w:rsidR="000E5A8F" w:rsidRPr="008B6D55" w:rsidRDefault="000E5A8F" w:rsidP="009321B9">
            <w:pPr>
              <w:rPr>
                <w:rFonts w:cstheme="minorHAnsi"/>
                <w:sz w:val="16"/>
                <w:szCs w:val="16"/>
              </w:rPr>
            </w:pPr>
            <w:r w:rsidRPr="008B6D55">
              <w:rPr>
                <w:rFonts w:cstheme="minorHAnsi"/>
                <w:b/>
                <w:sz w:val="16"/>
                <w:szCs w:val="16"/>
              </w:rPr>
              <w:t>Regulatory Own Funds</w:t>
            </w:r>
            <w:r w:rsidRPr="008B6D55">
              <w:rPr>
                <w:rFonts w:cstheme="minorHAnsi"/>
                <w:sz w:val="16"/>
                <w:szCs w:val="16"/>
              </w:rPr>
              <w:t>: To what extent should the Solvency I regime be replaced by solvency rules similar or equivalent to the Solvency II rules?</w:t>
            </w:r>
          </w:p>
        </w:tc>
        <w:tc>
          <w:tcPr>
            <w:tcW w:w="5103" w:type="dxa"/>
          </w:tcPr>
          <w:p w14:paraId="51DEA593" w14:textId="77777777" w:rsidR="000E5A8F" w:rsidRPr="008B6D55" w:rsidRDefault="000E5A8F" w:rsidP="009321B9">
            <w:pPr>
              <w:rPr>
                <w:rFonts w:cstheme="minorHAnsi"/>
                <w:sz w:val="16"/>
                <w:szCs w:val="16"/>
              </w:rPr>
            </w:pPr>
            <w:r w:rsidRPr="008B6D55">
              <w:rPr>
                <w:rFonts w:cstheme="minorHAnsi"/>
                <w:sz w:val="16"/>
                <w:szCs w:val="16"/>
              </w:rPr>
              <w:t>1= n/a</w:t>
            </w:r>
          </w:p>
          <w:p w14:paraId="6582EBA4" w14:textId="77777777" w:rsidR="000E5A8F" w:rsidRPr="008B6D55" w:rsidRDefault="000E5A8F" w:rsidP="009321B9">
            <w:pPr>
              <w:rPr>
                <w:rFonts w:cstheme="minorHAnsi"/>
                <w:sz w:val="16"/>
                <w:szCs w:val="16"/>
              </w:rPr>
            </w:pPr>
            <w:r w:rsidRPr="008B6D55">
              <w:rPr>
                <w:rFonts w:cstheme="minorHAnsi"/>
                <w:sz w:val="16"/>
                <w:szCs w:val="16"/>
              </w:rPr>
              <w:t>2 = Solvency I regime should not be replaced by solvency rules similar or equivalent to the Solvency II rules (or anything more stringent than Solvency I)</w:t>
            </w:r>
          </w:p>
          <w:p w14:paraId="6A96DA5A" w14:textId="77777777" w:rsidR="000E5A8F" w:rsidRPr="008B6D55" w:rsidRDefault="000E5A8F" w:rsidP="009321B9">
            <w:pPr>
              <w:rPr>
                <w:rFonts w:cstheme="minorHAnsi"/>
                <w:sz w:val="16"/>
                <w:szCs w:val="16"/>
              </w:rPr>
            </w:pPr>
            <w:r w:rsidRPr="008B6D55">
              <w:rPr>
                <w:rFonts w:cstheme="minorHAnsi"/>
                <w:sz w:val="16"/>
                <w:szCs w:val="16"/>
              </w:rPr>
              <w:t>3= Solvency I regime should be replaced by solvency rules similar or equivalent to the Solvency II rules.</w:t>
            </w:r>
          </w:p>
        </w:tc>
      </w:tr>
      <w:tr w:rsidR="000E5A8F" w:rsidRPr="008B6D55" w14:paraId="03479AF6" w14:textId="77777777" w:rsidTr="000E5A8F">
        <w:tc>
          <w:tcPr>
            <w:tcW w:w="851" w:type="dxa"/>
          </w:tcPr>
          <w:p w14:paraId="1523FB8D" w14:textId="77777777" w:rsidR="000E5A8F" w:rsidRPr="008B6D55" w:rsidRDefault="000E5A8F" w:rsidP="009321B9">
            <w:pPr>
              <w:rPr>
                <w:rFonts w:cstheme="minorHAnsi"/>
                <w:sz w:val="16"/>
                <w:szCs w:val="16"/>
              </w:rPr>
            </w:pPr>
            <w:r w:rsidRPr="008B6D55">
              <w:rPr>
                <w:rFonts w:cstheme="minorHAnsi"/>
                <w:sz w:val="16"/>
                <w:szCs w:val="16"/>
              </w:rPr>
              <w:t>22</w:t>
            </w:r>
          </w:p>
        </w:tc>
        <w:tc>
          <w:tcPr>
            <w:tcW w:w="4394" w:type="dxa"/>
          </w:tcPr>
          <w:p w14:paraId="20761768" w14:textId="77777777" w:rsidR="000E5A8F" w:rsidRPr="008B6D55" w:rsidRDefault="000E5A8F" w:rsidP="009321B9">
            <w:pPr>
              <w:rPr>
                <w:rFonts w:cstheme="minorHAnsi"/>
                <w:sz w:val="16"/>
                <w:szCs w:val="16"/>
              </w:rPr>
            </w:pPr>
            <w:r w:rsidRPr="008B6D55">
              <w:rPr>
                <w:rFonts w:cstheme="minorHAnsi"/>
                <w:b/>
                <w:sz w:val="16"/>
                <w:szCs w:val="16"/>
              </w:rPr>
              <w:t>Cross-Border Operations</w:t>
            </w:r>
            <w:r w:rsidRPr="008B6D55">
              <w:rPr>
                <w:rFonts w:cstheme="minorHAnsi"/>
                <w:sz w:val="16"/>
                <w:szCs w:val="16"/>
              </w:rPr>
              <w:t>: To what extent are differences in the solvency regimes for IORPs that operate on a cross border basis creating internal market problems?</w:t>
            </w:r>
          </w:p>
        </w:tc>
        <w:tc>
          <w:tcPr>
            <w:tcW w:w="5103" w:type="dxa"/>
          </w:tcPr>
          <w:p w14:paraId="6D6CB9AF" w14:textId="77777777" w:rsidR="000E5A8F" w:rsidRPr="008B6D55" w:rsidRDefault="000E5A8F" w:rsidP="009321B9">
            <w:pPr>
              <w:rPr>
                <w:rFonts w:cstheme="minorHAnsi"/>
                <w:sz w:val="16"/>
                <w:szCs w:val="16"/>
              </w:rPr>
            </w:pPr>
            <w:r w:rsidRPr="008B6D55">
              <w:rPr>
                <w:rFonts w:cstheme="minorHAnsi"/>
                <w:sz w:val="16"/>
                <w:szCs w:val="16"/>
              </w:rPr>
              <w:t>1 = n/a</w:t>
            </w:r>
          </w:p>
          <w:p w14:paraId="7F1C64A8" w14:textId="77777777" w:rsidR="000E5A8F" w:rsidRPr="008B6D55" w:rsidRDefault="000E5A8F" w:rsidP="009321B9">
            <w:pPr>
              <w:rPr>
                <w:rFonts w:cstheme="minorHAnsi"/>
                <w:sz w:val="16"/>
                <w:szCs w:val="16"/>
              </w:rPr>
            </w:pPr>
            <w:r w:rsidRPr="008B6D55">
              <w:rPr>
                <w:rFonts w:cstheme="minorHAnsi"/>
                <w:sz w:val="16"/>
                <w:szCs w:val="16"/>
              </w:rPr>
              <w:t>2 = they are not creating more internal market problems; they are creating problems, but the solution is NOT at the EU level / the solution is NOT harmonization</w:t>
            </w:r>
          </w:p>
          <w:p w14:paraId="7F4E8B6C" w14:textId="77777777" w:rsidR="000E5A8F" w:rsidRPr="008B6D55" w:rsidRDefault="000E5A8F" w:rsidP="009321B9">
            <w:pPr>
              <w:rPr>
                <w:rFonts w:cstheme="minorHAnsi"/>
                <w:sz w:val="16"/>
                <w:szCs w:val="16"/>
              </w:rPr>
            </w:pPr>
            <w:r w:rsidRPr="008B6D55">
              <w:rPr>
                <w:rFonts w:cstheme="minorHAnsi"/>
                <w:sz w:val="16"/>
                <w:szCs w:val="16"/>
              </w:rPr>
              <w:t xml:space="preserve">3 = they are creating more internal market problems </w:t>
            </w:r>
            <w:r w:rsidRPr="008B6D55">
              <w:rPr>
                <w:rFonts w:cstheme="minorHAnsi"/>
                <w:i/>
                <w:sz w:val="16"/>
                <w:szCs w:val="16"/>
              </w:rPr>
              <w:t>and</w:t>
            </w:r>
            <w:r w:rsidRPr="008B6D55">
              <w:rPr>
                <w:rFonts w:cstheme="minorHAnsi"/>
                <w:sz w:val="16"/>
                <w:szCs w:val="16"/>
              </w:rPr>
              <w:t xml:space="preserve"> the solution is harmonization (more EU-level rules)</w:t>
            </w:r>
          </w:p>
        </w:tc>
      </w:tr>
      <w:tr w:rsidR="000E5A8F" w:rsidRPr="008B6D55" w14:paraId="5AE1C162" w14:textId="77777777" w:rsidTr="000E5A8F">
        <w:tc>
          <w:tcPr>
            <w:tcW w:w="851" w:type="dxa"/>
          </w:tcPr>
          <w:p w14:paraId="6D10720E" w14:textId="77777777" w:rsidR="000E5A8F" w:rsidRPr="008B6D55" w:rsidRDefault="000E5A8F" w:rsidP="009321B9">
            <w:pPr>
              <w:rPr>
                <w:rFonts w:cstheme="minorHAnsi"/>
                <w:sz w:val="16"/>
                <w:szCs w:val="16"/>
              </w:rPr>
            </w:pPr>
            <w:r w:rsidRPr="008B6D55">
              <w:rPr>
                <w:rFonts w:cstheme="minorHAnsi"/>
                <w:sz w:val="16"/>
                <w:szCs w:val="16"/>
              </w:rPr>
              <w:t>23</w:t>
            </w:r>
          </w:p>
        </w:tc>
        <w:tc>
          <w:tcPr>
            <w:tcW w:w="4394" w:type="dxa"/>
          </w:tcPr>
          <w:p w14:paraId="2AF4871D" w14:textId="77777777" w:rsidR="000E5A8F" w:rsidRPr="008B6D55" w:rsidRDefault="000E5A8F" w:rsidP="009321B9">
            <w:pPr>
              <w:rPr>
                <w:rFonts w:cstheme="minorHAnsi"/>
                <w:sz w:val="16"/>
                <w:szCs w:val="16"/>
              </w:rPr>
            </w:pPr>
            <w:r w:rsidRPr="008B6D55">
              <w:rPr>
                <w:rFonts w:eastAsiaTheme="minorEastAsia" w:cstheme="minorHAnsi"/>
                <w:sz w:val="16"/>
                <w:szCs w:val="16"/>
              </w:rPr>
              <w:t>Do you agree, or do you consider that the overall objective of solvency rules for these IORPs should be different?</w:t>
            </w:r>
          </w:p>
        </w:tc>
        <w:tc>
          <w:tcPr>
            <w:tcW w:w="5103" w:type="dxa"/>
          </w:tcPr>
          <w:p w14:paraId="01F0300B" w14:textId="77777777" w:rsidR="000E5A8F" w:rsidRPr="008B6D55" w:rsidRDefault="000E5A8F" w:rsidP="009321B9">
            <w:pPr>
              <w:rPr>
                <w:rFonts w:eastAsiaTheme="minorEastAsia" w:cstheme="minorHAnsi"/>
                <w:sz w:val="16"/>
                <w:szCs w:val="16"/>
              </w:rPr>
            </w:pPr>
            <w:r w:rsidRPr="008B6D55">
              <w:rPr>
                <w:rFonts w:cstheme="minorHAnsi"/>
                <w:sz w:val="16"/>
                <w:szCs w:val="16"/>
              </w:rPr>
              <w:t xml:space="preserve">1 = agree; solvency rules should aim at </w:t>
            </w:r>
            <w:r w:rsidRPr="008B6D55">
              <w:rPr>
                <w:rFonts w:eastAsiaTheme="minorEastAsia" w:cstheme="minorHAnsi"/>
                <w:sz w:val="16"/>
                <w:szCs w:val="16"/>
              </w:rPr>
              <w:t>guaranteeing a high degree of security for future pensioners</w:t>
            </w:r>
          </w:p>
          <w:p w14:paraId="766FB490" w14:textId="77777777" w:rsidR="000E5A8F" w:rsidRPr="008B6D55" w:rsidRDefault="000E5A8F" w:rsidP="009321B9">
            <w:pPr>
              <w:rPr>
                <w:rFonts w:eastAsiaTheme="minorEastAsia" w:cstheme="minorHAnsi"/>
                <w:sz w:val="16"/>
                <w:szCs w:val="16"/>
              </w:rPr>
            </w:pPr>
            <w:r w:rsidRPr="008B6D55">
              <w:rPr>
                <w:rFonts w:eastAsiaTheme="minorEastAsia" w:cstheme="minorHAnsi"/>
                <w:sz w:val="16"/>
                <w:szCs w:val="16"/>
              </w:rPr>
              <w:t xml:space="preserve">2 = disagree; </w:t>
            </w:r>
          </w:p>
          <w:p w14:paraId="366EFCB7" w14:textId="77777777" w:rsidR="000E5A8F" w:rsidRPr="008B6D55" w:rsidRDefault="000E5A8F" w:rsidP="009321B9">
            <w:pPr>
              <w:rPr>
                <w:rFonts w:cstheme="minorHAnsi"/>
                <w:sz w:val="16"/>
                <w:szCs w:val="16"/>
              </w:rPr>
            </w:pPr>
            <w:r w:rsidRPr="008B6D55">
              <w:rPr>
                <w:rFonts w:eastAsiaTheme="minorEastAsia" w:cstheme="minorHAnsi"/>
                <w:sz w:val="16"/>
                <w:szCs w:val="16"/>
              </w:rPr>
              <w:t>3 = agree that solvency rules should aim at guaranteeing a high degree of security for future pensioners but proposal is not sufficient to do this</w:t>
            </w:r>
          </w:p>
        </w:tc>
      </w:tr>
      <w:tr w:rsidR="000E5A8F" w:rsidRPr="008B6D55" w14:paraId="7B0B8F58" w14:textId="77777777" w:rsidTr="000E5A8F">
        <w:tc>
          <w:tcPr>
            <w:tcW w:w="851" w:type="dxa"/>
          </w:tcPr>
          <w:p w14:paraId="21C4C2B1" w14:textId="77777777" w:rsidR="000E5A8F" w:rsidRPr="008B6D55" w:rsidRDefault="000E5A8F" w:rsidP="009321B9">
            <w:pPr>
              <w:rPr>
                <w:rFonts w:cstheme="minorHAnsi"/>
                <w:sz w:val="16"/>
                <w:szCs w:val="16"/>
              </w:rPr>
            </w:pPr>
            <w:r w:rsidRPr="008B6D55">
              <w:rPr>
                <w:rFonts w:cstheme="minorHAnsi"/>
                <w:sz w:val="16"/>
                <w:szCs w:val="16"/>
              </w:rPr>
              <w:t>24</w:t>
            </w:r>
          </w:p>
        </w:tc>
        <w:tc>
          <w:tcPr>
            <w:tcW w:w="4394" w:type="dxa"/>
          </w:tcPr>
          <w:p w14:paraId="146DBDF8"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Do you believe that prevailing solvency rules for IORPs subject to Article 17 provide adequate protection relative to the objective of safeguarding pension beneficiaries’ claims at reasonable cost for the sponsoring undertakings?</w:t>
            </w:r>
          </w:p>
        </w:tc>
        <w:tc>
          <w:tcPr>
            <w:tcW w:w="5103" w:type="dxa"/>
          </w:tcPr>
          <w:p w14:paraId="511D9960" w14:textId="77777777" w:rsidR="000E5A8F" w:rsidRPr="008B6D55" w:rsidRDefault="000E5A8F" w:rsidP="009321B9">
            <w:pPr>
              <w:rPr>
                <w:rFonts w:cstheme="minorHAnsi"/>
                <w:sz w:val="16"/>
                <w:szCs w:val="16"/>
              </w:rPr>
            </w:pPr>
            <w:r w:rsidRPr="008B6D55">
              <w:rPr>
                <w:rFonts w:cstheme="minorHAnsi"/>
                <w:sz w:val="16"/>
                <w:szCs w:val="16"/>
              </w:rPr>
              <w:t>1 = n/a</w:t>
            </w:r>
          </w:p>
          <w:p w14:paraId="7791E03F" w14:textId="77777777" w:rsidR="000E5A8F" w:rsidRPr="008B6D55" w:rsidRDefault="000E5A8F" w:rsidP="009321B9">
            <w:pPr>
              <w:rPr>
                <w:rFonts w:cstheme="minorHAnsi"/>
                <w:sz w:val="16"/>
                <w:szCs w:val="16"/>
              </w:rPr>
            </w:pPr>
            <w:r w:rsidRPr="008B6D55">
              <w:rPr>
                <w:rFonts w:cstheme="minorHAnsi"/>
                <w:sz w:val="16"/>
                <w:szCs w:val="16"/>
              </w:rPr>
              <w:t>2= yes, prevailing solvency rules are adequate</w:t>
            </w:r>
          </w:p>
          <w:p w14:paraId="3254D210" w14:textId="77777777" w:rsidR="000E5A8F" w:rsidRPr="008B6D55" w:rsidRDefault="000E5A8F" w:rsidP="009321B9">
            <w:pPr>
              <w:rPr>
                <w:rFonts w:cstheme="minorHAnsi"/>
                <w:sz w:val="16"/>
                <w:szCs w:val="16"/>
              </w:rPr>
            </w:pPr>
            <w:r w:rsidRPr="008B6D55">
              <w:rPr>
                <w:rFonts w:cstheme="minorHAnsi"/>
                <w:sz w:val="16"/>
                <w:szCs w:val="16"/>
              </w:rPr>
              <w:t>3 = no, prevailing rules are not adequate</w:t>
            </w:r>
          </w:p>
        </w:tc>
      </w:tr>
      <w:tr w:rsidR="000E5A8F" w:rsidRPr="008B6D55" w14:paraId="6D50DD12" w14:textId="77777777" w:rsidTr="000E5A8F">
        <w:tc>
          <w:tcPr>
            <w:tcW w:w="851" w:type="dxa"/>
            <w:shd w:val="clear" w:color="auto" w:fill="auto"/>
          </w:tcPr>
          <w:p w14:paraId="05871384" w14:textId="77777777" w:rsidR="000E5A8F" w:rsidRPr="008B6D55" w:rsidRDefault="000E5A8F" w:rsidP="009321B9">
            <w:pPr>
              <w:rPr>
                <w:rFonts w:cstheme="minorHAnsi"/>
                <w:sz w:val="16"/>
                <w:szCs w:val="16"/>
              </w:rPr>
            </w:pPr>
            <w:r w:rsidRPr="008B6D55">
              <w:rPr>
                <w:rFonts w:cstheme="minorHAnsi"/>
                <w:sz w:val="16"/>
                <w:szCs w:val="16"/>
              </w:rPr>
              <w:t>25</w:t>
            </w:r>
          </w:p>
        </w:tc>
        <w:tc>
          <w:tcPr>
            <w:tcW w:w="4394" w:type="dxa"/>
            <w:shd w:val="clear" w:color="auto" w:fill="auto"/>
          </w:tcPr>
          <w:p w14:paraId="2A045BD6"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Do you anticipate competitive distortions emanating from the application of different solvency regimes between insurance companies and IORPs subject to Article 17? Please specify.</w:t>
            </w:r>
          </w:p>
          <w:p w14:paraId="0443F304" w14:textId="77777777" w:rsidR="000E5A8F" w:rsidRPr="008B6D55" w:rsidRDefault="000E5A8F" w:rsidP="009321B9">
            <w:pPr>
              <w:rPr>
                <w:rFonts w:eastAsiaTheme="minorEastAsia" w:cstheme="minorHAnsi"/>
                <w:b/>
                <w:sz w:val="16"/>
                <w:szCs w:val="16"/>
              </w:rPr>
            </w:pPr>
          </w:p>
        </w:tc>
        <w:tc>
          <w:tcPr>
            <w:tcW w:w="5103" w:type="dxa"/>
            <w:shd w:val="clear" w:color="auto" w:fill="auto"/>
          </w:tcPr>
          <w:p w14:paraId="3DCEA4DD" w14:textId="77777777" w:rsidR="000E5A8F" w:rsidRPr="008B6D55" w:rsidRDefault="000E5A8F" w:rsidP="009321B9">
            <w:pPr>
              <w:rPr>
                <w:rFonts w:cstheme="minorHAnsi"/>
                <w:sz w:val="16"/>
                <w:szCs w:val="16"/>
              </w:rPr>
            </w:pPr>
            <w:r w:rsidRPr="008B6D55">
              <w:rPr>
                <w:rFonts w:cstheme="minorHAnsi"/>
                <w:sz w:val="16"/>
                <w:szCs w:val="16"/>
              </w:rPr>
              <w:t>1 = n/a</w:t>
            </w:r>
          </w:p>
          <w:p w14:paraId="3B9785E8" w14:textId="77777777" w:rsidR="000E5A8F" w:rsidRPr="008B6D55" w:rsidRDefault="000E5A8F" w:rsidP="009321B9">
            <w:pPr>
              <w:rPr>
                <w:rFonts w:cstheme="minorHAnsi"/>
                <w:sz w:val="16"/>
                <w:szCs w:val="16"/>
              </w:rPr>
            </w:pPr>
            <w:r w:rsidRPr="008B6D55">
              <w:rPr>
                <w:rFonts w:cstheme="minorHAnsi"/>
                <w:sz w:val="16"/>
                <w:szCs w:val="16"/>
              </w:rPr>
              <w:t>2 = no, we do not anticipate distortions</w:t>
            </w:r>
          </w:p>
          <w:p w14:paraId="3EF8E408" w14:textId="77777777" w:rsidR="000E5A8F" w:rsidRPr="008B6D55" w:rsidRDefault="000E5A8F" w:rsidP="009321B9">
            <w:pPr>
              <w:rPr>
                <w:rFonts w:cstheme="minorHAnsi"/>
                <w:sz w:val="16"/>
                <w:szCs w:val="16"/>
              </w:rPr>
            </w:pPr>
            <w:r w:rsidRPr="008B6D55">
              <w:rPr>
                <w:rFonts w:cstheme="minorHAnsi"/>
                <w:sz w:val="16"/>
                <w:szCs w:val="16"/>
              </w:rPr>
              <w:t>3 = yes, we do anticipate distortions</w:t>
            </w:r>
          </w:p>
        </w:tc>
      </w:tr>
      <w:tr w:rsidR="000E5A8F" w:rsidRPr="008B6D55" w14:paraId="471E63B6" w14:textId="77777777" w:rsidTr="000E5A8F">
        <w:tc>
          <w:tcPr>
            <w:tcW w:w="851" w:type="dxa"/>
            <w:shd w:val="clear" w:color="auto" w:fill="auto"/>
          </w:tcPr>
          <w:p w14:paraId="523DF765" w14:textId="77777777" w:rsidR="000E5A8F" w:rsidRPr="008B6D55" w:rsidRDefault="000E5A8F" w:rsidP="009321B9">
            <w:pPr>
              <w:rPr>
                <w:rFonts w:cstheme="minorHAnsi"/>
                <w:sz w:val="16"/>
                <w:szCs w:val="16"/>
              </w:rPr>
            </w:pPr>
            <w:r w:rsidRPr="008B6D55">
              <w:rPr>
                <w:rFonts w:cstheme="minorHAnsi"/>
                <w:sz w:val="16"/>
                <w:szCs w:val="16"/>
              </w:rPr>
              <w:t>26</w:t>
            </w:r>
          </w:p>
        </w:tc>
        <w:tc>
          <w:tcPr>
            <w:tcW w:w="4394" w:type="dxa"/>
            <w:shd w:val="clear" w:color="auto" w:fill="auto"/>
          </w:tcPr>
          <w:p w14:paraId="2E48C146"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To what extent do you consider greater harmonisation within the</w:t>
            </w:r>
          </w:p>
          <w:p w14:paraId="382B5D44"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EU in this field or in individual elements of the valuation of technical</w:t>
            </w:r>
          </w:p>
          <w:p w14:paraId="72A5D470"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provisions possible or necessary for IORPs operating on a cross-border basis?</w:t>
            </w:r>
          </w:p>
          <w:p w14:paraId="5ED3CB9D" w14:textId="77777777" w:rsidR="000E5A8F" w:rsidRPr="008B6D55" w:rsidRDefault="000E5A8F" w:rsidP="009321B9">
            <w:pPr>
              <w:rPr>
                <w:rFonts w:eastAsiaTheme="minorEastAsia" w:cstheme="minorHAnsi"/>
                <w:b/>
                <w:sz w:val="16"/>
                <w:szCs w:val="16"/>
              </w:rPr>
            </w:pPr>
          </w:p>
        </w:tc>
        <w:tc>
          <w:tcPr>
            <w:tcW w:w="5103" w:type="dxa"/>
            <w:shd w:val="clear" w:color="auto" w:fill="auto"/>
          </w:tcPr>
          <w:p w14:paraId="7E373AD8" w14:textId="77777777" w:rsidR="000E5A8F" w:rsidRPr="008B6D55" w:rsidRDefault="000E5A8F" w:rsidP="009321B9">
            <w:pPr>
              <w:rPr>
                <w:rFonts w:cstheme="minorHAnsi"/>
                <w:sz w:val="16"/>
                <w:szCs w:val="16"/>
              </w:rPr>
            </w:pPr>
            <w:r w:rsidRPr="008B6D55">
              <w:rPr>
                <w:rFonts w:cstheme="minorHAnsi"/>
                <w:sz w:val="16"/>
                <w:szCs w:val="16"/>
              </w:rPr>
              <w:t>1 = n/a</w:t>
            </w:r>
          </w:p>
          <w:p w14:paraId="27D9777E" w14:textId="77777777" w:rsidR="000E5A8F" w:rsidRPr="008B6D55" w:rsidRDefault="000E5A8F" w:rsidP="009321B9">
            <w:pPr>
              <w:rPr>
                <w:rFonts w:cstheme="minorHAnsi"/>
                <w:sz w:val="16"/>
                <w:szCs w:val="16"/>
              </w:rPr>
            </w:pPr>
            <w:r w:rsidRPr="008B6D55">
              <w:rPr>
                <w:rFonts w:cstheme="minorHAnsi"/>
                <w:sz w:val="16"/>
                <w:szCs w:val="16"/>
              </w:rPr>
              <w:t>2 = greater harmonization within the EU is not possible  / not necessary</w:t>
            </w:r>
          </w:p>
          <w:p w14:paraId="5CC9DC89" w14:textId="77777777" w:rsidR="000E5A8F" w:rsidRPr="008B6D55" w:rsidRDefault="000E5A8F" w:rsidP="009321B9">
            <w:pPr>
              <w:rPr>
                <w:rFonts w:cstheme="minorHAnsi"/>
                <w:sz w:val="16"/>
                <w:szCs w:val="16"/>
              </w:rPr>
            </w:pPr>
            <w:r w:rsidRPr="008B6D55">
              <w:rPr>
                <w:rFonts w:cstheme="minorHAnsi"/>
                <w:sz w:val="16"/>
                <w:szCs w:val="16"/>
              </w:rPr>
              <w:t>3 = greater harmonization within the EU is possible  / is necessary</w:t>
            </w:r>
          </w:p>
        </w:tc>
      </w:tr>
      <w:tr w:rsidR="000E5A8F" w:rsidRPr="008B6D55" w14:paraId="0C3D28D6" w14:textId="77777777" w:rsidTr="000E5A8F">
        <w:tc>
          <w:tcPr>
            <w:tcW w:w="851" w:type="dxa"/>
            <w:shd w:val="clear" w:color="auto" w:fill="auto"/>
          </w:tcPr>
          <w:p w14:paraId="73E42531" w14:textId="77777777" w:rsidR="000E5A8F" w:rsidRPr="008B6D55" w:rsidRDefault="000E5A8F" w:rsidP="009321B9">
            <w:pPr>
              <w:rPr>
                <w:rFonts w:cstheme="minorHAnsi"/>
                <w:sz w:val="16"/>
                <w:szCs w:val="16"/>
              </w:rPr>
            </w:pPr>
            <w:r w:rsidRPr="008B6D55">
              <w:rPr>
                <w:rFonts w:cstheme="minorHAnsi"/>
                <w:sz w:val="16"/>
                <w:szCs w:val="16"/>
              </w:rPr>
              <w:t>27</w:t>
            </w:r>
          </w:p>
        </w:tc>
        <w:tc>
          <w:tcPr>
            <w:tcW w:w="4394" w:type="dxa"/>
            <w:shd w:val="clear" w:color="auto" w:fill="auto"/>
          </w:tcPr>
          <w:p w14:paraId="1273AE1B"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To what extent are the differences in solvency rules for IORPs</w:t>
            </w:r>
          </w:p>
          <w:p w14:paraId="7AEB0B76"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operating on a cross-border basis acting as an obstacle towards cross border</w:t>
            </w:r>
          </w:p>
          <w:p w14:paraId="26239CE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activity of occupational pensions?</w:t>
            </w:r>
          </w:p>
          <w:p w14:paraId="3F4777FA" w14:textId="77777777" w:rsidR="000E5A8F" w:rsidRPr="008B6D55" w:rsidRDefault="000E5A8F" w:rsidP="009321B9">
            <w:pPr>
              <w:widowControl w:val="0"/>
              <w:autoSpaceDE w:val="0"/>
              <w:autoSpaceDN w:val="0"/>
              <w:adjustRightInd w:val="0"/>
              <w:rPr>
                <w:rFonts w:eastAsiaTheme="minorEastAsia" w:cstheme="minorHAnsi"/>
                <w:b/>
                <w:sz w:val="16"/>
                <w:szCs w:val="16"/>
              </w:rPr>
            </w:pPr>
          </w:p>
        </w:tc>
        <w:tc>
          <w:tcPr>
            <w:tcW w:w="5103" w:type="dxa"/>
            <w:shd w:val="clear" w:color="auto" w:fill="auto"/>
          </w:tcPr>
          <w:p w14:paraId="33D289CA" w14:textId="77777777" w:rsidR="000E5A8F" w:rsidRPr="008B6D55" w:rsidRDefault="000E5A8F" w:rsidP="009321B9">
            <w:pPr>
              <w:rPr>
                <w:rFonts w:cstheme="minorHAnsi"/>
                <w:sz w:val="16"/>
                <w:szCs w:val="16"/>
              </w:rPr>
            </w:pPr>
            <w:r w:rsidRPr="008B6D55">
              <w:rPr>
                <w:rFonts w:cstheme="minorHAnsi"/>
                <w:sz w:val="16"/>
                <w:szCs w:val="16"/>
              </w:rPr>
              <w:t>1 = n/a</w:t>
            </w:r>
          </w:p>
          <w:p w14:paraId="2EFCC74D"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cstheme="minorHAnsi"/>
                <w:sz w:val="16"/>
                <w:szCs w:val="16"/>
              </w:rPr>
              <w:t xml:space="preserve">2 = </w:t>
            </w:r>
            <w:r w:rsidRPr="008B6D55">
              <w:rPr>
                <w:rFonts w:eastAsiaTheme="minorEastAsia" w:cstheme="minorHAnsi"/>
                <w:sz w:val="16"/>
                <w:szCs w:val="16"/>
              </w:rPr>
              <w:t>differences in solvency rules for IORPs operating on a cross-border basis do not act as an obstacle</w:t>
            </w:r>
          </w:p>
          <w:p w14:paraId="3276A24D"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 = differences in solvency rules for IORPs operating on a cross-border basis do act as an obstacle</w:t>
            </w:r>
          </w:p>
        </w:tc>
      </w:tr>
      <w:tr w:rsidR="000E5A8F" w:rsidRPr="008B6D55" w14:paraId="6356C54B" w14:textId="77777777" w:rsidTr="000E5A8F">
        <w:tc>
          <w:tcPr>
            <w:tcW w:w="851" w:type="dxa"/>
            <w:shd w:val="clear" w:color="auto" w:fill="auto"/>
          </w:tcPr>
          <w:p w14:paraId="21544A73" w14:textId="77777777" w:rsidR="000E5A8F" w:rsidRPr="008B6D55" w:rsidRDefault="000E5A8F" w:rsidP="009321B9">
            <w:pPr>
              <w:rPr>
                <w:rFonts w:cstheme="minorHAnsi"/>
                <w:sz w:val="16"/>
                <w:szCs w:val="16"/>
              </w:rPr>
            </w:pPr>
            <w:r w:rsidRPr="008B6D55">
              <w:rPr>
                <w:rFonts w:cstheme="minorHAnsi"/>
                <w:sz w:val="16"/>
                <w:szCs w:val="16"/>
              </w:rPr>
              <w:t>28</w:t>
            </w:r>
          </w:p>
        </w:tc>
        <w:tc>
          <w:tcPr>
            <w:tcW w:w="4394" w:type="dxa"/>
            <w:shd w:val="clear" w:color="auto" w:fill="auto"/>
          </w:tcPr>
          <w:p w14:paraId="39B8D3CD"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Is there any evidence of i) regulatory arbitrage by IORPs operating on a cross-border basis, and/or ii) supervisory competition between Member States? If so, please give examples.</w:t>
            </w:r>
          </w:p>
          <w:p w14:paraId="02A237E4" w14:textId="77777777" w:rsidR="000E5A8F" w:rsidRPr="008B6D55" w:rsidRDefault="000E5A8F" w:rsidP="009321B9">
            <w:pPr>
              <w:rPr>
                <w:rFonts w:eastAsiaTheme="minorEastAsia" w:cstheme="minorHAnsi"/>
                <w:b/>
                <w:sz w:val="16"/>
                <w:szCs w:val="16"/>
              </w:rPr>
            </w:pPr>
          </w:p>
        </w:tc>
        <w:tc>
          <w:tcPr>
            <w:tcW w:w="5103" w:type="dxa"/>
            <w:shd w:val="clear" w:color="auto" w:fill="auto"/>
          </w:tcPr>
          <w:p w14:paraId="2446E632" w14:textId="77777777" w:rsidR="000E5A8F" w:rsidRPr="008B6D55" w:rsidRDefault="000E5A8F" w:rsidP="009321B9">
            <w:pPr>
              <w:rPr>
                <w:rFonts w:cstheme="minorHAnsi"/>
                <w:sz w:val="16"/>
                <w:szCs w:val="16"/>
              </w:rPr>
            </w:pPr>
            <w:r w:rsidRPr="008B6D55">
              <w:rPr>
                <w:rFonts w:cstheme="minorHAnsi"/>
                <w:sz w:val="16"/>
                <w:szCs w:val="16"/>
              </w:rPr>
              <w:t>1 = n/a</w:t>
            </w:r>
          </w:p>
          <w:p w14:paraId="4EF9C0C4" w14:textId="77777777" w:rsidR="000E5A8F" w:rsidRPr="008B6D55" w:rsidRDefault="000E5A8F" w:rsidP="009321B9">
            <w:pPr>
              <w:rPr>
                <w:rFonts w:cstheme="minorHAnsi"/>
                <w:sz w:val="16"/>
                <w:szCs w:val="16"/>
              </w:rPr>
            </w:pPr>
            <w:r w:rsidRPr="008B6D55">
              <w:rPr>
                <w:rFonts w:cstheme="minorHAnsi"/>
                <w:sz w:val="16"/>
                <w:szCs w:val="16"/>
              </w:rPr>
              <w:t>2 = no, there is no evidence of arbitrage</w:t>
            </w:r>
          </w:p>
          <w:p w14:paraId="5E64FD50" w14:textId="77777777" w:rsidR="000E5A8F" w:rsidRPr="008B6D55" w:rsidRDefault="000E5A8F" w:rsidP="009321B9">
            <w:pPr>
              <w:rPr>
                <w:rFonts w:cstheme="minorHAnsi"/>
                <w:sz w:val="16"/>
                <w:szCs w:val="16"/>
              </w:rPr>
            </w:pPr>
            <w:r w:rsidRPr="008B6D55">
              <w:rPr>
                <w:rFonts w:cstheme="minorHAnsi"/>
                <w:sz w:val="16"/>
                <w:szCs w:val="16"/>
              </w:rPr>
              <w:t>3 = yes, there is evidence of arbitrage</w:t>
            </w:r>
          </w:p>
        </w:tc>
      </w:tr>
      <w:tr w:rsidR="000E5A8F" w:rsidRPr="008B6D55" w14:paraId="79A701B5" w14:textId="77777777" w:rsidTr="000E5A8F">
        <w:tc>
          <w:tcPr>
            <w:tcW w:w="10348" w:type="dxa"/>
            <w:gridSpan w:val="3"/>
            <w:shd w:val="clear" w:color="auto" w:fill="auto"/>
          </w:tcPr>
          <w:p w14:paraId="12DBC948" w14:textId="77777777" w:rsidR="000E5A8F" w:rsidRPr="008B6D55" w:rsidRDefault="000E5A8F" w:rsidP="009321B9">
            <w:pPr>
              <w:rPr>
                <w:rFonts w:cstheme="minorHAnsi"/>
                <w:sz w:val="16"/>
                <w:szCs w:val="16"/>
              </w:rPr>
            </w:pPr>
          </w:p>
          <w:p w14:paraId="14C58C60" w14:textId="77777777" w:rsidR="000E5A8F" w:rsidRPr="008B6D55" w:rsidRDefault="000E5A8F" w:rsidP="009321B9">
            <w:pPr>
              <w:rPr>
                <w:rFonts w:cstheme="minorHAnsi"/>
                <w:sz w:val="16"/>
                <w:szCs w:val="16"/>
              </w:rPr>
            </w:pPr>
            <w:r w:rsidRPr="008B6D55">
              <w:rPr>
                <w:rFonts w:cstheme="minorHAnsi"/>
                <w:sz w:val="16"/>
                <w:szCs w:val="16"/>
              </w:rPr>
              <w:t>Consultation 4. CONSULTATION DOCUMENT ON THE LEVEL 2 IMPLEMENTING MEASURES FOR DIRECTIVE 2009/138/EC ON THE TAKING-UP AND PURSUIT OF THE BUSINESS OF INSURANCE AND REINSURANCE (SOLVENCY II)</w:t>
            </w:r>
          </w:p>
        </w:tc>
      </w:tr>
      <w:tr w:rsidR="000E5A8F" w:rsidRPr="008B6D55" w14:paraId="427540DC" w14:textId="77777777" w:rsidTr="000E5A8F">
        <w:tc>
          <w:tcPr>
            <w:tcW w:w="851" w:type="dxa"/>
          </w:tcPr>
          <w:p w14:paraId="16F97DDC" w14:textId="77777777" w:rsidR="000E5A8F" w:rsidRPr="008B6D55" w:rsidRDefault="000E5A8F" w:rsidP="009321B9">
            <w:pPr>
              <w:rPr>
                <w:rFonts w:cstheme="minorHAnsi"/>
                <w:sz w:val="16"/>
                <w:szCs w:val="16"/>
              </w:rPr>
            </w:pPr>
            <w:r w:rsidRPr="008B6D55">
              <w:rPr>
                <w:rFonts w:cstheme="minorHAnsi"/>
                <w:sz w:val="16"/>
                <w:szCs w:val="16"/>
              </w:rPr>
              <w:lastRenderedPageBreak/>
              <w:t>Issue #</w:t>
            </w:r>
          </w:p>
        </w:tc>
        <w:tc>
          <w:tcPr>
            <w:tcW w:w="4394" w:type="dxa"/>
          </w:tcPr>
          <w:p w14:paraId="7C5E1332" w14:textId="77777777" w:rsidR="000E5A8F" w:rsidRPr="008B6D55" w:rsidRDefault="000E5A8F" w:rsidP="009321B9">
            <w:pPr>
              <w:rPr>
                <w:rFonts w:cstheme="minorHAnsi"/>
                <w:b/>
                <w:sz w:val="16"/>
                <w:szCs w:val="16"/>
                <w:u w:val="single"/>
              </w:rPr>
            </w:pPr>
            <w:r w:rsidRPr="008B6D55">
              <w:rPr>
                <w:rFonts w:cstheme="minorHAnsi"/>
                <w:sz w:val="16"/>
                <w:szCs w:val="16"/>
              </w:rPr>
              <w:t>Questions</w:t>
            </w:r>
          </w:p>
        </w:tc>
        <w:tc>
          <w:tcPr>
            <w:tcW w:w="5103" w:type="dxa"/>
          </w:tcPr>
          <w:p w14:paraId="401360CC" w14:textId="77777777" w:rsidR="000E5A8F" w:rsidRPr="008B6D55" w:rsidRDefault="000E5A8F" w:rsidP="009321B9">
            <w:pPr>
              <w:rPr>
                <w:rFonts w:cstheme="minorHAnsi"/>
                <w:b/>
                <w:sz w:val="16"/>
                <w:szCs w:val="16"/>
                <w:u w:val="single"/>
              </w:rPr>
            </w:pPr>
            <w:r w:rsidRPr="008B6D55">
              <w:rPr>
                <w:rFonts w:cstheme="minorHAnsi"/>
                <w:sz w:val="16"/>
                <w:szCs w:val="16"/>
              </w:rPr>
              <w:t>Coding Rules</w:t>
            </w:r>
          </w:p>
        </w:tc>
      </w:tr>
      <w:tr w:rsidR="000E5A8F" w:rsidRPr="008B6D55" w14:paraId="7F752C88" w14:textId="77777777" w:rsidTr="000E5A8F">
        <w:tc>
          <w:tcPr>
            <w:tcW w:w="851" w:type="dxa"/>
            <w:shd w:val="clear" w:color="auto" w:fill="auto"/>
          </w:tcPr>
          <w:p w14:paraId="27460E17"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29</w:t>
            </w:r>
          </w:p>
        </w:tc>
        <w:tc>
          <w:tcPr>
            <w:tcW w:w="4394" w:type="dxa"/>
            <w:shd w:val="clear" w:color="auto" w:fill="auto"/>
          </w:tcPr>
          <w:p w14:paraId="45975DD9"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 Technical provisions – best estimate – risk free interest rate curve</w:t>
            </w:r>
          </w:p>
        </w:tc>
        <w:tc>
          <w:tcPr>
            <w:tcW w:w="5103" w:type="dxa"/>
            <w:shd w:val="clear" w:color="auto" w:fill="auto"/>
          </w:tcPr>
          <w:p w14:paraId="5AF83156"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7E899278"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7EC50AD0"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683CCC44"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03A3CB79" w14:textId="77777777" w:rsidTr="000E5A8F">
        <w:tc>
          <w:tcPr>
            <w:tcW w:w="851" w:type="dxa"/>
            <w:shd w:val="clear" w:color="auto" w:fill="auto"/>
          </w:tcPr>
          <w:p w14:paraId="4D3A69D2"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30</w:t>
            </w:r>
          </w:p>
        </w:tc>
        <w:tc>
          <w:tcPr>
            <w:tcW w:w="4394" w:type="dxa"/>
            <w:shd w:val="clear" w:color="auto" w:fill="auto"/>
          </w:tcPr>
          <w:p w14:paraId="54FA866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2A. Technical provisions – risk margin – Cost of Capital rate</w:t>
            </w:r>
          </w:p>
        </w:tc>
        <w:tc>
          <w:tcPr>
            <w:tcW w:w="5103" w:type="dxa"/>
            <w:shd w:val="clear" w:color="auto" w:fill="auto"/>
          </w:tcPr>
          <w:p w14:paraId="2A036448"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5F2AD47A"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0926409D"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1B8976EB"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21FF4284" w14:textId="77777777" w:rsidTr="000E5A8F">
        <w:tc>
          <w:tcPr>
            <w:tcW w:w="851" w:type="dxa"/>
            <w:shd w:val="clear" w:color="auto" w:fill="auto"/>
          </w:tcPr>
          <w:p w14:paraId="3DC199F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31</w:t>
            </w:r>
          </w:p>
        </w:tc>
        <w:tc>
          <w:tcPr>
            <w:tcW w:w="4394" w:type="dxa"/>
            <w:shd w:val="clear" w:color="auto" w:fill="auto"/>
          </w:tcPr>
          <w:p w14:paraId="473CEE6D"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2B. Technical provisions – risk margin – diversification</w:t>
            </w:r>
          </w:p>
        </w:tc>
        <w:tc>
          <w:tcPr>
            <w:tcW w:w="5103" w:type="dxa"/>
            <w:shd w:val="clear" w:color="auto" w:fill="auto"/>
          </w:tcPr>
          <w:p w14:paraId="0793A6F0"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467808C6"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05F567A1"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32953AD8"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3BF166F6" w14:textId="77777777" w:rsidTr="000E5A8F">
        <w:tc>
          <w:tcPr>
            <w:tcW w:w="851" w:type="dxa"/>
            <w:shd w:val="clear" w:color="auto" w:fill="auto"/>
          </w:tcPr>
          <w:p w14:paraId="58A797D2"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32</w:t>
            </w:r>
          </w:p>
        </w:tc>
        <w:tc>
          <w:tcPr>
            <w:tcW w:w="4394" w:type="dxa"/>
            <w:shd w:val="clear" w:color="auto" w:fill="auto"/>
          </w:tcPr>
          <w:p w14:paraId="30783346"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 Own funds – quantitative limits for SCR and MCR</w:t>
            </w:r>
          </w:p>
        </w:tc>
        <w:tc>
          <w:tcPr>
            <w:tcW w:w="5103" w:type="dxa"/>
            <w:shd w:val="clear" w:color="auto" w:fill="auto"/>
          </w:tcPr>
          <w:p w14:paraId="0E53D20F"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40AE43D2"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786C95DE"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78BE69E5"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3C3FA8B0" w14:textId="77777777" w:rsidTr="000E5A8F">
        <w:tc>
          <w:tcPr>
            <w:tcW w:w="851" w:type="dxa"/>
            <w:shd w:val="clear" w:color="auto" w:fill="auto"/>
          </w:tcPr>
          <w:p w14:paraId="3707AD15"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33</w:t>
            </w:r>
          </w:p>
        </w:tc>
        <w:tc>
          <w:tcPr>
            <w:tcW w:w="4394" w:type="dxa"/>
            <w:shd w:val="clear" w:color="auto" w:fill="auto"/>
          </w:tcPr>
          <w:p w14:paraId="3C87BD92"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 Procyclicality – Pillar II dampener</w:t>
            </w:r>
          </w:p>
        </w:tc>
        <w:tc>
          <w:tcPr>
            <w:tcW w:w="5103" w:type="dxa"/>
            <w:shd w:val="clear" w:color="auto" w:fill="auto"/>
          </w:tcPr>
          <w:p w14:paraId="3E8053B2"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5C179C58"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10D5BD27"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72C64B32"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525CC82D" w14:textId="77777777" w:rsidTr="000E5A8F">
        <w:tc>
          <w:tcPr>
            <w:tcW w:w="851" w:type="dxa"/>
            <w:shd w:val="clear" w:color="auto" w:fill="auto"/>
          </w:tcPr>
          <w:p w14:paraId="71373496"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34</w:t>
            </w:r>
          </w:p>
        </w:tc>
        <w:tc>
          <w:tcPr>
            <w:tcW w:w="4394" w:type="dxa"/>
            <w:shd w:val="clear" w:color="auto" w:fill="auto"/>
          </w:tcPr>
          <w:p w14:paraId="6DE957B9"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5. Supervisory reporting – content, form, and modalities</w:t>
            </w:r>
          </w:p>
        </w:tc>
        <w:tc>
          <w:tcPr>
            <w:tcW w:w="5103" w:type="dxa"/>
            <w:shd w:val="clear" w:color="auto" w:fill="auto"/>
          </w:tcPr>
          <w:p w14:paraId="2BD75084"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7E38989D"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5C43B5DF"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2CA50926"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5D84E1A1" w14:textId="77777777" w:rsidTr="000E5A8F">
        <w:tc>
          <w:tcPr>
            <w:tcW w:w="851" w:type="dxa"/>
            <w:shd w:val="clear" w:color="auto" w:fill="auto"/>
          </w:tcPr>
          <w:p w14:paraId="4C784A3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35</w:t>
            </w:r>
          </w:p>
        </w:tc>
        <w:tc>
          <w:tcPr>
            <w:tcW w:w="4394" w:type="dxa"/>
            <w:shd w:val="clear" w:color="auto" w:fill="auto"/>
          </w:tcPr>
          <w:p w14:paraId="3DC471C8"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6. Public disclosure – content, form, and modalities</w:t>
            </w:r>
          </w:p>
        </w:tc>
        <w:tc>
          <w:tcPr>
            <w:tcW w:w="5103" w:type="dxa"/>
            <w:shd w:val="clear" w:color="auto" w:fill="auto"/>
          </w:tcPr>
          <w:p w14:paraId="344DCFE9"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282DF7B6"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0684C156"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2DF9A6E8"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04A28BB8" w14:textId="77777777" w:rsidTr="000E5A8F">
        <w:tc>
          <w:tcPr>
            <w:tcW w:w="851" w:type="dxa"/>
            <w:shd w:val="clear" w:color="auto" w:fill="auto"/>
          </w:tcPr>
          <w:p w14:paraId="4DD0C50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36</w:t>
            </w:r>
          </w:p>
        </w:tc>
        <w:tc>
          <w:tcPr>
            <w:tcW w:w="4394" w:type="dxa"/>
            <w:shd w:val="clear" w:color="auto" w:fill="auto"/>
          </w:tcPr>
          <w:p w14:paraId="5D23EB85"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7. Treatment of holdings in participations and subsidiaries</w:t>
            </w:r>
          </w:p>
        </w:tc>
        <w:tc>
          <w:tcPr>
            <w:tcW w:w="5103" w:type="dxa"/>
            <w:shd w:val="clear" w:color="auto" w:fill="auto"/>
          </w:tcPr>
          <w:p w14:paraId="460F33D1"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5043C559"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52F6BACD"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5E6931A6"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5277917D" w14:textId="77777777" w:rsidTr="000E5A8F">
        <w:tc>
          <w:tcPr>
            <w:tcW w:w="851" w:type="dxa"/>
            <w:shd w:val="clear" w:color="auto" w:fill="auto"/>
          </w:tcPr>
          <w:p w14:paraId="6AD6C039"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37</w:t>
            </w:r>
          </w:p>
        </w:tc>
        <w:tc>
          <w:tcPr>
            <w:tcW w:w="4394" w:type="dxa"/>
            <w:shd w:val="clear" w:color="auto" w:fill="auto"/>
          </w:tcPr>
          <w:p w14:paraId="4B993541"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8. SCR standard formula – equity risk – Pillar 2 dampener</w:t>
            </w:r>
          </w:p>
        </w:tc>
        <w:tc>
          <w:tcPr>
            <w:tcW w:w="5103" w:type="dxa"/>
            <w:shd w:val="clear" w:color="auto" w:fill="auto"/>
          </w:tcPr>
          <w:p w14:paraId="4F9CE3D7"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50DD9827"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60230355"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3A43B4B0"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33E5C06B" w14:textId="77777777" w:rsidTr="000E5A8F">
        <w:tc>
          <w:tcPr>
            <w:tcW w:w="851" w:type="dxa"/>
            <w:shd w:val="clear" w:color="auto" w:fill="auto"/>
          </w:tcPr>
          <w:p w14:paraId="5015422C"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38</w:t>
            </w:r>
          </w:p>
        </w:tc>
        <w:tc>
          <w:tcPr>
            <w:tcW w:w="4394" w:type="dxa"/>
            <w:shd w:val="clear" w:color="auto" w:fill="auto"/>
          </w:tcPr>
          <w:p w14:paraId="5A98830D"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9. SCR standard formula – loss-absorbing capacity of technical provisions</w:t>
            </w:r>
          </w:p>
        </w:tc>
        <w:tc>
          <w:tcPr>
            <w:tcW w:w="5103" w:type="dxa"/>
            <w:shd w:val="clear" w:color="auto" w:fill="auto"/>
          </w:tcPr>
          <w:p w14:paraId="27E8673C"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19CD36A6"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70B64D94"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1CCB075A"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28D464A2" w14:textId="77777777" w:rsidTr="000E5A8F">
        <w:tc>
          <w:tcPr>
            <w:tcW w:w="851" w:type="dxa"/>
            <w:shd w:val="clear" w:color="auto" w:fill="auto"/>
          </w:tcPr>
          <w:p w14:paraId="10138F9B"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39</w:t>
            </w:r>
          </w:p>
        </w:tc>
        <w:tc>
          <w:tcPr>
            <w:tcW w:w="4394" w:type="dxa"/>
            <w:shd w:val="clear" w:color="auto" w:fill="auto"/>
          </w:tcPr>
          <w:p w14:paraId="5978F2C4"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10A. SCR standard formula – diversification effects – correlation parameters</w:t>
            </w:r>
          </w:p>
        </w:tc>
        <w:tc>
          <w:tcPr>
            <w:tcW w:w="5103" w:type="dxa"/>
            <w:shd w:val="clear" w:color="auto" w:fill="auto"/>
          </w:tcPr>
          <w:p w14:paraId="100631A8"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58ABB573"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4E5CD830"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5ADE9A5A"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627F0602" w14:textId="77777777" w:rsidTr="000E5A8F">
        <w:tc>
          <w:tcPr>
            <w:tcW w:w="851" w:type="dxa"/>
            <w:shd w:val="clear" w:color="auto" w:fill="auto"/>
          </w:tcPr>
          <w:p w14:paraId="772570F1"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40</w:t>
            </w:r>
          </w:p>
        </w:tc>
        <w:tc>
          <w:tcPr>
            <w:tcW w:w="4394" w:type="dxa"/>
            <w:shd w:val="clear" w:color="auto" w:fill="auto"/>
          </w:tcPr>
          <w:p w14:paraId="726AC270"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10B. SCR standard formula – diversification effects – geographical diversification</w:t>
            </w:r>
          </w:p>
        </w:tc>
        <w:tc>
          <w:tcPr>
            <w:tcW w:w="5103" w:type="dxa"/>
            <w:shd w:val="clear" w:color="auto" w:fill="auto"/>
          </w:tcPr>
          <w:p w14:paraId="04B22A51"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420E20FE"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331499A0"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38565170"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4D2CA373" w14:textId="77777777" w:rsidTr="000E5A8F">
        <w:tc>
          <w:tcPr>
            <w:tcW w:w="851" w:type="dxa"/>
            <w:shd w:val="clear" w:color="auto" w:fill="auto"/>
          </w:tcPr>
          <w:p w14:paraId="3E167024"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41</w:t>
            </w:r>
          </w:p>
        </w:tc>
        <w:tc>
          <w:tcPr>
            <w:tcW w:w="4394" w:type="dxa"/>
            <w:shd w:val="clear" w:color="auto" w:fill="auto"/>
          </w:tcPr>
          <w:p w14:paraId="7DD8E0C1"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11. SCR internal models – integration of partial internal models</w:t>
            </w:r>
          </w:p>
        </w:tc>
        <w:tc>
          <w:tcPr>
            <w:tcW w:w="5103" w:type="dxa"/>
            <w:shd w:val="clear" w:color="auto" w:fill="auto"/>
          </w:tcPr>
          <w:p w14:paraId="0433377D"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3BE47520"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466E27BD"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0AF752B5"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59B358DD" w14:textId="77777777" w:rsidTr="000E5A8F">
        <w:tc>
          <w:tcPr>
            <w:tcW w:w="851" w:type="dxa"/>
            <w:shd w:val="clear" w:color="auto" w:fill="auto"/>
          </w:tcPr>
          <w:p w14:paraId="4487475F"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42</w:t>
            </w:r>
          </w:p>
        </w:tc>
        <w:tc>
          <w:tcPr>
            <w:tcW w:w="4394" w:type="dxa"/>
            <w:shd w:val="clear" w:color="auto" w:fill="auto"/>
          </w:tcPr>
          <w:p w14:paraId="14C9E420"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 xml:space="preserve">12A. SCR standard formula – underwriting risk (other than catastrophe risk) arising from non-life insurance obligations </w:t>
            </w:r>
          </w:p>
        </w:tc>
        <w:tc>
          <w:tcPr>
            <w:tcW w:w="5103" w:type="dxa"/>
            <w:shd w:val="clear" w:color="auto" w:fill="auto"/>
          </w:tcPr>
          <w:p w14:paraId="20416696"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08093C7F"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656289DC"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104F9FD5"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6200BA99" w14:textId="77777777" w:rsidTr="000E5A8F">
        <w:tc>
          <w:tcPr>
            <w:tcW w:w="851" w:type="dxa"/>
            <w:shd w:val="clear" w:color="auto" w:fill="auto"/>
          </w:tcPr>
          <w:p w14:paraId="5064EFC0"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43</w:t>
            </w:r>
          </w:p>
        </w:tc>
        <w:tc>
          <w:tcPr>
            <w:tcW w:w="4394" w:type="dxa"/>
            <w:shd w:val="clear" w:color="auto" w:fill="auto"/>
          </w:tcPr>
          <w:p w14:paraId="4B4E6DF1"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12B. SCR standard formula – underwriting risk (other than catastrophe risk) arising from life insurance obligations</w:t>
            </w:r>
          </w:p>
        </w:tc>
        <w:tc>
          <w:tcPr>
            <w:tcW w:w="5103" w:type="dxa"/>
            <w:shd w:val="clear" w:color="auto" w:fill="auto"/>
          </w:tcPr>
          <w:p w14:paraId="1ADCA48C"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1DA15B37"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523503FA"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56E67419"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49669026" w14:textId="77777777" w:rsidTr="000E5A8F">
        <w:tc>
          <w:tcPr>
            <w:tcW w:w="851" w:type="dxa"/>
            <w:shd w:val="clear" w:color="auto" w:fill="auto"/>
          </w:tcPr>
          <w:p w14:paraId="51035F6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44</w:t>
            </w:r>
          </w:p>
        </w:tc>
        <w:tc>
          <w:tcPr>
            <w:tcW w:w="4394" w:type="dxa"/>
            <w:shd w:val="clear" w:color="auto" w:fill="auto"/>
          </w:tcPr>
          <w:p w14:paraId="09704B90"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12C. SCR standard formula – underwriting catastrophe risk arising from obligations</w:t>
            </w:r>
          </w:p>
        </w:tc>
        <w:tc>
          <w:tcPr>
            <w:tcW w:w="5103" w:type="dxa"/>
            <w:shd w:val="clear" w:color="auto" w:fill="auto"/>
          </w:tcPr>
          <w:p w14:paraId="340F95ED"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54F76AEE"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32CE1164"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267DF682"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39837E35" w14:textId="77777777" w:rsidTr="000E5A8F">
        <w:tc>
          <w:tcPr>
            <w:tcW w:w="851" w:type="dxa"/>
            <w:shd w:val="clear" w:color="auto" w:fill="auto"/>
          </w:tcPr>
          <w:p w14:paraId="7EB4E11C"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45</w:t>
            </w:r>
          </w:p>
        </w:tc>
        <w:tc>
          <w:tcPr>
            <w:tcW w:w="4394" w:type="dxa"/>
            <w:shd w:val="clear" w:color="auto" w:fill="auto"/>
          </w:tcPr>
          <w:p w14:paraId="7C2CF12B"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13. SCR internal models – use test</w:t>
            </w:r>
          </w:p>
        </w:tc>
        <w:tc>
          <w:tcPr>
            <w:tcW w:w="5103" w:type="dxa"/>
            <w:shd w:val="clear" w:color="auto" w:fill="auto"/>
          </w:tcPr>
          <w:p w14:paraId="632D0484"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51132C92"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67A1B71A"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41FA4706"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55AB7DD6" w14:textId="77777777" w:rsidTr="000E5A8F">
        <w:tc>
          <w:tcPr>
            <w:tcW w:w="851" w:type="dxa"/>
            <w:shd w:val="clear" w:color="auto" w:fill="auto"/>
          </w:tcPr>
          <w:p w14:paraId="048D869B"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46</w:t>
            </w:r>
          </w:p>
        </w:tc>
        <w:tc>
          <w:tcPr>
            <w:tcW w:w="4394" w:type="dxa"/>
            <w:shd w:val="clear" w:color="auto" w:fill="auto"/>
          </w:tcPr>
          <w:p w14:paraId="4471A97F"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14. SCR internal models – statistical quality standards</w:t>
            </w:r>
          </w:p>
        </w:tc>
        <w:tc>
          <w:tcPr>
            <w:tcW w:w="5103" w:type="dxa"/>
            <w:shd w:val="clear" w:color="auto" w:fill="auto"/>
          </w:tcPr>
          <w:p w14:paraId="57804806"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6F57F4AE" w14:textId="77777777" w:rsidR="000E5A8F" w:rsidRPr="008B6D55" w:rsidRDefault="000E5A8F" w:rsidP="009321B9">
            <w:pPr>
              <w:rPr>
                <w:rFonts w:cstheme="minorHAnsi"/>
                <w:sz w:val="16"/>
                <w:szCs w:val="16"/>
              </w:rPr>
            </w:pPr>
            <w:r w:rsidRPr="008B6D55">
              <w:rPr>
                <w:rFonts w:cstheme="minorHAnsi"/>
                <w:sz w:val="16"/>
                <w:szCs w:val="16"/>
              </w:rPr>
              <w:lastRenderedPageBreak/>
              <w:t>2=Support less stringent approach</w:t>
            </w:r>
          </w:p>
          <w:p w14:paraId="1C52A3A2"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295C5166"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4828DBB9" w14:textId="77777777" w:rsidTr="000E5A8F">
        <w:tc>
          <w:tcPr>
            <w:tcW w:w="851" w:type="dxa"/>
            <w:shd w:val="clear" w:color="auto" w:fill="auto"/>
          </w:tcPr>
          <w:p w14:paraId="2F075508"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lastRenderedPageBreak/>
              <w:t>47</w:t>
            </w:r>
          </w:p>
        </w:tc>
        <w:tc>
          <w:tcPr>
            <w:tcW w:w="4394" w:type="dxa"/>
            <w:shd w:val="clear" w:color="auto" w:fill="auto"/>
          </w:tcPr>
          <w:p w14:paraId="4755E906"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15. Capital Add-ons</w:t>
            </w:r>
          </w:p>
        </w:tc>
        <w:tc>
          <w:tcPr>
            <w:tcW w:w="5103" w:type="dxa"/>
            <w:shd w:val="clear" w:color="auto" w:fill="auto"/>
          </w:tcPr>
          <w:p w14:paraId="45D97235"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41FF2BBA"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753D5B8E"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4DEE4062"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37E363EA" w14:textId="77777777" w:rsidTr="000E5A8F">
        <w:tc>
          <w:tcPr>
            <w:tcW w:w="851" w:type="dxa"/>
            <w:shd w:val="clear" w:color="auto" w:fill="auto"/>
          </w:tcPr>
          <w:p w14:paraId="6282262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48</w:t>
            </w:r>
          </w:p>
        </w:tc>
        <w:tc>
          <w:tcPr>
            <w:tcW w:w="4394" w:type="dxa"/>
            <w:shd w:val="clear" w:color="auto" w:fill="auto"/>
          </w:tcPr>
          <w:p w14:paraId="35FF10EB"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16. Actuarial function</w:t>
            </w:r>
          </w:p>
        </w:tc>
        <w:tc>
          <w:tcPr>
            <w:tcW w:w="5103" w:type="dxa"/>
            <w:shd w:val="clear" w:color="auto" w:fill="auto"/>
          </w:tcPr>
          <w:p w14:paraId="1538E449"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429A80FD"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3C5333CA"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5EF6A9F7"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365F53AA" w14:textId="77777777" w:rsidTr="000E5A8F">
        <w:tc>
          <w:tcPr>
            <w:tcW w:w="851" w:type="dxa"/>
            <w:shd w:val="clear" w:color="auto" w:fill="auto"/>
          </w:tcPr>
          <w:p w14:paraId="297CD32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49</w:t>
            </w:r>
          </w:p>
        </w:tc>
        <w:tc>
          <w:tcPr>
            <w:tcW w:w="4394" w:type="dxa"/>
            <w:shd w:val="clear" w:color="auto" w:fill="auto"/>
          </w:tcPr>
          <w:p w14:paraId="34BDACD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17. Supervisory co-operation and co-ordination</w:t>
            </w:r>
          </w:p>
        </w:tc>
        <w:tc>
          <w:tcPr>
            <w:tcW w:w="5103" w:type="dxa"/>
            <w:shd w:val="clear" w:color="auto" w:fill="auto"/>
          </w:tcPr>
          <w:p w14:paraId="6B9D02AE" w14:textId="77777777" w:rsidR="000E5A8F" w:rsidRPr="008B6D55" w:rsidRDefault="000E5A8F" w:rsidP="009321B9">
            <w:pPr>
              <w:rPr>
                <w:rFonts w:cstheme="minorHAnsi"/>
                <w:sz w:val="16"/>
                <w:szCs w:val="16"/>
              </w:rPr>
            </w:pPr>
            <w:r w:rsidRPr="008B6D55">
              <w:rPr>
                <w:rFonts w:cstheme="minorHAnsi"/>
                <w:sz w:val="16"/>
                <w:szCs w:val="16"/>
              </w:rPr>
              <w:t>1=Support proposal</w:t>
            </w:r>
          </w:p>
          <w:p w14:paraId="017CC51A"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2AA21B89"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28072D3D" w14:textId="77777777" w:rsidR="000E5A8F" w:rsidRPr="008B6D55" w:rsidRDefault="000E5A8F" w:rsidP="009321B9">
            <w:pPr>
              <w:rPr>
                <w:rFonts w:cstheme="minorHAnsi"/>
                <w:b/>
                <w:sz w:val="16"/>
                <w:szCs w:val="16"/>
                <w:u w:val="single"/>
              </w:rPr>
            </w:pPr>
            <w:r w:rsidRPr="008B6D55">
              <w:rPr>
                <w:rFonts w:cstheme="minorHAnsi"/>
                <w:sz w:val="16"/>
                <w:szCs w:val="16"/>
              </w:rPr>
              <w:t>4=cannot be determined</w:t>
            </w:r>
          </w:p>
        </w:tc>
      </w:tr>
      <w:tr w:rsidR="000E5A8F" w:rsidRPr="008B6D55" w14:paraId="6B26D15D" w14:textId="77777777" w:rsidTr="000E5A8F">
        <w:tc>
          <w:tcPr>
            <w:tcW w:w="851" w:type="dxa"/>
          </w:tcPr>
          <w:p w14:paraId="0219826E"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50</w:t>
            </w:r>
          </w:p>
        </w:tc>
        <w:tc>
          <w:tcPr>
            <w:tcW w:w="4394" w:type="dxa"/>
          </w:tcPr>
          <w:p w14:paraId="27AD73B4"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Section 3: Impact on Insurance Markets and Products</w:t>
            </w:r>
          </w:p>
        </w:tc>
        <w:tc>
          <w:tcPr>
            <w:tcW w:w="5103" w:type="dxa"/>
          </w:tcPr>
          <w:p w14:paraId="443C8DA5" w14:textId="77777777" w:rsidR="000E5A8F" w:rsidRPr="008B6D55" w:rsidRDefault="000E5A8F" w:rsidP="009321B9">
            <w:pPr>
              <w:rPr>
                <w:rFonts w:cstheme="minorHAnsi"/>
                <w:sz w:val="16"/>
                <w:szCs w:val="16"/>
              </w:rPr>
            </w:pPr>
            <w:r w:rsidRPr="008B6D55">
              <w:rPr>
                <w:rFonts w:cstheme="minorHAnsi"/>
                <w:sz w:val="16"/>
                <w:szCs w:val="16"/>
              </w:rPr>
              <w:t xml:space="preserve">This set of questions is about the impact of the proposed economic risk-based approach to market products and product innovation. </w:t>
            </w:r>
          </w:p>
          <w:p w14:paraId="6212C7D5" w14:textId="77777777" w:rsidR="000E5A8F" w:rsidRPr="008B6D55" w:rsidRDefault="000E5A8F" w:rsidP="009321B9">
            <w:pPr>
              <w:rPr>
                <w:rFonts w:cstheme="minorHAnsi"/>
                <w:sz w:val="16"/>
                <w:szCs w:val="16"/>
              </w:rPr>
            </w:pPr>
            <w:r w:rsidRPr="008B6D55">
              <w:rPr>
                <w:rFonts w:cstheme="minorHAnsi"/>
                <w:sz w:val="16"/>
                <w:szCs w:val="16"/>
              </w:rPr>
              <w:t>For questions 37-45 code for any instances where the organization is making a demand/request or giving advice for:</w:t>
            </w:r>
          </w:p>
          <w:p w14:paraId="05892EDE" w14:textId="77777777" w:rsidR="000E5A8F" w:rsidRPr="008B6D55" w:rsidRDefault="000E5A8F" w:rsidP="009321B9">
            <w:pPr>
              <w:rPr>
                <w:rFonts w:cstheme="minorHAnsi"/>
                <w:sz w:val="16"/>
                <w:szCs w:val="16"/>
              </w:rPr>
            </w:pPr>
            <w:r w:rsidRPr="008B6D55">
              <w:rPr>
                <w:rFonts w:cstheme="minorHAnsi"/>
                <w:sz w:val="16"/>
                <w:szCs w:val="16"/>
              </w:rPr>
              <w:t>1=following the proposed approach</w:t>
            </w:r>
          </w:p>
          <w:p w14:paraId="7AD7B11E" w14:textId="77777777" w:rsidR="000E5A8F" w:rsidRPr="008B6D55" w:rsidRDefault="000E5A8F" w:rsidP="009321B9">
            <w:pPr>
              <w:rPr>
                <w:rFonts w:cstheme="minorHAnsi"/>
                <w:sz w:val="16"/>
                <w:szCs w:val="16"/>
              </w:rPr>
            </w:pPr>
            <w:r w:rsidRPr="008B6D55">
              <w:rPr>
                <w:rFonts w:cstheme="minorHAnsi"/>
                <w:sz w:val="16"/>
                <w:szCs w:val="16"/>
              </w:rPr>
              <w:t>2= less stringent regulation</w:t>
            </w:r>
          </w:p>
          <w:p w14:paraId="3FB2CE20" w14:textId="77777777" w:rsidR="000E5A8F" w:rsidRPr="008B6D55" w:rsidRDefault="000E5A8F" w:rsidP="009321B9">
            <w:pPr>
              <w:rPr>
                <w:rFonts w:cstheme="minorHAnsi"/>
                <w:sz w:val="16"/>
                <w:szCs w:val="16"/>
              </w:rPr>
            </w:pPr>
            <w:r w:rsidRPr="008B6D55">
              <w:rPr>
                <w:rFonts w:cstheme="minorHAnsi"/>
                <w:sz w:val="16"/>
                <w:szCs w:val="16"/>
              </w:rPr>
              <w:t xml:space="preserve">3 = more stringent regulation </w:t>
            </w:r>
          </w:p>
          <w:p w14:paraId="499A6FC6" w14:textId="77777777" w:rsidR="000E5A8F" w:rsidRPr="008B6D55" w:rsidRDefault="000E5A8F" w:rsidP="009321B9">
            <w:pPr>
              <w:rPr>
                <w:rFonts w:cstheme="minorHAnsi"/>
                <w:sz w:val="16"/>
                <w:szCs w:val="16"/>
              </w:rPr>
            </w:pPr>
            <w:r w:rsidRPr="008B6D55">
              <w:rPr>
                <w:rFonts w:cstheme="minorHAnsi"/>
                <w:sz w:val="16"/>
                <w:szCs w:val="16"/>
              </w:rPr>
              <w:t xml:space="preserve">4 = cannot be determined </w:t>
            </w:r>
          </w:p>
          <w:p w14:paraId="44BEEA14" w14:textId="77777777" w:rsidR="000E5A8F" w:rsidRPr="008B6D55" w:rsidRDefault="000E5A8F" w:rsidP="009321B9">
            <w:pPr>
              <w:rPr>
                <w:rFonts w:cstheme="minorHAnsi"/>
                <w:sz w:val="16"/>
                <w:szCs w:val="16"/>
              </w:rPr>
            </w:pPr>
          </w:p>
        </w:tc>
      </w:tr>
      <w:tr w:rsidR="000E5A8F" w:rsidRPr="008B6D55" w14:paraId="76E8DA04" w14:textId="77777777" w:rsidTr="000E5A8F">
        <w:tc>
          <w:tcPr>
            <w:tcW w:w="851" w:type="dxa"/>
          </w:tcPr>
          <w:p w14:paraId="4B3ABD4B"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51</w:t>
            </w:r>
          </w:p>
        </w:tc>
        <w:tc>
          <w:tcPr>
            <w:tcW w:w="4394" w:type="dxa"/>
          </w:tcPr>
          <w:p w14:paraId="277CBE4A" w14:textId="77777777" w:rsidR="000E5A8F" w:rsidRPr="008B6D55" w:rsidRDefault="000E5A8F" w:rsidP="009321B9">
            <w:pPr>
              <w:widowControl w:val="0"/>
              <w:autoSpaceDE w:val="0"/>
              <w:autoSpaceDN w:val="0"/>
              <w:adjustRightInd w:val="0"/>
              <w:rPr>
                <w:rFonts w:eastAsiaTheme="minorEastAsia" w:cstheme="minorHAnsi"/>
                <w:sz w:val="16"/>
                <w:szCs w:val="16"/>
              </w:rPr>
            </w:pPr>
            <w:r w:rsidRPr="008B6D55">
              <w:rPr>
                <w:rFonts w:eastAsiaTheme="minorEastAsia" w:cstheme="minorHAnsi"/>
                <w:sz w:val="16"/>
                <w:szCs w:val="16"/>
              </w:rPr>
              <w:t xml:space="preserve">Section 4: Social and Economic Impacts </w:t>
            </w:r>
          </w:p>
        </w:tc>
        <w:tc>
          <w:tcPr>
            <w:tcW w:w="5103" w:type="dxa"/>
          </w:tcPr>
          <w:p w14:paraId="779CE0C4" w14:textId="77777777" w:rsidR="000E5A8F" w:rsidRPr="008B6D55" w:rsidRDefault="000E5A8F" w:rsidP="009321B9">
            <w:pPr>
              <w:rPr>
                <w:rFonts w:cstheme="minorHAnsi"/>
                <w:sz w:val="16"/>
                <w:szCs w:val="16"/>
              </w:rPr>
            </w:pPr>
            <w:r w:rsidRPr="008B6D55">
              <w:rPr>
                <w:rFonts w:cstheme="minorHAnsi"/>
                <w:sz w:val="16"/>
                <w:szCs w:val="16"/>
              </w:rPr>
              <w:t>This set of questions is about the social impact of the proposed regulation (effects on consumers, households, stakeholders).</w:t>
            </w:r>
          </w:p>
          <w:p w14:paraId="5867AEC5" w14:textId="77777777" w:rsidR="000E5A8F" w:rsidRPr="008B6D55" w:rsidRDefault="000E5A8F" w:rsidP="009321B9">
            <w:pPr>
              <w:rPr>
                <w:rFonts w:cstheme="minorHAnsi"/>
                <w:sz w:val="16"/>
                <w:szCs w:val="16"/>
              </w:rPr>
            </w:pPr>
          </w:p>
          <w:p w14:paraId="1CA8A73E" w14:textId="77777777" w:rsidR="000E5A8F" w:rsidRPr="008B6D55" w:rsidRDefault="000E5A8F" w:rsidP="009321B9">
            <w:pPr>
              <w:rPr>
                <w:rFonts w:cstheme="minorHAnsi"/>
                <w:sz w:val="16"/>
                <w:szCs w:val="16"/>
              </w:rPr>
            </w:pPr>
            <w:r w:rsidRPr="008B6D55">
              <w:rPr>
                <w:rFonts w:cstheme="minorHAnsi"/>
                <w:sz w:val="16"/>
                <w:szCs w:val="16"/>
              </w:rPr>
              <w:t>For questions 46-57 code for any instances where the organization is making a demand/request or giving advice for:</w:t>
            </w:r>
          </w:p>
          <w:p w14:paraId="0D24A9AD" w14:textId="77777777" w:rsidR="000E5A8F" w:rsidRPr="008B6D55" w:rsidRDefault="000E5A8F" w:rsidP="009321B9">
            <w:pPr>
              <w:rPr>
                <w:rFonts w:cstheme="minorHAnsi"/>
                <w:sz w:val="16"/>
                <w:szCs w:val="16"/>
              </w:rPr>
            </w:pPr>
            <w:r w:rsidRPr="008B6D55">
              <w:rPr>
                <w:rFonts w:cstheme="minorHAnsi"/>
                <w:sz w:val="16"/>
                <w:szCs w:val="16"/>
              </w:rPr>
              <w:t>1=following the proposed approach</w:t>
            </w:r>
          </w:p>
          <w:p w14:paraId="528E1582" w14:textId="77777777" w:rsidR="000E5A8F" w:rsidRPr="008B6D55" w:rsidRDefault="000E5A8F" w:rsidP="009321B9">
            <w:pPr>
              <w:rPr>
                <w:rFonts w:cstheme="minorHAnsi"/>
                <w:sz w:val="16"/>
                <w:szCs w:val="16"/>
              </w:rPr>
            </w:pPr>
            <w:r w:rsidRPr="008B6D55">
              <w:rPr>
                <w:rFonts w:cstheme="minorHAnsi"/>
                <w:sz w:val="16"/>
                <w:szCs w:val="16"/>
              </w:rPr>
              <w:t>2= less stringent regulation</w:t>
            </w:r>
          </w:p>
          <w:p w14:paraId="2FDBF6E4" w14:textId="77777777" w:rsidR="000E5A8F" w:rsidRPr="008B6D55" w:rsidRDefault="000E5A8F" w:rsidP="009321B9">
            <w:pPr>
              <w:rPr>
                <w:rFonts w:cstheme="minorHAnsi"/>
                <w:sz w:val="16"/>
                <w:szCs w:val="16"/>
              </w:rPr>
            </w:pPr>
            <w:r w:rsidRPr="008B6D55">
              <w:rPr>
                <w:rFonts w:cstheme="minorHAnsi"/>
                <w:sz w:val="16"/>
                <w:szCs w:val="16"/>
              </w:rPr>
              <w:t xml:space="preserve">3 = more stringent regulation </w:t>
            </w:r>
          </w:p>
          <w:p w14:paraId="249B5A6D" w14:textId="77777777" w:rsidR="000E5A8F" w:rsidRPr="008B6D55" w:rsidRDefault="000E5A8F" w:rsidP="009321B9">
            <w:pPr>
              <w:rPr>
                <w:rFonts w:cstheme="minorHAnsi"/>
                <w:sz w:val="16"/>
                <w:szCs w:val="16"/>
              </w:rPr>
            </w:pPr>
            <w:r w:rsidRPr="008B6D55">
              <w:rPr>
                <w:rFonts w:cstheme="minorHAnsi"/>
                <w:sz w:val="16"/>
                <w:szCs w:val="16"/>
              </w:rPr>
              <w:t xml:space="preserve">4 = cannot be determined </w:t>
            </w:r>
          </w:p>
        </w:tc>
      </w:tr>
      <w:tr w:rsidR="000E5A8F" w:rsidRPr="008B6D55" w14:paraId="61A8FE95" w14:textId="77777777" w:rsidTr="000E5A8F">
        <w:tc>
          <w:tcPr>
            <w:tcW w:w="10348" w:type="dxa"/>
            <w:gridSpan w:val="3"/>
          </w:tcPr>
          <w:p w14:paraId="5E00C429" w14:textId="77777777" w:rsidR="000E5A8F" w:rsidRPr="008B6D55" w:rsidRDefault="000E5A8F" w:rsidP="009321B9">
            <w:pPr>
              <w:widowControl w:val="0"/>
              <w:autoSpaceDE w:val="0"/>
              <w:autoSpaceDN w:val="0"/>
              <w:adjustRightInd w:val="0"/>
              <w:rPr>
                <w:rFonts w:eastAsiaTheme="minorEastAsia" w:cstheme="minorHAnsi"/>
                <w:sz w:val="16"/>
                <w:szCs w:val="16"/>
              </w:rPr>
            </w:pPr>
          </w:p>
          <w:p w14:paraId="5E724AB6" w14:textId="77777777" w:rsidR="000E5A8F" w:rsidRPr="008B6D55" w:rsidRDefault="000E5A8F" w:rsidP="009321B9">
            <w:pPr>
              <w:rPr>
                <w:rFonts w:cstheme="minorHAnsi"/>
                <w:sz w:val="16"/>
                <w:szCs w:val="16"/>
              </w:rPr>
            </w:pPr>
            <w:r w:rsidRPr="008B6D55">
              <w:rPr>
                <w:rFonts w:cstheme="minorHAnsi"/>
                <w:sz w:val="16"/>
                <w:szCs w:val="16"/>
              </w:rPr>
              <w:t>Consultation 5. Hedge Funds</w:t>
            </w:r>
          </w:p>
        </w:tc>
      </w:tr>
      <w:tr w:rsidR="000E5A8F" w:rsidRPr="008B6D55" w14:paraId="61F29F1C" w14:textId="77777777" w:rsidTr="000E5A8F">
        <w:trPr>
          <w:trHeight w:val="255"/>
        </w:trPr>
        <w:tc>
          <w:tcPr>
            <w:tcW w:w="851" w:type="dxa"/>
          </w:tcPr>
          <w:p w14:paraId="2B3B8B7F" w14:textId="77777777" w:rsidR="000E5A8F" w:rsidRPr="008B6D55" w:rsidRDefault="000E5A8F" w:rsidP="009321B9">
            <w:pPr>
              <w:rPr>
                <w:rFonts w:cstheme="minorHAnsi"/>
                <w:sz w:val="16"/>
                <w:szCs w:val="16"/>
              </w:rPr>
            </w:pPr>
            <w:r w:rsidRPr="008B6D55">
              <w:rPr>
                <w:rFonts w:cstheme="minorHAnsi"/>
                <w:sz w:val="16"/>
                <w:szCs w:val="16"/>
              </w:rPr>
              <w:t>Issue #</w:t>
            </w:r>
          </w:p>
        </w:tc>
        <w:tc>
          <w:tcPr>
            <w:tcW w:w="4394" w:type="dxa"/>
          </w:tcPr>
          <w:p w14:paraId="26635A29" w14:textId="77777777" w:rsidR="000E5A8F" w:rsidRPr="008B6D55" w:rsidRDefault="000E5A8F" w:rsidP="009321B9">
            <w:pPr>
              <w:rPr>
                <w:rFonts w:cstheme="minorHAnsi"/>
                <w:sz w:val="16"/>
                <w:szCs w:val="16"/>
              </w:rPr>
            </w:pPr>
            <w:r w:rsidRPr="008B6D55">
              <w:rPr>
                <w:rFonts w:cstheme="minorHAnsi"/>
                <w:sz w:val="16"/>
                <w:szCs w:val="16"/>
              </w:rPr>
              <w:t>Question</w:t>
            </w:r>
          </w:p>
        </w:tc>
        <w:tc>
          <w:tcPr>
            <w:tcW w:w="5103" w:type="dxa"/>
          </w:tcPr>
          <w:p w14:paraId="4C869443" w14:textId="77777777" w:rsidR="000E5A8F" w:rsidRPr="008B6D55" w:rsidRDefault="000E5A8F" w:rsidP="009321B9">
            <w:pPr>
              <w:rPr>
                <w:rFonts w:cstheme="minorHAnsi"/>
                <w:sz w:val="16"/>
                <w:szCs w:val="16"/>
              </w:rPr>
            </w:pPr>
            <w:r w:rsidRPr="008B6D55">
              <w:rPr>
                <w:rFonts w:cstheme="minorHAnsi"/>
                <w:sz w:val="16"/>
                <w:szCs w:val="16"/>
              </w:rPr>
              <w:t>Coding rules</w:t>
            </w:r>
          </w:p>
        </w:tc>
      </w:tr>
      <w:tr w:rsidR="000E5A8F" w:rsidRPr="008B6D55" w14:paraId="4042020C" w14:textId="77777777" w:rsidTr="000E5A8F">
        <w:tc>
          <w:tcPr>
            <w:tcW w:w="851" w:type="dxa"/>
          </w:tcPr>
          <w:p w14:paraId="33CEEE08" w14:textId="77777777" w:rsidR="000E5A8F" w:rsidRPr="008B6D55" w:rsidRDefault="000E5A8F" w:rsidP="009321B9">
            <w:pPr>
              <w:rPr>
                <w:rFonts w:cstheme="minorHAnsi"/>
                <w:sz w:val="16"/>
                <w:szCs w:val="16"/>
              </w:rPr>
            </w:pPr>
            <w:r w:rsidRPr="008B6D55">
              <w:rPr>
                <w:rFonts w:cstheme="minorHAnsi"/>
                <w:sz w:val="16"/>
                <w:szCs w:val="16"/>
              </w:rPr>
              <w:t>52</w:t>
            </w:r>
          </w:p>
        </w:tc>
        <w:tc>
          <w:tcPr>
            <w:tcW w:w="4394" w:type="dxa"/>
          </w:tcPr>
          <w:p w14:paraId="248E8239"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Does recent experience require a reassessment of the systemic relevance of hedge funds?</w:t>
            </w:r>
          </w:p>
        </w:tc>
        <w:tc>
          <w:tcPr>
            <w:tcW w:w="5103" w:type="dxa"/>
          </w:tcPr>
          <w:p w14:paraId="0A268BF8" w14:textId="77777777" w:rsidR="000E5A8F" w:rsidRPr="008B6D55" w:rsidRDefault="000E5A8F" w:rsidP="009321B9">
            <w:pPr>
              <w:rPr>
                <w:rFonts w:cstheme="minorHAnsi"/>
                <w:sz w:val="16"/>
                <w:szCs w:val="16"/>
              </w:rPr>
            </w:pPr>
            <w:r w:rsidRPr="008B6D55">
              <w:rPr>
                <w:rFonts w:cstheme="minorHAnsi"/>
                <w:sz w:val="16"/>
                <w:szCs w:val="16"/>
              </w:rPr>
              <w:t>1 = n/a</w:t>
            </w:r>
          </w:p>
          <w:p w14:paraId="03D4529C" w14:textId="77777777" w:rsidR="000E5A8F" w:rsidRPr="008B6D55" w:rsidRDefault="000E5A8F" w:rsidP="009321B9">
            <w:pPr>
              <w:rPr>
                <w:rFonts w:cstheme="minorHAnsi"/>
                <w:sz w:val="16"/>
                <w:szCs w:val="16"/>
              </w:rPr>
            </w:pPr>
            <w:r w:rsidRPr="008B6D55">
              <w:rPr>
                <w:rFonts w:cstheme="minorHAnsi"/>
                <w:sz w:val="16"/>
                <w:szCs w:val="16"/>
              </w:rPr>
              <w:t>2 = no, recent experience does not require reassessment</w:t>
            </w:r>
          </w:p>
          <w:p w14:paraId="0371CFEA" w14:textId="77777777" w:rsidR="000E5A8F" w:rsidRPr="008B6D55" w:rsidRDefault="000E5A8F" w:rsidP="009321B9">
            <w:pPr>
              <w:rPr>
                <w:rFonts w:cstheme="minorHAnsi"/>
                <w:sz w:val="16"/>
                <w:szCs w:val="16"/>
              </w:rPr>
            </w:pPr>
            <w:r w:rsidRPr="008B6D55">
              <w:rPr>
                <w:rFonts w:cstheme="minorHAnsi"/>
                <w:sz w:val="16"/>
                <w:szCs w:val="16"/>
              </w:rPr>
              <w:t>3 = yes, recent experience does require reassessment</w:t>
            </w:r>
          </w:p>
        </w:tc>
      </w:tr>
      <w:tr w:rsidR="000E5A8F" w:rsidRPr="008B6D55" w14:paraId="3932C922" w14:textId="77777777" w:rsidTr="000E5A8F">
        <w:tc>
          <w:tcPr>
            <w:tcW w:w="851" w:type="dxa"/>
          </w:tcPr>
          <w:p w14:paraId="3F556F7C" w14:textId="77777777" w:rsidR="000E5A8F" w:rsidRPr="008B6D55" w:rsidRDefault="000E5A8F" w:rsidP="009321B9">
            <w:pPr>
              <w:rPr>
                <w:rFonts w:cstheme="minorHAnsi"/>
                <w:sz w:val="16"/>
                <w:szCs w:val="16"/>
              </w:rPr>
            </w:pPr>
            <w:r w:rsidRPr="008B6D55">
              <w:rPr>
                <w:rFonts w:cstheme="minorHAnsi"/>
                <w:sz w:val="16"/>
                <w:szCs w:val="16"/>
              </w:rPr>
              <w:t>53</w:t>
            </w:r>
          </w:p>
        </w:tc>
        <w:tc>
          <w:tcPr>
            <w:tcW w:w="4394" w:type="dxa"/>
          </w:tcPr>
          <w:p w14:paraId="4BA2BBD1"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Is the 'indirect regulation' of hedge fund leverage through prudential requirements on prime brokers still sufficient to insulate the banking system from the risks of hedge fund failure? (Do we need alternative approaches?)</w:t>
            </w:r>
          </w:p>
        </w:tc>
        <w:tc>
          <w:tcPr>
            <w:tcW w:w="5103" w:type="dxa"/>
          </w:tcPr>
          <w:p w14:paraId="3D0C1D9D" w14:textId="77777777" w:rsidR="000E5A8F" w:rsidRPr="008B6D55" w:rsidRDefault="000E5A8F" w:rsidP="009321B9">
            <w:pPr>
              <w:rPr>
                <w:rFonts w:cstheme="minorHAnsi"/>
                <w:sz w:val="16"/>
                <w:szCs w:val="16"/>
              </w:rPr>
            </w:pPr>
            <w:r w:rsidRPr="008B6D55">
              <w:rPr>
                <w:rFonts w:cstheme="minorHAnsi"/>
                <w:sz w:val="16"/>
                <w:szCs w:val="16"/>
              </w:rPr>
              <w:t>1 = n/a</w:t>
            </w:r>
          </w:p>
          <w:p w14:paraId="14D8DDF7" w14:textId="77777777" w:rsidR="000E5A8F" w:rsidRPr="008B6D55" w:rsidRDefault="000E5A8F" w:rsidP="009321B9">
            <w:pPr>
              <w:rPr>
                <w:rFonts w:cstheme="minorHAnsi"/>
                <w:sz w:val="16"/>
                <w:szCs w:val="16"/>
              </w:rPr>
            </w:pPr>
            <w:r w:rsidRPr="008B6D55">
              <w:rPr>
                <w:rFonts w:cstheme="minorHAnsi"/>
                <w:sz w:val="16"/>
                <w:szCs w:val="16"/>
              </w:rPr>
              <w:t>2 = yes, it is still sufficient</w:t>
            </w:r>
          </w:p>
          <w:p w14:paraId="5EC7FC9C" w14:textId="77777777" w:rsidR="000E5A8F" w:rsidRPr="008B6D55" w:rsidRDefault="000E5A8F" w:rsidP="009321B9">
            <w:pPr>
              <w:rPr>
                <w:rFonts w:cstheme="minorHAnsi"/>
                <w:sz w:val="16"/>
                <w:szCs w:val="16"/>
              </w:rPr>
            </w:pPr>
            <w:r w:rsidRPr="008B6D55">
              <w:rPr>
                <w:rFonts w:cstheme="minorHAnsi"/>
                <w:sz w:val="16"/>
                <w:szCs w:val="16"/>
              </w:rPr>
              <w:t>3 = no, it is not sufficient (and we need more stringent regulations)</w:t>
            </w:r>
          </w:p>
        </w:tc>
      </w:tr>
      <w:tr w:rsidR="000E5A8F" w:rsidRPr="008B6D55" w14:paraId="4B3E8A56" w14:textId="77777777" w:rsidTr="000E5A8F">
        <w:tc>
          <w:tcPr>
            <w:tcW w:w="851" w:type="dxa"/>
          </w:tcPr>
          <w:p w14:paraId="6C5AFCBC" w14:textId="77777777" w:rsidR="000E5A8F" w:rsidRPr="008B6D55" w:rsidRDefault="000E5A8F" w:rsidP="009321B9">
            <w:pPr>
              <w:rPr>
                <w:rFonts w:cstheme="minorHAnsi"/>
                <w:sz w:val="16"/>
                <w:szCs w:val="16"/>
              </w:rPr>
            </w:pPr>
            <w:r w:rsidRPr="008B6D55">
              <w:rPr>
                <w:rFonts w:cstheme="minorHAnsi"/>
                <w:sz w:val="16"/>
                <w:szCs w:val="16"/>
              </w:rPr>
              <w:t>54</w:t>
            </w:r>
          </w:p>
        </w:tc>
        <w:tc>
          <w:tcPr>
            <w:tcW w:w="4394" w:type="dxa"/>
          </w:tcPr>
          <w:p w14:paraId="799E9AE6"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Do prudential authorities have the tools to monitor effectively exposures of the core financial system to hedge funds, or the contribution of hedge funds to asset price movements? (If not, what types of information about hedge funds do prudential authorities need and how can it be provided?)</w:t>
            </w:r>
          </w:p>
        </w:tc>
        <w:tc>
          <w:tcPr>
            <w:tcW w:w="5103" w:type="dxa"/>
          </w:tcPr>
          <w:p w14:paraId="54A96B41" w14:textId="77777777" w:rsidR="000E5A8F" w:rsidRPr="008B6D55" w:rsidRDefault="000E5A8F" w:rsidP="009321B9">
            <w:pPr>
              <w:rPr>
                <w:rFonts w:cstheme="minorHAnsi"/>
                <w:sz w:val="16"/>
                <w:szCs w:val="16"/>
              </w:rPr>
            </w:pPr>
            <w:r w:rsidRPr="008B6D55">
              <w:rPr>
                <w:rFonts w:cstheme="minorHAnsi"/>
                <w:sz w:val="16"/>
                <w:szCs w:val="16"/>
              </w:rPr>
              <w:t>1 = n/a</w:t>
            </w:r>
          </w:p>
          <w:p w14:paraId="028486A4" w14:textId="77777777" w:rsidR="000E5A8F" w:rsidRPr="008B6D55" w:rsidRDefault="000E5A8F" w:rsidP="009321B9">
            <w:pPr>
              <w:rPr>
                <w:rFonts w:cstheme="minorHAnsi"/>
                <w:sz w:val="16"/>
                <w:szCs w:val="16"/>
              </w:rPr>
            </w:pPr>
            <w:r w:rsidRPr="008B6D55">
              <w:rPr>
                <w:rFonts w:cstheme="minorHAnsi"/>
                <w:sz w:val="16"/>
                <w:szCs w:val="16"/>
              </w:rPr>
              <w:t>2 = yes, they have the tools</w:t>
            </w:r>
          </w:p>
          <w:p w14:paraId="312DF5E1" w14:textId="77777777" w:rsidR="000E5A8F" w:rsidRPr="008B6D55" w:rsidRDefault="000E5A8F" w:rsidP="009321B9">
            <w:pPr>
              <w:rPr>
                <w:rFonts w:cstheme="minorHAnsi"/>
                <w:sz w:val="16"/>
                <w:szCs w:val="16"/>
              </w:rPr>
            </w:pPr>
            <w:r w:rsidRPr="008B6D55">
              <w:rPr>
                <w:rFonts w:cstheme="minorHAnsi"/>
                <w:sz w:val="16"/>
                <w:szCs w:val="16"/>
              </w:rPr>
              <w:t>3 = no, they do not have the tools</w:t>
            </w:r>
          </w:p>
        </w:tc>
      </w:tr>
      <w:tr w:rsidR="000E5A8F" w:rsidRPr="008B6D55" w14:paraId="50E9ADE0" w14:textId="77777777" w:rsidTr="000E5A8F">
        <w:tc>
          <w:tcPr>
            <w:tcW w:w="851" w:type="dxa"/>
          </w:tcPr>
          <w:p w14:paraId="394DEEAB" w14:textId="77777777" w:rsidR="000E5A8F" w:rsidRPr="008B6D55" w:rsidRDefault="000E5A8F" w:rsidP="009321B9">
            <w:pPr>
              <w:rPr>
                <w:rFonts w:cstheme="minorHAnsi"/>
                <w:sz w:val="16"/>
                <w:szCs w:val="16"/>
              </w:rPr>
            </w:pPr>
            <w:r w:rsidRPr="008B6D55">
              <w:rPr>
                <w:rFonts w:cstheme="minorHAnsi"/>
                <w:sz w:val="16"/>
                <w:szCs w:val="16"/>
              </w:rPr>
              <w:t>55</w:t>
            </w:r>
          </w:p>
        </w:tc>
        <w:tc>
          <w:tcPr>
            <w:tcW w:w="4394" w:type="dxa"/>
          </w:tcPr>
          <w:p w14:paraId="7DC9DF66"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Are there situations where short-selling can lead to distorted price signals and where restrictions on short-selling might be warranted?</w:t>
            </w:r>
          </w:p>
        </w:tc>
        <w:tc>
          <w:tcPr>
            <w:tcW w:w="5103" w:type="dxa"/>
          </w:tcPr>
          <w:p w14:paraId="448C3E9F" w14:textId="77777777" w:rsidR="000E5A8F" w:rsidRPr="008B6D55" w:rsidRDefault="000E5A8F" w:rsidP="009321B9">
            <w:pPr>
              <w:rPr>
                <w:rFonts w:cstheme="minorHAnsi"/>
                <w:sz w:val="16"/>
                <w:szCs w:val="16"/>
              </w:rPr>
            </w:pPr>
            <w:r w:rsidRPr="008B6D55">
              <w:rPr>
                <w:rFonts w:cstheme="minorHAnsi"/>
                <w:sz w:val="16"/>
                <w:szCs w:val="16"/>
              </w:rPr>
              <w:t>1 = n/a</w:t>
            </w:r>
          </w:p>
          <w:p w14:paraId="534B2943" w14:textId="77777777" w:rsidR="000E5A8F" w:rsidRPr="008B6D55" w:rsidRDefault="000E5A8F" w:rsidP="009321B9">
            <w:pPr>
              <w:rPr>
                <w:rFonts w:cstheme="minorHAnsi"/>
                <w:sz w:val="16"/>
                <w:szCs w:val="16"/>
              </w:rPr>
            </w:pPr>
            <w:r w:rsidRPr="008B6D55">
              <w:rPr>
                <w:rFonts w:cstheme="minorHAnsi"/>
                <w:sz w:val="16"/>
                <w:szCs w:val="16"/>
              </w:rPr>
              <w:t>2 = no (new) restrictions are warranted</w:t>
            </w:r>
          </w:p>
          <w:p w14:paraId="057ABE78" w14:textId="77777777" w:rsidR="000E5A8F" w:rsidRPr="008B6D55" w:rsidRDefault="000E5A8F" w:rsidP="009321B9">
            <w:pPr>
              <w:rPr>
                <w:rFonts w:cstheme="minorHAnsi"/>
                <w:sz w:val="16"/>
                <w:szCs w:val="16"/>
              </w:rPr>
            </w:pPr>
            <w:r w:rsidRPr="008B6D55">
              <w:rPr>
                <w:rFonts w:cstheme="minorHAnsi"/>
                <w:sz w:val="16"/>
                <w:szCs w:val="16"/>
              </w:rPr>
              <w:t>3 = yes, (new) restrictions are warranted</w:t>
            </w:r>
          </w:p>
        </w:tc>
      </w:tr>
      <w:tr w:rsidR="000E5A8F" w:rsidRPr="008B6D55" w14:paraId="472B055D" w14:textId="77777777" w:rsidTr="000E5A8F">
        <w:tc>
          <w:tcPr>
            <w:tcW w:w="851" w:type="dxa"/>
          </w:tcPr>
          <w:p w14:paraId="2FC051A1" w14:textId="77777777" w:rsidR="000E5A8F" w:rsidRPr="008B6D55" w:rsidRDefault="000E5A8F" w:rsidP="009321B9">
            <w:pPr>
              <w:rPr>
                <w:rFonts w:cstheme="minorHAnsi"/>
                <w:sz w:val="16"/>
                <w:szCs w:val="16"/>
              </w:rPr>
            </w:pPr>
            <w:r w:rsidRPr="008B6D55">
              <w:rPr>
                <w:rFonts w:cstheme="minorHAnsi"/>
                <w:sz w:val="16"/>
                <w:szCs w:val="16"/>
              </w:rPr>
              <w:t>56</w:t>
            </w:r>
          </w:p>
        </w:tc>
        <w:tc>
          <w:tcPr>
            <w:tcW w:w="4394" w:type="dxa"/>
          </w:tcPr>
          <w:p w14:paraId="00084C82"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Are there circumstances in which short-selling can threaten the integrity or stability of financial markets? In combating these practices, does it make sense to tighten controls on hedge funds, in particular, as opposed to general tightening of market abuse disciplines?</w:t>
            </w:r>
          </w:p>
        </w:tc>
        <w:tc>
          <w:tcPr>
            <w:tcW w:w="5103" w:type="dxa"/>
          </w:tcPr>
          <w:p w14:paraId="596BC17C" w14:textId="77777777" w:rsidR="000E5A8F" w:rsidRPr="008B6D55" w:rsidRDefault="000E5A8F" w:rsidP="009321B9">
            <w:pPr>
              <w:rPr>
                <w:rFonts w:cstheme="minorHAnsi"/>
                <w:sz w:val="16"/>
                <w:szCs w:val="16"/>
              </w:rPr>
            </w:pPr>
            <w:r w:rsidRPr="008B6D55">
              <w:rPr>
                <w:rFonts w:cstheme="minorHAnsi"/>
                <w:sz w:val="16"/>
                <w:szCs w:val="16"/>
              </w:rPr>
              <w:t>1 = n/a</w:t>
            </w:r>
          </w:p>
          <w:p w14:paraId="15EA9CF9" w14:textId="77777777" w:rsidR="000E5A8F" w:rsidRPr="008B6D55" w:rsidRDefault="000E5A8F" w:rsidP="009321B9">
            <w:pPr>
              <w:rPr>
                <w:rFonts w:cstheme="minorHAnsi"/>
                <w:sz w:val="16"/>
                <w:szCs w:val="16"/>
              </w:rPr>
            </w:pPr>
            <w:r w:rsidRPr="008B6D55">
              <w:rPr>
                <w:rFonts w:cstheme="minorHAnsi"/>
                <w:sz w:val="16"/>
                <w:szCs w:val="16"/>
              </w:rPr>
              <w:t>2 = no, it does not make sense to tighten controls</w:t>
            </w:r>
          </w:p>
          <w:p w14:paraId="6494C549" w14:textId="77777777" w:rsidR="000E5A8F" w:rsidRPr="008B6D55" w:rsidRDefault="000E5A8F" w:rsidP="009321B9">
            <w:pPr>
              <w:rPr>
                <w:rFonts w:cstheme="minorHAnsi"/>
                <w:sz w:val="16"/>
                <w:szCs w:val="16"/>
              </w:rPr>
            </w:pPr>
            <w:r w:rsidRPr="008B6D55">
              <w:rPr>
                <w:rFonts w:cstheme="minorHAnsi"/>
                <w:sz w:val="16"/>
                <w:szCs w:val="16"/>
              </w:rPr>
              <w:t>3 = yes, it does make sense to tighten controls</w:t>
            </w:r>
          </w:p>
          <w:p w14:paraId="3A6170A4" w14:textId="77777777" w:rsidR="000E5A8F" w:rsidRPr="008B6D55" w:rsidRDefault="000E5A8F" w:rsidP="009321B9">
            <w:pPr>
              <w:rPr>
                <w:rFonts w:cstheme="minorHAnsi"/>
                <w:sz w:val="16"/>
                <w:szCs w:val="16"/>
              </w:rPr>
            </w:pPr>
          </w:p>
        </w:tc>
      </w:tr>
      <w:tr w:rsidR="000E5A8F" w:rsidRPr="008B6D55" w14:paraId="5E81E61D" w14:textId="77777777" w:rsidTr="000E5A8F">
        <w:tc>
          <w:tcPr>
            <w:tcW w:w="851" w:type="dxa"/>
          </w:tcPr>
          <w:p w14:paraId="5879AD0E" w14:textId="77777777" w:rsidR="000E5A8F" w:rsidRPr="008B6D55" w:rsidRDefault="000E5A8F" w:rsidP="009321B9">
            <w:pPr>
              <w:rPr>
                <w:rFonts w:cstheme="minorHAnsi"/>
                <w:sz w:val="16"/>
                <w:szCs w:val="16"/>
              </w:rPr>
            </w:pPr>
            <w:r w:rsidRPr="008B6D55">
              <w:rPr>
                <w:rFonts w:cstheme="minorHAnsi"/>
                <w:sz w:val="16"/>
                <w:szCs w:val="16"/>
              </w:rPr>
              <w:t>57</w:t>
            </w:r>
          </w:p>
        </w:tc>
        <w:tc>
          <w:tcPr>
            <w:tcW w:w="4394" w:type="dxa"/>
          </w:tcPr>
          <w:p w14:paraId="4EF0DDFB"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Do investors receive sufficient information from hedge funds on a pre-contractual and ongoing basis to make sound investment decisions? If not, where do the deficiencies lie? What regulatory response if any is needed to complement industry codes to make a significant contribution to the transparency of hedge fund activities to their investors?</w:t>
            </w:r>
          </w:p>
        </w:tc>
        <w:tc>
          <w:tcPr>
            <w:tcW w:w="5103" w:type="dxa"/>
          </w:tcPr>
          <w:p w14:paraId="0980D59B" w14:textId="77777777" w:rsidR="000E5A8F" w:rsidRPr="008B6D55" w:rsidRDefault="000E5A8F" w:rsidP="009321B9">
            <w:pPr>
              <w:rPr>
                <w:rFonts w:cstheme="minorHAnsi"/>
                <w:sz w:val="16"/>
                <w:szCs w:val="16"/>
              </w:rPr>
            </w:pPr>
            <w:r w:rsidRPr="008B6D55">
              <w:rPr>
                <w:rFonts w:cstheme="minorHAnsi"/>
                <w:sz w:val="16"/>
                <w:szCs w:val="16"/>
              </w:rPr>
              <w:t>1 = n/a</w:t>
            </w:r>
          </w:p>
          <w:p w14:paraId="2E8F529B" w14:textId="77777777" w:rsidR="000E5A8F" w:rsidRPr="008B6D55" w:rsidRDefault="000E5A8F" w:rsidP="009321B9">
            <w:pPr>
              <w:rPr>
                <w:rFonts w:cstheme="minorHAnsi"/>
                <w:sz w:val="16"/>
                <w:szCs w:val="16"/>
              </w:rPr>
            </w:pPr>
            <w:r w:rsidRPr="008B6D55">
              <w:rPr>
                <w:rFonts w:cstheme="minorHAnsi"/>
                <w:sz w:val="16"/>
                <w:szCs w:val="16"/>
              </w:rPr>
              <w:t>2 = yes, investors receive sufficient information; industry codes (self-regulatory codes and standards) are sufficient</w:t>
            </w:r>
          </w:p>
          <w:p w14:paraId="4B60E018" w14:textId="77777777" w:rsidR="000E5A8F" w:rsidRPr="008B6D55" w:rsidRDefault="000E5A8F" w:rsidP="009321B9">
            <w:pPr>
              <w:rPr>
                <w:rFonts w:cstheme="minorHAnsi"/>
                <w:sz w:val="16"/>
                <w:szCs w:val="16"/>
              </w:rPr>
            </w:pPr>
            <w:r w:rsidRPr="008B6D55">
              <w:rPr>
                <w:rFonts w:cstheme="minorHAnsi"/>
                <w:sz w:val="16"/>
                <w:szCs w:val="16"/>
              </w:rPr>
              <w:t>3 = no, investors do not receive sufficient information; industry codes (self-regulatory standards) are not sufficient; call for new regulations on issues of transparency</w:t>
            </w:r>
          </w:p>
        </w:tc>
      </w:tr>
      <w:tr w:rsidR="000E5A8F" w:rsidRPr="008B6D55" w14:paraId="3607B086" w14:textId="77777777" w:rsidTr="000E5A8F">
        <w:tc>
          <w:tcPr>
            <w:tcW w:w="851" w:type="dxa"/>
          </w:tcPr>
          <w:p w14:paraId="3865C7DE" w14:textId="77777777" w:rsidR="000E5A8F" w:rsidRPr="008B6D55" w:rsidRDefault="000E5A8F" w:rsidP="009321B9">
            <w:pPr>
              <w:rPr>
                <w:rFonts w:cstheme="minorHAnsi"/>
                <w:sz w:val="16"/>
                <w:szCs w:val="16"/>
              </w:rPr>
            </w:pPr>
            <w:r w:rsidRPr="008B6D55">
              <w:rPr>
                <w:rFonts w:cstheme="minorHAnsi"/>
                <w:sz w:val="16"/>
                <w:szCs w:val="16"/>
              </w:rPr>
              <w:t>58</w:t>
            </w:r>
          </w:p>
        </w:tc>
        <w:tc>
          <w:tcPr>
            <w:tcW w:w="4394" w:type="dxa"/>
          </w:tcPr>
          <w:p w14:paraId="33B1679E"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In light of recent developments, do you consider it a positive development to facilitate the access of retail investors, subject to appropriate controls, to hedge fund exposures?</w:t>
            </w:r>
          </w:p>
        </w:tc>
        <w:tc>
          <w:tcPr>
            <w:tcW w:w="5103" w:type="dxa"/>
          </w:tcPr>
          <w:p w14:paraId="37E0D551" w14:textId="77777777" w:rsidR="000E5A8F" w:rsidRPr="008B6D55" w:rsidRDefault="000E5A8F" w:rsidP="009321B9">
            <w:pPr>
              <w:rPr>
                <w:rFonts w:cstheme="minorHAnsi"/>
                <w:sz w:val="16"/>
                <w:szCs w:val="16"/>
              </w:rPr>
            </w:pPr>
            <w:r w:rsidRPr="008B6D55">
              <w:rPr>
                <w:rFonts w:cstheme="minorHAnsi"/>
                <w:sz w:val="16"/>
                <w:szCs w:val="16"/>
              </w:rPr>
              <w:t>1 = n/a</w:t>
            </w:r>
          </w:p>
          <w:p w14:paraId="476451C0" w14:textId="77777777" w:rsidR="000E5A8F" w:rsidRPr="008B6D55" w:rsidRDefault="000E5A8F" w:rsidP="009321B9">
            <w:pPr>
              <w:rPr>
                <w:rFonts w:cstheme="minorHAnsi"/>
                <w:sz w:val="16"/>
                <w:szCs w:val="16"/>
              </w:rPr>
            </w:pPr>
            <w:r w:rsidRPr="008B6D55">
              <w:rPr>
                <w:rFonts w:cstheme="minorHAnsi"/>
                <w:sz w:val="16"/>
                <w:szCs w:val="16"/>
              </w:rPr>
              <w:t>2 = no, it is not a positive development; retail investors should not have / do not need access to hedge fund exposures</w:t>
            </w:r>
          </w:p>
          <w:p w14:paraId="6EA11DF8" w14:textId="77777777" w:rsidR="000E5A8F" w:rsidRPr="008B6D55" w:rsidRDefault="000E5A8F" w:rsidP="009321B9">
            <w:pPr>
              <w:rPr>
                <w:rFonts w:cstheme="minorHAnsi"/>
                <w:sz w:val="16"/>
                <w:szCs w:val="16"/>
              </w:rPr>
            </w:pPr>
            <w:r w:rsidRPr="008B6D55">
              <w:rPr>
                <w:rFonts w:cstheme="minorHAnsi"/>
                <w:sz w:val="16"/>
                <w:szCs w:val="16"/>
              </w:rPr>
              <w:t>3 = yes, it is a positive development; retail investors should / must have access to hedge fund exposures</w:t>
            </w:r>
          </w:p>
        </w:tc>
      </w:tr>
      <w:tr w:rsidR="000E5A8F" w:rsidRPr="008B6D55" w14:paraId="2290585E" w14:textId="77777777" w:rsidTr="000E5A8F">
        <w:tc>
          <w:tcPr>
            <w:tcW w:w="10348" w:type="dxa"/>
            <w:gridSpan w:val="3"/>
          </w:tcPr>
          <w:p w14:paraId="600BE137" w14:textId="77777777" w:rsidR="000E5A8F" w:rsidRPr="008B6D55" w:rsidRDefault="000E5A8F" w:rsidP="009321B9">
            <w:pPr>
              <w:rPr>
                <w:rFonts w:cstheme="minorHAnsi"/>
                <w:sz w:val="16"/>
                <w:szCs w:val="16"/>
              </w:rPr>
            </w:pPr>
          </w:p>
          <w:p w14:paraId="42CBE155" w14:textId="77777777" w:rsidR="000E5A8F" w:rsidRPr="008B6D55" w:rsidRDefault="000E5A8F" w:rsidP="009321B9">
            <w:pPr>
              <w:rPr>
                <w:rFonts w:cstheme="minorHAnsi"/>
                <w:sz w:val="16"/>
                <w:szCs w:val="16"/>
              </w:rPr>
            </w:pPr>
            <w:r w:rsidRPr="008B6D55">
              <w:rPr>
                <w:rFonts w:cstheme="minorHAnsi"/>
                <w:sz w:val="16"/>
                <w:szCs w:val="16"/>
              </w:rPr>
              <w:t>Consultation 6. Review on the Markets in Financial Instruments Directive (MiFID)</w:t>
            </w:r>
          </w:p>
        </w:tc>
      </w:tr>
      <w:tr w:rsidR="000E5A8F" w:rsidRPr="008B6D55" w14:paraId="17CBD8CC" w14:textId="77777777" w:rsidTr="000E5A8F">
        <w:tc>
          <w:tcPr>
            <w:tcW w:w="851" w:type="dxa"/>
          </w:tcPr>
          <w:p w14:paraId="169AC380" w14:textId="77777777" w:rsidR="000E5A8F" w:rsidRPr="008B6D55" w:rsidRDefault="000E5A8F" w:rsidP="009321B9">
            <w:pPr>
              <w:rPr>
                <w:rFonts w:cstheme="minorHAnsi"/>
                <w:sz w:val="16"/>
                <w:szCs w:val="16"/>
              </w:rPr>
            </w:pPr>
            <w:r w:rsidRPr="008B6D55">
              <w:rPr>
                <w:rFonts w:cstheme="minorHAnsi"/>
                <w:sz w:val="16"/>
                <w:szCs w:val="16"/>
              </w:rPr>
              <w:t>Issue #</w:t>
            </w:r>
          </w:p>
        </w:tc>
        <w:tc>
          <w:tcPr>
            <w:tcW w:w="4394" w:type="dxa"/>
          </w:tcPr>
          <w:p w14:paraId="4A4AC590" w14:textId="77777777" w:rsidR="000E5A8F" w:rsidRPr="008B6D55" w:rsidRDefault="000E5A8F" w:rsidP="009321B9">
            <w:pPr>
              <w:rPr>
                <w:rFonts w:cstheme="minorHAnsi"/>
                <w:sz w:val="16"/>
                <w:szCs w:val="16"/>
              </w:rPr>
            </w:pPr>
            <w:r w:rsidRPr="008B6D55">
              <w:rPr>
                <w:rFonts w:cstheme="minorHAnsi"/>
                <w:sz w:val="16"/>
                <w:szCs w:val="16"/>
              </w:rPr>
              <w:t>Question</w:t>
            </w:r>
          </w:p>
        </w:tc>
        <w:tc>
          <w:tcPr>
            <w:tcW w:w="5103" w:type="dxa"/>
          </w:tcPr>
          <w:p w14:paraId="318A0AC4" w14:textId="77777777" w:rsidR="000E5A8F" w:rsidRPr="008B6D55" w:rsidRDefault="000E5A8F" w:rsidP="009321B9">
            <w:pPr>
              <w:rPr>
                <w:rFonts w:cstheme="minorHAnsi"/>
                <w:sz w:val="16"/>
                <w:szCs w:val="16"/>
              </w:rPr>
            </w:pPr>
            <w:r w:rsidRPr="008B6D55">
              <w:rPr>
                <w:rFonts w:cstheme="minorHAnsi"/>
                <w:sz w:val="16"/>
                <w:szCs w:val="16"/>
              </w:rPr>
              <w:t>Coding Rules</w:t>
            </w:r>
          </w:p>
        </w:tc>
      </w:tr>
      <w:tr w:rsidR="000E5A8F" w:rsidRPr="008B6D55" w14:paraId="276F74DE" w14:textId="77777777" w:rsidTr="000E5A8F">
        <w:tc>
          <w:tcPr>
            <w:tcW w:w="851" w:type="dxa"/>
          </w:tcPr>
          <w:p w14:paraId="0248CA8D" w14:textId="77777777" w:rsidR="000E5A8F" w:rsidRPr="008B6D55" w:rsidRDefault="000E5A8F" w:rsidP="009321B9">
            <w:pPr>
              <w:rPr>
                <w:rFonts w:cstheme="minorHAnsi"/>
                <w:sz w:val="16"/>
                <w:szCs w:val="16"/>
              </w:rPr>
            </w:pPr>
            <w:r w:rsidRPr="008B6D55">
              <w:rPr>
                <w:rFonts w:cstheme="minorHAnsi"/>
                <w:sz w:val="16"/>
                <w:szCs w:val="16"/>
              </w:rPr>
              <w:lastRenderedPageBreak/>
              <w:t>59</w:t>
            </w:r>
          </w:p>
        </w:tc>
        <w:tc>
          <w:tcPr>
            <w:tcW w:w="4394" w:type="dxa"/>
          </w:tcPr>
          <w:p w14:paraId="3D8F3ECB" w14:textId="77777777" w:rsidR="000E5A8F" w:rsidRPr="008B6D55" w:rsidRDefault="000E5A8F" w:rsidP="009321B9">
            <w:pPr>
              <w:rPr>
                <w:rFonts w:cstheme="minorHAnsi"/>
                <w:sz w:val="16"/>
                <w:szCs w:val="16"/>
              </w:rPr>
            </w:pPr>
            <w:r w:rsidRPr="008B6D55">
              <w:rPr>
                <w:rFonts w:eastAsiaTheme="minorEastAsia" w:cstheme="minorHAnsi"/>
                <w:sz w:val="16"/>
                <w:szCs w:val="16"/>
              </w:rPr>
              <w:t>2.1 Defining admission to trading</w:t>
            </w:r>
          </w:p>
        </w:tc>
        <w:tc>
          <w:tcPr>
            <w:tcW w:w="5103" w:type="dxa"/>
          </w:tcPr>
          <w:p w14:paraId="3B68B4BC" w14:textId="77777777" w:rsidR="000E5A8F" w:rsidRPr="008B6D55" w:rsidRDefault="000E5A8F" w:rsidP="009321B9">
            <w:pPr>
              <w:rPr>
                <w:rFonts w:cstheme="minorHAnsi"/>
                <w:sz w:val="16"/>
                <w:szCs w:val="16"/>
              </w:rPr>
            </w:pPr>
            <w:r w:rsidRPr="008B6D55">
              <w:rPr>
                <w:rFonts w:cstheme="minorHAnsi"/>
                <w:sz w:val="16"/>
                <w:szCs w:val="16"/>
              </w:rPr>
              <w:t>1 = Support EC approach (Agree that new definition is needed) = 1</w:t>
            </w:r>
          </w:p>
          <w:p w14:paraId="3AEA699D" w14:textId="77777777" w:rsidR="000E5A8F" w:rsidRPr="008B6D55" w:rsidRDefault="000E5A8F" w:rsidP="009321B9">
            <w:pPr>
              <w:rPr>
                <w:rFonts w:cstheme="minorHAnsi"/>
                <w:sz w:val="16"/>
                <w:szCs w:val="16"/>
              </w:rPr>
            </w:pPr>
            <w:r w:rsidRPr="008B6D55">
              <w:rPr>
                <w:rFonts w:cstheme="minorHAnsi"/>
                <w:sz w:val="16"/>
                <w:szCs w:val="16"/>
              </w:rPr>
              <w:t>2 = Support less stringent approach (Keep definition vague / flexible)</w:t>
            </w:r>
          </w:p>
          <w:p w14:paraId="4DE2734B" w14:textId="77777777" w:rsidR="000E5A8F" w:rsidRPr="008B6D55" w:rsidRDefault="000E5A8F" w:rsidP="009321B9">
            <w:pPr>
              <w:rPr>
                <w:rFonts w:cstheme="minorHAnsi"/>
                <w:sz w:val="16"/>
                <w:szCs w:val="16"/>
              </w:rPr>
            </w:pPr>
            <w:r w:rsidRPr="008B6D55">
              <w:rPr>
                <w:rFonts w:cstheme="minorHAnsi"/>
                <w:sz w:val="16"/>
                <w:szCs w:val="16"/>
              </w:rPr>
              <w:t>3 = Support more stringent approach (Proposed approach not stringent enough / even more instruments should fall under a new definition)</w:t>
            </w:r>
          </w:p>
          <w:p w14:paraId="036DD420"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07897486" w14:textId="77777777" w:rsidTr="000E5A8F">
        <w:tc>
          <w:tcPr>
            <w:tcW w:w="851" w:type="dxa"/>
          </w:tcPr>
          <w:p w14:paraId="79E326B0" w14:textId="77777777" w:rsidR="000E5A8F" w:rsidRPr="008B6D55" w:rsidRDefault="000E5A8F" w:rsidP="009321B9">
            <w:pPr>
              <w:rPr>
                <w:rFonts w:cstheme="minorHAnsi"/>
                <w:sz w:val="16"/>
                <w:szCs w:val="16"/>
              </w:rPr>
            </w:pPr>
            <w:r w:rsidRPr="008B6D55">
              <w:rPr>
                <w:rFonts w:cstheme="minorHAnsi"/>
                <w:sz w:val="16"/>
                <w:szCs w:val="16"/>
              </w:rPr>
              <w:t>60</w:t>
            </w:r>
          </w:p>
        </w:tc>
        <w:tc>
          <w:tcPr>
            <w:tcW w:w="4394" w:type="dxa"/>
          </w:tcPr>
          <w:p w14:paraId="1A501711" w14:textId="77777777" w:rsidR="000E5A8F" w:rsidRPr="008B6D55" w:rsidRDefault="000E5A8F" w:rsidP="009321B9">
            <w:pPr>
              <w:rPr>
                <w:rFonts w:cstheme="minorHAnsi"/>
                <w:sz w:val="16"/>
                <w:szCs w:val="16"/>
              </w:rPr>
            </w:pPr>
            <w:r w:rsidRPr="008B6D55">
              <w:rPr>
                <w:rFonts w:eastAsiaTheme="minorEastAsia" w:cstheme="minorHAnsi"/>
                <w:sz w:val="16"/>
                <w:szCs w:val="16"/>
              </w:rPr>
              <w:t>2.2 Organised trading facilities</w:t>
            </w:r>
          </w:p>
        </w:tc>
        <w:tc>
          <w:tcPr>
            <w:tcW w:w="5103" w:type="dxa"/>
          </w:tcPr>
          <w:p w14:paraId="0D9194A9" w14:textId="77777777" w:rsidR="000E5A8F" w:rsidRPr="008B6D55" w:rsidRDefault="000E5A8F" w:rsidP="009321B9">
            <w:pPr>
              <w:rPr>
                <w:rFonts w:cstheme="minorHAnsi"/>
                <w:sz w:val="16"/>
                <w:szCs w:val="16"/>
              </w:rPr>
            </w:pPr>
            <w:r w:rsidRPr="008B6D55">
              <w:rPr>
                <w:rFonts w:cstheme="minorHAnsi"/>
                <w:sz w:val="16"/>
                <w:szCs w:val="16"/>
              </w:rPr>
              <w:t>1 = Agree that new definition is needed</w:t>
            </w:r>
          </w:p>
          <w:p w14:paraId="2500D4B0" w14:textId="77777777" w:rsidR="000E5A8F" w:rsidRPr="008B6D55" w:rsidRDefault="000E5A8F" w:rsidP="009321B9">
            <w:pPr>
              <w:rPr>
                <w:rFonts w:cstheme="minorHAnsi"/>
                <w:sz w:val="16"/>
                <w:szCs w:val="16"/>
              </w:rPr>
            </w:pPr>
            <w:r w:rsidRPr="008B6D55">
              <w:rPr>
                <w:rFonts w:cstheme="minorHAnsi"/>
                <w:sz w:val="16"/>
                <w:szCs w:val="16"/>
              </w:rPr>
              <w:t>2 = Keep definition vague / flexible</w:t>
            </w:r>
          </w:p>
          <w:p w14:paraId="2BEC2DBE" w14:textId="77777777" w:rsidR="000E5A8F" w:rsidRPr="008B6D55" w:rsidRDefault="000E5A8F" w:rsidP="009321B9">
            <w:pPr>
              <w:rPr>
                <w:rFonts w:cstheme="minorHAnsi"/>
                <w:sz w:val="16"/>
                <w:szCs w:val="16"/>
              </w:rPr>
            </w:pPr>
            <w:r w:rsidRPr="008B6D55">
              <w:rPr>
                <w:rFonts w:cstheme="minorHAnsi"/>
                <w:sz w:val="16"/>
                <w:szCs w:val="16"/>
              </w:rPr>
              <w:t>3 = Proposed approach not stringent enough / even more venues should fall under a new definition</w:t>
            </w:r>
          </w:p>
          <w:p w14:paraId="1EA3A8A5"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3AA93167" w14:textId="77777777" w:rsidTr="000E5A8F">
        <w:tc>
          <w:tcPr>
            <w:tcW w:w="851" w:type="dxa"/>
          </w:tcPr>
          <w:p w14:paraId="3F47DD18" w14:textId="77777777" w:rsidR="000E5A8F" w:rsidRPr="008B6D55" w:rsidRDefault="000E5A8F" w:rsidP="009321B9">
            <w:pPr>
              <w:rPr>
                <w:rFonts w:cstheme="minorHAnsi"/>
                <w:sz w:val="16"/>
                <w:szCs w:val="16"/>
              </w:rPr>
            </w:pPr>
            <w:r w:rsidRPr="008B6D55">
              <w:rPr>
                <w:rFonts w:cstheme="minorHAnsi"/>
                <w:sz w:val="16"/>
                <w:szCs w:val="16"/>
              </w:rPr>
              <w:t>61</w:t>
            </w:r>
          </w:p>
        </w:tc>
        <w:tc>
          <w:tcPr>
            <w:tcW w:w="4394" w:type="dxa"/>
          </w:tcPr>
          <w:p w14:paraId="42F9C633" w14:textId="77777777" w:rsidR="000E5A8F" w:rsidRPr="008B6D55" w:rsidRDefault="000E5A8F" w:rsidP="009321B9">
            <w:pPr>
              <w:rPr>
                <w:rFonts w:cstheme="minorHAnsi"/>
                <w:sz w:val="16"/>
                <w:szCs w:val="16"/>
              </w:rPr>
            </w:pPr>
            <w:r w:rsidRPr="008B6D55">
              <w:rPr>
                <w:rFonts w:cstheme="minorHAnsi"/>
                <w:sz w:val="16"/>
                <w:szCs w:val="16"/>
              </w:rPr>
              <w:t xml:space="preserve">2.3 </w:t>
            </w:r>
            <w:r w:rsidRPr="008B6D55">
              <w:rPr>
                <w:rFonts w:eastAsiaTheme="minorEastAsia" w:cstheme="minorHAnsi"/>
                <w:sz w:val="16"/>
                <w:szCs w:val="16"/>
              </w:rPr>
              <w:t>Automated trading and related issues</w:t>
            </w:r>
          </w:p>
        </w:tc>
        <w:tc>
          <w:tcPr>
            <w:tcW w:w="5103" w:type="dxa"/>
          </w:tcPr>
          <w:p w14:paraId="03355C43" w14:textId="77777777" w:rsidR="000E5A8F" w:rsidRPr="008B6D55" w:rsidRDefault="000E5A8F" w:rsidP="009321B9">
            <w:pPr>
              <w:rPr>
                <w:rFonts w:cstheme="minorHAnsi"/>
                <w:sz w:val="16"/>
                <w:szCs w:val="16"/>
              </w:rPr>
            </w:pPr>
            <w:r w:rsidRPr="008B6D55">
              <w:rPr>
                <w:rFonts w:cstheme="minorHAnsi"/>
                <w:sz w:val="16"/>
                <w:szCs w:val="16"/>
              </w:rPr>
              <w:t>1= Agree with EC proposal</w:t>
            </w:r>
          </w:p>
          <w:p w14:paraId="31211FA0" w14:textId="77777777" w:rsidR="000E5A8F" w:rsidRPr="008B6D55" w:rsidRDefault="000E5A8F" w:rsidP="009321B9">
            <w:pPr>
              <w:rPr>
                <w:rFonts w:cstheme="minorHAnsi"/>
                <w:sz w:val="16"/>
                <w:szCs w:val="16"/>
              </w:rPr>
            </w:pPr>
            <w:r w:rsidRPr="008B6D55">
              <w:rPr>
                <w:rFonts w:cstheme="minorHAnsi"/>
                <w:sz w:val="16"/>
                <w:szCs w:val="16"/>
              </w:rPr>
              <w:t>2= Do not include automatic trading as trading</w:t>
            </w:r>
          </w:p>
          <w:p w14:paraId="5EC71A30" w14:textId="77777777" w:rsidR="000E5A8F" w:rsidRPr="008B6D55" w:rsidRDefault="000E5A8F" w:rsidP="009321B9">
            <w:pPr>
              <w:rPr>
                <w:rFonts w:cstheme="minorHAnsi"/>
                <w:sz w:val="16"/>
                <w:szCs w:val="16"/>
              </w:rPr>
            </w:pPr>
            <w:r w:rsidRPr="008B6D55">
              <w:rPr>
                <w:rFonts w:cstheme="minorHAnsi"/>
                <w:sz w:val="16"/>
                <w:szCs w:val="16"/>
              </w:rPr>
              <w:t>3= Suggestions that proposal is not stringent enough / even more inventive ways of trading need to be included / EC proposal will not help stabilize markets</w:t>
            </w:r>
          </w:p>
          <w:p w14:paraId="174484D9"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1D2CDF67" w14:textId="77777777" w:rsidTr="000E5A8F">
        <w:tc>
          <w:tcPr>
            <w:tcW w:w="851" w:type="dxa"/>
          </w:tcPr>
          <w:p w14:paraId="07D91B95" w14:textId="77777777" w:rsidR="000E5A8F" w:rsidRPr="008B6D55" w:rsidRDefault="000E5A8F" w:rsidP="009321B9">
            <w:pPr>
              <w:rPr>
                <w:rFonts w:cstheme="minorHAnsi"/>
                <w:sz w:val="16"/>
                <w:szCs w:val="16"/>
              </w:rPr>
            </w:pPr>
            <w:r w:rsidRPr="008B6D55">
              <w:rPr>
                <w:rFonts w:cstheme="minorHAnsi"/>
                <w:sz w:val="16"/>
                <w:szCs w:val="16"/>
              </w:rPr>
              <w:t>62</w:t>
            </w:r>
          </w:p>
        </w:tc>
        <w:tc>
          <w:tcPr>
            <w:tcW w:w="4394" w:type="dxa"/>
          </w:tcPr>
          <w:p w14:paraId="2F03CA78" w14:textId="77777777" w:rsidR="000E5A8F" w:rsidRPr="008B6D55" w:rsidRDefault="000E5A8F" w:rsidP="009321B9">
            <w:pPr>
              <w:rPr>
                <w:rFonts w:cstheme="minorHAnsi"/>
                <w:sz w:val="16"/>
                <w:szCs w:val="16"/>
              </w:rPr>
            </w:pPr>
            <w:r w:rsidRPr="008B6D55">
              <w:rPr>
                <w:rFonts w:eastAsiaTheme="minorEastAsia" w:cstheme="minorHAnsi"/>
                <w:sz w:val="16"/>
                <w:szCs w:val="16"/>
              </w:rPr>
              <w:t>2.4 Systemic Internalizers</w:t>
            </w:r>
          </w:p>
        </w:tc>
        <w:tc>
          <w:tcPr>
            <w:tcW w:w="5103" w:type="dxa"/>
          </w:tcPr>
          <w:p w14:paraId="3F7B1EEE"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715E7948" w14:textId="77777777" w:rsidR="000E5A8F" w:rsidRPr="008B6D55" w:rsidRDefault="000E5A8F" w:rsidP="009321B9">
            <w:pPr>
              <w:rPr>
                <w:rFonts w:cstheme="minorHAnsi"/>
                <w:sz w:val="16"/>
                <w:szCs w:val="16"/>
              </w:rPr>
            </w:pPr>
            <w:r w:rsidRPr="008B6D55">
              <w:rPr>
                <w:rFonts w:cstheme="minorHAnsi"/>
                <w:sz w:val="16"/>
                <w:szCs w:val="16"/>
              </w:rPr>
              <w:t>2= Support less stringent approach (no new system; any system that would not have more firms registering as “systemic internalizers”</w:t>
            </w:r>
          </w:p>
          <w:p w14:paraId="505FC3C7"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04E6969E"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74D6301C" w14:textId="77777777" w:rsidTr="000E5A8F">
        <w:tc>
          <w:tcPr>
            <w:tcW w:w="851" w:type="dxa"/>
          </w:tcPr>
          <w:p w14:paraId="5D832824" w14:textId="77777777" w:rsidR="000E5A8F" w:rsidRPr="008B6D55" w:rsidRDefault="000E5A8F" w:rsidP="009321B9">
            <w:pPr>
              <w:rPr>
                <w:rFonts w:cstheme="minorHAnsi"/>
                <w:sz w:val="16"/>
                <w:szCs w:val="16"/>
              </w:rPr>
            </w:pPr>
            <w:r w:rsidRPr="008B6D55">
              <w:rPr>
                <w:rFonts w:cstheme="minorHAnsi"/>
                <w:sz w:val="16"/>
                <w:szCs w:val="16"/>
              </w:rPr>
              <w:t>63</w:t>
            </w:r>
          </w:p>
        </w:tc>
        <w:tc>
          <w:tcPr>
            <w:tcW w:w="4394" w:type="dxa"/>
          </w:tcPr>
          <w:p w14:paraId="0BA7CFFD" w14:textId="77777777" w:rsidR="000E5A8F" w:rsidRPr="008B6D55" w:rsidRDefault="000E5A8F" w:rsidP="009321B9">
            <w:pPr>
              <w:rPr>
                <w:rFonts w:cstheme="minorHAnsi"/>
                <w:sz w:val="16"/>
                <w:szCs w:val="16"/>
              </w:rPr>
            </w:pPr>
            <w:r w:rsidRPr="008B6D55">
              <w:rPr>
                <w:rFonts w:eastAsiaTheme="minorEastAsia" w:cstheme="minorHAnsi"/>
                <w:sz w:val="16"/>
                <w:szCs w:val="16"/>
              </w:rPr>
              <w:t>2.5  Further alignment and reinforcement of organisational and market surveillance requirements</w:t>
            </w:r>
          </w:p>
        </w:tc>
        <w:tc>
          <w:tcPr>
            <w:tcW w:w="5103" w:type="dxa"/>
          </w:tcPr>
          <w:p w14:paraId="3FE2C765"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7A084727" w14:textId="77777777" w:rsidR="000E5A8F" w:rsidRPr="008B6D55" w:rsidRDefault="000E5A8F" w:rsidP="009321B9">
            <w:pPr>
              <w:rPr>
                <w:rFonts w:cstheme="minorHAnsi"/>
                <w:sz w:val="16"/>
                <w:szCs w:val="16"/>
              </w:rPr>
            </w:pPr>
            <w:r w:rsidRPr="008B6D55">
              <w:rPr>
                <w:rFonts w:cstheme="minorHAnsi"/>
                <w:sz w:val="16"/>
                <w:szCs w:val="16"/>
              </w:rPr>
              <w:t xml:space="preserve">2= Support less stringent approach (no alignment) </w:t>
            </w:r>
          </w:p>
          <w:p w14:paraId="2A9E9EBA"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223C0D47"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01B78F30" w14:textId="77777777" w:rsidTr="000E5A8F">
        <w:tc>
          <w:tcPr>
            <w:tcW w:w="851" w:type="dxa"/>
            <w:shd w:val="clear" w:color="auto" w:fill="auto"/>
          </w:tcPr>
          <w:p w14:paraId="5800A1C6" w14:textId="77777777" w:rsidR="000E5A8F" w:rsidRPr="008B6D55" w:rsidRDefault="000E5A8F" w:rsidP="009321B9">
            <w:pPr>
              <w:rPr>
                <w:rFonts w:cstheme="minorHAnsi"/>
                <w:sz w:val="16"/>
                <w:szCs w:val="16"/>
              </w:rPr>
            </w:pPr>
            <w:r w:rsidRPr="008B6D55">
              <w:rPr>
                <w:rFonts w:cstheme="minorHAnsi"/>
                <w:sz w:val="16"/>
                <w:szCs w:val="16"/>
              </w:rPr>
              <w:t>64</w:t>
            </w:r>
          </w:p>
        </w:tc>
        <w:tc>
          <w:tcPr>
            <w:tcW w:w="4394" w:type="dxa"/>
            <w:shd w:val="clear" w:color="auto" w:fill="auto"/>
          </w:tcPr>
          <w:p w14:paraId="2B4B0FA8" w14:textId="77777777" w:rsidR="000E5A8F" w:rsidRPr="008B6D55" w:rsidRDefault="000E5A8F" w:rsidP="009321B9">
            <w:pPr>
              <w:rPr>
                <w:rFonts w:cstheme="minorHAnsi"/>
                <w:sz w:val="16"/>
                <w:szCs w:val="16"/>
              </w:rPr>
            </w:pPr>
            <w:r w:rsidRPr="008B6D55">
              <w:rPr>
                <w:rFonts w:eastAsiaTheme="minorEastAsia" w:cstheme="minorHAnsi"/>
                <w:sz w:val="16"/>
                <w:szCs w:val="16"/>
              </w:rPr>
              <w:t>3.1 Equity Markets</w:t>
            </w:r>
          </w:p>
        </w:tc>
        <w:tc>
          <w:tcPr>
            <w:tcW w:w="5103" w:type="dxa"/>
            <w:shd w:val="clear" w:color="auto" w:fill="auto"/>
          </w:tcPr>
          <w:p w14:paraId="79A47AFE" w14:textId="77777777" w:rsidR="000E5A8F" w:rsidRPr="008B6D55" w:rsidRDefault="000E5A8F" w:rsidP="009321B9">
            <w:pPr>
              <w:rPr>
                <w:rFonts w:cstheme="minorHAnsi"/>
                <w:sz w:val="16"/>
                <w:szCs w:val="16"/>
              </w:rPr>
            </w:pPr>
            <w:r w:rsidRPr="008B6D55">
              <w:rPr>
                <w:rFonts w:cstheme="minorHAnsi"/>
                <w:sz w:val="16"/>
                <w:szCs w:val="16"/>
              </w:rPr>
              <w:t xml:space="preserve">1=Support EC approach </w:t>
            </w:r>
          </w:p>
          <w:p w14:paraId="360F4FBF"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04731467" w14:textId="77777777" w:rsidR="000E5A8F" w:rsidRPr="008B6D55" w:rsidRDefault="000E5A8F" w:rsidP="009321B9">
            <w:pPr>
              <w:rPr>
                <w:rFonts w:cstheme="minorHAnsi"/>
                <w:sz w:val="16"/>
                <w:szCs w:val="16"/>
              </w:rPr>
            </w:pPr>
            <w:r w:rsidRPr="008B6D55">
              <w:rPr>
                <w:rFonts w:cstheme="minorHAnsi"/>
                <w:sz w:val="16"/>
                <w:szCs w:val="16"/>
              </w:rPr>
              <w:t xml:space="preserve">3=Support more stringent approach </w:t>
            </w:r>
          </w:p>
          <w:p w14:paraId="4DE267DE"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120869B2" w14:textId="77777777" w:rsidTr="000E5A8F">
        <w:tc>
          <w:tcPr>
            <w:tcW w:w="851" w:type="dxa"/>
            <w:shd w:val="clear" w:color="auto" w:fill="auto"/>
          </w:tcPr>
          <w:p w14:paraId="79FCC840" w14:textId="77777777" w:rsidR="000E5A8F" w:rsidRPr="008B6D55" w:rsidRDefault="000E5A8F" w:rsidP="009321B9">
            <w:pPr>
              <w:rPr>
                <w:rFonts w:cstheme="minorHAnsi"/>
                <w:sz w:val="16"/>
                <w:szCs w:val="16"/>
              </w:rPr>
            </w:pPr>
            <w:r w:rsidRPr="008B6D55">
              <w:rPr>
                <w:rFonts w:cstheme="minorHAnsi"/>
                <w:sz w:val="16"/>
                <w:szCs w:val="16"/>
              </w:rPr>
              <w:t>65</w:t>
            </w:r>
          </w:p>
        </w:tc>
        <w:tc>
          <w:tcPr>
            <w:tcW w:w="4394" w:type="dxa"/>
            <w:shd w:val="clear" w:color="auto" w:fill="auto"/>
          </w:tcPr>
          <w:p w14:paraId="719B38B5" w14:textId="77777777" w:rsidR="000E5A8F" w:rsidRPr="008B6D55" w:rsidRDefault="000E5A8F" w:rsidP="009321B9">
            <w:pPr>
              <w:rPr>
                <w:rFonts w:cstheme="minorHAnsi"/>
                <w:sz w:val="16"/>
                <w:szCs w:val="16"/>
              </w:rPr>
            </w:pPr>
            <w:r w:rsidRPr="008B6D55">
              <w:rPr>
                <w:rFonts w:eastAsiaTheme="minorEastAsia" w:cstheme="minorHAnsi"/>
                <w:sz w:val="16"/>
                <w:szCs w:val="16"/>
              </w:rPr>
              <w:t>3.2 Equity-Like Instruments</w:t>
            </w:r>
          </w:p>
        </w:tc>
        <w:tc>
          <w:tcPr>
            <w:tcW w:w="5103" w:type="dxa"/>
            <w:shd w:val="clear" w:color="auto" w:fill="auto"/>
          </w:tcPr>
          <w:p w14:paraId="6ADB7974" w14:textId="77777777" w:rsidR="000E5A8F" w:rsidRPr="008B6D55" w:rsidRDefault="000E5A8F" w:rsidP="009321B9">
            <w:pPr>
              <w:rPr>
                <w:rFonts w:cstheme="minorHAnsi"/>
                <w:sz w:val="16"/>
                <w:szCs w:val="16"/>
              </w:rPr>
            </w:pPr>
            <w:r w:rsidRPr="008B6D55">
              <w:rPr>
                <w:rFonts w:cstheme="minorHAnsi"/>
                <w:sz w:val="16"/>
                <w:szCs w:val="16"/>
              </w:rPr>
              <w:t>1=Support EC approach</w:t>
            </w:r>
          </w:p>
          <w:p w14:paraId="00CF412B" w14:textId="77777777" w:rsidR="000E5A8F" w:rsidRPr="008B6D55" w:rsidRDefault="000E5A8F" w:rsidP="009321B9">
            <w:pPr>
              <w:rPr>
                <w:rFonts w:cstheme="minorHAnsi"/>
                <w:sz w:val="16"/>
                <w:szCs w:val="16"/>
              </w:rPr>
            </w:pPr>
            <w:r w:rsidRPr="008B6D55">
              <w:rPr>
                <w:rFonts w:cstheme="minorHAnsi"/>
                <w:sz w:val="16"/>
                <w:szCs w:val="16"/>
              </w:rPr>
              <w:t xml:space="preserve">2=Support less stringent approach (do not include these instruments) </w:t>
            </w:r>
          </w:p>
          <w:p w14:paraId="2A03C2FF" w14:textId="77777777" w:rsidR="000E5A8F" w:rsidRPr="008B6D55" w:rsidRDefault="000E5A8F" w:rsidP="009321B9">
            <w:pPr>
              <w:rPr>
                <w:rFonts w:cstheme="minorHAnsi"/>
                <w:sz w:val="16"/>
                <w:szCs w:val="16"/>
              </w:rPr>
            </w:pPr>
            <w:r w:rsidRPr="008B6D55">
              <w:rPr>
                <w:rFonts w:cstheme="minorHAnsi"/>
                <w:sz w:val="16"/>
                <w:szCs w:val="16"/>
              </w:rPr>
              <w:t>3=Support more stringent approach (include more instruments; including proposed instruments will not improve transparency)</w:t>
            </w:r>
          </w:p>
          <w:p w14:paraId="6D5C8933"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10D8D885" w14:textId="77777777" w:rsidTr="000E5A8F">
        <w:tc>
          <w:tcPr>
            <w:tcW w:w="851" w:type="dxa"/>
            <w:shd w:val="clear" w:color="auto" w:fill="auto"/>
          </w:tcPr>
          <w:p w14:paraId="67CB8CC8" w14:textId="77777777" w:rsidR="000E5A8F" w:rsidRPr="008B6D55" w:rsidRDefault="000E5A8F" w:rsidP="009321B9">
            <w:pPr>
              <w:rPr>
                <w:rFonts w:cstheme="minorHAnsi"/>
                <w:sz w:val="16"/>
                <w:szCs w:val="16"/>
              </w:rPr>
            </w:pPr>
            <w:r w:rsidRPr="008B6D55">
              <w:rPr>
                <w:rFonts w:cstheme="minorHAnsi"/>
                <w:sz w:val="16"/>
                <w:szCs w:val="16"/>
              </w:rPr>
              <w:t>66</w:t>
            </w:r>
          </w:p>
        </w:tc>
        <w:tc>
          <w:tcPr>
            <w:tcW w:w="4394" w:type="dxa"/>
            <w:shd w:val="clear" w:color="auto" w:fill="auto"/>
          </w:tcPr>
          <w:p w14:paraId="06E4BA90" w14:textId="77777777" w:rsidR="000E5A8F" w:rsidRPr="008B6D55" w:rsidRDefault="000E5A8F" w:rsidP="009321B9">
            <w:pPr>
              <w:rPr>
                <w:rFonts w:cstheme="minorHAnsi"/>
                <w:sz w:val="16"/>
                <w:szCs w:val="16"/>
              </w:rPr>
            </w:pPr>
            <w:r w:rsidRPr="008B6D55">
              <w:rPr>
                <w:rFonts w:eastAsiaTheme="minorEastAsia" w:cstheme="minorHAnsi"/>
                <w:sz w:val="16"/>
                <w:szCs w:val="16"/>
              </w:rPr>
              <w:t>3.3. Trade Transparency regime for shares traded only on MTFs or organized trading facilities</w:t>
            </w:r>
          </w:p>
        </w:tc>
        <w:tc>
          <w:tcPr>
            <w:tcW w:w="5103" w:type="dxa"/>
            <w:shd w:val="clear" w:color="auto" w:fill="auto"/>
          </w:tcPr>
          <w:p w14:paraId="0FD5DAFE"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1A3EE9FD" w14:textId="77777777" w:rsidR="000E5A8F" w:rsidRPr="008B6D55" w:rsidRDefault="000E5A8F" w:rsidP="009321B9">
            <w:pPr>
              <w:rPr>
                <w:rFonts w:cstheme="minorHAnsi"/>
                <w:sz w:val="16"/>
                <w:szCs w:val="16"/>
              </w:rPr>
            </w:pPr>
            <w:r w:rsidRPr="008B6D55">
              <w:rPr>
                <w:rFonts w:cstheme="minorHAnsi"/>
                <w:sz w:val="16"/>
                <w:szCs w:val="16"/>
              </w:rPr>
              <w:t>2=Support less stringent approach (do not include these instruments only trade on MTFs)</w:t>
            </w:r>
          </w:p>
          <w:p w14:paraId="7AA34CB9" w14:textId="77777777" w:rsidR="000E5A8F" w:rsidRPr="008B6D55" w:rsidRDefault="000E5A8F" w:rsidP="009321B9">
            <w:pPr>
              <w:rPr>
                <w:rFonts w:cstheme="minorHAnsi"/>
                <w:sz w:val="16"/>
                <w:szCs w:val="16"/>
              </w:rPr>
            </w:pPr>
            <w:r w:rsidRPr="008B6D55">
              <w:rPr>
                <w:rFonts w:cstheme="minorHAnsi"/>
                <w:sz w:val="16"/>
                <w:szCs w:val="16"/>
              </w:rPr>
              <w:t>3= Support more stringent approach (proposed instruments will not improve transparency)</w:t>
            </w:r>
          </w:p>
          <w:p w14:paraId="65C34FCA"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033DC0A0" w14:textId="77777777" w:rsidTr="000E5A8F">
        <w:tc>
          <w:tcPr>
            <w:tcW w:w="851" w:type="dxa"/>
            <w:shd w:val="clear" w:color="auto" w:fill="auto"/>
          </w:tcPr>
          <w:p w14:paraId="69F71B83" w14:textId="77777777" w:rsidR="000E5A8F" w:rsidRPr="008B6D55" w:rsidRDefault="000E5A8F" w:rsidP="009321B9">
            <w:pPr>
              <w:rPr>
                <w:rFonts w:cstheme="minorHAnsi"/>
                <w:sz w:val="16"/>
                <w:szCs w:val="16"/>
              </w:rPr>
            </w:pPr>
            <w:r w:rsidRPr="008B6D55">
              <w:rPr>
                <w:rFonts w:cstheme="minorHAnsi"/>
                <w:sz w:val="16"/>
                <w:szCs w:val="16"/>
              </w:rPr>
              <w:t>67</w:t>
            </w:r>
          </w:p>
        </w:tc>
        <w:tc>
          <w:tcPr>
            <w:tcW w:w="4394" w:type="dxa"/>
            <w:shd w:val="clear" w:color="auto" w:fill="auto"/>
          </w:tcPr>
          <w:p w14:paraId="47E76F71" w14:textId="77777777" w:rsidR="000E5A8F" w:rsidRPr="008B6D55" w:rsidRDefault="000E5A8F" w:rsidP="009321B9">
            <w:pPr>
              <w:rPr>
                <w:rFonts w:cstheme="minorHAnsi"/>
                <w:sz w:val="16"/>
                <w:szCs w:val="16"/>
              </w:rPr>
            </w:pPr>
            <w:r w:rsidRPr="008B6D55">
              <w:rPr>
                <w:rFonts w:eastAsiaTheme="minorEastAsia" w:cstheme="minorHAnsi"/>
                <w:sz w:val="16"/>
                <w:szCs w:val="16"/>
              </w:rPr>
              <w:t>3.4 Non equity markets</w:t>
            </w:r>
          </w:p>
        </w:tc>
        <w:tc>
          <w:tcPr>
            <w:tcW w:w="5103" w:type="dxa"/>
            <w:shd w:val="clear" w:color="auto" w:fill="auto"/>
          </w:tcPr>
          <w:p w14:paraId="14AB2FC0" w14:textId="77777777" w:rsidR="000E5A8F" w:rsidRPr="008B6D55" w:rsidRDefault="000E5A8F" w:rsidP="009321B9">
            <w:pPr>
              <w:rPr>
                <w:rFonts w:cstheme="minorHAnsi"/>
                <w:sz w:val="16"/>
                <w:szCs w:val="16"/>
              </w:rPr>
            </w:pPr>
            <w:r w:rsidRPr="008B6D55">
              <w:rPr>
                <w:rFonts w:cstheme="minorHAnsi"/>
                <w:sz w:val="16"/>
                <w:szCs w:val="16"/>
              </w:rPr>
              <w:t>1=Support EC approach</w:t>
            </w:r>
          </w:p>
          <w:p w14:paraId="0653893C"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4DC463EA" w14:textId="77777777" w:rsidR="000E5A8F" w:rsidRPr="008B6D55" w:rsidRDefault="000E5A8F" w:rsidP="009321B9">
            <w:pPr>
              <w:rPr>
                <w:rFonts w:cstheme="minorHAnsi"/>
                <w:sz w:val="16"/>
                <w:szCs w:val="16"/>
              </w:rPr>
            </w:pPr>
            <w:r w:rsidRPr="008B6D55">
              <w:rPr>
                <w:rFonts w:cstheme="minorHAnsi"/>
                <w:sz w:val="16"/>
                <w:szCs w:val="16"/>
              </w:rPr>
              <w:t>3=Support more stringent approach (proposal will not improve transparency)</w:t>
            </w:r>
          </w:p>
          <w:p w14:paraId="0239ECCA"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4EEB7B76" w14:textId="77777777" w:rsidTr="000E5A8F">
        <w:tc>
          <w:tcPr>
            <w:tcW w:w="851" w:type="dxa"/>
            <w:shd w:val="clear" w:color="auto" w:fill="auto"/>
          </w:tcPr>
          <w:p w14:paraId="7313794A" w14:textId="77777777" w:rsidR="000E5A8F" w:rsidRPr="008B6D55" w:rsidRDefault="000E5A8F" w:rsidP="009321B9">
            <w:pPr>
              <w:rPr>
                <w:rFonts w:cstheme="minorHAnsi"/>
                <w:sz w:val="16"/>
                <w:szCs w:val="16"/>
              </w:rPr>
            </w:pPr>
            <w:r w:rsidRPr="008B6D55">
              <w:rPr>
                <w:rFonts w:cstheme="minorHAnsi"/>
                <w:sz w:val="16"/>
                <w:szCs w:val="16"/>
              </w:rPr>
              <w:t>68</w:t>
            </w:r>
          </w:p>
        </w:tc>
        <w:tc>
          <w:tcPr>
            <w:tcW w:w="4394" w:type="dxa"/>
            <w:shd w:val="clear" w:color="auto" w:fill="auto"/>
          </w:tcPr>
          <w:p w14:paraId="4D210171" w14:textId="77777777" w:rsidR="000E5A8F" w:rsidRPr="008B6D55" w:rsidRDefault="000E5A8F" w:rsidP="009321B9">
            <w:pPr>
              <w:rPr>
                <w:rFonts w:cstheme="minorHAnsi"/>
                <w:sz w:val="16"/>
                <w:szCs w:val="16"/>
              </w:rPr>
            </w:pPr>
            <w:r w:rsidRPr="008B6D55">
              <w:rPr>
                <w:rFonts w:cstheme="minorHAnsi"/>
                <w:sz w:val="16"/>
                <w:szCs w:val="16"/>
              </w:rPr>
              <w:t xml:space="preserve">4.1 </w:t>
            </w:r>
            <w:r w:rsidRPr="008B6D55">
              <w:rPr>
                <w:rFonts w:eastAsiaTheme="minorEastAsia" w:cstheme="minorHAnsi"/>
                <w:sz w:val="16"/>
                <w:szCs w:val="16"/>
              </w:rPr>
              <w:t>Improving the quality of raw data and ensuring it is provided in a consistent format</w:t>
            </w:r>
          </w:p>
        </w:tc>
        <w:tc>
          <w:tcPr>
            <w:tcW w:w="5103" w:type="dxa"/>
            <w:shd w:val="clear" w:color="auto" w:fill="auto"/>
          </w:tcPr>
          <w:p w14:paraId="06411E1A"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0B2C7AF4"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44759C43" w14:textId="77777777" w:rsidR="000E5A8F" w:rsidRPr="008B6D55" w:rsidRDefault="000E5A8F" w:rsidP="009321B9">
            <w:pPr>
              <w:rPr>
                <w:rFonts w:cstheme="minorHAnsi"/>
                <w:sz w:val="16"/>
                <w:szCs w:val="16"/>
              </w:rPr>
            </w:pPr>
            <w:r w:rsidRPr="008B6D55">
              <w:rPr>
                <w:rFonts w:cstheme="minorHAnsi"/>
                <w:sz w:val="16"/>
                <w:szCs w:val="16"/>
              </w:rPr>
              <w:t>3= Support more stringent approach (proposal will not improve transparency)</w:t>
            </w:r>
          </w:p>
          <w:p w14:paraId="6EF883F7"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1BF0B077" w14:textId="77777777" w:rsidTr="000E5A8F">
        <w:tc>
          <w:tcPr>
            <w:tcW w:w="851" w:type="dxa"/>
            <w:shd w:val="clear" w:color="auto" w:fill="auto"/>
          </w:tcPr>
          <w:p w14:paraId="3AEC4AE3" w14:textId="77777777" w:rsidR="000E5A8F" w:rsidRPr="008B6D55" w:rsidRDefault="000E5A8F" w:rsidP="009321B9">
            <w:pPr>
              <w:rPr>
                <w:rFonts w:cstheme="minorHAnsi"/>
                <w:sz w:val="16"/>
                <w:szCs w:val="16"/>
              </w:rPr>
            </w:pPr>
            <w:r w:rsidRPr="008B6D55">
              <w:rPr>
                <w:rFonts w:cstheme="minorHAnsi"/>
                <w:sz w:val="16"/>
                <w:szCs w:val="16"/>
              </w:rPr>
              <w:t>69</w:t>
            </w:r>
          </w:p>
        </w:tc>
        <w:tc>
          <w:tcPr>
            <w:tcW w:w="4394" w:type="dxa"/>
            <w:shd w:val="clear" w:color="auto" w:fill="auto"/>
          </w:tcPr>
          <w:p w14:paraId="1601CB52" w14:textId="77777777" w:rsidR="000E5A8F" w:rsidRPr="008B6D55" w:rsidRDefault="000E5A8F" w:rsidP="009321B9">
            <w:pPr>
              <w:rPr>
                <w:rFonts w:cstheme="minorHAnsi"/>
                <w:sz w:val="16"/>
                <w:szCs w:val="16"/>
              </w:rPr>
            </w:pPr>
            <w:r w:rsidRPr="008B6D55">
              <w:rPr>
                <w:rFonts w:cstheme="minorHAnsi"/>
                <w:sz w:val="16"/>
                <w:szCs w:val="16"/>
              </w:rPr>
              <w:t>4.2 Reducing the cost of post-trade data for investors</w:t>
            </w:r>
          </w:p>
        </w:tc>
        <w:tc>
          <w:tcPr>
            <w:tcW w:w="5103" w:type="dxa"/>
            <w:shd w:val="clear" w:color="auto" w:fill="auto"/>
          </w:tcPr>
          <w:p w14:paraId="5DE1CEFF"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3ACEEE0B"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2F8EFAEE"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1B3D5B9F"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6FE4E624" w14:textId="77777777" w:rsidTr="000E5A8F">
        <w:tc>
          <w:tcPr>
            <w:tcW w:w="851" w:type="dxa"/>
            <w:shd w:val="clear" w:color="auto" w:fill="auto"/>
          </w:tcPr>
          <w:p w14:paraId="7BAE8691" w14:textId="77777777" w:rsidR="000E5A8F" w:rsidRPr="008B6D55" w:rsidRDefault="000E5A8F" w:rsidP="009321B9">
            <w:pPr>
              <w:rPr>
                <w:rFonts w:cstheme="minorHAnsi"/>
                <w:sz w:val="16"/>
                <w:szCs w:val="16"/>
              </w:rPr>
            </w:pPr>
            <w:r w:rsidRPr="008B6D55">
              <w:rPr>
                <w:rFonts w:cstheme="minorHAnsi"/>
                <w:sz w:val="16"/>
                <w:szCs w:val="16"/>
              </w:rPr>
              <w:t>70</w:t>
            </w:r>
          </w:p>
        </w:tc>
        <w:tc>
          <w:tcPr>
            <w:tcW w:w="4394" w:type="dxa"/>
            <w:shd w:val="clear" w:color="auto" w:fill="auto"/>
          </w:tcPr>
          <w:p w14:paraId="716D517F" w14:textId="77777777" w:rsidR="000E5A8F" w:rsidRPr="008B6D55" w:rsidRDefault="000E5A8F" w:rsidP="009321B9">
            <w:pPr>
              <w:rPr>
                <w:rFonts w:cstheme="minorHAnsi"/>
                <w:sz w:val="16"/>
                <w:szCs w:val="16"/>
              </w:rPr>
            </w:pPr>
            <w:r w:rsidRPr="008B6D55">
              <w:rPr>
                <w:rFonts w:cstheme="minorHAnsi"/>
                <w:sz w:val="16"/>
                <w:szCs w:val="16"/>
              </w:rPr>
              <w:t>5.1 Specific requirements for commodity derivative exchanges</w:t>
            </w:r>
          </w:p>
        </w:tc>
        <w:tc>
          <w:tcPr>
            <w:tcW w:w="5103" w:type="dxa"/>
            <w:shd w:val="clear" w:color="auto" w:fill="auto"/>
          </w:tcPr>
          <w:p w14:paraId="09DC79D7" w14:textId="77777777" w:rsidR="000E5A8F" w:rsidRPr="008B6D55" w:rsidRDefault="000E5A8F" w:rsidP="009321B9">
            <w:pPr>
              <w:rPr>
                <w:rFonts w:cstheme="minorHAnsi"/>
                <w:sz w:val="16"/>
                <w:szCs w:val="16"/>
              </w:rPr>
            </w:pPr>
            <w:r w:rsidRPr="008B6D55">
              <w:rPr>
                <w:rFonts w:cstheme="minorHAnsi"/>
                <w:sz w:val="16"/>
                <w:szCs w:val="16"/>
              </w:rPr>
              <w:t>1=Support EC approach (any of the three options)</w:t>
            </w:r>
          </w:p>
          <w:p w14:paraId="6A3AD497" w14:textId="77777777" w:rsidR="000E5A8F" w:rsidRPr="008B6D55" w:rsidRDefault="000E5A8F" w:rsidP="009321B9">
            <w:pPr>
              <w:rPr>
                <w:rFonts w:cstheme="minorHAnsi"/>
                <w:sz w:val="16"/>
                <w:szCs w:val="16"/>
              </w:rPr>
            </w:pPr>
            <w:r w:rsidRPr="008B6D55">
              <w:rPr>
                <w:rFonts w:cstheme="minorHAnsi"/>
                <w:sz w:val="16"/>
                <w:szCs w:val="16"/>
              </w:rPr>
              <w:t>2=Support less stringent approach (none of the three options but nothing more stringent)</w:t>
            </w:r>
          </w:p>
          <w:p w14:paraId="6DFA9A7E"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4205B45B"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7866F141" w14:textId="77777777" w:rsidTr="000E5A8F">
        <w:tc>
          <w:tcPr>
            <w:tcW w:w="851" w:type="dxa"/>
            <w:shd w:val="clear" w:color="auto" w:fill="auto"/>
          </w:tcPr>
          <w:p w14:paraId="3B5DE02D" w14:textId="77777777" w:rsidR="000E5A8F" w:rsidRPr="008B6D55" w:rsidRDefault="000E5A8F" w:rsidP="009321B9">
            <w:pPr>
              <w:rPr>
                <w:rFonts w:cstheme="minorHAnsi"/>
                <w:sz w:val="16"/>
                <w:szCs w:val="16"/>
              </w:rPr>
            </w:pPr>
            <w:r w:rsidRPr="008B6D55">
              <w:rPr>
                <w:rFonts w:cstheme="minorHAnsi"/>
                <w:sz w:val="16"/>
                <w:szCs w:val="16"/>
              </w:rPr>
              <w:t>71</w:t>
            </w:r>
          </w:p>
        </w:tc>
        <w:tc>
          <w:tcPr>
            <w:tcW w:w="4394" w:type="dxa"/>
            <w:shd w:val="clear" w:color="auto" w:fill="auto"/>
          </w:tcPr>
          <w:p w14:paraId="1B6DE3CF" w14:textId="77777777" w:rsidR="000E5A8F" w:rsidRPr="008B6D55" w:rsidRDefault="000E5A8F" w:rsidP="009321B9">
            <w:pPr>
              <w:rPr>
                <w:rFonts w:cstheme="minorHAnsi"/>
                <w:sz w:val="16"/>
                <w:szCs w:val="16"/>
              </w:rPr>
            </w:pPr>
            <w:r w:rsidRPr="008B6D55">
              <w:rPr>
                <w:rFonts w:cstheme="minorHAnsi"/>
                <w:sz w:val="16"/>
                <w:szCs w:val="16"/>
              </w:rPr>
              <w:t>5.2 MiFID exemptions for commodity firms</w:t>
            </w:r>
          </w:p>
        </w:tc>
        <w:tc>
          <w:tcPr>
            <w:tcW w:w="5103" w:type="dxa"/>
            <w:shd w:val="clear" w:color="auto" w:fill="auto"/>
          </w:tcPr>
          <w:p w14:paraId="61C93E49"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0067584E" w14:textId="77777777" w:rsidR="000E5A8F" w:rsidRPr="008B6D55" w:rsidRDefault="000E5A8F" w:rsidP="009321B9">
            <w:pPr>
              <w:rPr>
                <w:rFonts w:cstheme="minorHAnsi"/>
                <w:sz w:val="16"/>
                <w:szCs w:val="16"/>
              </w:rPr>
            </w:pPr>
            <w:r w:rsidRPr="008B6D55">
              <w:rPr>
                <w:rFonts w:cstheme="minorHAnsi"/>
                <w:sz w:val="16"/>
                <w:szCs w:val="16"/>
              </w:rPr>
              <w:t>2= Support less stringent approach (do not extend)</w:t>
            </w:r>
          </w:p>
          <w:p w14:paraId="17B35D63" w14:textId="77777777" w:rsidR="000E5A8F" w:rsidRPr="008B6D55" w:rsidRDefault="000E5A8F" w:rsidP="009321B9">
            <w:pPr>
              <w:rPr>
                <w:rFonts w:cstheme="minorHAnsi"/>
                <w:sz w:val="16"/>
                <w:szCs w:val="16"/>
              </w:rPr>
            </w:pPr>
            <w:r w:rsidRPr="008B6D55">
              <w:rPr>
                <w:rFonts w:cstheme="minorHAnsi"/>
                <w:sz w:val="16"/>
                <w:szCs w:val="16"/>
              </w:rPr>
              <w:t>3=Support more stringent approach</w:t>
            </w:r>
          </w:p>
          <w:p w14:paraId="57126985"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56BCEB14" w14:textId="77777777" w:rsidTr="000E5A8F">
        <w:tc>
          <w:tcPr>
            <w:tcW w:w="851" w:type="dxa"/>
            <w:shd w:val="clear" w:color="auto" w:fill="auto"/>
          </w:tcPr>
          <w:p w14:paraId="20424A25" w14:textId="77777777" w:rsidR="000E5A8F" w:rsidRPr="008B6D55" w:rsidRDefault="000E5A8F" w:rsidP="009321B9">
            <w:pPr>
              <w:rPr>
                <w:rFonts w:cstheme="minorHAnsi"/>
                <w:sz w:val="16"/>
                <w:szCs w:val="16"/>
              </w:rPr>
            </w:pPr>
            <w:r w:rsidRPr="008B6D55">
              <w:rPr>
                <w:rFonts w:cstheme="minorHAnsi"/>
                <w:sz w:val="16"/>
                <w:szCs w:val="16"/>
              </w:rPr>
              <w:t>72</w:t>
            </w:r>
          </w:p>
        </w:tc>
        <w:tc>
          <w:tcPr>
            <w:tcW w:w="4394" w:type="dxa"/>
            <w:shd w:val="clear" w:color="auto" w:fill="auto"/>
          </w:tcPr>
          <w:p w14:paraId="2A2326EA" w14:textId="77777777" w:rsidR="000E5A8F" w:rsidRPr="008B6D55" w:rsidRDefault="000E5A8F" w:rsidP="009321B9">
            <w:pPr>
              <w:rPr>
                <w:rFonts w:cstheme="minorHAnsi"/>
                <w:sz w:val="16"/>
                <w:szCs w:val="16"/>
              </w:rPr>
            </w:pPr>
            <w:r w:rsidRPr="008B6D55">
              <w:rPr>
                <w:rFonts w:cstheme="minorHAnsi"/>
                <w:sz w:val="16"/>
                <w:szCs w:val="16"/>
              </w:rPr>
              <w:t>6.1 Scope</w:t>
            </w:r>
          </w:p>
        </w:tc>
        <w:tc>
          <w:tcPr>
            <w:tcW w:w="5103" w:type="dxa"/>
            <w:shd w:val="clear" w:color="auto" w:fill="auto"/>
          </w:tcPr>
          <w:p w14:paraId="21989EB3"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770CFBA3"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481E8869"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56640912"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078AF9FE" w14:textId="77777777" w:rsidTr="000E5A8F">
        <w:tc>
          <w:tcPr>
            <w:tcW w:w="851" w:type="dxa"/>
            <w:shd w:val="clear" w:color="auto" w:fill="auto"/>
          </w:tcPr>
          <w:p w14:paraId="28933B8E" w14:textId="77777777" w:rsidR="000E5A8F" w:rsidRPr="008B6D55" w:rsidRDefault="000E5A8F" w:rsidP="009321B9">
            <w:pPr>
              <w:rPr>
                <w:rFonts w:cstheme="minorHAnsi"/>
                <w:sz w:val="16"/>
                <w:szCs w:val="16"/>
              </w:rPr>
            </w:pPr>
            <w:r w:rsidRPr="008B6D55">
              <w:rPr>
                <w:rFonts w:cstheme="minorHAnsi"/>
                <w:sz w:val="16"/>
                <w:szCs w:val="16"/>
              </w:rPr>
              <w:t>73</w:t>
            </w:r>
          </w:p>
        </w:tc>
        <w:tc>
          <w:tcPr>
            <w:tcW w:w="4394" w:type="dxa"/>
            <w:shd w:val="clear" w:color="auto" w:fill="auto"/>
          </w:tcPr>
          <w:p w14:paraId="33606F88" w14:textId="77777777" w:rsidR="000E5A8F" w:rsidRPr="008B6D55" w:rsidRDefault="000E5A8F" w:rsidP="009321B9">
            <w:pPr>
              <w:rPr>
                <w:rFonts w:cstheme="minorHAnsi"/>
                <w:sz w:val="16"/>
                <w:szCs w:val="16"/>
              </w:rPr>
            </w:pPr>
            <w:r w:rsidRPr="008B6D55">
              <w:rPr>
                <w:rFonts w:cstheme="minorHAnsi"/>
                <w:sz w:val="16"/>
                <w:szCs w:val="16"/>
              </w:rPr>
              <w:t>6.2 Content of Reporting</w:t>
            </w:r>
          </w:p>
        </w:tc>
        <w:tc>
          <w:tcPr>
            <w:tcW w:w="5103" w:type="dxa"/>
            <w:shd w:val="clear" w:color="auto" w:fill="auto"/>
          </w:tcPr>
          <w:p w14:paraId="15A3900C"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3ED9D575"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45DEACB7"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0A94BFB3" w14:textId="77777777" w:rsidR="000E5A8F" w:rsidRPr="008B6D55" w:rsidRDefault="000E5A8F" w:rsidP="009321B9">
            <w:pPr>
              <w:rPr>
                <w:rFonts w:cstheme="minorHAnsi"/>
                <w:sz w:val="16"/>
                <w:szCs w:val="16"/>
              </w:rPr>
            </w:pPr>
            <w:r w:rsidRPr="008B6D55">
              <w:rPr>
                <w:rFonts w:cstheme="minorHAnsi"/>
                <w:sz w:val="16"/>
                <w:szCs w:val="16"/>
              </w:rPr>
              <w:lastRenderedPageBreak/>
              <w:t>4=cannot be determined</w:t>
            </w:r>
          </w:p>
        </w:tc>
      </w:tr>
      <w:tr w:rsidR="000E5A8F" w:rsidRPr="008B6D55" w14:paraId="47FD9697" w14:textId="77777777" w:rsidTr="000E5A8F">
        <w:tc>
          <w:tcPr>
            <w:tcW w:w="851" w:type="dxa"/>
            <w:shd w:val="clear" w:color="auto" w:fill="auto"/>
          </w:tcPr>
          <w:p w14:paraId="79A52F15" w14:textId="77777777" w:rsidR="000E5A8F" w:rsidRPr="008B6D55" w:rsidRDefault="000E5A8F" w:rsidP="009321B9">
            <w:pPr>
              <w:rPr>
                <w:rFonts w:cstheme="minorHAnsi"/>
                <w:sz w:val="16"/>
                <w:szCs w:val="16"/>
              </w:rPr>
            </w:pPr>
            <w:r w:rsidRPr="008B6D55">
              <w:rPr>
                <w:rFonts w:cstheme="minorHAnsi"/>
                <w:sz w:val="16"/>
                <w:szCs w:val="16"/>
              </w:rPr>
              <w:lastRenderedPageBreak/>
              <w:t>74</w:t>
            </w:r>
          </w:p>
        </w:tc>
        <w:tc>
          <w:tcPr>
            <w:tcW w:w="4394" w:type="dxa"/>
            <w:shd w:val="clear" w:color="auto" w:fill="auto"/>
          </w:tcPr>
          <w:p w14:paraId="510C201B" w14:textId="77777777" w:rsidR="000E5A8F" w:rsidRPr="008B6D55" w:rsidRDefault="000E5A8F" w:rsidP="009321B9">
            <w:pPr>
              <w:rPr>
                <w:rFonts w:cstheme="minorHAnsi"/>
                <w:sz w:val="16"/>
                <w:szCs w:val="16"/>
              </w:rPr>
            </w:pPr>
            <w:r w:rsidRPr="008B6D55">
              <w:rPr>
                <w:rFonts w:cstheme="minorHAnsi"/>
                <w:sz w:val="16"/>
                <w:szCs w:val="16"/>
              </w:rPr>
              <w:t>6.3 Reporting Channels</w:t>
            </w:r>
          </w:p>
        </w:tc>
        <w:tc>
          <w:tcPr>
            <w:tcW w:w="5103" w:type="dxa"/>
            <w:shd w:val="clear" w:color="auto" w:fill="auto"/>
          </w:tcPr>
          <w:p w14:paraId="59387FCD"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678BCD10"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7946C6BC"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2B431807" w14:textId="77777777" w:rsidR="000E5A8F" w:rsidRPr="008B6D55" w:rsidRDefault="000E5A8F" w:rsidP="009321B9">
            <w:pPr>
              <w:rPr>
                <w:rFonts w:cstheme="minorHAnsi"/>
                <w:sz w:val="16"/>
                <w:szCs w:val="16"/>
              </w:rPr>
            </w:pPr>
            <w:r w:rsidRPr="008B6D55">
              <w:rPr>
                <w:rFonts w:cstheme="minorHAnsi"/>
                <w:sz w:val="16"/>
                <w:szCs w:val="16"/>
              </w:rPr>
              <w:t>4=cannot be determined</w:t>
            </w:r>
          </w:p>
        </w:tc>
      </w:tr>
      <w:tr w:rsidR="000E5A8F" w:rsidRPr="008B6D55" w14:paraId="6A45E92E" w14:textId="77777777" w:rsidTr="000E5A8F">
        <w:tc>
          <w:tcPr>
            <w:tcW w:w="851" w:type="dxa"/>
            <w:shd w:val="clear" w:color="auto" w:fill="auto"/>
          </w:tcPr>
          <w:p w14:paraId="6686F4B9" w14:textId="77777777" w:rsidR="000E5A8F" w:rsidRPr="008B6D55" w:rsidRDefault="000E5A8F" w:rsidP="009321B9">
            <w:pPr>
              <w:rPr>
                <w:rFonts w:cstheme="minorHAnsi"/>
                <w:sz w:val="16"/>
                <w:szCs w:val="16"/>
              </w:rPr>
            </w:pPr>
            <w:r w:rsidRPr="008B6D55">
              <w:rPr>
                <w:rFonts w:cstheme="minorHAnsi"/>
                <w:sz w:val="16"/>
                <w:szCs w:val="16"/>
              </w:rPr>
              <w:t>75</w:t>
            </w:r>
          </w:p>
        </w:tc>
        <w:tc>
          <w:tcPr>
            <w:tcW w:w="4394" w:type="dxa"/>
            <w:shd w:val="clear" w:color="auto" w:fill="auto"/>
          </w:tcPr>
          <w:p w14:paraId="62673D30" w14:textId="77777777" w:rsidR="000E5A8F" w:rsidRPr="008B6D55" w:rsidRDefault="000E5A8F" w:rsidP="009321B9">
            <w:pPr>
              <w:rPr>
                <w:rFonts w:cstheme="minorHAnsi"/>
                <w:sz w:val="16"/>
                <w:szCs w:val="16"/>
              </w:rPr>
            </w:pPr>
            <w:r w:rsidRPr="008B6D55">
              <w:rPr>
                <w:rFonts w:cstheme="minorHAnsi"/>
                <w:sz w:val="16"/>
                <w:szCs w:val="16"/>
              </w:rPr>
              <w:t xml:space="preserve">7.1 Scope of the Directive </w:t>
            </w:r>
          </w:p>
        </w:tc>
        <w:tc>
          <w:tcPr>
            <w:tcW w:w="5103" w:type="dxa"/>
            <w:shd w:val="clear" w:color="auto" w:fill="auto"/>
          </w:tcPr>
          <w:p w14:paraId="2DA34E6E"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6D048C54" w14:textId="77777777" w:rsidR="000E5A8F" w:rsidRPr="008B6D55" w:rsidRDefault="000E5A8F" w:rsidP="009321B9">
            <w:pPr>
              <w:rPr>
                <w:rFonts w:cstheme="minorHAnsi"/>
                <w:sz w:val="16"/>
                <w:szCs w:val="16"/>
              </w:rPr>
            </w:pPr>
            <w:r w:rsidRPr="008B6D55">
              <w:rPr>
                <w:rFonts w:cstheme="minorHAnsi"/>
                <w:sz w:val="16"/>
                <w:szCs w:val="16"/>
              </w:rPr>
              <w:t>2=Support less stringent approach (keep old system/further deregulate)</w:t>
            </w:r>
          </w:p>
          <w:p w14:paraId="62885F76"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3= Support more stringent approach (e.g., eliminate exemptions; include even more services and actors)</w:t>
            </w:r>
          </w:p>
          <w:p w14:paraId="24C30FE7"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4=cannot be determined</w:t>
            </w:r>
          </w:p>
        </w:tc>
      </w:tr>
      <w:tr w:rsidR="000E5A8F" w:rsidRPr="008B6D55" w14:paraId="6FD51DEF" w14:textId="77777777" w:rsidTr="000E5A8F">
        <w:tc>
          <w:tcPr>
            <w:tcW w:w="851" w:type="dxa"/>
            <w:shd w:val="clear" w:color="auto" w:fill="auto"/>
          </w:tcPr>
          <w:p w14:paraId="170F88DE" w14:textId="77777777" w:rsidR="000E5A8F" w:rsidRPr="008B6D55" w:rsidRDefault="000E5A8F" w:rsidP="009321B9">
            <w:pPr>
              <w:rPr>
                <w:rFonts w:cstheme="minorHAnsi"/>
                <w:sz w:val="16"/>
                <w:szCs w:val="16"/>
              </w:rPr>
            </w:pPr>
            <w:r w:rsidRPr="008B6D55">
              <w:rPr>
                <w:rFonts w:cstheme="minorHAnsi"/>
                <w:sz w:val="16"/>
                <w:szCs w:val="16"/>
              </w:rPr>
              <w:t>76</w:t>
            </w:r>
          </w:p>
        </w:tc>
        <w:tc>
          <w:tcPr>
            <w:tcW w:w="4394" w:type="dxa"/>
            <w:shd w:val="clear" w:color="auto" w:fill="auto"/>
          </w:tcPr>
          <w:p w14:paraId="4A02697D"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 xml:space="preserve">7.2 Conduct of Business Obligations </w:t>
            </w:r>
          </w:p>
        </w:tc>
        <w:tc>
          <w:tcPr>
            <w:tcW w:w="5103" w:type="dxa"/>
            <w:shd w:val="clear" w:color="auto" w:fill="auto"/>
          </w:tcPr>
          <w:p w14:paraId="5995CD21"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62EB5A54"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79F54591"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517AD1F2" w14:textId="77777777" w:rsidR="000E5A8F" w:rsidRPr="008B6D55" w:rsidRDefault="000E5A8F" w:rsidP="009321B9">
            <w:pPr>
              <w:rPr>
                <w:rFonts w:cstheme="minorHAnsi"/>
                <w:sz w:val="16"/>
                <w:szCs w:val="16"/>
              </w:rPr>
            </w:pPr>
            <w:r w:rsidRPr="008B6D55">
              <w:rPr>
                <w:rFonts w:cstheme="minorHAnsi"/>
                <w:sz w:val="16"/>
                <w:szCs w:val="16"/>
              </w:rPr>
              <w:t>4=don’t know</w:t>
            </w:r>
          </w:p>
        </w:tc>
      </w:tr>
      <w:tr w:rsidR="000E5A8F" w:rsidRPr="008B6D55" w14:paraId="5D102EE0" w14:textId="77777777" w:rsidTr="000E5A8F">
        <w:tc>
          <w:tcPr>
            <w:tcW w:w="851" w:type="dxa"/>
            <w:shd w:val="clear" w:color="auto" w:fill="auto"/>
          </w:tcPr>
          <w:p w14:paraId="5DEA3EAD" w14:textId="77777777" w:rsidR="000E5A8F" w:rsidRPr="008B6D55" w:rsidRDefault="000E5A8F" w:rsidP="009321B9">
            <w:pPr>
              <w:rPr>
                <w:rFonts w:cstheme="minorHAnsi"/>
                <w:sz w:val="16"/>
                <w:szCs w:val="16"/>
              </w:rPr>
            </w:pPr>
            <w:r w:rsidRPr="008B6D55">
              <w:rPr>
                <w:rFonts w:cstheme="minorHAnsi"/>
                <w:sz w:val="16"/>
                <w:szCs w:val="16"/>
              </w:rPr>
              <w:t>77</w:t>
            </w:r>
          </w:p>
        </w:tc>
        <w:tc>
          <w:tcPr>
            <w:tcW w:w="4394" w:type="dxa"/>
            <w:shd w:val="clear" w:color="auto" w:fill="auto"/>
          </w:tcPr>
          <w:p w14:paraId="7E735F91" w14:textId="77777777" w:rsidR="000E5A8F" w:rsidRPr="008B6D55" w:rsidRDefault="000E5A8F" w:rsidP="009321B9">
            <w:pPr>
              <w:widowControl w:val="0"/>
              <w:autoSpaceDE w:val="0"/>
              <w:autoSpaceDN w:val="0"/>
              <w:adjustRightInd w:val="0"/>
              <w:rPr>
                <w:rFonts w:cstheme="minorHAnsi"/>
                <w:sz w:val="16"/>
                <w:szCs w:val="16"/>
              </w:rPr>
            </w:pPr>
            <w:r w:rsidRPr="008B6D55">
              <w:rPr>
                <w:rFonts w:cstheme="minorHAnsi"/>
                <w:sz w:val="16"/>
                <w:szCs w:val="16"/>
              </w:rPr>
              <w:t xml:space="preserve">7.3 Authorization and Organizational Requirements </w:t>
            </w:r>
          </w:p>
          <w:p w14:paraId="2B262D05" w14:textId="77777777" w:rsidR="000E5A8F" w:rsidRPr="008B6D55" w:rsidRDefault="000E5A8F" w:rsidP="009321B9">
            <w:pPr>
              <w:rPr>
                <w:rFonts w:cstheme="minorHAnsi"/>
                <w:sz w:val="16"/>
                <w:szCs w:val="16"/>
              </w:rPr>
            </w:pPr>
          </w:p>
        </w:tc>
        <w:tc>
          <w:tcPr>
            <w:tcW w:w="5103" w:type="dxa"/>
            <w:shd w:val="clear" w:color="auto" w:fill="auto"/>
          </w:tcPr>
          <w:p w14:paraId="7299EFA8"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168BEDE1"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11318F4E"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35537083" w14:textId="77777777" w:rsidR="000E5A8F" w:rsidRPr="008B6D55" w:rsidRDefault="000E5A8F" w:rsidP="009321B9">
            <w:pPr>
              <w:rPr>
                <w:rFonts w:cstheme="minorHAnsi"/>
                <w:sz w:val="16"/>
                <w:szCs w:val="16"/>
              </w:rPr>
            </w:pPr>
            <w:r w:rsidRPr="008B6D55">
              <w:rPr>
                <w:rFonts w:cstheme="minorHAnsi"/>
                <w:sz w:val="16"/>
                <w:szCs w:val="16"/>
              </w:rPr>
              <w:t>4=don’t know</w:t>
            </w:r>
          </w:p>
        </w:tc>
      </w:tr>
      <w:tr w:rsidR="000E5A8F" w:rsidRPr="008B6D55" w14:paraId="4B7BC1E4" w14:textId="77777777" w:rsidTr="000E5A8F">
        <w:tc>
          <w:tcPr>
            <w:tcW w:w="851" w:type="dxa"/>
            <w:shd w:val="clear" w:color="auto" w:fill="auto"/>
          </w:tcPr>
          <w:p w14:paraId="50E326AF" w14:textId="77777777" w:rsidR="000E5A8F" w:rsidRPr="008B6D55" w:rsidRDefault="000E5A8F" w:rsidP="009321B9">
            <w:pPr>
              <w:rPr>
                <w:rFonts w:cstheme="minorHAnsi"/>
                <w:sz w:val="16"/>
                <w:szCs w:val="16"/>
              </w:rPr>
            </w:pPr>
            <w:r w:rsidRPr="008B6D55">
              <w:rPr>
                <w:rFonts w:cstheme="minorHAnsi"/>
                <w:sz w:val="16"/>
                <w:szCs w:val="16"/>
              </w:rPr>
              <w:t>78</w:t>
            </w:r>
          </w:p>
        </w:tc>
        <w:tc>
          <w:tcPr>
            <w:tcW w:w="4394" w:type="dxa"/>
            <w:shd w:val="clear" w:color="auto" w:fill="auto"/>
          </w:tcPr>
          <w:p w14:paraId="354FE336" w14:textId="77777777" w:rsidR="000E5A8F" w:rsidRPr="008B6D55" w:rsidRDefault="000E5A8F" w:rsidP="009321B9">
            <w:pPr>
              <w:rPr>
                <w:rFonts w:cstheme="minorHAnsi"/>
                <w:sz w:val="16"/>
                <w:szCs w:val="16"/>
              </w:rPr>
            </w:pPr>
            <w:r w:rsidRPr="008B6D55">
              <w:rPr>
                <w:rFonts w:cstheme="minorHAnsi"/>
                <w:sz w:val="16"/>
                <w:szCs w:val="16"/>
              </w:rPr>
              <w:t>8.2 Supervisory powers and sanctions</w:t>
            </w:r>
          </w:p>
        </w:tc>
        <w:tc>
          <w:tcPr>
            <w:tcW w:w="5103" w:type="dxa"/>
            <w:shd w:val="clear" w:color="auto" w:fill="auto"/>
          </w:tcPr>
          <w:p w14:paraId="54CC6E13"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41A7B87A"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5A5CF789"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3B912D18" w14:textId="77777777" w:rsidR="000E5A8F" w:rsidRPr="008B6D55" w:rsidRDefault="000E5A8F" w:rsidP="009321B9">
            <w:pPr>
              <w:rPr>
                <w:rFonts w:cstheme="minorHAnsi"/>
                <w:sz w:val="16"/>
                <w:szCs w:val="16"/>
              </w:rPr>
            </w:pPr>
            <w:r w:rsidRPr="008B6D55">
              <w:rPr>
                <w:rFonts w:cstheme="minorHAnsi"/>
                <w:sz w:val="16"/>
                <w:szCs w:val="16"/>
              </w:rPr>
              <w:t>4=don’t know</w:t>
            </w:r>
          </w:p>
        </w:tc>
      </w:tr>
      <w:tr w:rsidR="000E5A8F" w:rsidRPr="008B6D55" w14:paraId="1A82DE0F" w14:textId="77777777" w:rsidTr="000E5A8F">
        <w:tc>
          <w:tcPr>
            <w:tcW w:w="851" w:type="dxa"/>
            <w:shd w:val="clear" w:color="auto" w:fill="auto"/>
          </w:tcPr>
          <w:p w14:paraId="65CA2F4D" w14:textId="77777777" w:rsidR="000E5A8F" w:rsidRPr="008B6D55" w:rsidRDefault="000E5A8F" w:rsidP="009321B9">
            <w:pPr>
              <w:rPr>
                <w:rFonts w:cstheme="minorHAnsi"/>
                <w:sz w:val="16"/>
                <w:szCs w:val="16"/>
              </w:rPr>
            </w:pPr>
            <w:r w:rsidRPr="008B6D55">
              <w:rPr>
                <w:rFonts w:cstheme="minorHAnsi"/>
                <w:sz w:val="16"/>
                <w:szCs w:val="16"/>
              </w:rPr>
              <w:t>79</w:t>
            </w:r>
          </w:p>
        </w:tc>
        <w:tc>
          <w:tcPr>
            <w:tcW w:w="4394" w:type="dxa"/>
            <w:shd w:val="clear" w:color="auto" w:fill="auto"/>
          </w:tcPr>
          <w:p w14:paraId="18859742" w14:textId="77777777" w:rsidR="000E5A8F" w:rsidRPr="008B6D55" w:rsidRDefault="000E5A8F" w:rsidP="009321B9">
            <w:pPr>
              <w:rPr>
                <w:rFonts w:cstheme="minorHAnsi"/>
                <w:sz w:val="16"/>
                <w:szCs w:val="16"/>
              </w:rPr>
            </w:pPr>
            <w:r w:rsidRPr="008B6D55">
              <w:rPr>
                <w:rFonts w:cstheme="minorHAnsi"/>
                <w:sz w:val="16"/>
                <w:szCs w:val="16"/>
              </w:rPr>
              <w:t>8.3 Access of third country firms to EU markets</w:t>
            </w:r>
          </w:p>
        </w:tc>
        <w:tc>
          <w:tcPr>
            <w:tcW w:w="5103" w:type="dxa"/>
            <w:shd w:val="clear" w:color="auto" w:fill="auto"/>
          </w:tcPr>
          <w:p w14:paraId="5808833C"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599F80D8"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571EB576"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50244549" w14:textId="77777777" w:rsidR="000E5A8F" w:rsidRPr="008B6D55" w:rsidRDefault="000E5A8F" w:rsidP="009321B9">
            <w:pPr>
              <w:rPr>
                <w:rFonts w:cstheme="minorHAnsi"/>
                <w:sz w:val="16"/>
                <w:szCs w:val="16"/>
              </w:rPr>
            </w:pPr>
            <w:r w:rsidRPr="008B6D55">
              <w:rPr>
                <w:rFonts w:cstheme="minorHAnsi"/>
                <w:sz w:val="16"/>
                <w:szCs w:val="16"/>
              </w:rPr>
              <w:t>4=don’t know</w:t>
            </w:r>
          </w:p>
        </w:tc>
      </w:tr>
      <w:tr w:rsidR="000E5A8F" w:rsidRPr="008B6D55" w14:paraId="6091E12F" w14:textId="77777777" w:rsidTr="000E5A8F">
        <w:tc>
          <w:tcPr>
            <w:tcW w:w="851" w:type="dxa"/>
            <w:shd w:val="clear" w:color="auto" w:fill="auto"/>
          </w:tcPr>
          <w:p w14:paraId="298DA571" w14:textId="77777777" w:rsidR="000E5A8F" w:rsidRPr="008B6D55" w:rsidRDefault="000E5A8F" w:rsidP="009321B9">
            <w:pPr>
              <w:rPr>
                <w:rFonts w:cstheme="minorHAnsi"/>
                <w:sz w:val="16"/>
                <w:szCs w:val="16"/>
              </w:rPr>
            </w:pPr>
            <w:r w:rsidRPr="008B6D55">
              <w:rPr>
                <w:rFonts w:cstheme="minorHAnsi"/>
                <w:sz w:val="16"/>
                <w:szCs w:val="16"/>
              </w:rPr>
              <w:t>80</w:t>
            </w:r>
          </w:p>
        </w:tc>
        <w:tc>
          <w:tcPr>
            <w:tcW w:w="4394" w:type="dxa"/>
            <w:shd w:val="clear" w:color="auto" w:fill="auto"/>
          </w:tcPr>
          <w:p w14:paraId="3A10982C" w14:textId="77777777" w:rsidR="000E5A8F" w:rsidRPr="008B6D55" w:rsidRDefault="000E5A8F" w:rsidP="009321B9">
            <w:pPr>
              <w:rPr>
                <w:rFonts w:cstheme="minorHAnsi"/>
                <w:sz w:val="16"/>
                <w:szCs w:val="16"/>
              </w:rPr>
            </w:pPr>
            <w:r w:rsidRPr="008B6D55">
              <w:rPr>
                <w:rFonts w:eastAsiaTheme="minorEastAsia" w:cstheme="minorHAnsi"/>
                <w:sz w:val="16"/>
                <w:szCs w:val="16"/>
              </w:rPr>
              <w:t>9.1 Ban on specific activities, products or practices</w:t>
            </w:r>
          </w:p>
        </w:tc>
        <w:tc>
          <w:tcPr>
            <w:tcW w:w="5103" w:type="dxa"/>
            <w:shd w:val="clear" w:color="auto" w:fill="auto"/>
          </w:tcPr>
          <w:p w14:paraId="29AAABB3"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1389B218"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248201CF"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2A8C39CB" w14:textId="77777777" w:rsidR="000E5A8F" w:rsidRPr="008B6D55" w:rsidRDefault="000E5A8F" w:rsidP="009321B9">
            <w:pPr>
              <w:rPr>
                <w:rFonts w:cstheme="minorHAnsi"/>
                <w:sz w:val="16"/>
                <w:szCs w:val="16"/>
              </w:rPr>
            </w:pPr>
            <w:r w:rsidRPr="008B6D55">
              <w:rPr>
                <w:rFonts w:cstheme="minorHAnsi"/>
                <w:sz w:val="16"/>
                <w:szCs w:val="16"/>
              </w:rPr>
              <w:t>4=don’t know</w:t>
            </w:r>
          </w:p>
        </w:tc>
      </w:tr>
      <w:tr w:rsidR="000E5A8F" w:rsidRPr="008B6D55" w14:paraId="3D7C08C8" w14:textId="77777777" w:rsidTr="000E5A8F">
        <w:tc>
          <w:tcPr>
            <w:tcW w:w="851" w:type="dxa"/>
            <w:shd w:val="clear" w:color="auto" w:fill="auto"/>
          </w:tcPr>
          <w:p w14:paraId="5778AA01" w14:textId="77777777" w:rsidR="000E5A8F" w:rsidRPr="008B6D55" w:rsidRDefault="000E5A8F" w:rsidP="009321B9">
            <w:pPr>
              <w:rPr>
                <w:rFonts w:cstheme="minorHAnsi"/>
                <w:sz w:val="16"/>
                <w:szCs w:val="16"/>
              </w:rPr>
            </w:pPr>
            <w:r w:rsidRPr="008B6D55">
              <w:rPr>
                <w:rFonts w:cstheme="minorHAnsi"/>
                <w:sz w:val="16"/>
                <w:szCs w:val="16"/>
              </w:rPr>
              <w:t>81</w:t>
            </w:r>
          </w:p>
        </w:tc>
        <w:tc>
          <w:tcPr>
            <w:tcW w:w="4394" w:type="dxa"/>
            <w:shd w:val="clear" w:color="auto" w:fill="auto"/>
          </w:tcPr>
          <w:p w14:paraId="4B1ED1B6" w14:textId="77777777" w:rsidR="000E5A8F" w:rsidRPr="008B6D55" w:rsidRDefault="000E5A8F" w:rsidP="009321B9">
            <w:pPr>
              <w:rPr>
                <w:rFonts w:cstheme="minorHAnsi"/>
                <w:sz w:val="16"/>
                <w:szCs w:val="16"/>
              </w:rPr>
            </w:pPr>
            <w:r w:rsidRPr="008B6D55">
              <w:rPr>
                <w:rFonts w:cstheme="minorHAnsi"/>
                <w:sz w:val="16"/>
                <w:szCs w:val="16"/>
              </w:rPr>
              <w:t>9.2 Stronger Oversight of positions in derivatives, including commodity derivatives</w:t>
            </w:r>
          </w:p>
        </w:tc>
        <w:tc>
          <w:tcPr>
            <w:tcW w:w="5103" w:type="dxa"/>
            <w:shd w:val="clear" w:color="auto" w:fill="auto"/>
          </w:tcPr>
          <w:p w14:paraId="78601BCA" w14:textId="77777777" w:rsidR="000E5A8F" w:rsidRPr="008B6D55" w:rsidRDefault="000E5A8F" w:rsidP="009321B9">
            <w:pPr>
              <w:rPr>
                <w:rFonts w:cstheme="minorHAnsi"/>
                <w:sz w:val="16"/>
                <w:szCs w:val="16"/>
              </w:rPr>
            </w:pPr>
            <w:r w:rsidRPr="008B6D55">
              <w:rPr>
                <w:rFonts w:cstheme="minorHAnsi"/>
                <w:sz w:val="16"/>
                <w:szCs w:val="16"/>
              </w:rPr>
              <w:t>1= Support EC approach</w:t>
            </w:r>
          </w:p>
          <w:p w14:paraId="1A170B12" w14:textId="77777777" w:rsidR="000E5A8F" w:rsidRPr="008B6D55" w:rsidRDefault="000E5A8F" w:rsidP="009321B9">
            <w:pPr>
              <w:rPr>
                <w:rFonts w:cstheme="minorHAnsi"/>
                <w:sz w:val="16"/>
                <w:szCs w:val="16"/>
              </w:rPr>
            </w:pPr>
            <w:r w:rsidRPr="008B6D55">
              <w:rPr>
                <w:rFonts w:cstheme="minorHAnsi"/>
                <w:sz w:val="16"/>
                <w:szCs w:val="16"/>
              </w:rPr>
              <w:t>2=Support less stringent approach</w:t>
            </w:r>
          </w:p>
          <w:p w14:paraId="01108098" w14:textId="77777777" w:rsidR="000E5A8F" w:rsidRPr="008B6D55" w:rsidRDefault="000E5A8F" w:rsidP="009321B9">
            <w:pPr>
              <w:rPr>
                <w:rFonts w:cstheme="minorHAnsi"/>
                <w:sz w:val="16"/>
                <w:szCs w:val="16"/>
              </w:rPr>
            </w:pPr>
            <w:r w:rsidRPr="008B6D55">
              <w:rPr>
                <w:rFonts w:cstheme="minorHAnsi"/>
                <w:sz w:val="16"/>
                <w:szCs w:val="16"/>
              </w:rPr>
              <w:t>3= Support more stringent approach</w:t>
            </w:r>
          </w:p>
          <w:p w14:paraId="7121EC88" w14:textId="77777777" w:rsidR="000E5A8F" w:rsidRPr="008B6D55" w:rsidRDefault="000E5A8F" w:rsidP="009321B9">
            <w:pPr>
              <w:rPr>
                <w:rFonts w:cstheme="minorHAnsi"/>
                <w:sz w:val="16"/>
                <w:szCs w:val="16"/>
              </w:rPr>
            </w:pPr>
            <w:r w:rsidRPr="008B6D55">
              <w:rPr>
                <w:rFonts w:cstheme="minorHAnsi"/>
                <w:sz w:val="16"/>
                <w:szCs w:val="16"/>
              </w:rPr>
              <w:t>4=don’t know</w:t>
            </w:r>
          </w:p>
        </w:tc>
      </w:tr>
    </w:tbl>
    <w:p w14:paraId="5A69AAE9" w14:textId="77777777" w:rsidR="000E5A8F" w:rsidRPr="008B6D55" w:rsidRDefault="000E5A8F" w:rsidP="000E5A8F">
      <w:pPr>
        <w:rPr>
          <w:rFonts w:cstheme="minorHAnsi"/>
          <w:b/>
          <w:sz w:val="16"/>
          <w:szCs w:val="16"/>
          <w:u w:val="single"/>
        </w:rPr>
      </w:pPr>
    </w:p>
    <w:p w14:paraId="22CE86B6" w14:textId="77777777" w:rsidR="000E5A8F" w:rsidRPr="008B6D55" w:rsidRDefault="000E5A8F" w:rsidP="000E5A8F">
      <w:pPr>
        <w:rPr>
          <w:rFonts w:cstheme="minorHAnsi"/>
          <w:sz w:val="16"/>
          <w:szCs w:val="16"/>
        </w:rPr>
      </w:pPr>
    </w:p>
    <w:p w14:paraId="19F7D9CF" w14:textId="77777777" w:rsidR="000E5A8F" w:rsidRPr="008B6D55" w:rsidRDefault="000E5A8F" w:rsidP="00752803">
      <w:pPr>
        <w:rPr>
          <w:rFonts w:cstheme="minorHAnsi"/>
          <w:sz w:val="16"/>
          <w:szCs w:val="16"/>
        </w:rPr>
      </w:pPr>
    </w:p>
    <w:sectPr w:rsidR="000E5A8F" w:rsidRPr="008B6D55" w:rsidSect="009041D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F15B" w14:textId="77777777" w:rsidR="00BF398A" w:rsidRDefault="00BF398A">
      <w:r>
        <w:separator/>
      </w:r>
    </w:p>
  </w:endnote>
  <w:endnote w:type="continuationSeparator" w:id="0">
    <w:p w14:paraId="4882392A" w14:textId="77777777" w:rsidR="00BF398A" w:rsidRDefault="00BF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756E" w14:textId="77777777" w:rsidR="00FE47A6" w:rsidRDefault="00752803" w:rsidP="003766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4D60D" w14:textId="77777777" w:rsidR="00FE47A6" w:rsidRDefault="00BF398A" w:rsidP="00034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69EC" w14:textId="77777777" w:rsidR="00FE47A6" w:rsidRPr="00E12238" w:rsidRDefault="00BF398A" w:rsidP="00376682">
    <w:pPr>
      <w:pStyle w:val="Footer"/>
      <w:framePr w:wrap="none" w:vAnchor="text" w:hAnchor="margin" w:xAlign="right" w:y="1"/>
      <w:rPr>
        <w:rStyle w:val="PageNumber"/>
        <w:rFonts w:ascii="Garamond" w:hAnsi="Garamond"/>
        <w:sz w:val="22"/>
      </w:rPr>
    </w:pPr>
  </w:p>
  <w:p w14:paraId="7DE17393" w14:textId="77777777" w:rsidR="00FE47A6" w:rsidRDefault="00BF398A" w:rsidP="00034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48E3" w14:textId="77777777" w:rsidR="00BF398A" w:rsidRDefault="00BF398A">
      <w:r>
        <w:separator/>
      </w:r>
    </w:p>
  </w:footnote>
  <w:footnote w:type="continuationSeparator" w:id="0">
    <w:p w14:paraId="65E21362" w14:textId="77777777" w:rsidR="00BF398A" w:rsidRDefault="00BF3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46A1B"/>
    <w:multiLevelType w:val="hybridMultilevel"/>
    <w:tmpl w:val="4C5CE5FA"/>
    <w:lvl w:ilvl="0" w:tplc="1F8484F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03"/>
    <w:rsid w:val="00025AE6"/>
    <w:rsid w:val="000E5A8F"/>
    <w:rsid w:val="001E66A1"/>
    <w:rsid w:val="003426E9"/>
    <w:rsid w:val="00597790"/>
    <w:rsid w:val="005F0739"/>
    <w:rsid w:val="006155CA"/>
    <w:rsid w:val="00666FD9"/>
    <w:rsid w:val="006E2B52"/>
    <w:rsid w:val="007023C4"/>
    <w:rsid w:val="00752803"/>
    <w:rsid w:val="0075681F"/>
    <w:rsid w:val="0078681C"/>
    <w:rsid w:val="00865476"/>
    <w:rsid w:val="008B6D55"/>
    <w:rsid w:val="008F288A"/>
    <w:rsid w:val="009041D0"/>
    <w:rsid w:val="00965D00"/>
    <w:rsid w:val="00B2265B"/>
    <w:rsid w:val="00BF398A"/>
    <w:rsid w:val="00C202F8"/>
    <w:rsid w:val="00D95082"/>
    <w:rsid w:val="00E0195C"/>
    <w:rsid w:val="00E53F06"/>
    <w:rsid w:val="00F42D60"/>
    <w:rsid w:val="00FB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8B7E2"/>
  <w14:defaultImageDpi w14:val="32767"/>
  <w15:chartTrackingRefBased/>
  <w15:docId w15:val="{12C8A273-4BC2-7442-8772-51B4C5F0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803"/>
    <w:rPr>
      <w:lang w:val="en-GB"/>
    </w:rPr>
  </w:style>
  <w:style w:type="paragraph" w:styleId="Heading1">
    <w:name w:val="heading 1"/>
    <w:basedOn w:val="Normal"/>
    <w:next w:val="Normal"/>
    <w:link w:val="Heading1Char"/>
    <w:uiPriority w:val="9"/>
    <w:qFormat/>
    <w:rsid w:val="008B6D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6D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2803"/>
    <w:pPr>
      <w:tabs>
        <w:tab w:val="center" w:pos="4513"/>
        <w:tab w:val="right" w:pos="9026"/>
      </w:tabs>
    </w:pPr>
  </w:style>
  <w:style w:type="character" w:customStyle="1" w:styleId="FooterChar">
    <w:name w:val="Footer Char"/>
    <w:basedOn w:val="DefaultParagraphFont"/>
    <w:link w:val="Footer"/>
    <w:uiPriority w:val="99"/>
    <w:rsid w:val="00752803"/>
    <w:rPr>
      <w:lang w:val="en-GB"/>
    </w:rPr>
  </w:style>
  <w:style w:type="character" w:styleId="PageNumber">
    <w:name w:val="page number"/>
    <w:basedOn w:val="DefaultParagraphFont"/>
    <w:uiPriority w:val="99"/>
    <w:semiHidden/>
    <w:unhideWhenUsed/>
    <w:rsid w:val="00752803"/>
  </w:style>
  <w:style w:type="table" w:styleId="TableGrid">
    <w:name w:val="Table Grid"/>
    <w:basedOn w:val="TableNormal"/>
    <w:uiPriority w:val="39"/>
    <w:rsid w:val="000E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A8F"/>
    <w:pPr>
      <w:ind w:left="720"/>
      <w:contextualSpacing/>
    </w:pPr>
  </w:style>
  <w:style w:type="character" w:customStyle="1" w:styleId="Heading2Char">
    <w:name w:val="Heading 2 Char"/>
    <w:basedOn w:val="DefaultParagraphFont"/>
    <w:link w:val="Heading2"/>
    <w:uiPriority w:val="9"/>
    <w:rsid w:val="008B6D55"/>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8B6D55"/>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8B6D55"/>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8B6D55"/>
    <w:pPr>
      <w:spacing w:before="120"/>
      <w:ind w:left="240"/>
    </w:pPr>
    <w:rPr>
      <w:rFonts w:cstheme="minorHAnsi"/>
      <w:b/>
      <w:bCs/>
      <w:sz w:val="22"/>
      <w:szCs w:val="22"/>
    </w:rPr>
  </w:style>
  <w:style w:type="character" w:styleId="Hyperlink">
    <w:name w:val="Hyperlink"/>
    <w:basedOn w:val="DefaultParagraphFont"/>
    <w:uiPriority w:val="99"/>
    <w:unhideWhenUsed/>
    <w:rsid w:val="008B6D55"/>
    <w:rPr>
      <w:color w:val="0563C1" w:themeColor="hyperlink"/>
      <w:u w:val="single"/>
    </w:rPr>
  </w:style>
  <w:style w:type="paragraph" w:styleId="TOC1">
    <w:name w:val="toc 1"/>
    <w:basedOn w:val="Normal"/>
    <w:next w:val="Normal"/>
    <w:autoRedefine/>
    <w:uiPriority w:val="39"/>
    <w:semiHidden/>
    <w:unhideWhenUsed/>
    <w:rsid w:val="008B6D55"/>
    <w:pPr>
      <w:spacing w:before="120"/>
    </w:pPr>
    <w:rPr>
      <w:rFonts w:cstheme="minorHAnsi"/>
      <w:b/>
      <w:bCs/>
      <w:i/>
      <w:iCs/>
    </w:rPr>
  </w:style>
  <w:style w:type="paragraph" w:styleId="TOC3">
    <w:name w:val="toc 3"/>
    <w:basedOn w:val="Normal"/>
    <w:next w:val="Normal"/>
    <w:autoRedefine/>
    <w:uiPriority w:val="39"/>
    <w:semiHidden/>
    <w:unhideWhenUsed/>
    <w:rsid w:val="008B6D55"/>
    <w:pPr>
      <w:ind w:left="480"/>
    </w:pPr>
    <w:rPr>
      <w:rFonts w:cstheme="minorHAnsi"/>
      <w:sz w:val="20"/>
      <w:szCs w:val="20"/>
    </w:rPr>
  </w:style>
  <w:style w:type="paragraph" w:styleId="TOC4">
    <w:name w:val="toc 4"/>
    <w:basedOn w:val="Normal"/>
    <w:next w:val="Normal"/>
    <w:autoRedefine/>
    <w:uiPriority w:val="39"/>
    <w:semiHidden/>
    <w:unhideWhenUsed/>
    <w:rsid w:val="008B6D55"/>
    <w:pPr>
      <w:ind w:left="720"/>
    </w:pPr>
    <w:rPr>
      <w:rFonts w:cstheme="minorHAnsi"/>
      <w:sz w:val="20"/>
      <w:szCs w:val="20"/>
    </w:rPr>
  </w:style>
  <w:style w:type="paragraph" w:styleId="TOC5">
    <w:name w:val="toc 5"/>
    <w:basedOn w:val="Normal"/>
    <w:next w:val="Normal"/>
    <w:autoRedefine/>
    <w:uiPriority w:val="39"/>
    <w:semiHidden/>
    <w:unhideWhenUsed/>
    <w:rsid w:val="008B6D55"/>
    <w:pPr>
      <w:ind w:left="960"/>
    </w:pPr>
    <w:rPr>
      <w:rFonts w:cstheme="minorHAnsi"/>
      <w:sz w:val="20"/>
      <w:szCs w:val="20"/>
    </w:rPr>
  </w:style>
  <w:style w:type="paragraph" w:styleId="TOC6">
    <w:name w:val="toc 6"/>
    <w:basedOn w:val="Normal"/>
    <w:next w:val="Normal"/>
    <w:autoRedefine/>
    <w:uiPriority w:val="39"/>
    <w:semiHidden/>
    <w:unhideWhenUsed/>
    <w:rsid w:val="008B6D55"/>
    <w:pPr>
      <w:ind w:left="1200"/>
    </w:pPr>
    <w:rPr>
      <w:rFonts w:cstheme="minorHAnsi"/>
      <w:sz w:val="20"/>
      <w:szCs w:val="20"/>
    </w:rPr>
  </w:style>
  <w:style w:type="paragraph" w:styleId="TOC7">
    <w:name w:val="toc 7"/>
    <w:basedOn w:val="Normal"/>
    <w:next w:val="Normal"/>
    <w:autoRedefine/>
    <w:uiPriority w:val="39"/>
    <w:semiHidden/>
    <w:unhideWhenUsed/>
    <w:rsid w:val="008B6D55"/>
    <w:pPr>
      <w:ind w:left="1440"/>
    </w:pPr>
    <w:rPr>
      <w:rFonts w:cstheme="minorHAnsi"/>
      <w:sz w:val="20"/>
      <w:szCs w:val="20"/>
    </w:rPr>
  </w:style>
  <w:style w:type="paragraph" w:styleId="TOC8">
    <w:name w:val="toc 8"/>
    <w:basedOn w:val="Normal"/>
    <w:next w:val="Normal"/>
    <w:autoRedefine/>
    <w:uiPriority w:val="39"/>
    <w:semiHidden/>
    <w:unhideWhenUsed/>
    <w:rsid w:val="008B6D55"/>
    <w:pPr>
      <w:ind w:left="1680"/>
    </w:pPr>
    <w:rPr>
      <w:rFonts w:cstheme="minorHAnsi"/>
      <w:sz w:val="20"/>
      <w:szCs w:val="20"/>
    </w:rPr>
  </w:style>
  <w:style w:type="paragraph" w:styleId="TOC9">
    <w:name w:val="toc 9"/>
    <w:basedOn w:val="Normal"/>
    <w:next w:val="Normal"/>
    <w:autoRedefine/>
    <w:uiPriority w:val="39"/>
    <w:semiHidden/>
    <w:unhideWhenUsed/>
    <w:rsid w:val="008B6D55"/>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vestopedia.com/terms/d/debtequityratio.as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118CE-1299-F547-B4B4-1DAF7C50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Chalmers</dc:creator>
  <cp:keywords/>
  <dc:description/>
  <cp:lastModifiedBy>Adam Chalmers</cp:lastModifiedBy>
  <cp:revision>3</cp:revision>
  <dcterms:created xsi:type="dcterms:W3CDTF">2019-04-25T07:11:00Z</dcterms:created>
  <dcterms:modified xsi:type="dcterms:W3CDTF">2019-09-21T06:58:00Z</dcterms:modified>
</cp:coreProperties>
</file>