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8A757" w14:textId="5FCE4AE2" w:rsidR="005B6319" w:rsidRPr="00BC08C0" w:rsidRDefault="00CA15CC">
      <w:pPr>
        <w:rPr>
          <w:b/>
          <w:sz w:val="18"/>
          <w:szCs w:val="18"/>
          <w:lang w:val="en-US"/>
        </w:rPr>
      </w:pPr>
      <w:r>
        <w:rPr>
          <w:b/>
          <w:sz w:val="18"/>
          <w:szCs w:val="18"/>
          <w:lang w:val="en-US"/>
        </w:rPr>
        <w:t>Supplementary File 3</w:t>
      </w:r>
      <w:r w:rsidR="005B6319" w:rsidRPr="00BC08C0">
        <w:rPr>
          <w:b/>
          <w:sz w:val="18"/>
          <w:szCs w:val="18"/>
          <w:lang w:val="en-US"/>
        </w:rPr>
        <w:t xml:space="preserve">: </w:t>
      </w:r>
      <w:r w:rsidR="00557421">
        <w:rPr>
          <w:b/>
          <w:sz w:val="18"/>
          <w:szCs w:val="18"/>
          <w:lang w:val="en-US"/>
        </w:rPr>
        <w:t>Contextualized</w:t>
      </w:r>
      <w:bookmarkStart w:id="0" w:name="_GoBack"/>
      <w:bookmarkEnd w:id="0"/>
      <w:r w:rsidR="005B6319" w:rsidRPr="00BC08C0">
        <w:rPr>
          <w:b/>
          <w:sz w:val="18"/>
          <w:szCs w:val="18"/>
          <w:lang w:val="en-US"/>
        </w:rPr>
        <w:t xml:space="preserve"> CFIR domains and constructs</w:t>
      </w:r>
    </w:p>
    <w:tbl>
      <w:tblPr>
        <w:tblStyle w:val="Tabelraster"/>
        <w:tblW w:w="8926" w:type="dxa"/>
        <w:tblLook w:val="04A0" w:firstRow="1" w:lastRow="0" w:firstColumn="1" w:lastColumn="0" w:noHBand="0" w:noVBand="1"/>
      </w:tblPr>
      <w:tblGrid>
        <w:gridCol w:w="1756"/>
        <w:gridCol w:w="7170"/>
      </w:tblGrid>
      <w:tr w:rsidR="005B6319" w:rsidRPr="00CA15CC" w14:paraId="005D1B6B" w14:textId="77777777" w:rsidTr="3EAD0359">
        <w:tc>
          <w:tcPr>
            <w:tcW w:w="1756" w:type="dxa"/>
            <w:shd w:val="clear" w:color="auto" w:fill="D0CECE" w:themeFill="background2" w:themeFillShade="E6"/>
            <w:vAlign w:val="center"/>
          </w:tcPr>
          <w:p w14:paraId="21EB8205" w14:textId="77777777" w:rsidR="005B6319" w:rsidRPr="00B80BC7" w:rsidRDefault="005B6319" w:rsidP="00E05C18">
            <w:pPr>
              <w:rPr>
                <w:sz w:val="18"/>
                <w:szCs w:val="18"/>
                <w:lang w:val="en-US"/>
              </w:rPr>
            </w:pPr>
            <w:r w:rsidRPr="00B80BC7">
              <w:rPr>
                <w:sz w:val="18"/>
                <w:szCs w:val="18"/>
                <w:lang w:val="en-US"/>
              </w:rPr>
              <w:t>Domain 1: Intervention Characteristics</w:t>
            </w:r>
          </w:p>
        </w:tc>
        <w:tc>
          <w:tcPr>
            <w:tcW w:w="7170" w:type="dxa"/>
            <w:shd w:val="clear" w:color="auto" w:fill="D0CECE" w:themeFill="background2" w:themeFillShade="E6"/>
            <w:vAlign w:val="center"/>
          </w:tcPr>
          <w:p w14:paraId="7E3DFA32" w14:textId="593D33A7" w:rsidR="005B6319" w:rsidRPr="00B80BC7" w:rsidRDefault="005B6319" w:rsidP="00443636">
            <w:pPr>
              <w:rPr>
                <w:sz w:val="18"/>
                <w:szCs w:val="18"/>
                <w:lang w:val="en-US"/>
              </w:rPr>
            </w:pPr>
            <w:r w:rsidRPr="3EAD0359">
              <w:rPr>
                <w:sz w:val="18"/>
                <w:szCs w:val="18"/>
                <w:lang w:val="en-US"/>
              </w:rPr>
              <w:t>This domain covers the questions whether the</w:t>
            </w:r>
            <w:r w:rsidR="79B85675" w:rsidRPr="3EAD0359">
              <w:rPr>
                <w:sz w:val="18"/>
                <w:szCs w:val="18"/>
                <w:lang w:val="en-US"/>
              </w:rPr>
              <w:t xml:space="preserve"> </w:t>
            </w:r>
            <w:r w:rsidR="00443636">
              <w:rPr>
                <w:sz w:val="18"/>
                <w:szCs w:val="18"/>
                <w:lang w:val="en-US"/>
              </w:rPr>
              <w:t>intervention program, consisting of 1) risk</w:t>
            </w:r>
            <w:r w:rsidRPr="3EAD0359">
              <w:rPr>
                <w:sz w:val="18"/>
                <w:szCs w:val="18"/>
                <w:lang w:val="en-US"/>
              </w:rPr>
              <w:t xml:space="preserve"> profiling and risk communication and 2) behavior change counseling for people at medium to high risk, is superior to the status </w:t>
            </w:r>
            <w:r w:rsidR="00C55C00" w:rsidRPr="3EAD0359">
              <w:rPr>
                <w:sz w:val="18"/>
                <w:szCs w:val="18"/>
                <w:lang w:val="en-US"/>
              </w:rPr>
              <w:t xml:space="preserve">quo and if it can be adapted to </w:t>
            </w:r>
            <w:r w:rsidRPr="3EAD0359">
              <w:rPr>
                <w:sz w:val="18"/>
                <w:szCs w:val="18"/>
                <w:lang w:val="en-US"/>
              </w:rPr>
              <w:t>the current Belgian context.</w:t>
            </w:r>
          </w:p>
        </w:tc>
      </w:tr>
      <w:tr w:rsidR="005B6319" w:rsidRPr="00CA15CC" w14:paraId="3E010CF7" w14:textId="77777777" w:rsidTr="3EAD0359">
        <w:tc>
          <w:tcPr>
            <w:tcW w:w="1756" w:type="dxa"/>
            <w:vAlign w:val="center"/>
          </w:tcPr>
          <w:p w14:paraId="1D3AA137" w14:textId="77777777" w:rsidR="005B6319" w:rsidRPr="00BC08C0" w:rsidRDefault="005B6319" w:rsidP="00E05C18">
            <w:pPr>
              <w:rPr>
                <w:sz w:val="16"/>
                <w:szCs w:val="16"/>
                <w:lang w:val="en-US"/>
              </w:rPr>
            </w:pPr>
            <w:r w:rsidRPr="00BC08C0">
              <w:rPr>
                <w:sz w:val="16"/>
                <w:szCs w:val="16"/>
                <w:lang w:val="en-US"/>
              </w:rPr>
              <w:t>Relative Advantage</w:t>
            </w:r>
          </w:p>
        </w:tc>
        <w:tc>
          <w:tcPr>
            <w:tcW w:w="7170" w:type="dxa"/>
            <w:vAlign w:val="center"/>
          </w:tcPr>
          <w:p w14:paraId="56D5B9D1" w14:textId="52BF523F" w:rsidR="005B6319" w:rsidRPr="00BC08C0" w:rsidRDefault="005B6319" w:rsidP="00443636">
            <w:pPr>
              <w:rPr>
                <w:sz w:val="16"/>
                <w:szCs w:val="16"/>
                <w:lang w:val="en-US"/>
              </w:rPr>
            </w:pPr>
            <w:r w:rsidRPr="00BC08C0">
              <w:rPr>
                <w:sz w:val="16"/>
                <w:szCs w:val="16"/>
                <w:lang w:val="en-US"/>
              </w:rPr>
              <w:t xml:space="preserve">The construct relative advantage was defined as the stakeholders’ perception of the advantage of implementing the </w:t>
            </w:r>
            <w:r w:rsidR="00443636">
              <w:rPr>
                <w:sz w:val="16"/>
                <w:szCs w:val="16"/>
                <w:lang w:val="en-US"/>
              </w:rPr>
              <w:t>intervention program</w:t>
            </w:r>
            <w:r w:rsidRPr="00BC08C0">
              <w:rPr>
                <w:sz w:val="16"/>
                <w:szCs w:val="16"/>
                <w:lang w:val="en-US"/>
              </w:rPr>
              <w:t xml:space="preserve"> versus regular care.</w:t>
            </w:r>
          </w:p>
        </w:tc>
      </w:tr>
      <w:tr w:rsidR="005B6319" w:rsidRPr="00CA15CC" w14:paraId="685AFCE5" w14:textId="77777777" w:rsidTr="3EAD0359">
        <w:tc>
          <w:tcPr>
            <w:tcW w:w="1756" w:type="dxa"/>
            <w:vAlign w:val="center"/>
          </w:tcPr>
          <w:p w14:paraId="00969817" w14:textId="77777777" w:rsidR="005B6319" w:rsidRPr="00BC08C0" w:rsidRDefault="005B6319" w:rsidP="00E05C18">
            <w:pPr>
              <w:rPr>
                <w:sz w:val="16"/>
                <w:szCs w:val="16"/>
                <w:lang w:val="en-US"/>
              </w:rPr>
            </w:pPr>
            <w:r w:rsidRPr="00BC08C0">
              <w:rPr>
                <w:sz w:val="16"/>
                <w:szCs w:val="16"/>
                <w:lang w:val="en-US"/>
              </w:rPr>
              <w:t>Adaptability and Tria</w:t>
            </w:r>
            <w:r w:rsidR="00911248" w:rsidRPr="00BC08C0">
              <w:rPr>
                <w:sz w:val="16"/>
                <w:szCs w:val="16"/>
                <w:lang w:val="en-US"/>
              </w:rPr>
              <w:t>la</w:t>
            </w:r>
            <w:r w:rsidRPr="00BC08C0">
              <w:rPr>
                <w:sz w:val="16"/>
                <w:szCs w:val="16"/>
                <w:lang w:val="en-US"/>
              </w:rPr>
              <w:t>bility</w:t>
            </w:r>
          </w:p>
        </w:tc>
        <w:tc>
          <w:tcPr>
            <w:tcW w:w="7170" w:type="dxa"/>
            <w:vAlign w:val="center"/>
          </w:tcPr>
          <w:p w14:paraId="08C6C894" w14:textId="1F4683FE" w:rsidR="005B6319" w:rsidRPr="00BC08C0" w:rsidRDefault="005B6319" w:rsidP="00911248">
            <w:pPr>
              <w:rPr>
                <w:sz w:val="16"/>
                <w:szCs w:val="16"/>
                <w:lang w:val="en-US"/>
              </w:rPr>
            </w:pPr>
            <w:r w:rsidRPr="00BC08C0">
              <w:rPr>
                <w:sz w:val="16"/>
                <w:szCs w:val="16"/>
                <w:lang w:val="en-US"/>
              </w:rPr>
              <w:t>The constructs of adaptability and tria</w:t>
            </w:r>
            <w:r w:rsidR="00911248" w:rsidRPr="00BC08C0">
              <w:rPr>
                <w:sz w:val="16"/>
                <w:szCs w:val="16"/>
                <w:lang w:val="en-US"/>
              </w:rPr>
              <w:t>la</w:t>
            </w:r>
            <w:r w:rsidRPr="00BC08C0">
              <w:rPr>
                <w:sz w:val="16"/>
                <w:szCs w:val="16"/>
                <w:lang w:val="en-US"/>
              </w:rPr>
              <w:t xml:space="preserve">bility were often discussed together. Adaptability was defined as the degree to which the </w:t>
            </w:r>
            <w:r w:rsidR="00443636" w:rsidRPr="00443636">
              <w:rPr>
                <w:sz w:val="16"/>
                <w:szCs w:val="16"/>
                <w:lang w:val="en-US"/>
              </w:rPr>
              <w:t xml:space="preserve">intervention program </w:t>
            </w:r>
            <w:r w:rsidR="002A040E" w:rsidRPr="00BC08C0">
              <w:rPr>
                <w:sz w:val="16"/>
                <w:szCs w:val="16"/>
                <w:lang w:val="en-US"/>
              </w:rPr>
              <w:t>may be/</w:t>
            </w:r>
            <w:r w:rsidR="00911248" w:rsidRPr="00BC08C0">
              <w:rPr>
                <w:sz w:val="16"/>
                <w:szCs w:val="16"/>
                <w:lang w:val="en-US"/>
              </w:rPr>
              <w:t>should</w:t>
            </w:r>
            <w:r w:rsidR="00C55C00" w:rsidRPr="00BC08C0">
              <w:rPr>
                <w:sz w:val="16"/>
                <w:szCs w:val="16"/>
                <w:lang w:val="en-US"/>
              </w:rPr>
              <w:t xml:space="preserve"> be</w:t>
            </w:r>
            <w:r w:rsidR="00911248" w:rsidRPr="00BC08C0">
              <w:rPr>
                <w:sz w:val="16"/>
                <w:szCs w:val="16"/>
                <w:lang w:val="en-US"/>
              </w:rPr>
              <w:t>/was</w:t>
            </w:r>
            <w:r w:rsidRPr="00BC08C0">
              <w:rPr>
                <w:sz w:val="16"/>
                <w:szCs w:val="16"/>
                <w:lang w:val="en-US"/>
              </w:rPr>
              <w:t xml:space="preserve"> adapted, tailored, refined, or reinvented to meet local needs. Tria</w:t>
            </w:r>
            <w:r w:rsidR="002A040E" w:rsidRPr="00BC08C0">
              <w:rPr>
                <w:sz w:val="16"/>
                <w:szCs w:val="16"/>
                <w:lang w:val="en-US"/>
              </w:rPr>
              <w:t>la</w:t>
            </w:r>
            <w:r w:rsidRPr="00BC08C0">
              <w:rPr>
                <w:sz w:val="16"/>
                <w:szCs w:val="16"/>
                <w:lang w:val="en-US"/>
              </w:rPr>
              <w:t>bility reflects the ability to test the intervention on a small scale in the organization, and then adapt certain components where needed.</w:t>
            </w:r>
          </w:p>
        </w:tc>
      </w:tr>
      <w:tr w:rsidR="005B6319" w:rsidRPr="00CA15CC" w14:paraId="480D0EDE" w14:textId="77777777" w:rsidTr="3EAD0359">
        <w:tc>
          <w:tcPr>
            <w:tcW w:w="1756" w:type="dxa"/>
            <w:vAlign w:val="center"/>
          </w:tcPr>
          <w:p w14:paraId="66FAE1B9" w14:textId="77777777" w:rsidR="005B6319" w:rsidRPr="00BC08C0" w:rsidRDefault="005B6319" w:rsidP="00E05C18">
            <w:pPr>
              <w:rPr>
                <w:sz w:val="16"/>
                <w:szCs w:val="16"/>
                <w:lang w:val="en-US"/>
              </w:rPr>
            </w:pPr>
            <w:r w:rsidRPr="00BC08C0">
              <w:rPr>
                <w:sz w:val="16"/>
                <w:szCs w:val="16"/>
                <w:lang w:val="en-US"/>
              </w:rPr>
              <w:t>Complexity</w:t>
            </w:r>
          </w:p>
        </w:tc>
        <w:tc>
          <w:tcPr>
            <w:tcW w:w="7170" w:type="dxa"/>
            <w:vAlign w:val="center"/>
          </w:tcPr>
          <w:p w14:paraId="43E96022" w14:textId="5368D03C" w:rsidR="005B6319" w:rsidRPr="00BC08C0" w:rsidRDefault="005B6319" w:rsidP="00E05C18">
            <w:pPr>
              <w:rPr>
                <w:sz w:val="16"/>
                <w:szCs w:val="16"/>
                <w:lang w:val="en-US"/>
              </w:rPr>
            </w:pPr>
            <w:r w:rsidRPr="00BC08C0">
              <w:rPr>
                <w:sz w:val="16"/>
                <w:szCs w:val="16"/>
                <w:lang w:val="en-US"/>
              </w:rPr>
              <w:t xml:space="preserve">Complexity was defined as the perceived difficulty of the </w:t>
            </w:r>
            <w:r w:rsidR="00443636" w:rsidRPr="00443636">
              <w:rPr>
                <w:sz w:val="16"/>
                <w:szCs w:val="16"/>
                <w:lang w:val="en-US"/>
              </w:rPr>
              <w:t>intervention program</w:t>
            </w:r>
            <w:r w:rsidRPr="00BC08C0">
              <w:rPr>
                <w:sz w:val="16"/>
                <w:szCs w:val="16"/>
                <w:lang w:val="en-US"/>
              </w:rPr>
              <w:t>, reflected by duration, scope, radicalness, disruptiveness, centrality, and intricacy and number of steps required to implement.</w:t>
            </w:r>
          </w:p>
        </w:tc>
      </w:tr>
      <w:tr w:rsidR="00E1672C" w:rsidRPr="00CA15CC" w14:paraId="7EEB19BB" w14:textId="77777777" w:rsidTr="3EAD0359">
        <w:tc>
          <w:tcPr>
            <w:tcW w:w="1756" w:type="dxa"/>
            <w:vAlign w:val="center"/>
          </w:tcPr>
          <w:p w14:paraId="2BC178B7" w14:textId="77777777" w:rsidR="00E1672C" w:rsidRPr="00BC08C0" w:rsidRDefault="00E1672C" w:rsidP="00E05C18">
            <w:pPr>
              <w:rPr>
                <w:sz w:val="16"/>
                <w:szCs w:val="16"/>
                <w:lang w:val="en-US"/>
              </w:rPr>
            </w:pPr>
            <w:r w:rsidRPr="00BC08C0">
              <w:rPr>
                <w:sz w:val="16"/>
                <w:szCs w:val="16"/>
                <w:lang w:val="en-US"/>
              </w:rPr>
              <w:t>Cost</w:t>
            </w:r>
          </w:p>
        </w:tc>
        <w:tc>
          <w:tcPr>
            <w:tcW w:w="7170" w:type="dxa"/>
            <w:vAlign w:val="center"/>
          </w:tcPr>
          <w:p w14:paraId="66A4E979" w14:textId="3A41B42F" w:rsidR="00E1672C" w:rsidRPr="00BC08C0" w:rsidRDefault="00B13F2B" w:rsidP="00B13F2B">
            <w:pPr>
              <w:rPr>
                <w:sz w:val="16"/>
                <w:szCs w:val="16"/>
                <w:lang w:val="en-US"/>
              </w:rPr>
            </w:pPr>
            <w:r w:rsidRPr="00BC08C0">
              <w:rPr>
                <w:sz w:val="16"/>
                <w:szCs w:val="16"/>
                <w:lang w:val="en-US"/>
              </w:rPr>
              <w:t xml:space="preserve">Costs associated with implementing the </w:t>
            </w:r>
            <w:r w:rsidR="00443636" w:rsidRPr="00443636">
              <w:rPr>
                <w:sz w:val="16"/>
                <w:szCs w:val="16"/>
                <w:lang w:val="en-US"/>
              </w:rPr>
              <w:t>intervention program</w:t>
            </w:r>
            <w:r w:rsidRPr="00BC08C0">
              <w:rPr>
                <w:sz w:val="16"/>
                <w:szCs w:val="16"/>
                <w:lang w:val="en-US"/>
              </w:rPr>
              <w:t xml:space="preserve"> including personnel cost.</w:t>
            </w:r>
          </w:p>
        </w:tc>
      </w:tr>
      <w:tr w:rsidR="00E1672C" w:rsidRPr="00CA15CC" w14:paraId="0757ABBC" w14:textId="77777777" w:rsidTr="3EAD0359">
        <w:tc>
          <w:tcPr>
            <w:tcW w:w="1756" w:type="dxa"/>
            <w:vAlign w:val="center"/>
          </w:tcPr>
          <w:p w14:paraId="7A9D44D3" w14:textId="77777777" w:rsidR="00E1672C" w:rsidRPr="00BC08C0" w:rsidRDefault="00E1672C" w:rsidP="00E05C18">
            <w:pPr>
              <w:rPr>
                <w:sz w:val="16"/>
                <w:szCs w:val="16"/>
                <w:lang w:val="en-US"/>
              </w:rPr>
            </w:pPr>
            <w:r w:rsidRPr="00BC08C0">
              <w:rPr>
                <w:sz w:val="16"/>
                <w:szCs w:val="16"/>
                <w:lang w:val="en-US"/>
              </w:rPr>
              <w:t>Design Quality and Packaging</w:t>
            </w:r>
          </w:p>
        </w:tc>
        <w:tc>
          <w:tcPr>
            <w:tcW w:w="7170" w:type="dxa"/>
            <w:vAlign w:val="center"/>
          </w:tcPr>
          <w:p w14:paraId="23233CC8" w14:textId="50FCE009" w:rsidR="00E1672C" w:rsidRPr="00BC08C0" w:rsidRDefault="00B13F2B" w:rsidP="00B13F2B">
            <w:pPr>
              <w:rPr>
                <w:sz w:val="16"/>
                <w:szCs w:val="16"/>
                <w:lang w:val="en-US"/>
              </w:rPr>
            </w:pPr>
            <w:r w:rsidRPr="00BC08C0">
              <w:rPr>
                <w:sz w:val="16"/>
                <w:szCs w:val="16"/>
                <w:lang w:val="en-US"/>
              </w:rPr>
              <w:t xml:space="preserve">Perceived excellence in how the </w:t>
            </w:r>
            <w:r w:rsidR="00443636" w:rsidRPr="00443636">
              <w:rPr>
                <w:sz w:val="16"/>
                <w:szCs w:val="16"/>
                <w:lang w:val="en-US"/>
              </w:rPr>
              <w:t>intervention program</w:t>
            </w:r>
            <w:r w:rsidRPr="00BC08C0">
              <w:rPr>
                <w:sz w:val="16"/>
                <w:szCs w:val="16"/>
                <w:lang w:val="en-US"/>
              </w:rPr>
              <w:t>, including supporting tools and materials, is bundled, presented, and assembled</w:t>
            </w:r>
            <w:r w:rsidR="00581347" w:rsidRPr="00BC08C0">
              <w:rPr>
                <w:sz w:val="16"/>
                <w:szCs w:val="16"/>
                <w:lang w:val="en-US"/>
              </w:rPr>
              <w:t>.</w:t>
            </w:r>
          </w:p>
        </w:tc>
      </w:tr>
      <w:tr w:rsidR="005B6319" w:rsidRPr="00CA15CC" w14:paraId="3E8D61D8" w14:textId="77777777" w:rsidTr="3EAD0359">
        <w:tc>
          <w:tcPr>
            <w:tcW w:w="1756" w:type="dxa"/>
            <w:shd w:val="clear" w:color="auto" w:fill="D0CECE" w:themeFill="background2" w:themeFillShade="E6"/>
            <w:vAlign w:val="center"/>
          </w:tcPr>
          <w:p w14:paraId="46577499" w14:textId="77777777" w:rsidR="005B6319" w:rsidRPr="00B80BC7" w:rsidRDefault="005B6319" w:rsidP="00E05C18">
            <w:pPr>
              <w:rPr>
                <w:sz w:val="18"/>
                <w:szCs w:val="18"/>
                <w:lang w:val="en-US"/>
              </w:rPr>
            </w:pPr>
            <w:r w:rsidRPr="00B80BC7">
              <w:rPr>
                <w:sz w:val="18"/>
                <w:szCs w:val="18"/>
                <w:lang w:val="en-US"/>
              </w:rPr>
              <w:t>Domain 2: Outer Setting</w:t>
            </w:r>
          </w:p>
        </w:tc>
        <w:tc>
          <w:tcPr>
            <w:tcW w:w="7170" w:type="dxa"/>
            <w:shd w:val="clear" w:color="auto" w:fill="D0CECE" w:themeFill="background2" w:themeFillShade="E6"/>
            <w:vAlign w:val="center"/>
          </w:tcPr>
          <w:p w14:paraId="3D279C61" w14:textId="7104AB26" w:rsidR="005B6319" w:rsidRPr="00B80BC7" w:rsidRDefault="005B6319" w:rsidP="00E05C18">
            <w:pPr>
              <w:rPr>
                <w:sz w:val="18"/>
                <w:szCs w:val="18"/>
                <w:lang w:val="en-US"/>
              </w:rPr>
            </w:pPr>
            <w:r w:rsidRPr="00B80BC7">
              <w:rPr>
                <w:sz w:val="18"/>
                <w:szCs w:val="18"/>
                <w:lang w:val="en-US"/>
              </w:rPr>
              <w:t xml:space="preserve">This domain describes the reasons why it is important to implement the </w:t>
            </w:r>
            <w:r w:rsidR="00443636" w:rsidRPr="00443636">
              <w:rPr>
                <w:sz w:val="18"/>
                <w:szCs w:val="18"/>
                <w:lang w:val="en-US"/>
              </w:rPr>
              <w:t>intervention program</w:t>
            </w:r>
            <w:r w:rsidRPr="00B80BC7">
              <w:rPr>
                <w:sz w:val="18"/>
                <w:szCs w:val="18"/>
                <w:lang w:val="en-US"/>
              </w:rPr>
              <w:t xml:space="preserve"> in the current Belgian context, including gaps in patient care or regulatory conditions.</w:t>
            </w:r>
          </w:p>
        </w:tc>
      </w:tr>
      <w:tr w:rsidR="005B6319" w:rsidRPr="00CA15CC" w14:paraId="49916007" w14:textId="77777777" w:rsidTr="3EAD0359">
        <w:tc>
          <w:tcPr>
            <w:tcW w:w="1756" w:type="dxa"/>
            <w:vAlign w:val="center"/>
          </w:tcPr>
          <w:p w14:paraId="71A9A210" w14:textId="77777777" w:rsidR="005B6319" w:rsidRPr="00BC08C0" w:rsidRDefault="001D70F4" w:rsidP="00E05C18">
            <w:pPr>
              <w:rPr>
                <w:sz w:val="16"/>
                <w:szCs w:val="16"/>
                <w:lang w:val="en-US"/>
              </w:rPr>
            </w:pPr>
            <w:r w:rsidRPr="00BC08C0">
              <w:rPr>
                <w:sz w:val="16"/>
                <w:szCs w:val="16"/>
                <w:lang w:val="en-US"/>
              </w:rPr>
              <w:t xml:space="preserve">Target </w:t>
            </w:r>
            <w:r w:rsidR="005B6319" w:rsidRPr="00BC08C0">
              <w:rPr>
                <w:sz w:val="16"/>
                <w:szCs w:val="16"/>
                <w:lang w:val="en-US"/>
              </w:rPr>
              <w:t>Population Needs and Resources</w:t>
            </w:r>
          </w:p>
        </w:tc>
        <w:tc>
          <w:tcPr>
            <w:tcW w:w="7170" w:type="dxa"/>
            <w:vAlign w:val="center"/>
          </w:tcPr>
          <w:p w14:paraId="113D295D" w14:textId="77777777" w:rsidR="005B6319" w:rsidRPr="00BC08C0" w:rsidRDefault="005B6319" w:rsidP="00E05C18">
            <w:pPr>
              <w:rPr>
                <w:sz w:val="16"/>
                <w:szCs w:val="16"/>
                <w:lang w:val="en-US"/>
              </w:rPr>
            </w:pPr>
            <w:r w:rsidRPr="00BC08C0">
              <w:rPr>
                <w:sz w:val="16"/>
                <w:szCs w:val="16"/>
                <w:lang w:val="en-US"/>
              </w:rPr>
              <w:t>This construct entails defining the target population, and the extent to which the needs of the target population, as well as barriers and facilitators to meet those needs, are accurately known and prioritized.</w:t>
            </w:r>
          </w:p>
        </w:tc>
      </w:tr>
      <w:tr w:rsidR="005B6319" w:rsidRPr="00CA15CC" w14:paraId="50324D0A" w14:textId="77777777" w:rsidTr="3EAD0359">
        <w:tc>
          <w:tcPr>
            <w:tcW w:w="1756" w:type="dxa"/>
            <w:vAlign w:val="center"/>
          </w:tcPr>
          <w:p w14:paraId="34D8C400" w14:textId="77777777" w:rsidR="005B6319" w:rsidRPr="00BC08C0" w:rsidRDefault="005B6319" w:rsidP="00E05C18">
            <w:pPr>
              <w:rPr>
                <w:sz w:val="16"/>
                <w:szCs w:val="16"/>
                <w:lang w:val="en-US"/>
              </w:rPr>
            </w:pPr>
            <w:r w:rsidRPr="00BC08C0">
              <w:rPr>
                <w:sz w:val="16"/>
                <w:szCs w:val="16"/>
                <w:lang w:val="en-US"/>
              </w:rPr>
              <w:t>Cosmopolitanism</w:t>
            </w:r>
          </w:p>
        </w:tc>
        <w:tc>
          <w:tcPr>
            <w:tcW w:w="7170" w:type="dxa"/>
            <w:vAlign w:val="center"/>
          </w:tcPr>
          <w:p w14:paraId="5FB6FF95" w14:textId="77777777" w:rsidR="005B6319" w:rsidRPr="00BC08C0" w:rsidRDefault="005B6319" w:rsidP="00E05C18">
            <w:pPr>
              <w:rPr>
                <w:sz w:val="16"/>
                <w:szCs w:val="16"/>
                <w:lang w:val="en-US"/>
              </w:rPr>
            </w:pPr>
            <w:r w:rsidRPr="00BC08C0">
              <w:rPr>
                <w:sz w:val="16"/>
                <w:szCs w:val="16"/>
                <w:lang w:val="en-US"/>
              </w:rPr>
              <w:t>This constructs reflects the degree to which organizations on primary care and community level are networked with other external organization and what the experiences are on existing collaboration and/or interaction and communication.</w:t>
            </w:r>
          </w:p>
        </w:tc>
      </w:tr>
      <w:tr w:rsidR="005B6319" w:rsidRPr="00CA15CC" w14:paraId="5FFF0035" w14:textId="77777777" w:rsidTr="3EAD0359">
        <w:tc>
          <w:tcPr>
            <w:tcW w:w="1756" w:type="dxa"/>
            <w:vAlign w:val="center"/>
          </w:tcPr>
          <w:p w14:paraId="3F5B754C" w14:textId="77777777" w:rsidR="005B6319" w:rsidRPr="00BC08C0" w:rsidRDefault="005B6319" w:rsidP="00E05C18">
            <w:pPr>
              <w:rPr>
                <w:sz w:val="16"/>
                <w:szCs w:val="16"/>
                <w:lang w:val="en-US"/>
              </w:rPr>
            </w:pPr>
            <w:r w:rsidRPr="00BC08C0">
              <w:rPr>
                <w:sz w:val="16"/>
                <w:szCs w:val="16"/>
                <w:lang w:val="en-US"/>
              </w:rPr>
              <w:t>External Policies and Structures</w:t>
            </w:r>
          </w:p>
        </w:tc>
        <w:tc>
          <w:tcPr>
            <w:tcW w:w="7170" w:type="dxa"/>
            <w:vAlign w:val="center"/>
          </w:tcPr>
          <w:p w14:paraId="14975BA0" w14:textId="5768147B" w:rsidR="005B6319" w:rsidRPr="00BC08C0" w:rsidRDefault="005B6319" w:rsidP="00E05C18">
            <w:pPr>
              <w:rPr>
                <w:sz w:val="16"/>
                <w:szCs w:val="16"/>
                <w:lang w:val="en-US"/>
              </w:rPr>
            </w:pPr>
            <w:r w:rsidRPr="00BC08C0">
              <w:rPr>
                <w:sz w:val="16"/>
                <w:szCs w:val="16"/>
                <w:lang w:val="en-US"/>
              </w:rPr>
              <w:t xml:space="preserve">This construct includes external strategies to sustainably implement and embed the </w:t>
            </w:r>
            <w:r w:rsidR="00443636" w:rsidRPr="00443636">
              <w:rPr>
                <w:sz w:val="16"/>
                <w:szCs w:val="16"/>
                <w:lang w:val="en-US"/>
              </w:rPr>
              <w:t>intervention program</w:t>
            </w:r>
            <w:r w:rsidRPr="00BC08C0">
              <w:rPr>
                <w:sz w:val="16"/>
                <w:szCs w:val="16"/>
                <w:lang w:val="en-US"/>
              </w:rPr>
              <w:t>, including policies and structures, as well as recommendations and guidelines.</w:t>
            </w:r>
          </w:p>
        </w:tc>
      </w:tr>
      <w:tr w:rsidR="003E4313" w:rsidRPr="00CA15CC" w14:paraId="7F24F5ED" w14:textId="77777777" w:rsidTr="3EAD0359">
        <w:tc>
          <w:tcPr>
            <w:tcW w:w="1756" w:type="dxa"/>
            <w:vAlign w:val="center"/>
          </w:tcPr>
          <w:p w14:paraId="0C16B60B" w14:textId="77777777" w:rsidR="003E4313" w:rsidRPr="00BC08C0" w:rsidRDefault="003E4313" w:rsidP="00E05C18">
            <w:pPr>
              <w:rPr>
                <w:sz w:val="16"/>
                <w:szCs w:val="16"/>
                <w:lang w:val="en-US"/>
              </w:rPr>
            </w:pPr>
            <w:r w:rsidRPr="00BC08C0">
              <w:rPr>
                <w:sz w:val="16"/>
                <w:szCs w:val="16"/>
                <w:lang w:val="en-US"/>
              </w:rPr>
              <w:t>Variable Factors</w:t>
            </w:r>
          </w:p>
        </w:tc>
        <w:tc>
          <w:tcPr>
            <w:tcW w:w="7170" w:type="dxa"/>
            <w:vAlign w:val="center"/>
          </w:tcPr>
          <w:p w14:paraId="431BB701" w14:textId="77777777" w:rsidR="003E4313" w:rsidRPr="00BC08C0" w:rsidRDefault="003E4313" w:rsidP="00E05C18">
            <w:pPr>
              <w:rPr>
                <w:sz w:val="16"/>
                <w:szCs w:val="16"/>
                <w:lang w:val="en-US"/>
              </w:rPr>
            </w:pPr>
            <w:r w:rsidRPr="00BC08C0">
              <w:rPr>
                <w:sz w:val="16"/>
                <w:szCs w:val="16"/>
                <w:lang w:val="en-US"/>
              </w:rPr>
              <w:t>We included this construct for COVID-19- related findings.</w:t>
            </w:r>
          </w:p>
        </w:tc>
      </w:tr>
      <w:tr w:rsidR="005B6319" w:rsidRPr="00CA15CC" w14:paraId="612590D4" w14:textId="77777777" w:rsidTr="3EAD0359">
        <w:tc>
          <w:tcPr>
            <w:tcW w:w="1756" w:type="dxa"/>
            <w:shd w:val="clear" w:color="auto" w:fill="D0CECE" w:themeFill="background2" w:themeFillShade="E6"/>
            <w:vAlign w:val="center"/>
          </w:tcPr>
          <w:p w14:paraId="2F4D1BFA" w14:textId="77777777" w:rsidR="005B6319" w:rsidRPr="00B80BC7" w:rsidRDefault="005B6319" w:rsidP="00E05C18">
            <w:pPr>
              <w:rPr>
                <w:sz w:val="18"/>
                <w:szCs w:val="18"/>
                <w:lang w:val="en-US"/>
              </w:rPr>
            </w:pPr>
            <w:r w:rsidRPr="00B80BC7">
              <w:rPr>
                <w:sz w:val="18"/>
                <w:szCs w:val="18"/>
                <w:lang w:val="en-US"/>
              </w:rPr>
              <w:t>Domain 3: Inner Setting</w:t>
            </w:r>
          </w:p>
        </w:tc>
        <w:tc>
          <w:tcPr>
            <w:tcW w:w="7170" w:type="dxa"/>
            <w:shd w:val="clear" w:color="auto" w:fill="D0CECE" w:themeFill="background2" w:themeFillShade="E6"/>
            <w:vAlign w:val="center"/>
          </w:tcPr>
          <w:p w14:paraId="09270A45" w14:textId="4EE835D4" w:rsidR="005B6319" w:rsidRPr="00B80BC7" w:rsidRDefault="005B6319" w:rsidP="003E4313">
            <w:pPr>
              <w:rPr>
                <w:sz w:val="18"/>
                <w:szCs w:val="18"/>
                <w:lang w:val="en-US"/>
              </w:rPr>
            </w:pPr>
            <w:r w:rsidRPr="00B80BC7">
              <w:rPr>
                <w:sz w:val="18"/>
                <w:szCs w:val="18"/>
                <w:lang w:val="en-US"/>
              </w:rPr>
              <w:t xml:space="preserve">This domain covers the questions whether the </w:t>
            </w:r>
            <w:r w:rsidR="00443636" w:rsidRPr="00443636">
              <w:rPr>
                <w:sz w:val="18"/>
                <w:szCs w:val="18"/>
                <w:lang w:val="en-US"/>
              </w:rPr>
              <w:t>intervention program</w:t>
            </w:r>
            <w:r w:rsidRPr="00B80BC7">
              <w:rPr>
                <w:sz w:val="18"/>
                <w:szCs w:val="18"/>
                <w:lang w:val="en-US"/>
              </w:rPr>
              <w:t xml:space="preserve"> </w:t>
            </w:r>
            <w:r w:rsidR="003E4313">
              <w:rPr>
                <w:sz w:val="18"/>
                <w:szCs w:val="18"/>
                <w:lang w:val="en-US"/>
              </w:rPr>
              <w:t>fits</w:t>
            </w:r>
            <w:r w:rsidRPr="00B80BC7">
              <w:rPr>
                <w:sz w:val="18"/>
                <w:szCs w:val="18"/>
                <w:lang w:val="en-US"/>
              </w:rPr>
              <w:t xml:space="preserve"> into the target implementation settings (general practices) and </w:t>
            </w:r>
            <w:r w:rsidR="003E4313">
              <w:rPr>
                <w:sz w:val="18"/>
                <w:szCs w:val="18"/>
                <w:lang w:val="en-US"/>
              </w:rPr>
              <w:t>to what extent it is</w:t>
            </w:r>
            <w:r w:rsidRPr="00B80BC7">
              <w:rPr>
                <w:sz w:val="18"/>
                <w:szCs w:val="18"/>
                <w:lang w:val="en-US"/>
              </w:rPr>
              <w:t xml:space="preserve"> feasible.</w:t>
            </w:r>
          </w:p>
        </w:tc>
      </w:tr>
      <w:tr w:rsidR="001D70F4" w:rsidRPr="00CA15CC" w14:paraId="182A2C62" w14:textId="77777777" w:rsidTr="3EAD0359">
        <w:tc>
          <w:tcPr>
            <w:tcW w:w="1756" w:type="dxa"/>
            <w:vAlign w:val="center"/>
          </w:tcPr>
          <w:p w14:paraId="4E33ED91" w14:textId="77777777" w:rsidR="001D70F4" w:rsidRPr="00BC08C0" w:rsidRDefault="001D70F4" w:rsidP="00E05C18">
            <w:pPr>
              <w:rPr>
                <w:sz w:val="16"/>
                <w:szCs w:val="16"/>
                <w:lang w:val="en-US"/>
              </w:rPr>
            </w:pPr>
            <w:r w:rsidRPr="00BC08C0">
              <w:rPr>
                <w:sz w:val="16"/>
                <w:szCs w:val="16"/>
                <w:lang w:val="en-US"/>
              </w:rPr>
              <w:t>Structural Characteristics</w:t>
            </w:r>
          </w:p>
        </w:tc>
        <w:tc>
          <w:tcPr>
            <w:tcW w:w="7170" w:type="dxa"/>
            <w:vAlign w:val="center"/>
          </w:tcPr>
          <w:p w14:paraId="2064300C" w14:textId="77777777" w:rsidR="001D70F4" w:rsidRPr="00BC08C0" w:rsidRDefault="00581347" w:rsidP="00581347">
            <w:pPr>
              <w:rPr>
                <w:sz w:val="16"/>
                <w:szCs w:val="16"/>
                <w:lang w:val="en-US"/>
              </w:rPr>
            </w:pPr>
            <w:r w:rsidRPr="00BC08C0">
              <w:rPr>
                <w:sz w:val="16"/>
                <w:szCs w:val="16"/>
                <w:lang w:val="en-US"/>
              </w:rPr>
              <w:t xml:space="preserve">The social architecture, age, maturity, and size </w:t>
            </w:r>
            <w:r w:rsidR="00FD62E7" w:rsidRPr="00BC08C0">
              <w:rPr>
                <w:sz w:val="16"/>
                <w:szCs w:val="16"/>
                <w:lang w:val="en-US"/>
              </w:rPr>
              <w:t xml:space="preserve">(e.g. by number of multidisciplinary team members) </w:t>
            </w:r>
            <w:r w:rsidRPr="00BC08C0">
              <w:rPr>
                <w:sz w:val="16"/>
                <w:szCs w:val="16"/>
                <w:lang w:val="en-US"/>
              </w:rPr>
              <w:t>of the general practice.</w:t>
            </w:r>
          </w:p>
        </w:tc>
      </w:tr>
      <w:tr w:rsidR="00E1672C" w:rsidRPr="00CA15CC" w14:paraId="6C789020" w14:textId="77777777" w:rsidTr="3EAD0359">
        <w:tc>
          <w:tcPr>
            <w:tcW w:w="1756" w:type="dxa"/>
            <w:vAlign w:val="center"/>
          </w:tcPr>
          <w:p w14:paraId="413B15C5" w14:textId="77777777" w:rsidR="00E1672C" w:rsidRPr="00BC08C0" w:rsidRDefault="00E1672C" w:rsidP="00E05C18">
            <w:pPr>
              <w:rPr>
                <w:sz w:val="16"/>
                <w:szCs w:val="16"/>
                <w:lang w:val="en-US"/>
              </w:rPr>
            </w:pPr>
            <w:r w:rsidRPr="00BC08C0">
              <w:rPr>
                <w:sz w:val="16"/>
                <w:szCs w:val="16"/>
                <w:lang w:val="en-US"/>
              </w:rPr>
              <w:t>Networks and Communications</w:t>
            </w:r>
          </w:p>
        </w:tc>
        <w:tc>
          <w:tcPr>
            <w:tcW w:w="7170" w:type="dxa"/>
            <w:vAlign w:val="center"/>
          </w:tcPr>
          <w:p w14:paraId="30A29531" w14:textId="77777777" w:rsidR="00E1672C" w:rsidRPr="00BC08C0" w:rsidRDefault="00581347" w:rsidP="00FD62E7">
            <w:pPr>
              <w:rPr>
                <w:sz w:val="16"/>
                <w:szCs w:val="16"/>
                <w:lang w:val="en-US"/>
              </w:rPr>
            </w:pPr>
            <w:r w:rsidRPr="00BC08C0">
              <w:rPr>
                <w:sz w:val="16"/>
                <w:szCs w:val="16"/>
                <w:lang w:val="en-US"/>
              </w:rPr>
              <w:t xml:space="preserve">This constructs reflects the nature and quality of social networks </w:t>
            </w:r>
            <w:r w:rsidR="00FD62E7" w:rsidRPr="00BC08C0">
              <w:rPr>
                <w:sz w:val="16"/>
                <w:szCs w:val="16"/>
                <w:lang w:val="en-US"/>
              </w:rPr>
              <w:t>and of</w:t>
            </w:r>
            <w:r w:rsidRPr="00BC08C0">
              <w:rPr>
                <w:sz w:val="16"/>
                <w:szCs w:val="16"/>
                <w:lang w:val="en-US"/>
              </w:rPr>
              <w:t xml:space="preserve"> formal and informal communications within the general practice.</w:t>
            </w:r>
          </w:p>
        </w:tc>
      </w:tr>
      <w:tr w:rsidR="005B6319" w:rsidRPr="00CA15CC" w14:paraId="7E3BB650" w14:textId="77777777" w:rsidTr="3EAD0359">
        <w:tc>
          <w:tcPr>
            <w:tcW w:w="1756" w:type="dxa"/>
            <w:vAlign w:val="center"/>
          </w:tcPr>
          <w:p w14:paraId="399451EB" w14:textId="77777777" w:rsidR="005B6319" w:rsidRPr="00BC08C0" w:rsidRDefault="005B6319" w:rsidP="00E05C18">
            <w:pPr>
              <w:rPr>
                <w:sz w:val="16"/>
                <w:szCs w:val="16"/>
                <w:lang w:val="en-US"/>
              </w:rPr>
            </w:pPr>
            <w:r w:rsidRPr="00BC08C0">
              <w:rPr>
                <w:sz w:val="16"/>
                <w:szCs w:val="16"/>
                <w:lang w:val="en-US"/>
              </w:rPr>
              <w:t>Implementation Climate</w:t>
            </w:r>
          </w:p>
        </w:tc>
        <w:tc>
          <w:tcPr>
            <w:tcW w:w="7170" w:type="dxa"/>
            <w:vAlign w:val="center"/>
          </w:tcPr>
          <w:p w14:paraId="2B22F865" w14:textId="0C9186F6" w:rsidR="005B6319" w:rsidRPr="00BC08C0" w:rsidRDefault="005B6319" w:rsidP="00205B06">
            <w:pPr>
              <w:rPr>
                <w:sz w:val="16"/>
                <w:szCs w:val="16"/>
                <w:lang w:val="en-US"/>
              </w:rPr>
            </w:pPr>
            <w:r w:rsidRPr="00BC08C0">
              <w:rPr>
                <w:sz w:val="16"/>
                <w:szCs w:val="16"/>
                <w:lang w:val="en-US"/>
              </w:rPr>
              <w:t xml:space="preserve">The absorptive capacity for change, shared receptivity of potentially involved organizations to the </w:t>
            </w:r>
            <w:r w:rsidR="00443636" w:rsidRPr="00443636">
              <w:rPr>
                <w:sz w:val="16"/>
                <w:szCs w:val="16"/>
                <w:lang w:val="en-US"/>
              </w:rPr>
              <w:t>intervention program</w:t>
            </w:r>
            <w:r w:rsidRPr="00BC08C0">
              <w:rPr>
                <w:sz w:val="16"/>
                <w:szCs w:val="16"/>
                <w:lang w:val="en-US"/>
              </w:rPr>
              <w:t xml:space="preserve">, and the extent to which use of the </w:t>
            </w:r>
            <w:r w:rsidR="00443636" w:rsidRPr="00443636">
              <w:rPr>
                <w:sz w:val="16"/>
                <w:szCs w:val="16"/>
                <w:lang w:val="en-US"/>
              </w:rPr>
              <w:t>intervention program</w:t>
            </w:r>
            <w:r w:rsidRPr="00BC08C0">
              <w:rPr>
                <w:sz w:val="16"/>
                <w:szCs w:val="16"/>
                <w:lang w:val="en-US"/>
              </w:rPr>
              <w:t xml:space="preserve"> </w:t>
            </w:r>
            <w:r w:rsidR="00205B06" w:rsidRPr="00BC08C0">
              <w:rPr>
                <w:sz w:val="16"/>
                <w:szCs w:val="16"/>
                <w:lang w:val="en-US"/>
              </w:rPr>
              <w:t>is</w:t>
            </w:r>
            <w:r w:rsidRPr="00BC08C0">
              <w:rPr>
                <w:sz w:val="16"/>
                <w:szCs w:val="16"/>
                <w:lang w:val="en-US"/>
              </w:rPr>
              <w:t xml:space="preserve"> supported within eligible partner organizations. Aspects of three sub-constructs; tension for change; compatibility and relative priority, were discussed during the interviews.</w:t>
            </w:r>
          </w:p>
        </w:tc>
      </w:tr>
      <w:tr w:rsidR="005B6319" w:rsidRPr="00CA15CC" w14:paraId="1E024A04" w14:textId="77777777" w:rsidTr="3EAD0359">
        <w:tc>
          <w:tcPr>
            <w:tcW w:w="1756" w:type="dxa"/>
            <w:vAlign w:val="center"/>
          </w:tcPr>
          <w:p w14:paraId="5DF748FD" w14:textId="77777777" w:rsidR="005B6319" w:rsidRPr="00BC08C0" w:rsidRDefault="005B6319" w:rsidP="00E05C18">
            <w:pPr>
              <w:rPr>
                <w:sz w:val="16"/>
                <w:szCs w:val="16"/>
                <w:lang w:val="en-US"/>
              </w:rPr>
            </w:pPr>
            <w:r w:rsidRPr="00BC08C0">
              <w:rPr>
                <w:sz w:val="16"/>
                <w:szCs w:val="16"/>
                <w:lang w:val="en-US"/>
              </w:rPr>
              <w:t>Readiness for Implementation</w:t>
            </w:r>
          </w:p>
        </w:tc>
        <w:tc>
          <w:tcPr>
            <w:tcW w:w="7170" w:type="dxa"/>
            <w:vAlign w:val="center"/>
          </w:tcPr>
          <w:p w14:paraId="1AE6F765" w14:textId="04BC9D0D" w:rsidR="005B6319" w:rsidRPr="00BC08C0" w:rsidRDefault="005B6319" w:rsidP="00443636">
            <w:pPr>
              <w:rPr>
                <w:sz w:val="16"/>
                <w:szCs w:val="16"/>
                <w:lang w:val="en-US"/>
              </w:rPr>
            </w:pPr>
            <w:r w:rsidRPr="00BC08C0">
              <w:rPr>
                <w:sz w:val="16"/>
                <w:szCs w:val="16"/>
                <w:lang w:val="en-US"/>
              </w:rPr>
              <w:t xml:space="preserve">The commitment of </w:t>
            </w:r>
            <w:r w:rsidR="00205B06" w:rsidRPr="00BC08C0">
              <w:rPr>
                <w:sz w:val="16"/>
                <w:szCs w:val="16"/>
                <w:lang w:val="en-US"/>
              </w:rPr>
              <w:t>general practices</w:t>
            </w:r>
            <w:r w:rsidRPr="00BC08C0">
              <w:rPr>
                <w:sz w:val="16"/>
                <w:szCs w:val="16"/>
                <w:lang w:val="en-US"/>
              </w:rPr>
              <w:t xml:space="preserve"> to the implementation of the </w:t>
            </w:r>
            <w:r w:rsidR="00443636">
              <w:rPr>
                <w:sz w:val="16"/>
                <w:szCs w:val="16"/>
                <w:lang w:val="en-US"/>
              </w:rPr>
              <w:t>intervention program</w:t>
            </w:r>
            <w:r w:rsidRPr="00BC08C0">
              <w:rPr>
                <w:sz w:val="16"/>
                <w:szCs w:val="16"/>
                <w:lang w:val="en-US"/>
              </w:rPr>
              <w:t>.</w:t>
            </w:r>
          </w:p>
        </w:tc>
      </w:tr>
      <w:tr w:rsidR="005B6319" w:rsidRPr="00CA15CC" w14:paraId="43FD52E0" w14:textId="77777777" w:rsidTr="3EAD0359">
        <w:tc>
          <w:tcPr>
            <w:tcW w:w="1756" w:type="dxa"/>
            <w:shd w:val="clear" w:color="auto" w:fill="D0CECE" w:themeFill="background2" w:themeFillShade="E6"/>
            <w:vAlign w:val="center"/>
          </w:tcPr>
          <w:p w14:paraId="176806FD" w14:textId="77777777" w:rsidR="005B6319" w:rsidRPr="00B80BC7" w:rsidRDefault="005B6319" w:rsidP="00E05C18">
            <w:pPr>
              <w:rPr>
                <w:sz w:val="18"/>
                <w:szCs w:val="18"/>
                <w:lang w:val="en-US"/>
              </w:rPr>
            </w:pPr>
            <w:r w:rsidRPr="00B80BC7">
              <w:rPr>
                <w:sz w:val="18"/>
                <w:szCs w:val="18"/>
                <w:lang w:val="en-US"/>
              </w:rPr>
              <w:t>Domain 4: Characteristics of Individuals</w:t>
            </w:r>
          </w:p>
        </w:tc>
        <w:tc>
          <w:tcPr>
            <w:tcW w:w="7170" w:type="dxa"/>
            <w:shd w:val="clear" w:color="auto" w:fill="D0CECE" w:themeFill="background2" w:themeFillShade="E6"/>
            <w:vAlign w:val="center"/>
          </w:tcPr>
          <w:p w14:paraId="7A280AAA" w14:textId="492E3867" w:rsidR="005B6319" w:rsidRPr="00B80BC7" w:rsidRDefault="005B6319" w:rsidP="0082199A">
            <w:pPr>
              <w:rPr>
                <w:sz w:val="18"/>
                <w:szCs w:val="18"/>
                <w:lang w:val="en-US"/>
              </w:rPr>
            </w:pPr>
            <w:r w:rsidRPr="00B80BC7">
              <w:rPr>
                <w:sz w:val="18"/>
                <w:szCs w:val="18"/>
                <w:lang w:val="en-US"/>
              </w:rPr>
              <w:t xml:space="preserve">This domain covers the questions whether </w:t>
            </w:r>
            <w:r w:rsidR="0082199A">
              <w:rPr>
                <w:sz w:val="18"/>
                <w:szCs w:val="18"/>
                <w:lang w:val="en-US"/>
              </w:rPr>
              <w:t>implementers (general practitioners, practice nurses and other relevant team members in general practice</w:t>
            </w:r>
            <w:r w:rsidRPr="00B80BC7">
              <w:rPr>
                <w:sz w:val="18"/>
                <w:szCs w:val="18"/>
                <w:lang w:val="en-US"/>
              </w:rPr>
              <w:t xml:space="preserve">) have the competences </w:t>
            </w:r>
            <w:r w:rsidR="0082199A">
              <w:rPr>
                <w:sz w:val="18"/>
                <w:szCs w:val="18"/>
                <w:lang w:val="en-US"/>
              </w:rPr>
              <w:t>needed</w:t>
            </w:r>
            <w:r w:rsidRPr="00B80BC7">
              <w:rPr>
                <w:sz w:val="18"/>
                <w:szCs w:val="18"/>
                <w:lang w:val="en-US"/>
              </w:rPr>
              <w:t xml:space="preserve"> to deliver the </w:t>
            </w:r>
            <w:r w:rsidR="00443636" w:rsidRPr="00443636">
              <w:rPr>
                <w:sz w:val="18"/>
                <w:szCs w:val="18"/>
                <w:lang w:val="en-US"/>
              </w:rPr>
              <w:t>intervention program</w:t>
            </w:r>
            <w:r w:rsidRPr="00B80BC7">
              <w:rPr>
                <w:sz w:val="18"/>
                <w:szCs w:val="18"/>
                <w:lang w:val="en-US"/>
              </w:rPr>
              <w:t>.</w:t>
            </w:r>
          </w:p>
        </w:tc>
      </w:tr>
      <w:tr w:rsidR="005B6319" w:rsidRPr="00CA15CC" w14:paraId="14A68A66" w14:textId="77777777" w:rsidTr="3EAD0359">
        <w:tc>
          <w:tcPr>
            <w:tcW w:w="1756" w:type="dxa"/>
            <w:vAlign w:val="center"/>
          </w:tcPr>
          <w:p w14:paraId="3D9EAB73" w14:textId="77777777" w:rsidR="005B6319" w:rsidRPr="00BC08C0" w:rsidRDefault="00416AFE" w:rsidP="00E05C18">
            <w:pPr>
              <w:rPr>
                <w:sz w:val="16"/>
                <w:szCs w:val="16"/>
                <w:lang w:val="en-US"/>
              </w:rPr>
            </w:pPr>
            <w:r w:rsidRPr="00BC08C0">
              <w:rPr>
                <w:sz w:val="16"/>
                <w:szCs w:val="16"/>
                <w:lang w:val="en-US"/>
              </w:rPr>
              <w:t>Self-Efficacy</w:t>
            </w:r>
          </w:p>
        </w:tc>
        <w:tc>
          <w:tcPr>
            <w:tcW w:w="7170" w:type="dxa"/>
            <w:vAlign w:val="center"/>
          </w:tcPr>
          <w:p w14:paraId="31D123C9" w14:textId="77777777" w:rsidR="005B6319" w:rsidRPr="00BC08C0" w:rsidRDefault="005B6319" w:rsidP="00E05C18">
            <w:pPr>
              <w:rPr>
                <w:sz w:val="16"/>
                <w:szCs w:val="16"/>
                <w:lang w:val="en-US"/>
              </w:rPr>
            </w:pPr>
            <w:r w:rsidRPr="00BC08C0">
              <w:rPr>
                <w:sz w:val="16"/>
                <w:szCs w:val="16"/>
                <w:lang w:val="en-US"/>
              </w:rPr>
              <w:t>The construct reflects potential implementers’ individual belief in their own capabilities to execute courses of action to achieve implementation goals.</w:t>
            </w:r>
          </w:p>
        </w:tc>
      </w:tr>
      <w:tr w:rsidR="00416AFE" w:rsidRPr="00CA15CC" w14:paraId="04360D97" w14:textId="77777777" w:rsidTr="3EAD0359">
        <w:tc>
          <w:tcPr>
            <w:tcW w:w="1756" w:type="dxa"/>
            <w:vAlign w:val="center"/>
          </w:tcPr>
          <w:p w14:paraId="5DCDAE41" w14:textId="77777777" w:rsidR="00416AFE" w:rsidRPr="00BC08C0" w:rsidRDefault="00416AFE" w:rsidP="00E05C18">
            <w:pPr>
              <w:rPr>
                <w:sz w:val="16"/>
                <w:szCs w:val="16"/>
                <w:lang w:val="en-US"/>
              </w:rPr>
            </w:pPr>
            <w:r w:rsidRPr="00BC08C0">
              <w:rPr>
                <w:sz w:val="16"/>
                <w:szCs w:val="16"/>
                <w:lang w:val="en-US"/>
              </w:rPr>
              <w:t>Other Personal Attributes</w:t>
            </w:r>
          </w:p>
        </w:tc>
        <w:tc>
          <w:tcPr>
            <w:tcW w:w="7170" w:type="dxa"/>
            <w:vAlign w:val="center"/>
          </w:tcPr>
          <w:p w14:paraId="062B5E15" w14:textId="77777777" w:rsidR="00416AFE" w:rsidRPr="00BC08C0" w:rsidRDefault="00922A9B" w:rsidP="00922A9B">
            <w:pPr>
              <w:rPr>
                <w:sz w:val="16"/>
                <w:szCs w:val="16"/>
                <w:lang w:val="en-US"/>
              </w:rPr>
            </w:pPr>
            <w:r w:rsidRPr="00BC08C0">
              <w:rPr>
                <w:sz w:val="16"/>
                <w:szCs w:val="16"/>
                <w:lang w:val="en-US"/>
              </w:rPr>
              <w:t>A broad construct to include other personal traits to describe the implementers’ profile; such as intellectual abilities, motivation, values, competences, capacity, and learning style.</w:t>
            </w:r>
          </w:p>
        </w:tc>
      </w:tr>
      <w:tr w:rsidR="005B6319" w:rsidRPr="00CA15CC" w14:paraId="3B62CABD" w14:textId="77777777" w:rsidTr="3EAD0359">
        <w:tc>
          <w:tcPr>
            <w:tcW w:w="1756" w:type="dxa"/>
            <w:shd w:val="clear" w:color="auto" w:fill="D0CECE" w:themeFill="background2" w:themeFillShade="E6"/>
            <w:vAlign w:val="center"/>
          </w:tcPr>
          <w:p w14:paraId="7B0E216A" w14:textId="77777777" w:rsidR="005B6319" w:rsidRPr="00B80BC7" w:rsidRDefault="005B6319" w:rsidP="00E05C18">
            <w:pPr>
              <w:rPr>
                <w:sz w:val="18"/>
                <w:szCs w:val="18"/>
                <w:lang w:val="en-US"/>
              </w:rPr>
            </w:pPr>
            <w:r w:rsidRPr="00B80BC7">
              <w:rPr>
                <w:sz w:val="18"/>
                <w:szCs w:val="18"/>
                <w:lang w:val="en-US"/>
              </w:rPr>
              <w:t>Domain 5: Implementation Process</w:t>
            </w:r>
          </w:p>
        </w:tc>
        <w:tc>
          <w:tcPr>
            <w:tcW w:w="7170" w:type="dxa"/>
            <w:shd w:val="clear" w:color="auto" w:fill="D0CECE" w:themeFill="background2" w:themeFillShade="E6"/>
            <w:vAlign w:val="center"/>
          </w:tcPr>
          <w:p w14:paraId="0BF88BB4" w14:textId="593276E8" w:rsidR="005B6319" w:rsidRPr="00B80BC7" w:rsidRDefault="005B6319" w:rsidP="00737876">
            <w:pPr>
              <w:rPr>
                <w:sz w:val="18"/>
                <w:szCs w:val="18"/>
                <w:lang w:val="en-US"/>
              </w:rPr>
            </w:pPr>
            <w:r w:rsidRPr="00B80BC7">
              <w:rPr>
                <w:sz w:val="18"/>
                <w:szCs w:val="18"/>
                <w:lang w:val="en-US"/>
              </w:rPr>
              <w:t xml:space="preserve">This domain covers the questions whose work </w:t>
            </w:r>
            <w:r w:rsidR="00737876">
              <w:rPr>
                <w:sz w:val="18"/>
                <w:szCs w:val="18"/>
                <w:lang w:val="en-US"/>
              </w:rPr>
              <w:t>is</w:t>
            </w:r>
            <w:r w:rsidRPr="00B80BC7">
              <w:rPr>
                <w:sz w:val="18"/>
                <w:szCs w:val="18"/>
                <w:lang w:val="en-US"/>
              </w:rPr>
              <w:t xml:space="preserve"> affected by the </w:t>
            </w:r>
            <w:r w:rsidR="00443636" w:rsidRPr="00443636">
              <w:rPr>
                <w:sz w:val="18"/>
                <w:szCs w:val="18"/>
                <w:lang w:val="en-US"/>
              </w:rPr>
              <w:t>intervention program</w:t>
            </w:r>
            <w:r w:rsidRPr="00B80BC7">
              <w:rPr>
                <w:sz w:val="18"/>
                <w:szCs w:val="18"/>
                <w:lang w:val="en-US"/>
              </w:rPr>
              <w:t xml:space="preserve">; how the </w:t>
            </w:r>
            <w:r w:rsidR="00443636" w:rsidRPr="00443636">
              <w:rPr>
                <w:sz w:val="18"/>
                <w:szCs w:val="18"/>
                <w:lang w:val="en-US"/>
              </w:rPr>
              <w:t>intervention program</w:t>
            </w:r>
            <w:r w:rsidRPr="00B80BC7">
              <w:rPr>
                <w:sz w:val="18"/>
                <w:szCs w:val="18"/>
                <w:lang w:val="en-US"/>
              </w:rPr>
              <w:t xml:space="preserve"> can be best planned within a setting; whose input and expertise is needed; and how to engage implementers and the target population, in order to implement and sustain the </w:t>
            </w:r>
            <w:r w:rsidR="00443636" w:rsidRPr="00443636">
              <w:rPr>
                <w:sz w:val="18"/>
                <w:szCs w:val="18"/>
                <w:lang w:val="en-US"/>
              </w:rPr>
              <w:t>intervention program</w:t>
            </w:r>
            <w:r>
              <w:rPr>
                <w:sz w:val="18"/>
                <w:szCs w:val="18"/>
                <w:lang w:val="en-US"/>
              </w:rPr>
              <w:t>.</w:t>
            </w:r>
          </w:p>
        </w:tc>
      </w:tr>
      <w:tr w:rsidR="005B6319" w:rsidRPr="00CA15CC" w14:paraId="5E523B13" w14:textId="77777777" w:rsidTr="3EAD0359">
        <w:tc>
          <w:tcPr>
            <w:tcW w:w="1756" w:type="dxa"/>
            <w:vAlign w:val="center"/>
          </w:tcPr>
          <w:p w14:paraId="0743CF27" w14:textId="77777777" w:rsidR="005B6319" w:rsidRPr="00BC08C0" w:rsidRDefault="005B6319" w:rsidP="00E05C18">
            <w:pPr>
              <w:rPr>
                <w:sz w:val="16"/>
                <w:szCs w:val="16"/>
                <w:lang w:val="en-US"/>
              </w:rPr>
            </w:pPr>
            <w:r w:rsidRPr="00BC08C0">
              <w:rPr>
                <w:sz w:val="16"/>
                <w:szCs w:val="16"/>
                <w:lang w:val="en-US"/>
              </w:rPr>
              <w:t>Planning</w:t>
            </w:r>
          </w:p>
        </w:tc>
        <w:tc>
          <w:tcPr>
            <w:tcW w:w="7170" w:type="dxa"/>
            <w:vAlign w:val="center"/>
          </w:tcPr>
          <w:p w14:paraId="0773DE28" w14:textId="3F00B65D" w:rsidR="005B6319" w:rsidRPr="00BC08C0" w:rsidRDefault="005B6319" w:rsidP="00E05C18">
            <w:pPr>
              <w:rPr>
                <w:sz w:val="16"/>
                <w:szCs w:val="16"/>
                <w:lang w:val="en-US"/>
              </w:rPr>
            </w:pPr>
            <w:r w:rsidRPr="00BC08C0">
              <w:rPr>
                <w:sz w:val="16"/>
                <w:szCs w:val="16"/>
                <w:lang w:val="en-US"/>
              </w:rPr>
              <w:t xml:space="preserve">The importance of developing a scheme or method of behavior and tasks in advance, in order for the implementation of the </w:t>
            </w:r>
            <w:r w:rsidR="00443636" w:rsidRPr="00443636">
              <w:rPr>
                <w:sz w:val="16"/>
                <w:szCs w:val="16"/>
                <w:lang w:val="en-US"/>
              </w:rPr>
              <w:t>intervention program</w:t>
            </w:r>
            <w:r w:rsidRPr="00BC08C0">
              <w:rPr>
                <w:sz w:val="16"/>
                <w:szCs w:val="16"/>
                <w:lang w:val="en-US"/>
              </w:rPr>
              <w:t xml:space="preserve"> to be successful. </w:t>
            </w:r>
          </w:p>
        </w:tc>
      </w:tr>
      <w:tr w:rsidR="005B6319" w:rsidRPr="00CA15CC" w14:paraId="76CC0F98" w14:textId="77777777" w:rsidTr="3EAD0359">
        <w:tc>
          <w:tcPr>
            <w:tcW w:w="1756" w:type="dxa"/>
            <w:vAlign w:val="center"/>
          </w:tcPr>
          <w:p w14:paraId="63E37745" w14:textId="77777777" w:rsidR="005B6319" w:rsidRPr="00BC08C0" w:rsidRDefault="005B6319" w:rsidP="00416AFE">
            <w:pPr>
              <w:rPr>
                <w:sz w:val="16"/>
                <w:szCs w:val="16"/>
                <w:lang w:val="en-US"/>
              </w:rPr>
            </w:pPr>
            <w:r w:rsidRPr="00BC08C0">
              <w:rPr>
                <w:sz w:val="16"/>
                <w:szCs w:val="16"/>
                <w:lang w:val="en-US"/>
              </w:rPr>
              <w:t>Engaging Participants</w:t>
            </w:r>
          </w:p>
        </w:tc>
        <w:tc>
          <w:tcPr>
            <w:tcW w:w="7170" w:type="dxa"/>
            <w:vAlign w:val="center"/>
          </w:tcPr>
          <w:p w14:paraId="4A4BC164" w14:textId="4942692A" w:rsidR="005B6319" w:rsidRPr="00BC08C0" w:rsidRDefault="00F25F11" w:rsidP="00443636">
            <w:pPr>
              <w:rPr>
                <w:sz w:val="16"/>
                <w:szCs w:val="16"/>
                <w:lang w:val="en-US"/>
              </w:rPr>
            </w:pPr>
            <w:r w:rsidRPr="00BC08C0">
              <w:rPr>
                <w:sz w:val="16"/>
                <w:szCs w:val="16"/>
                <w:lang w:val="en-US"/>
              </w:rPr>
              <w:t xml:space="preserve">This construct concerns </w:t>
            </w:r>
            <w:r w:rsidR="005B6319" w:rsidRPr="00BC08C0">
              <w:rPr>
                <w:sz w:val="16"/>
                <w:szCs w:val="16"/>
                <w:lang w:val="en-US"/>
              </w:rPr>
              <w:t xml:space="preserve">strategies to engage individuals served by the organization or the target population; i.e. patients in </w:t>
            </w:r>
            <w:r w:rsidR="00443636">
              <w:rPr>
                <w:sz w:val="16"/>
                <w:szCs w:val="16"/>
                <w:lang w:val="en-US"/>
              </w:rPr>
              <w:t>general</w:t>
            </w:r>
            <w:r w:rsidR="005B6319" w:rsidRPr="00BC08C0">
              <w:rPr>
                <w:sz w:val="16"/>
                <w:szCs w:val="16"/>
                <w:lang w:val="en-US"/>
              </w:rPr>
              <w:t xml:space="preserve"> practices.</w:t>
            </w:r>
          </w:p>
        </w:tc>
      </w:tr>
      <w:tr w:rsidR="00E1672C" w:rsidRPr="00CA15CC" w14:paraId="501F39A2" w14:textId="77777777" w:rsidTr="3EAD0359">
        <w:tc>
          <w:tcPr>
            <w:tcW w:w="1756" w:type="dxa"/>
            <w:vAlign w:val="center"/>
          </w:tcPr>
          <w:p w14:paraId="638C7693" w14:textId="77777777" w:rsidR="00E1672C" w:rsidRPr="00BC08C0" w:rsidRDefault="00E1672C" w:rsidP="00416AFE">
            <w:pPr>
              <w:rPr>
                <w:sz w:val="16"/>
                <w:szCs w:val="16"/>
                <w:lang w:val="en-US"/>
              </w:rPr>
            </w:pPr>
            <w:r w:rsidRPr="00BC08C0">
              <w:rPr>
                <w:sz w:val="16"/>
                <w:szCs w:val="16"/>
                <w:lang w:val="en-US"/>
              </w:rPr>
              <w:t>Engaging Implementers</w:t>
            </w:r>
          </w:p>
        </w:tc>
        <w:tc>
          <w:tcPr>
            <w:tcW w:w="7170" w:type="dxa"/>
            <w:vAlign w:val="center"/>
          </w:tcPr>
          <w:p w14:paraId="6BAFAD8D" w14:textId="181119CD" w:rsidR="00E1672C" w:rsidRPr="00BC08C0" w:rsidRDefault="00F25F11" w:rsidP="00443636">
            <w:pPr>
              <w:rPr>
                <w:sz w:val="16"/>
                <w:szCs w:val="16"/>
                <w:lang w:val="en-US"/>
              </w:rPr>
            </w:pPr>
            <w:r w:rsidRPr="00BC08C0">
              <w:rPr>
                <w:sz w:val="16"/>
                <w:szCs w:val="16"/>
                <w:lang w:val="en-US"/>
              </w:rPr>
              <w:t xml:space="preserve">This construct concerns the process of attracting and involving appropriate implementers (i.e. team members from </w:t>
            </w:r>
            <w:r w:rsidR="00443636">
              <w:rPr>
                <w:sz w:val="16"/>
                <w:szCs w:val="16"/>
                <w:lang w:val="en-US"/>
              </w:rPr>
              <w:t>general</w:t>
            </w:r>
            <w:r w:rsidRPr="00BC08C0">
              <w:rPr>
                <w:sz w:val="16"/>
                <w:szCs w:val="16"/>
                <w:lang w:val="en-US"/>
              </w:rPr>
              <w:t xml:space="preserve"> practices or welfare organizations) that should/will be involved in the implementation of the </w:t>
            </w:r>
            <w:r w:rsidR="00443636" w:rsidRPr="00443636">
              <w:rPr>
                <w:sz w:val="16"/>
                <w:szCs w:val="16"/>
                <w:lang w:val="en-US"/>
              </w:rPr>
              <w:t>intervention program</w:t>
            </w:r>
            <w:r w:rsidRPr="00BC08C0">
              <w:rPr>
                <w:sz w:val="16"/>
                <w:szCs w:val="16"/>
                <w:lang w:val="en-US"/>
              </w:rPr>
              <w:t xml:space="preserve"> in their setting;</w:t>
            </w:r>
          </w:p>
        </w:tc>
      </w:tr>
      <w:tr w:rsidR="00416AFE" w:rsidRPr="00CA15CC" w14:paraId="3BB8196B" w14:textId="77777777" w:rsidTr="3EAD0359">
        <w:tc>
          <w:tcPr>
            <w:tcW w:w="1756" w:type="dxa"/>
            <w:vAlign w:val="center"/>
          </w:tcPr>
          <w:p w14:paraId="78102B87" w14:textId="77777777" w:rsidR="00416AFE" w:rsidRPr="00BC08C0" w:rsidRDefault="00416AFE" w:rsidP="00E05C18">
            <w:pPr>
              <w:rPr>
                <w:sz w:val="16"/>
                <w:szCs w:val="16"/>
                <w:lang w:val="en-US"/>
              </w:rPr>
            </w:pPr>
            <w:r w:rsidRPr="00BC08C0">
              <w:rPr>
                <w:sz w:val="16"/>
                <w:szCs w:val="16"/>
                <w:lang w:val="en-US"/>
              </w:rPr>
              <w:t>Executing</w:t>
            </w:r>
          </w:p>
        </w:tc>
        <w:tc>
          <w:tcPr>
            <w:tcW w:w="7170" w:type="dxa"/>
            <w:vAlign w:val="center"/>
          </w:tcPr>
          <w:p w14:paraId="5D281244" w14:textId="622E0AD0" w:rsidR="00416AFE" w:rsidRPr="00BC08C0" w:rsidRDefault="00B57B2E" w:rsidP="00B57B2E">
            <w:pPr>
              <w:rPr>
                <w:sz w:val="16"/>
                <w:szCs w:val="16"/>
                <w:lang w:val="en-US"/>
              </w:rPr>
            </w:pPr>
            <w:r w:rsidRPr="00BC08C0">
              <w:rPr>
                <w:sz w:val="16"/>
                <w:szCs w:val="16"/>
                <w:lang w:val="en-US"/>
              </w:rPr>
              <w:t xml:space="preserve">This construct is about carrying out or accomplishing the implementation according to plan. This included consistency in performance and fidelity to the </w:t>
            </w:r>
            <w:r w:rsidR="00443636" w:rsidRPr="00443636">
              <w:rPr>
                <w:sz w:val="16"/>
                <w:szCs w:val="16"/>
                <w:lang w:val="en-US"/>
              </w:rPr>
              <w:t>intervention program</w:t>
            </w:r>
            <w:r w:rsidRPr="00BC08C0">
              <w:rPr>
                <w:sz w:val="16"/>
                <w:szCs w:val="16"/>
                <w:lang w:val="en-US"/>
              </w:rPr>
              <w:t xml:space="preserve"> components.</w:t>
            </w:r>
          </w:p>
        </w:tc>
      </w:tr>
      <w:tr w:rsidR="00E1672C" w:rsidRPr="00CA15CC" w14:paraId="5D9074AB" w14:textId="77777777" w:rsidTr="3EAD0359">
        <w:tc>
          <w:tcPr>
            <w:tcW w:w="1756" w:type="dxa"/>
            <w:vAlign w:val="center"/>
          </w:tcPr>
          <w:p w14:paraId="11695B67" w14:textId="77777777" w:rsidR="00E1672C" w:rsidRPr="00BC08C0" w:rsidRDefault="00E1672C" w:rsidP="00E1672C">
            <w:pPr>
              <w:rPr>
                <w:sz w:val="16"/>
                <w:szCs w:val="16"/>
                <w:lang w:val="en-US"/>
              </w:rPr>
            </w:pPr>
            <w:r w:rsidRPr="00BC08C0">
              <w:rPr>
                <w:sz w:val="16"/>
                <w:szCs w:val="16"/>
                <w:lang w:val="en-US"/>
              </w:rPr>
              <w:t>Reflecting and Evaluating</w:t>
            </w:r>
          </w:p>
        </w:tc>
        <w:tc>
          <w:tcPr>
            <w:tcW w:w="7170" w:type="dxa"/>
            <w:vAlign w:val="center"/>
          </w:tcPr>
          <w:p w14:paraId="5C54C40B" w14:textId="77777777" w:rsidR="00E1672C" w:rsidRPr="00BC08C0" w:rsidRDefault="007223C2" w:rsidP="007223C2">
            <w:pPr>
              <w:rPr>
                <w:sz w:val="16"/>
                <w:szCs w:val="16"/>
                <w:lang w:val="en-US"/>
              </w:rPr>
            </w:pPr>
            <w:r w:rsidRPr="00BC08C0">
              <w:rPr>
                <w:sz w:val="16"/>
                <w:szCs w:val="16"/>
                <w:lang w:val="en-US"/>
              </w:rPr>
              <w:t>This construct reflects the process of q</w:t>
            </w:r>
            <w:r w:rsidR="003F0E12" w:rsidRPr="00BC08C0">
              <w:rPr>
                <w:sz w:val="16"/>
                <w:szCs w:val="16"/>
                <w:lang w:val="en-US"/>
              </w:rPr>
              <w:t xml:space="preserve">uantitative and qualitative feedback about implementation accompanied with regular personal and team debriefing </w:t>
            </w:r>
            <w:r w:rsidRPr="00BC08C0">
              <w:rPr>
                <w:sz w:val="16"/>
                <w:szCs w:val="16"/>
                <w:lang w:val="en-US"/>
              </w:rPr>
              <w:t xml:space="preserve">and reflection </w:t>
            </w:r>
            <w:r w:rsidR="003F0E12" w:rsidRPr="00BC08C0">
              <w:rPr>
                <w:sz w:val="16"/>
                <w:szCs w:val="16"/>
                <w:lang w:val="en-US"/>
              </w:rPr>
              <w:t>about progress and experience</w:t>
            </w:r>
            <w:r w:rsidRPr="00BC08C0">
              <w:rPr>
                <w:sz w:val="16"/>
                <w:szCs w:val="16"/>
                <w:lang w:val="en-US"/>
              </w:rPr>
              <w:t xml:space="preserve"> from the implementers’ viewpoint</w:t>
            </w:r>
            <w:r w:rsidR="003F0E12" w:rsidRPr="00BC08C0">
              <w:rPr>
                <w:sz w:val="16"/>
                <w:szCs w:val="16"/>
                <w:lang w:val="en-US"/>
              </w:rPr>
              <w:t>.</w:t>
            </w:r>
            <w:r w:rsidRPr="00BC08C0">
              <w:rPr>
                <w:sz w:val="16"/>
                <w:szCs w:val="16"/>
                <w:lang w:val="en-US"/>
              </w:rPr>
              <w:t xml:space="preserve"> </w:t>
            </w:r>
          </w:p>
        </w:tc>
      </w:tr>
    </w:tbl>
    <w:p w14:paraId="121E5477" w14:textId="63179CE5" w:rsidR="005B6319" w:rsidRPr="00BC08C0" w:rsidRDefault="005B6319" w:rsidP="00443636">
      <w:pPr>
        <w:rPr>
          <w:sz w:val="18"/>
          <w:szCs w:val="18"/>
          <w:lang w:val="en-US"/>
        </w:rPr>
      </w:pPr>
    </w:p>
    <w:sectPr w:rsidR="005B6319" w:rsidRPr="00BC08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A6659" w14:textId="77777777" w:rsidR="00631002" w:rsidRDefault="00631002" w:rsidP="0042329C">
      <w:pPr>
        <w:spacing w:after="0" w:line="240" w:lineRule="auto"/>
      </w:pPr>
      <w:r>
        <w:separator/>
      </w:r>
    </w:p>
  </w:endnote>
  <w:endnote w:type="continuationSeparator" w:id="0">
    <w:p w14:paraId="0A37501D" w14:textId="77777777" w:rsidR="00631002" w:rsidRDefault="00631002" w:rsidP="00423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B6C7B" w14:textId="77777777" w:rsidR="00631002" w:rsidRDefault="00631002" w:rsidP="0042329C">
      <w:pPr>
        <w:spacing w:after="0" w:line="240" w:lineRule="auto"/>
      </w:pPr>
      <w:r>
        <w:separator/>
      </w:r>
    </w:p>
  </w:footnote>
  <w:footnote w:type="continuationSeparator" w:id="0">
    <w:p w14:paraId="02EB378F" w14:textId="77777777" w:rsidR="00631002" w:rsidRDefault="00631002" w:rsidP="004232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3A"/>
    <w:rsid w:val="00035C92"/>
    <w:rsid w:val="000D5E42"/>
    <w:rsid w:val="000F6764"/>
    <w:rsid w:val="001A35C8"/>
    <w:rsid w:val="001D70F4"/>
    <w:rsid w:val="00205B06"/>
    <w:rsid w:val="0029028A"/>
    <w:rsid w:val="002A040E"/>
    <w:rsid w:val="00316A86"/>
    <w:rsid w:val="0032143A"/>
    <w:rsid w:val="00355C9E"/>
    <w:rsid w:val="003E4313"/>
    <w:rsid w:val="003F0E12"/>
    <w:rsid w:val="00416AFE"/>
    <w:rsid w:val="0042329C"/>
    <w:rsid w:val="00443636"/>
    <w:rsid w:val="00513697"/>
    <w:rsid w:val="00525560"/>
    <w:rsid w:val="00557421"/>
    <w:rsid w:val="005653A8"/>
    <w:rsid w:val="00565995"/>
    <w:rsid w:val="00570E8B"/>
    <w:rsid w:val="00571891"/>
    <w:rsid w:val="00581347"/>
    <w:rsid w:val="005B6319"/>
    <w:rsid w:val="005F59EA"/>
    <w:rsid w:val="00631002"/>
    <w:rsid w:val="006B263E"/>
    <w:rsid w:val="006F12CB"/>
    <w:rsid w:val="007223C2"/>
    <w:rsid w:val="00737876"/>
    <w:rsid w:val="00750767"/>
    <w:rsid w:val="00753E52"/>
    <w:rsid w:val="00756BF8"/>
    <w:rsid w:val="0082199A"/>
    <w:rsid w:val="008A4065"/>
    <w:rsid w:val="00911248"/>
    <w:rsid w:val="00922A9B"/>
    <w:rsid w:val="00935CA7"/>
    <w:rsid w:val="00945659"/>
    <w:rsid w:val="009576CC"/>
    <w:rsid w:val="009D4CF2"/>
    <w:rsid w:val="00A23D1E"/>
    <w:rsid w:val="00A31EC1"/>
    <w:rsid w:val="00A57DF4"/>
    <w:rsid w:val="00B13F2B"/>
    <w:rsid w:val="00B236B5"/>
    <w:rsid w:val="00B57B2E"/>
    <w:rsid w:val="00B734E2"/>
    <w:rsid w:val="00B80BC7"/>
    <w:rsid w:val="00BC08C0"/>
    <w:rsid w:val="00BE54ED"/>
    <w:rsid w:val="00C55C00"/>
    <w:rsid w:val="00CA15CC"/>
    <w:rsid w:val="00CD48CD"/>
    <w:rsid w:val="00CE01FF"/>
    <w:rsid w:val="00CF6536"/>
    <w:rsid w:val="00E1672C"/>
    <w:rsid w:val="00E46F13"/>
    <w:rsid w:val="00E5778C"/>
    <w:rsid w:val="00ED547B"/>
    <w:rsid w:val="00F25F11"/>
    <w:rsid w:val="00FD62E7"/>
    <w:rsid w:val="3EAD0359"/>
    <w:rsid w:val="79B856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15668"/>
  <w15:chartTrackingRefBased/>
  <w15:docId w15:val="{0E2B0D7E-B8BF-479F-BEA0-ED8D9EF1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21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232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329C"/>
  </w:style>
  <w:style w:type="paragraph" w:styleId="Voettekst">
    <w:name w:val="footer"/>
    <w:basedOn w:val="Standaard"/>
    <w:link w:val="VoettekstChar"/>
    <w:uiPriority w:val="99"/>
    <w:unhideWhenUsed/>
    <w:rsid w:val="004232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329C"/>
  </w:style>
  <w:style w:type="paragraph" w:styleId="Bijschrift">
    <w:name w:val="caption"/>
    <w:basedOn w:val="Standaard"/>
    <w:next w:val="Standaard"/>
    <w:uiPriority w:val="35"/>
    <w:unhideWhenUsed/>
    <w:qFormat/>
    <w:rsid w:val="005B631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2563B7597E074FA5AC8863FE195126" ma:contentTypeVersion="6" ma:contentTypeDescription="Een nieuw document maken." ma:contentTypeScope="" ma:versionID="62bb305b301e8fdf3ef0218afa67c050">
  <xsd:schema xmlns:xsd="http://www.w3.org/2001/XMLSchema" xmlns:xs="http://www.w3.org/2001/XMLSchema" xmlns:p="http://schemas.microsoft.com/office/2006/metadata/properties" xmlns:ns2="e6d84a23-df75-4081-8d05-5384475e1f54" xmlns:ns3="c5c51382-1749-44fe-abce-b53d95bef3f1" targetNamespace="http://schemas.microsoft.com/office/2006/metadata/properties" ma:root="true" ma:fieldsID="014d632c83cd5e7b6dc2f5c02bd5e601" ns2:_="" ns3:_="">
    <xsd:import namespace="e6d84a23-df75-4081-8d05-5384475e1f54"/>
    <xsd:import namespace="c5c51382-1749-44fe-abce-b53d95be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84a23-df75-4081-8d05-5384475e1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51382-1749-44fe-abce-b53d95bef3f1"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3E6E0-9DD0-453C-ACC2-D72A4EEE7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84a23-df75-4081-8d05-5384475e1f54"/>
    <ds:schemaRef ds:uri="c5c51382-1749-44fe-abce-b53d95be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E5A96-26BC-44B5-ABFB-C41B766DE4E4}">
  <ds:schemaRefs>
    <ds:schemaRef ds:uri="http://schemas.microsoft.com/sharepoint/v3/contenttype/forms"/>
  </ds:schemaRefs>
</ds:datastoreItem>
</file>

<file path=customXml/itemProps3.xml><?xml version="1.0" encoding="utf-8"?>
<ds:datastoreItem xmlns:ds="http://schemas.openxmlformats.org/officeDocument/2006/customXml" ds:itemID="{64BF20CE-969E-4C2E-8A66-DBCED216C26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6d84a23-df75-4081-8d05-5384475e1f54"/>
    <ds:schemaRef ds:uri="http://purl.org/dc/dcmitype/"/>
    <ds:schemaRef ds:uri="c5c51382-1749-44fe-abce-b53d95bef3f1"/>
    <ds:schemaRef ds:uri="http://www.w3.org/XML/1998/namespace"/>
  </ds:schemaRefs>
</ds:datastoreItem>
</file>

<file path=customXml/itemProps4.xml><?xml version="1.0" encoding="utf-8"?>
<ds:datastoreItem xmlns:ds="http://schemas.openxmlformats.org/officeDocument/2006/customXml" ds:itemID="{C92DD020-B6A8-4B61-9A51-8CFA11D4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847</Words>
  <Characters>4661</Characters>
  <Application>Microsoft Office Word</Application>
  <DocSecurity>0</DocSecurity>
  <Lines>38</Lines>
  <Paragraphs>10</Paragraphs>
  <ScaleCrop>false</ScaleCrop>
  <Company>Universiteit Antwerpen</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Aerts</dc:creator>
  <cp:keywords/>
  <dc:description/>
  <cp:lastModifiedBy>Naomi Aerts</cp:lastModifiedBy>
  <cp:revision>56</cp:revision>
  <dcterms:created xsi:type="dcterms:W3CDTF">2021-07-13T08:56:00Z</dcterms:created>
  <dcterms:modified xsi:type="dcterms:W3CDTF">2022-12-23T19:10:00Z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0x010100032563B7597E074FA5AC8863FE195126</vt:lpwstr>
  </property>
</Properties>
</file>