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B791" w14:textId="77777777" w:rsidR="00B8576B" w:rsidRPr="00AE5F17" w:rsidRDefault="00B8576B" w:rsidP="00B8576B">
      <w:pPr>
        <w:jc w:val="left"/>
        <w:rPr>
          <w:rFonts w:ascii="Times New Roman" w:eastAsia="宋体" w:hAnsi="Times New Roman" w:cs="Times New Roman"/>
          <w:sz w:val="20"/>
          <w:szCs w:val="20"/>
        </w:rPr>
      </w:pPr>
      <w:r w:rsidRPr="00AE5F17">
        <w:rPr>
          <w:rFonts w:ascii="Times New Roman" w:eastAsia="宋体" w:hAnsi="Times New Roman" w:cs="Times New Roman"/>
          <w:sz w:val="20"/>
          <w:szCs w:val="20"/>
        </w:rPr>
        <w:t>Electronic Supplementary Material</w:t>
      </w:r>
      <w:bookmarkStart w:id="0" w:name="_GoBack"/>
      <w:bookmarkEnd w:id="0"/>
    </w:p>
    <w:p w14:paraId="60E874B7" w14:textId="7847B4A9" w:rsidR="002E73D7" w:rsidRPr="00AE5F17" w:rsidRDefault="002E73D7" w:rsidP="00352892">
      <w:pPr>
        <w:spacing w:beforeLines="100" w:before="240" w:line="480" w:lineRule="auto"/>
        <w:jc w:val="center"/>
        <w:rPr>
          <w:rFonts w:ascii="Times New Roman" w:eastAsia="宋体" w:hAnsi="Times New Roman" w:cs="Times New Roman"/>
          <w:b/>
          <w:sz w:val="20"/>
          <w:szCs w:val="20"/>
        </w:rPr>
      </w:pPr>
      <w:r w:rsidRPr="00AE5F17">
        <w:rPr>
          <w:rFonts w:ascii="Times New Roman" w:eastAsia="宋体" w:hAnsi="Times New Roman" w:cs="Times New Roman"/>
          <w:b/>
          <w:sz w:val="20"/>
          <w:szCs w:val="20"/>
        </w:rPr>
        <w:t>Relative value of primary health</w:t>
      </w:r>
      <w:r w:rsidR="004E006B" w:rsidRPr="00AE5F17">
        <w:rPr>
          <w:rFonts w:ascii="Times New Roman" w:eastAsia="宋体" w:hAnsi="Times New Roman" w:cs="Times New Roman"/>
          <w:b/>
          <w:sz w:val="20"/>
          <w:szCs w:val="20"/>
        </w:rPr>
        <w:t xml:space="preserve"> </w:t>
      </w:r>
      <w:r w:rsidRPr="00AE5F17">
        <w:rPr>
          <w:rFonts w:ascii="Times New Roman" w:eastAsia="宋体" w:hAnsi="Times New Roman" w:cs="Times New Roman"/>
          <w:b/>
          <w:sz w:val="20"/>
          <w:szCs w:val="20"/>
        </w:rPr>
        <w:t xml:space="preserve">care services in Shengzhou </w:t>
      </w:r>
      <w:r w:rsidR="00AE5F17" w:rsidRPr="00AE5F17">
        <w:rPr>
          <w:rFonts w:ascii="Times New Roman" w:eastAsia="宋体" w:hAnsi="Times New Roman" w:cs="Times New Roman"/>
          <w:b/>
          <w:sz w:val="20"/>
          <w:szCs w:val="20"/>
        </w:rPr>
        <w:t>County</w:t>
      </w:r>
    </w:p>
    <w:p w14:paraId="50D28B83" w14:textId="77777777" w:rsidR="002E73D7" w:rsidRPr="00AE5F17" w:rsidRDefault="002E73D7" w:rsidP="00646FA6">
      <w:pPr>
        <w:snapToGrid w:val="0"/>
        <w:spacing w:beforeLines="100" w:before="240" w:line="480" w:lineRule="auto"/>
        <w:jc w:val="left"/>
        <w:rPr>
          <w:rFonts w:ascii="Times New Roman" w:eastAsia="宋体" w:hAnsi="Times New Roman" w:cs="Times New Roman"/>
          <w:b/>
          <w:sz w:val="20"/>
          <w:szCs w:val="20"/>
        </w:rPr>
      </w:pPr>
      <w:r w:rsidRPr="00AE5F17">
        <w:rPr>
          <w:rFonts w:ascii="Times New Roman" w:eastAsia="宋体" w:hAnsi="Times New Roman" w:cs="Times New Roman"/>
          <w:b/>
          <w:sz w:val="20"/>
          <w:szCs w:val="20"/>
        </w:rPr>
        <w:t xml:space="preserve">Some explanations </w:t>
      </w:r>
    </w:p>
    <w:p w14:paraId="383F0FA2" w14:textId="06E6C2FE" w:rsidR="002E73D7" w:rsidRPr="00AE5F17" w:rsidRDefault="002E73D7" w:rsidP="00646FA6">
      <w:pPr>
        <w:adjustRightInd w:val="0"/>
        <w:snapToGrid w:val="0"/>
        <w:spacing w:line="480" w:lineRule="auto"/>
        <w:jc w:val="left"/>
        <w:rPr>
          <w:rFonts w:ascii="Times New Roman" w:eastAsia="宋体" w:hAnsi="Times New Roman" w:cs="Times New Roman"/>
          <w:sz w:val="20"/>
          <w:szCs w:val="20"/>
        </w:rPr>
      </w:pPr>
      <w:r w:rsidRPr="00AE5F17">
        <w:rPr>
          <w:rFonts w:ascii="Times New Roman" w:eastAsia="宋体" w:hAnsi="Times New Roman" w:cs="Times New Roman"/>
          <w:sz w:val="20"/>
          <w:szCs w:val="20"/>
        </w:rPr>
        <w:t xml:space="preserve">1. One relative value (RV) is the cost of </w:t>
      </w:r>
      <w:r w:rsidRPr="00AE5F17">
        <w:rPr>
          <w:rFonts w:ascii="Times New Roman" w:eastAsia="宋体" w:hAnsi="Times New Roman" w:cs="Times New Roman"/>
          <w:bCs/>
          <w:sz w:val="20"/>
          <w:szCs w:val="20"/>
        </w:rPr>
        <w:t>a standard clinic visit including workload (</w:t>
      </w:r>
      <w:r w:rsidR="00202515" w:rsidRPr="00AE5F17">
        <w:rPr>
          <w:rFonts w:ascii="Times New Roman" w:eastAsia="宋体" w:hAnsi="Times New Roman" w:cs="Times New Roman"/>
          <w:bCs/>
          <w:sz w:val="20"/>
          <w:szCs w:val="20"/>
        </w:rPr>
        <w:t>15-min</w:t>
      </w:r>
      <w:r w:rsidRPr="00AE5F17">
        <w:rPr>
          <w:rFonts w:ascii="Times New Roman" w:eastAsia="宋体" w:hAnsi="Times New Roman" w:cs="Times New Roman"/>
          <w:bCs/>
          <w:sz w:val="20"/>
          <w:szCs w:val="20"/>
        </w:rPr>
        <w:t xml:space="preserve"> duration),</w:t>
      </w:r>
      <w:r w:rsidRPr="00AE5F17">
        <w:rPr>
          <w:rFonts w:ascii="Times New Roman" w:eastAsia="宋体" w:hAnsi="Times New Roman" w:cs="Times New Roman"/>
          <w:sz w:val="20"/>
          <w:szCs w:val="20"/>
        </w:rPr>
        <w:t xml:space="preserve"> resource consumption, risk</w:t>
      </w:r>
      <w:r w:rsidR="00202515" w:rsidRPr="00AE5F17">
        <w:rPr>
          <w:rFonts w:ascii="Times New Roman" w:eastAsia="宋体" w:hAnsi="Times New Roman" w:cs="Times New Roman"/>
          <w:sz w:val="20"/>
          <w:szCs w:val="20"/>
        </w:rPr>
        <w:t>,</w:t>
      </w:r>
      <w:r w:rsidRPr="00AE5F17">
        <w:rPr>
          <w:rFonts w:ascii="Times New Roman" w:eastAsia="宋体" w:hAnsi="Times New Roman" w:cs="Times New Roman"/>
          <w:sz w:val="20"/>
          <w:szCs w:val="20"/>
        </w:rPr>
        <w:t xml:space="preserve"> and difficulty.</w:t>
      </w:r>
    </w:p>
    <w:p w14:paraId="66479B08" w14:textId="14AD020C" w:rsidR="002E73D7" w:rsidRPr="00AE5F17" w:rsidRDefault="002E73D7" w:rsidP="00646FA6">
      <w:pPr>
        <w:adjustRightInd w:val="0"/>
        <w:snapToGrid w:val="0"/>
        <w:spacing w:line="480" w:lineRule="auto"/>
        <w:jc w:val="left"/>
        <w:rPr>
          <w:rFonts w:ascii="Times New Roman" w:eastAsia="宋体" w:hAnsi="Times New Roman" w:cs="Times New Roman"/>
          <w:sz w:val="20"/>
          <w:szCs w:val="20"/>
        </w:rPr>
      </w:pPr>
      <w:r w:rsidRPr="00AE5F17">
        <w:rPr>
          <w:rFonts w:ascii="Times New Roman" w:eastAsia="宋体" w:hAnsi="Times New Roman" w:cs="Times New Roman"/>
          <w:sz w:val="20"/>
          <w:szCs w:val="20"/>
        </w:rPr>
        <w:t xml:space="preserve">2. </w:t>
      </w:r>
      <w:r w:rsidR="00202515" w:rsidRPr="00AE5F17">
        <w:rPr>
          <w:rFonts w:ascii="Times New Roman" w:eastAsia="宋体" w:hAnsi="Times New Roman" w:cs="Times New Roman"/>
          <w:sz w:val="20"/>
          <w:szCs w:val="20"/>
        </w:rPr>
        <w:t xml:space="preserve">The </w:t>
      </w:r>
      <w:r w:rsidRPr="00AE5F17">
        <w:rPr>
          <w:rFonts w:ascii="Times New Roman" w:eastAsia="宋体" w:hAnsi="Times New Roman" w:cs="Times New Roman"/>
          <w:sz w:val="20"/>
          <w:szCs w:val="20"/>
        </w:rPr>
        <w:t xml:space="preserve">RV of National Essential Public Health Services Package (NEPHSP) services and complementary compensation for medical services is calculated by comparing their cost with that of </w:t>
      </w:r>
      <w:r w:rsidRPr="00AE5F17">
        <w:rPr>
          <w:rFonts w:ascii="Times New Roman" w:eastAsia="宋体" w:hAnsi="Times New Roman" w:cs="Times New Roman"/>
          <w:bCs/>
          <w:sz w:val="20"/>
          <w:szCs w:val="20"/>
        </w:rPr>
        <w:t>a standard clinic visit by c</w:t>
      </w:r>
      <w:r w:rsidRPr="00AE5F17">
        <w:rPr>
          <w:rFonts w:ascii="Times New Roman" w:eastAsia="宋体" w:hAnsi="Times New Roman" w:cs="Times New Roman"/>
          <w:sz w:val="20"/>
          <w:szCs w:val="20"/>
        </w:rPr>
        <w:t xml:space="preserve">ommittees with representatives of Shengzhou </w:t>
      </w:r>
      <w:r w:rsidR="001621D9" w:rsidRPr="00AE5F17">
        <w:rPr>
          <w:rFonts w:ascii="Times New Roman" w:eastAsia="宋体" w:hAnsi="Times New Roman" w:cs="Times New Roman"/>
          <w:sz w:val="20"/>
          <w:szCs w:val="20"/>
        </w:rPr>
        <w:t>c</w:t>
      </w:r>
      <w:r w:rsidRPr="00AE5F17">
        <w:rPr>
          <w:rFonts w:ascii="Times New Roman" w:eastAsia="宋体" w:hAnsi="Times New Roman" w:cs="Times New Roman"/>
          <w:sz w:val="20"/>
          <w:szCs w:val="20"/>
        </w:rPr>
        <w:t>ounty.</w:t>
      </w:r>
    </w:p>
    <w:p w14:paraId="6413724C" w14:textId="0E383FD7" w:rsidR="002E73D7" w:rsidRPr="00AE5F17" w:rsidRDefault="002E73D7" w:rsidP="00646FA6">
      <w:pPr>
        <w:adjustRightInd w:val="0"/>
        <w:snapToGrid w:val="0"/>
        <w:spacing w:line="480" w:lineRule="auto"/>
        <w:jc w:val="left"/>
        <w:rPr>
          <w:rFonts w:ascii="Times New Roman" w:eastAsia="宋体" w:hAnsi="Times New Roman" w:cs="Times New Roman"/>
          <w:sz w:val="20"/>
          <w:szCs w:val="20"/>
        </w:rPr>
      </w:pPr>
      <w:r w:rsidRPr="00AE5F17">
        <w:rPr>
          <w:rFonts w:ascii="Times New Roman" w:eastAsia="宋体" w:hAnsi="Times New Roman" w:cs="Times New Roman"/>
          <w:sz w:val="20"/>
          <w:szCs w:val="20"/>
        </w:rPr>
        <w:t xml:space="preserve">3. The table below was published by Health Bureau of Shengzhou </w:t>
      </w:r>
      <w:r w:rsidR="00AE5F17" w:rsidRPr="00AE5F17">
        <w:rPr>
          <w:rFonts w:ascii="Times New Roman" w:eastAsia="宋体" w:hAnsi="Times New Roman" w:cs="Times New Roman"/>
          <w:sz w:val="20"/>
          <w:szCs w:val="20"/>
        </w:rPr>
        <w:t>County</w:t>
      </w:r>
      <w:r w:rsidRPr="00AE5F17">
        <w:rPr>
          <w:rFonts w:ascii="Times New Roman" w:eastAsia="宋体" w:hAnsi="Times New Roman" w:cs="Times New Roman"/>
          <w:sz w:val="20"/>
          <w:szCs w:val="20"/>
        </w:rPr>
        <w:t xml:space="preserve"> in December 2019 (Shengwei [2016] No.174)</w:t>
      </w:r>
    </w:p>
    <w:p w14:paraId="5914B921" w14:textId="77777777" w:rsidR="002E73D7" w:rsidRPr="00AE5F17" w:rsidRDefault="002E73D7" w:rsidP="00646FA6">
      <w:pPr>
        <w:adjustRightInd w:val="0"/>
        <w:snapToGrid w:val="0"/>
        <w:spacing w:line="480" w:lineRule="auto"/>
        <w:jc w:val="left"/>
        <w:rPr>
          <w:rFonts w:ascii="Times New Roman" w:eastAsia="宋体" w:hAnsi="Times New Roman" w:cs="Times New Roman"/>
          <w:sz w:val="20"/>
          <w:szCs w:val="20"/>
        </w:rPr>
      </w:pPr>
      <w:r w:rsidRPr="00AE5F17">
        <w:rPr>
          <w:rFonts w:ascii="Times New Roman" w:eastAsia="宋体" w:hAnsi="Times New Roman" w:cs="Times New Roman"/>
          <w:sz w:val="20"/>
          <w:szCs w:val="20"/>
        </w:rPr>
        <w:t>4. Notes:* means complementary compensation (named converted RV) because of the zero-make-up policy for drugs.</w:t>
      </w:r>
    </w:p>
    <w:p w14:paraId="0B0F19EF" w14:textId="77777777" w:rsidR="002E73D7" w:rsidRPr="00AE5F17" w:rsidRDefault="002E73D7" w:rsidP="00646FA6">
      <w:pPr>
        <w:adjustRightInd w:val="0"/>
        <w:snapToGrid w:val="0"/>
        <w:spacing w:line="480" w:lineRule="auto"/>
        <w:jc w:val="left"/>
        <w:rPr>
          <w:rFonts w:ascii="Times New Roman" w:eastAsia="宋体" w:hAnsi="Times New Roman" w:cs="Times New Roman"/>
          <w:sz w:val="20"/>
          <w:szCs w:val="20"/>
        </w:rPr>
      </w:pPr>
      <w:r w:rsidRPr="00AE5F17">
        <w:rPr>
          <w:rFonts w:ascii="Times New Roman" w:eastAsia="宋体" w:hAnsi="Times New Roman" w:cs="Times New Roman"/>
          <w:sz w:val="20"/>
          <w:szCs w:val="20"/>
        </w:rPr>
        <w:t xml:space="preserve">5. RV for medical services except outpatient visits and inpatient bed days is </w:t>
      </w:r>
      <w:hyperlink r:id="rId8" w:history="1">
        <w:r w:rsidRPr="00AE5F17">
          <w:rPr>
            <w:rFonts w:ascii="Times New Roman" w:eastAsia="宋体" w:hAnsi="Times New Roman" w:cs="Times New Roman"/>
            <w:sz w:val="20"/>
            <w:szCs w:val="20"/>
          </w:rPr>
          <w:t>suitable</w:t>
        </w:r>
      </w:hyperlink>
      <w:r w:rsidRPr="00AE5F17">
        <w:rPr>
          <w:rFonts w:ascii="Times New Roman" w:eastAsia="宋体" w:hAnsi="Times New Roman" w:cs="Times New Roman"/>
          <w:sz w:val="20"/>
          <w:szCs w:val="20"/>
        </w:rPr>
        <w:t> </w:t>
      </w:r>
      <w:hyperlink r:id="rId9" w:history="1">
        <w:r w:rsidRPr="00AE5F17">
          <w:rPr>
            <w:rFonts w:ascii="Times New Roman" w:eastAsia="宋体" w:hAnsi="Times New Roman" w:cs="Times New Roman"/>
            <w:sz w:val="20"/>
            <w:szCs w:val="20"/>
          </w:rPr>
          <w:t>for</w:t>
        </w:r>
      </w:hyperlink>
      <w:r w:rsidRPr="00AE5F17">
        <w:rPr>
          <w:rFonts w:ascii="Times New Roman" w:eastAsia="宋体" w:hAnsi="Times New Roman" w:cs="Times New Roman"/>
          <w:sz w:val="20"/>
          <w:szCs w:val="20"/>
        </w:rPr>
        <w:t xml:space="preserve"> the circumstance without their fee-for-service items.</w:t>
      </w:r>
    </w:p>
    <w:p w14:paraId="5D628B5D" w14:textId="7D25D01C" w:rsidR="002E73D7" w:rsidRPr="00AE5F17" w:rsidRDefault="002E73D7" w:rsidP="00646FA6">
      <w:pPr>
        <w:adjustRightInd w:val="0"/>
        <w:snapToGrid w:val="0"/>
        <w:spacing w:line="480" w:lineRule="auto"/>
        <w:jc w:val="left"/>
        <w:rPr>
          <w:rFonts w:ascii="Times New Roman" w:eastAsia="宋体" w:hAnsi="Times New Roman" w:cs="Times New Roman"/>
          <w:sz w:val="20"/>
          <w:szCs w:val="20"/>
        </w:rPr>
      </w:pPr>
      <w:r w:rsidRPr="00AE5F17">
        <w:rPr>
          <w:rFonts w:ascii="Times New Roman" w:eastAsia="宋体" w:hAnsi="Times New Roman" w:cs="Times New Roman"/>
          <w:sz w:val="20"/>
          <w:szCs w:val="20"/>
        </w:rPr>
        <w:t xml:space="preserve">6. NEPHSP services can be divided into individual services and group services, the total RV of the former is calculated by </w:t>
      </w:r>
      <w:r w:rsidR="00FB7576" w:rsidRPr="00AE5F17">
        <w:rPr>
          <w:rFonts w:ascii="Times New Roman" w:eastAsia="宋体" w:hAnsi="Times New Roman" w:cs="Times New Roman"/>
          <w:sz w:val="20"/>
          <w:szCs w:val="20"/>
        </w:rPr>
        <w:t xml:space="preserve">the </w:t>
      </w:r>
      <w:r w:rsidRPr="00AE5F17">
        <w:rPr>
          <w:rFonts w:ascii="Times New Roman" w:eastAsia="宋体" w:hAnsi="Times New Roman" w:cs="Times New Roman"/>
          <w:sz w:val="20"/>
          <w:szCs w:val="20"/>
        </w:rPr>
        <w:t xml:space="preserve">RV per visit and the amount of services, and the total RV of the latter is calculated by RV per capita and the population enrolled. </w:t>
      </w:r>
    </w:p>
    <w:tbl>
      <w:tblPr>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618"/>
        <w:gridCol w:w="4626"/>
        <w:gridCol w:w="1559"/>
        <w:gridCol w:w="3866"/>
      </w:tblGrid>
      <w:tr w:rsidR="002E73D7" w:rsidRPr="00AE5F17" w14:paraId="6271E006" w14:textId="77777777" w:rsidTr="00626F9B">
        <w:trPr>
          <w:trHeight w:val="355"/>
          <w:tblHeader/>
        </w:trPr>
        <w:tc>
          <w:tcPr>
            <w:tcW w:w="1242" w:type="dxa"/>
            <w:tcBorders>
              <w:top w:val="single" w:sz="8" w:space="0" w:color="000000"/>
              <w:left w:val="single" w:sz="8" w:space="0" w:color="000000"/>
              <w:bottom w:val="single" w:sz="8" w:space="0" w:color="000000"/>
              <w:right w:val="single" w:sz="8" w:space="0" w:color="000000"/>
            </w:tcBorders>
            <w:vAlign w:val="center"/>
          </w:tcPr>
          <w:p w14:paraId="288948B3" w14:textId="77777777" w:rsidR="002E73D7" w:rsidRPr="00AE5F17" w:rsidRDefault="002E73D7" w:rsidP="00626F9B">
            <w:pPr>
              <w:adjustRightInd w:val="0"/>
              <w:snapToGrid w:val="0"/>
              <w:spacing w:line="260" w:lineRule="exact"/>
              <w:jc w:val="center"/>
              <w:rPr>
                <w:rFonts w:ascii="Times New Roman" w:eastAsia="宋体" w:hAnsi="Times New Roman" w:cs="Times New Roman"/>
                <w:b/>
                <w:color w:val="000000"/>
                <w:sz w:val="20"/>
                <w:szCs w:val="20"/>
              </w:rPr>
            </w:pPr>
            <w:r w:rsidRPr="00AE5F17">
              <w:rPr>
                <w:rFonts w:ascii="Times New Roman" w:eastAsia="宋体" w:hAnsi="Times New Roman" w:cs="Times New Roman"/>
                <w:b/>
                <w:color w:val="000000"/>
                <w:sz w:val="20"/>
                <w:szCs w:val="20"/>
              </w:rPr>
              <w:t>Categor</w:t>
            </w:r>
            <w:r w:rsidR="00626F9B" w:rsidRPr="00AE5F17">
              <w:rPr>
                <w:rFonts w:ascii="Times New Roman" w:eastAsia="宋体" w:hAnsi="Times New Roman" w:cs="Times New Roman"/>
                <w:b/>
                <w:color w:val="000000"/>
                <w:sz w:val="20"/>
                <w:szCs w:val="20"/>
              </w:rPr>
              <w:t>ies</w:t>
            </w:r>
          </w:p>
        </w:tc>
        <w:tc>
          <w:tcPr>
            <w:tcW w:w="2552" w:type="dxa"/>
            <w:tcBorders>
              <w:top w:val="single" w:sz="8" w:space="0" w:color="000000"/>
              <w:left w:val="single" w:sz="8" w:space="0" w:color="000000"/>
              <w:bottom w:val="single" w:sz="8" w:space="0" w:color="000000"/>
              <w:right w:val="single" w:sz="8" w:space="0" w:color="000000"/>
            </w:tcBorders>
            <w:vAlign w:val="center"/>
          </w:tcPr>
          <w:p w14:paraId="35B6D3AB" w14:textId="77777777" w:rsidR="002E73D7" w:rsidRPr="00AE5F17" w:rsidRDefault="002E73D7" w:rsidP="002E73D7">
            <w:pPr>
              <w:adjustRightInd w:val="0"/>
              <w:snapToGrid w:val="0"/>
              <w:spacing w:line="260" w:lineRule="exact"/>
              <w:jc w:val="center"/>
              <w:rPr>
                <w:rFonts w:ascii="Times New Roman" w:eastAsia="宋体" w:hAnsi="Times New Roman" w:cs="Times New Roman"/>
                <w:b/>
                <w:color w:val="000000"/>
                <w:sz w:val="20"/>
                <w:szCs w:val="20"/>
              </w:rPr>
            </w:pPr>
            <w:r w:rsidRPr="00AE5F17">
              <w:rPr>
                <w:rFonts w:ascii="Times New Roman" w:eastAsia="宋体" w:hAnsi="Times New Roman" w:cs="Times New Roman"/>
                <w:b/>
                <w:color w:val="000000"/>
                <w:sz w:val="20"/>
                <w:szCs w:val="20"/>
              </w:rPr>
              <w:t>Types</w:t>
            </w:r>
          </w:p>
        </w:tc>
        <w:tc>
          <w:tcPr>
            <w:tcW w:w="618" w:type="dxa"/>
            <w:tcBorders>
              <w:top w:val="single" w:sz="8" w:space="0" w:color="000000"/>
              <w:left w:val="single" w:sz="8" w:space="0" w:color="000000"/>
              <w:bottom w:val="single" w:sz="8" w:space="0" w:color="000000"/>
              <w:right w:val="single" w:sz="8" w:space="0" w:color="000000"/>
            </w:tcBorders>
            <w:vAlign w:val="center"/>
          </w:tcPr>
          <w:p w14:paraId="41E31C64"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r w:rsidRPr="00AE5F17">
              <w:rPr>
                <w:rFonts w:ascii="Times New Roman" w:eastAsia="宋体" w:hAnsi="Times New Roman" w:cs="Times New Roman"/>
                <w:b/>
                <w:bCs/>
                <w:color w:val="000000"/>
                <w:sz w:val="20"/>
                <w:szCs w:val="20"/>
              </w:rPr>
              <w:t>RV</w:t>
            </w:r>
          </w:p>
        </w:tc>
        <w:tc>
          <w:tcPr>
            <w:tcW w:w="4626" w:type="dxa"/>
            <w:tcBorders>
              <w:top w:val="single" w:sz="8" w:space="0" w:color="000000"/>
              <w:left w:val="single" w:sz="8" w:space="0" w:color="000000"/>
              <w:bottom w:val="single" w:sz="8" w:space="0" w:color="000000"/>
              <w:right w:val="single" w:sz="8" w:space="0" w:color="000000"/>
            </w:tcBorders>
            <w:vAlign w:val="center"/>
          </w:tcPr>
          <w:p w14:paraId="40C4F6EE"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r w:rsidRPr="00AE5F17">
              <w:rPr>
                <w:rFonts w:ascii="Times New Roman" w:eastAsia="宋体" w:hAnsi="Times New Roman" w:cs="Times New Roman"/>
                <w:b/>
                <w:bCs/>
                <w:color w:val="000000"/>
                <w:sz w:val="20"/>
                <w:szCs w:val="20"/>
              </w:rPr>
              <w:t>Service contents</w:t>
            </w:r>
          </w:p>
        </w:tc>
        <w:tc>
          <w:tcPr>
            <w:tcW w:w="1559" w:type="dxa"/>
            <w:tcBorders>
              <w:top w:val="single" w:sz="8" w:space="0" w:color="000000"/>
              <w:left w:val="single" w:sz="8" w:space="0" w:color="000000"/>
              <w:bottom w:val="single" w:sz="8" w:space="0" w:color="000000"/>
              <w:right w:val="single" w:sz="8" w:space="0" w:color="000000"/>
            </w:tcBorders>
            <w:vAlign w:val="center"/>
          </w:tcPr>
          <w:p w14:paraId="5F41D0B1" w14:textId="77777777" w:rsidR="002E73D7" w:rsidRPr="00AE5F17" w:rsidRDefault="002E73D7" w:rsidP="002E73D7">
            <w:pPr>
              <w:adjustRightInd w:val="0"/>
              <w:snapToGrid w:val="0"/>
              <w:spacing w:line="260" w:lineRule="exact"/>
              <w:jc w:val="center"/>
              <w:rPr>
                <w:rFonts w:ascii="Times New Roman" w:eastAsia="宋体" w:hAnsi="Times New Roman" w:cs="Times New Roman"/>
                <w:b/>
                <w:color w:val="000000"/>
                <w:sz w:val="20"/>
                <w:szCs w:val="20"/>
              </w:rPr>
            </w:pPr>
            <w:r w:rsidRPr="00AE5F17">
              <w:rPr>
                <w:rFonts w:ascii="Times New Roman" w:eastAsia="宋体" w:hAnsi="Times New Roman" w:cs="Times New Roman"/>
                <w:b/>
                <w:color w:val="000000"/>
                <w:sz w:val="20"/>
                <w:szCs w:val="20"/>
              </w:rPr>
              <w:t>Data source</w:t>
            </w:r>
          </w:p>
        </w:tc>
        <w:tc>
          <w:tcPr>
            <w:tcW w:w="3866" w:type="dxa"/>
            <w:tcBorders>
              <w:top w:val="single" w:sz="8" w:space="0" w:color="000000"/>
              <w:left w:val="single" w:sz="8" w:space="0" w:color="000000"/>
              <w:bottom w:val="single" w:sz="8" w:space="0" w:color="000000"/>
              <w:right w:val="single" w:sz="8" w:space="0" w:color="000000"/>
            </w:tcBorders>
            <w:vAlign w:val="center"/>
          </w:tcPr>
          <w:p w14:paraId="7AEFF408"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r w:rsidRPr="00AE5F17">
              <w:rPr>
                <w:rFonts w:ascii="Times New Roman" w:eastAsia="宋体" w:hAnsi="Times New Roman" w:cs="Times New Roman"/>
                <w:b/>
                <w:bCs/>
                <w:color w:val="000000"/>
                <w:sz w:val="20"/>
                <w:szCs w:val="20"/>
              </w:rPr>
              <w:t>Calculation</w:t>
            </w:r>
          </w:p>
        </w:tc>
      </w:tr>
      <w:tr w:rsidR="002E73D7" w:rsidRPr="00AE5F17" w14:paraId="01CDB032" w14:textId="77777777" w:rsidTr="00626F9B">
        <w:trPr>
          <w:trHeight w:val="897"/>
        </w:trPr>
        <w:tc>
          <w:tcPr>
            <w:tcW w:w="1242" w:type="dxa"/>
            <w:vMerge w:val="restart"/>
            <w:tcBorders>
              <w:top w:val="single" w:sz="8" w:space="0" w:color="000000"/>
              <w:left w:val="single" w:sz="8" w:space="0" w:color="000000"/>
              <w:right w:val="single" w:sz="8" w:space="0" w:color="000000"/>
            </w:tcBorders>
            <w:vAlign w:val="center"/>
          </w:tcPr>
          <w:p w14:paraId="45AC2F9B"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Medical services</w:t>
            </w:r>
          </w:p>
        </w:tc>
        <w:tc>
          <w:tcPr>
            <w:tcW w:w="2552" w:type="dxa"/>
            <w:tcBorders>
              <w:top w:val="single" w:sz="8" w:space="0" w:color="000000"/>
              <w:left w:val="single" w:sz="8" w:space="0" w:color="000000"/>
              <w:bottom w:val="single" w:sz="8" w:space="0" w:color="000000"/>
              <w:right w:val="single" w:sz="8" w:space="0" w:color="000000"/>
            </w:tcBorders>
            <w:vAlign w:val="center"/>
          </w:tcPr>
          <w:p w14:paraId="79AB1696" w14:textId="2D3DADA9"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Outpatient visits</w:t>
            </w:r>
            <w:r w:rsidR="00FB7576"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bottom w:val="single" w:sz="8" w:space="0" w:color="000000"/>
              <w:right w:val="single" w:sz="8" w:space="0" w:color="000000"/>
            </w:tcBorders>
            <w:vAlign w:val="center"/>
          </w:tcPr>
          <w:p w14:paraId="338E6B0F"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0.4*</w:t>
            </w:r>
          </w:p>
        </w:tc>
        <w:tc>
          <w:tcPr>
            <w:tcW w:w="4626" w:type="dxa"/>
            <w:tcBorders>
              <w:top w:val="single" w:sz="8" w:space="0" w:color="000000"/>
              <w:left w:val="single" w:sz="8" w:space="0" w:color="000000"/>
              <w:bottom w:val="single" w:sz="8" w:space="0" w:color="000000"/>
              <w:right w:val="single" w:sz="8" w:space="0" w:color="000000"/>
            </w:tcBorders>
            <w:vAlign w:val="center"/>
          </w:tcPr>
          <w:p w14:paraId="79ADEDF2"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medical history inquiry, physical examination, medical treatment, health promotion, medical records,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208E5267" w14:textId="6DBCB4A4"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Hospital information system</w:t>
            </w:r>
            <w:r w:rsidR="00FB7576"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0EFC0C11"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 In accordance with the charging system by registration.</w:t>
            </w:r>
          </w:p>
          <w:p w14:paraId="7667A910"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 One doctor's visit is counted as one visit within one day (0:00 to 24:00).</w:t>
            </w:r>
          </w:p>
        </w:tc>
      </w:tr>
      <w:tr w:rsidR="002E73D7" w:rsidRPr="00AE5F17" w14:paraId="533BAFB8" w14:textId="77777777" w:rsidTr="00626F9B">
        <w:trPr>
          <w:trHeight w:val="852"/>
        </w:trPr>
        <w:tc>
          <w:tcPr>
            <w:tcW w:w="1242" w:type="dxa"/>
            <w:vMerge/>
            <w:tcBorders>
              <w:left w:val="single" w:sz="8" w:space="0" w:color="000000"/>
              <w:right w:val="single" w:sz="8" w:space="0" w:color="000000"/>
            </w:tcBorders>
            <w:vAlign w:val="center"/>
          </w:tcPr>
          <w:p w14:paraId="4AED1880"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04D1B209" w14:textId="55976D01"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Home visits</w:t>
            </w:r>
            <w:r w:rsidR="00FB7576"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bottom w:val="single" w:sz="8" w:space="0" w:color="000000"/>
              <w:right w:val="single" w:sz="8" w:space="0" w:color="000000"/>
            </w:tcBorders>
            <w:vAlign w:val="center"/>
          </w:tcPr>
          <w:p w14:paraId="7BA7AAFA"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3</w:t>
            </w:r>
          </w:p>
        </w:tc>
        <w:tc>
          <w:tcPr>
            <w:tcW w:w="4626" w:type="dxa"/>
            <w:tcBorders>
              <w:top w:val="single" w:sz="8" w:space="0" w:color="000000"/>
              <w:left w:val="single" w:sz="8" w:space="0" w:color="000000"/>
              <w:bottom w:val="single" w:sz="8" w:space="0" w:color="000000"/>
              <w:right w:val="single" w:sz="8" w:space="0" w:color="000000"/>
            </w:tcBorders>
            <w:vAlign w:val="center"/>
          </w:tcPr>
          <w:p w14:paraId="6A57435C" w14:textId="5DD337C1"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To visit the patient's residence to provide relevant medical services. Its requirement is the same as </w:t>
            </w:r>
            <w:r w:rsidR="00901095" w:rsidRPr="00AE5F17">
              <w:rPr>
                <w:rFonts w:ascii="Times New Roman" w:eastAsia="宋体" w:hAnsi="Times New Roman" w:cs="Times New Roman"/>
                <w:color w:val="000000"/>
                <w:sz w:val="20"/>
                <w:szCs w:val="20"/>
              </w:rPr>
              <w:t xml:space="preserve">for </w:t>
            </w:r>
            <w:r w:rsidRPr="00AE5F17">
              <w:rPr>
                <w:rFonts w:ascii="Times New Roman" w:eastAsia="宋体" w:hAnsi="Times New Roman" w:cs="Times New Roman"/>
                <w:color w:val="000000"/>
                <w:sz w:val="20"/>
                <w:szCs w:val="20"/>
              </w:rPr>
              <w:t>outpatient visit.</w:t>
            </w:r>
          </w:p>
        </w:tc>
        <w:tc>
          <w:tcPr>
            <w:tcW w:w="1559" w:type="dxa"/>
            <w:tcBorders>
              <w:top w:val="single" w:sz="8" w:space="0" w:color="000000"/>
              <w:left w:val="single" w:sz="8" w:space="0" w:color="000000"/>
              <w:bottom w:val="single" w:sz="8" w:space="0" w:color="000000"/>
              <w:right w:val="single" w:sz="8" w:space="0" w:color="000000"/>
            </w:tcBorders>
            <w:vAlign w:val="center"/>
          </w:tcPr>
          <w:p w14:paraId="30C01B15"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54DBB55E"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 In accordance with the charging system by home visit fee and family sickbed visit.</w:t>
            </w:r>
          </w:p>
          <w:p w14:paraId="0BC9AE98"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 One doctor's visit is counted as one visit within one day (0:00 to 24:00).</w:t>
            </w:r>
          </w:p>
        </w:tc>
      </w:tr>
      <w:tr w:rsidR="002E73D7" w:rsidRPr="00AE5F17" w14:paraId="6976405D" w14:textId="77777777" w:rsidTr="00626F9B">
        <w:trPr>
          <w:trHeight w:val="852"/>
        </w:trPr>
        <w:tc>
          <w:tcPr>
            <w:tcW w:w="1242" w:type="dxa"/>
            <w:vMerge/>
            <w:tcBorders>
              <w:left w:val="single" w:sz="8" w:space="0" w:color="000000"/>
              <w:right w:val="single" w:sz="8" w:space="0" w:color="000000"/>
            </w:tcBorders>
            <w:vAlign w:val="center"/>
          </w:tcPr>
          <w:p w14:paraId="33D11005"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7660520D" w14:textId="16299DCD"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3.</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Inpatient bed days (per bed day)</w:t>
            </w:r>
          </w:p>
        </w:tc>
        <w:tc>
          <w:tcPr>
            <w:tcW w:w="618" w:type="dxa"/>
            <w:tcBorders>
              <w:top w:val="single" w:sz="8" w:space="0" w:color="000000"/>
              <w:left w:val="single" w:sz="8" w:space="0" w:color="000000"/>
              <w:bottom w:val="single" w:sz="8" w:space="0" w:color="000000"/>
              <w:right w:val="single" w:sz="8" w:space="0" w:color="000000"/>
            </w:tcBorders>
            <w:vAlign w:val="center"/>
          </w:tcPr>
          <w:p w14:paraId="6838AC70"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w:t>
            </w:r>
          </w:p>
        </w:tc>
        <w:tc>
          <w:tcPr>
            <w:tcW w:w="4626" w:type="dxa"/>
            <w:tcBorders>
              <w:top w:val="single" w:sz="8" w:space="0" w:color="000000"/>
              <w:left w:val="single" w:sz="8" w:space="0" w:color="000000"/>
              <w:bottom w:val="single" w:sz="8" w:space="0" w:color="000000"/>
              <w:right w:val="single" w:sz="8" w:space="0" w:color="000000"/>
            </w:tcBorders>
            <w:vAlign w:val="center"/>
          </w:tcPr>
          <w:p w14:paraId="613C3E4B"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disease diagnosis and treatment,</w:t>
            </w:r>
            <w:r w:rsidRPr="00AE5F17">
              <w:rPr>
                <w:rFonts w:ascii="Times New Roman" w:eastAsia="宋体" w:hAnsi="Times New Roman" w:cs="Times New Roman"/>
                <w:sz w:val="20"/>
                <w:szCs w:val="20"/>
              </w:rPr>
              <w:t xml:space="preserve"> medical examination, </w:t>
            </w:r>
            <w:r w:rsidRPr="00AE5F17">
              <w:rPr>
                <w:rFonts w:ascii="Times New Roman" w:eastAsia="宋体" w:hAnsi="Times New Roman" w:cs="Times New Roman"/>
                <w:color w:val="000000"/>
                <w:sz w:val="20"/>
                <w:szCs w:val="20"/>
              </w:rPr>
              <w:t>health promotion, medical records,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5F2EBBE1"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1EEA9183"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 Occupied bed days of the inpatients.</w:t>
            </w:r>
          </w:p>
          <w:p w14:paraId="27DD2236"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 In accordance with the charging system.</w:t>
            </w:r>
          </w:p>
        </w:tc>
      </w:tr>
      <w:tr w:rsidR="002E73D7" w:rsidRPr="00AE5F17" w14:paraId="2A7F1994" w14:textId="77777777" w:rsidTr="00626F9B">
        <w:tc>
          <w:tcPr>
            <w:tcW w:w="1242" w:type="dxa"/>
            <w:vMerge/>
            <w:tcBorders>
              <w:left w:val="single" w:sz="8" w:space="0" w:color="000000"/>
              <w:right w:val="single" w:sz="8" w:space="0" w:color="000000"/>
            </w:tcBorders>
            <w:vAlign w:val="center"/>
          </w:tcPr>
          <w:p w14:paraId="78902C50"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4E00F4EB" w14:textId="63EEFDE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4.</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Family sickbeds (per bed)</w:t>
            </w:r>
          </w:p>
        </w:tc>
        <w:tc>
          <w:tcPr>
            <w:tcW w:w="618" w:type="dxa"/>
            <w:tcBorders>
              <w:top w:val="single" w:sz="8" w:space="0" w:color="000000"/>
              <w:left w:val="single" w:sz="8" w:space="0" w:color="000000"/>
              <w:bottom w:val="single" w:sz="8" w:space="0" w:color="000000"/>
              <w:right w:val="single" w:sz="8" w:space="0" w:color="000000"/>
            </w:tcBorders>
            <w:vAlign w:val="center"/>
          </w:tcPr>
          <w:p w14:paraId="15C0BEF4"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4</w:t>
            </w:r>
          </w:p>
        </w:tc>
        <w:tc>
          <w:tcPr>
            <w:tcW w:w="4626" w:type="dxa"/>
            <w:tcBorders>
              <w:top w:val="single" w:sz="8" w:space="0" w:color="000000"/>
              <w:left w:val="single" w:sz="8" w:space="0" w:color="000000"/>
              <w:bottom w:val="single" w:sz="8" w:space="0" w:color="000000"/>
              <w:right w:val="single" w:sz="8" w:space="0" w:color="000000"/>
            </w:tcBorders>
            <w:vAlign w:val="center"/>
          </w:tcPr>
          <w:p w14:paraId="1E6A597B"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needs assessment, agreement signature, preparations for family sickbed, personalized treatment plan, health promotion, medical records,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70F7780E"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60C5B003"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 In accordance with the charging system.</w:t>
            </w:r>
          </w:p>
          <w:p w14:paraId="1AFE57E8" w14:textId="0B0ECAC5"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2. Counted as one bed </w:t>
            </w:r>
            <w:r w:rsidR="009F6CDF" w:rsidRPr="00AE5F17">
              <w:rPr>
                <w:rFonts w:ascii="Times New Roman" w:eastAsia="宋体" w:hAnsi="Times New Roman" w:cs="Times New Roman"/>
                <w:color w:val="000000"/>
                <w:sz w:val="20"/>
                <w:szCs w:val="20"/>
              </w:rPr>
              <w:t>from admission to discharge</w:t>
            </w:r>
            <w:r w:rsidRPr="00AE5F17">
              <w:rPr>
                <w:rFonts w:ascii="Times New Roman" w:eastAsia="宋体" w:hAnsi="Times New Roman" w:cs="Times New Roman"/>
                <w:color w:val="000000"/>
                <w:sz w:val="20"/>
                <w:szCs w:val="20"/>
              </w:rPr>
              <w:t xml:space="preserve">. </w:t>
            </w:r>
          </w:p>
        </w:tc>
      </w:tr>
      <w:tr w:rsidR="002E73D7" w:rsidRPr="00AE5F17" w14:paraId="63887854" w14:textId="77777777" w:rsidTr="00626F9B">
        <w:tc>
          <w:tcPr>
            <w:tcW w:w="1242" w:type="dxa"/>
            <w:vMerge/>
            <w:tcBorders>
              <w:left w:val="single" w:sz="8" w:space="0" w:color="000000"/>
              <w:right w:val="single" w:sz="8" w:space="0" w:color="000000"/>
            </w:tcBorders>
            <w:vAlign w:val="center"/>
          </w:tcPr>
          <w:p w14:paraId="69050261"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00392540" w14:textId="254FC0C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5.</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Medical referral visits (per service)</w:t>
            </w:r>
          </w:p>
        </w:tc>
        <w:tc>
          <w:tcPr>
            <w:tcW w:w="618" w:type="dxa"/>
            <w:tcBorders>
              <w:top w:val="single" w:sz="8" w:space="0" w:color="000000"/>
              <w:left w:val="single" w:sz="8" w:space="0" w:color="000000"/>
              <w:bottom w:val="single" w:sz="8" w:space="0" w:color="000000"/>
              <w:right w:val="single" w:sz="8" w:space="0" w:color="000000"/>
            </w:tcBorders>
            <w:vAlign w:val="center"/>
          </w:tcPr>
          <w:p w14:paraId="2B56ABD8"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0.8</w:t>
            </w:r>
          </w:p>
        </w:tc>
        <w:tc>
          <w:tcPr>
            <w:tcW w:w="4626" w:type="dxa"/>
            <w:tcBorders>
              <w:top w:val="single" w:sz="8" w:space="0" w:color="000000"/>
              <w:left w:val="single" w:sz="8" w:space="0" w:color="000000"/>
              <w:bottom w:val="single" w:sz="8" w:space="0" w:color="000000"/>
              <w:right w:val="single" w:sz="8" w:space="0" w:color="000000"/>
            </w:tcBorders>
            <w:vAlign w:val="center"/>
          </w:tcPr>
          <w:p w14:paraId="370B3BA9"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refer service upward or downward between hospitals and primary health institutions.</w:t>
            </w:r>
          </w:p>
        </w:tc>
        <w:tc>
          <w:tcPr>
            <w:tcW w:w="1559" w:type="dxa"/>
            <w:tcBorders>
              <w:top w:val="single" w:sz="8" w:space="0" w:color="000000"/>
              <w:left w:val="single" w:sz="8" w:space="0" w:color="000000"/>
              <w:bottom w:val="single" w:sz="8" w:space="0" w:color="000000"/>
              <w:right w:val="single" w:sz="8" w:space="0" w:color="000000"/>
            </w:tcBorders>
            <w:vAlign w:val="center"/>
          </w:tcPr>
          <w:p w14:paraId="44FCA17B"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Medical referral system</w:t>
            </w:r>
          </w:p>
        </w:tc>
        <w:tc>
          <w:tcPr>
            <w:tcW w:w="3866" w:type="dxa"/>
            <w:tcBorders>
              <w:top w:val="single" w:sz="8" w:space="0" w:color="000000"/>
              <w:left w:val="single" w:sz="8" w:space="0" w:color="000000"/>
              <w:bottom w:val="single" w:sz="8" w:space="0" w:color="000000"/>
              <w:right w:val="single" w:sz="8" w:space="0" w:color="000000"/>
            </w:tcBorders>
            <w:vAlign w:val="center"/>
          </w:tcPr>
          <w:p w14:paraId="2ACBB26B"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Completing the whole process.</w:t>
            </w:r>
          </w:p>
        </w:tc>
      </w:tr>
      <w:tr w:rsidR="002E73D7" w:rsidRPr="00AE5F17" w14:paraId="562E9124" w14:textId="77777777" w:rsidTr="00626F9B">
        <w:tc>
          <w:tcPr>
            <w:tcW w:w="1242" w:type="dxa"/>
            <w:vMerge/>
            <w:tcBorders>
              <w:left w:val="single" w:sz="8" w:space="0" w:color="000000"/>
              <w:right w:val="single" w:sz="8" w:space="0" w:color="000000"/>
            </w:tcBorders>
            <w:vAlign w:val="center"/>
          </w:tcPr>
          <w:p w14:paraId="057D16F8"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2AE6E383" w14:textId="7FA49A8A"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6.</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Visits to discharged patients from hospital (per visit)</w:t>
            </w:r>
          </w:p>
        </w:tc>
        <w:tc>
          <w:tcPr>
            <w:tcW w:w="618" w:type="dxa"/>
            <w:tcBorders>
              <w:top w:val="single" w:sz="8" w:space="0" w:color="000000"/>
              <w:left w:val="single" w:sz="8" w:space="0" w:color="000000"/>
              <w:bottom w:val="single" w:sz="8" w:space="0" w:color="000000"/>
              <w:right w:val="single" w:sz="8" w:space="0" w:color="000000"/>
            </w:tcBorders>
            <w:vAlign w:val="center"/>
          </w:tcPr>
          <w:p w14:paraId="76B2F400"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w:t>
            </w:r>
          </w:p>
        </w:tc>
        <w:tc>
          <w:tcPr>
            <w:tcW w:w="4626" w:type="dxa"/>
            <w:tcBorders>
              <w:top w:val="single" w:sz="8" w:space="0" w:color="000000"/>
              <w:left w:val="single" w:sz="8" w:space="0" w:color="000000"/>
              <w:bottom w:val="single" w:sz="8" w:space="0" w:color="000000"/>
              <w:right w:val="single" w:sz="8" w:space="0" w:color="000000"/>
            </w:tcBorders>
            <w:vAlign w:val="center"/>
          </w:tcPr>
          <w:p w14:paraId="4A4794EB"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To provide guidance for rehabilitation, pharmacy practice, nutrition and health behavior, health promotion, etc. </w:t>
            </w:r>
          </w:p>
        </w:tc>
        <w:tc>
          <w:tcPr>
            <w:tcW w:w="1559" w:type="dxa"/>
            <w:tcBorders>
              <w:top w:val="single" w:sz="8" w:space="0" w:color="000000"/>
              <w:left w:val="single" w:sz="8" w:space="0" w:color="000000"/>
              <w:bottom w:val="single" w:sz="8" w:space="0" w:color="000000"/>
              <w:right w:val="single" w:sz="8" w:space="0" w:color="000000"/>
            </w:tcBorders>
            <w:vAlign w:val="center"/>
          </w:tcPr>
          <w:p w14:paraId="3728CB05"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Electronic health record system (EHR)</w:t>
            </w:r>
          </w:p>
        </w:tc>
        <w:tc>
          <w:tcPr>
            <w:tcW w:w="3866" w:type="dxa"/>
            <w:tcBorders>
              <w:top w:val="single" w:sz="8" w:space="0" w:color="000000"/>
              <w:left w:val="single" w:sz="8" w:space="0" w:color="000000"/>
              <w:bottom w:val="single" w:sz="8" w:space="0" w:color="000000"/>
              <w:right w:val="single" w:sz="8" w:space="0" w:color="000000"/>
            </w:tcBorders>
            <w:vAlign w:val="center"/>
          </w:tcPr>
          <w:p w14:paraId="33015BE1"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Calculated as one visit for each discharged patient.</w:t>
            </w:r>
          </w:p>
        </w:tc>
      </w:tr>
      <w:tr w:rsidR="002E73D7" w:rsidRPr="00AE5F17" w14:paraId="66B3DF63" w14:textId="77777777" w:rsidTr="00626F9B">
        <w:trPr>
          <w:trHeight w:val="260"/>
        </w:trPr>
        <w:tc>
          <w:tcPr>
            <w:tcW w:w="1242" w:type="dxa"/>
            <w:vMerge w:val="restart"/>
            <w:tcBorders>
              <w:top w:val="single" w:sz="8" w:space="0" w:color="000000"/>
              <w:left w:val="single" w:sz="8" w:space="0" w:color="000000"/>
              <w:right w:val="single" w:sz="8" w:space="0" w:color="000000"/>
            </w:tcBorders>
            <w:vAlign w:val="center"/>
          </w:tcPr>
          <w:p w14:paraId="5382FA14"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NEPHSP</w:t>
            </w:r>
          </w:p>
        </w:tc>
        <w:tc>
          <w:tcPr>
            <w:tcW w:w="2552" w:type="dxa"/>
            <w:tcBorders>
              <w:top w:val="single" w:sz="8" w:space="0" w:color="000000"/>
              <w:left w:val="single" w:sz="8" w:space="0" w:color="000000"/>
              <w:bottom w:val="single" w:sz="8" w:space="0" w:color="000000"/>
              <w:right w:val="single" w:sz="8" w:space="0" w:color="000000"/>
            </w:tcBorders>
            <w:vAlign w:val="center"/>
          </w:tcPr>
          <w:p w14:paraId="62C0AF99" w14:textId="1974FC70"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7.</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Establishing new health records</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enrolled citizen)</w:t>
            </w:r>
          </w:p>
        </w:tc>
        <w:tc>
          <w:tcPr>
            <w:tcW w:w="618" w:type="dxa"/>
            <w:tcBorders>
              <w:top w:val="single" w:sz="8" w:space="0" w:color="000000"/>
              <w:left w:val="single" w:sz="8" w:space="0" w:color="000000"/>
              <w:bottom w:val="single" w:sz="8" w:space="0" w:color="000000"/>
              <w:right w:val="single" w:sz="8" w:space="0" w:color="000000"/>
            </w:tcBorders>
            <w:vAlign w:val="center"/>
          </w:tcPr>
          <w:p w14:paraId="151D74B9"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3</w:t>
            </w:r>
          </w:p>
        </w:tc>
        <w:tc>
          <w:tcPr>
            <w:tcW w:w="4626" w:type="dxa"/>
            <w:tcBorders>
              <w:top w:val="single" w:sz="8" w:space="0" w:color="000000"/>
              <w:left w:val="single" w:sz="8" w:space="0" w:color="000000"/>
              <w:bottom w:val="single" w:sz="8" w:space="0" w:color="000000"/>
              <w:right w:val="single" w:sz="8" w:space="0" w:color="000000"/>
            </w:tcBorders>
            <w:vAlign w:val="center"/>
          </w:tcPr>
          <w:p w14:paraId="2613A584" w14:textId="5185B15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To set up </w:t>
            </w:r>
            <w:r w:rsidR="00901095" w:rsidRPr="00AE5F17">
              <w:rPr>
                <w:rFonts w:ascii="Times New Roman" w:eastAsia="宋体" w:hAnsi="Times New Roman" w:cs="Times New Roman"/>
                <w:color w:val="000000"/>
                <w:sz w:val="20"/>
                <w:szCs w:val="20"/>
              </w:rPr>
              <w:t xml:space="preserve">EHR </w:t>
            </w:r>
            <w:r w:rsidRPr="00AE5F17">
              <w:rPr>
                <w:rFonts w:ascii="Times New Roman" w:eastAsia="宋体" w:hAnsi="Times New Roman" w:cs="Times New Roman"/>
                <w:color w:val="000000"/>
                <w:sz w:val="20"/>
                <w:szCs w:val="20"/>
              </w:rPr>
              <w:t>including personal basic information, physical examination, public health service records, health evaluation,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5AC1774B"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EHR</w:t>
            </w:r>
          </w:p>
        </w:tc>
        <w:tc>
          <w:tcPr>
            <w:tcW w:w="3866" w:type="dxa"/>
            <w:tcBorders>
              <w:top w:val="single" w:sz="8" w:space="0" w:color="000000"/>
              <w:left w:val="single" w:sz="8" w:space="0" w:color="000000"/>
              <w:bottom w:val="single" w:sz="8" w:space="0" w:color="000000"/>
              <w:right w:val="single" w:sz="8" w:space="0" w:color="000000"/>
            </w:tcBorders>
            <w:vAlign w:val="center"/>
          </w:tcPr>
          <w:p w14:paraId="4B0A56E1"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Calculated according to newly established health records each year.</w:t>
            </w:r>
          </w:p>
        </w:tc>
      </w:tr>
      <w:tr w:rsidR="002E73D7" w:rsidRPr="00AE5F17" w14:paraId="059F46D7" w14:textId="77777777" w:rsidTr="00626F9B">
        <w:trPr>
          <w:trHeight w:val="1558"/>
        </w:trPr>
        <w:tc>
          <w:tcPr>
            <w:tcW w:w="1242" w:type="dxa"/>
            <w:vMerge/>
            <w:tcBorders>
              <w:left w:val="single" w:sz="8" w:space="0" w:color="000000"/>
              <w:right w:val="single" w:sz="8" w:space="0" w:color="000000"/>
            </w:tcBorders>
            <w:vAlign w:val="center"/>
          </w:tcPr>
          <w:p w14:paraId="1D8DB727"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60B81301" w14:textId="36D54F64"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8.</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Updating health records (per enrolled citizen)</w:t>
            </w:r>
          </w:p>
        </w:tc>
        <w:tc>
          <w:tcPr>
            <w:tcW w:w="618" w:type="dxa"/>
            <w:tcBorders>
              <w:top w:val="single" w:sz="8" w:space="0" w:color="000000"/>
              <w:left w:val="single" w:sz="8" w:space="0" w:color="000000"/>
              <w:bottom w:val="single" w:sz="8" w:space="0" w:color="000000"/>
              <w:right w:val="single" w:sz="8" w:space="0" w:color="000000"/>
            </w:tcBorders>
            <w:vAlign w:val="center"/>
          </w:tcPr>
          <w:p w14:paraId="10BE0447"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0.2</w:t>
            </w:r>
          </w:p>
        </w:tc>
        <w:tc>
          <w:tcPr>
            <w:tcW w:w="4626" w:type="dxa"/>
            <w:tcBorders>
              <w:top w:val="single" w:sz="8" w:space="0" w:color="000000"/>
              <w:left w:val="single" w:sz="8" w:space="0" w:color="000000"/>
              <w:bottom w:val="single" w:sz="8" w:space="0" w:color="000000"/>
              <w:right w:val="single" w:sz="8" w:space="0" w:color="000000"/>
            </w:tcBorders>
            <w:vAlign w:val="center"/>
          </w:tcPr>
          <w:p w14:paraId="64B6D562"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dynamically update health records according to the requirements.</w:t>
            </w:r>
          </w:p>
        </w:tc>
        <w:tc>
          <w:tcPr>
            <w:tcW w:w="1559" w:type="dxa"/>
            <w:tcBorders>
              <w:top w:val="single" w:sz="8" w:space="0" w:color="000000"/>
              <w:left w:val="single" w:sz="8" w:space="0" w:color="000000"/>
              <w:bottom w:val="single" w:sz="8" w:space="0" w:color="000000"/>
              <w:right w:val="single" w:sz="8" w:space="0" w:color="000000"/>
            </w:tcBorders>
            <w:vAlign w:val="center"/>
          </w:tcPr>
          <w:p w14:paraId="5524F647"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EHR</w:t>
            </w:r>
          </w:p>
        </w:tc>
        <w:tc>
          <w:tcPr>
            <w:tcW w:w="3866" w:type="dxa"/>
            <w:tcBorders>
              <w:top w:val="single" w:sz="8" w:space="0" w:color="000000"/>
              <w:left w:val="single" w:sz="8" w:space="0" w:color="000000"/>
              <w:bottom w:val="single" w:sz="8" w:space="0" w:color="000000"/>
              <w:right w:val="single" w:sz="8" w:space="0" w:color="000000"/>
            </w:tcBorders>
            <w:vAlign w:val="center"/>
          </w:tcPr>
          <w:p w14:paraId="0608EE4B"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Those unqualified health records should be eliminated. </w:t>
            </w:r>
          </w:p>
          <w:p w14:paraId="1FAA6753"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 Wrong ID number.</w:t>
            </w:r>
          </w:p>
          <w:p w14:paraId="674A97D8"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 Blank or incorrect entries ≥2 in personal basic information.</w:t>
            </w:r>
          </w:p>
          <w:p w14:paraId="33B01841"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3. Blank or incorrect entries ≥3 or lack of health evaluation in physical examination.</w:t>
            </w:r>
          </w:p>
        </w:tc>
      </w:tr>
      <w:tr w:rsidR="002E73D7" w:rsidRPr="00AE5F17" w14:paraId="0F7BCFEB" w14:textId="77777777" w:rsidTr="00626F9B">
        <w:trPr>
          <w:trHeight w:val="1269"/>
        </w:trPr>
        <w:tc>
          <w:tcPr>
            <w:tcW w:w="1242" w:type="dxa"/>
            <w:vMerge/>
            <w:tcBorders>
              <w:left w:val="single" w:sz="8" w:space="0" w:color="000000"/>
              <w:right w:val="single" w:sz="8" w:space="0" w:color="000000"/>
            </w:tcBorders>
            <w:vAlign w:val="center"/>
          </w:tcPr>
          <w:p w14:paraId="4A6D55AF"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5F7D0186" w14:textId="30536E32"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9.</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Immunization (per inoculation)</w:t>
            </w:r>
          </w:p>
        </w:tc>
        <w:tc>
          <w:tcPr>
            <w:tcW w:w="618" w:type="dxa"/>
            <w:tcBorders>
              <w:top w:val="single" w:sz="8" w:space="0" w:color="000000"/>
              <w:left w:val="single" w:sz="8" w:space="0" w:color="000000"/>
              <w:bottom w:val="single" w:sz="8" w:space="0" w:color="000000"/>
              <w:right w:val="single" w:sz="8" w:space="0" w:color="000000"/>
            </w:tcBorders>
            <w:vAlign w:val="center"/>
          </w:tcPr>
          <w:p w14:paraId="59B0618C"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1.5</w:t>
            </w:r>
          </w:p>
        </w:tc>
        <w:tc>
          <w:tcPr>
            <w:tcW w:w="4626" w:type="dxa"/>
            <w:tcBorders>
              <w:top w:val="single" w:sz="8" w:space="0" w:color="000000"/>
              <w:left w:val="single" w:sz="8" w:space="0" w:color="000000"/>
              <w:bottom w:val="single" w:sz="8" w:space="0" w:color="000000"/>
              <w:right w:val="single" w:sz="8" w:space="0" w:color="000000"/>
            </w:tcBorders>
            <w:vAlign w:val="center"/>
          </w:tcPr>
          <w:p w14:paraId="5E9B18F7" w14:textId="3D5EAAEE"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inform children for vaccination, pre-inspect, register, vaccinate, observ</w:t>
            </w:r>
            <w:r w:rsidR="0021114D" w:rsidRPr="00AE5F17">
              <w:rPr>
                <w:rFonts w:ascii="Times New Roman" w:eastAsia="宋体" w:hAnsi="Times New Roman" w:cs="Times New Roman"/>
                <w:color w:val="000000"/>
                <w:sz w:val="20"/>
                <w:szCs w:val="20"/>
              </w:rPr>
              <w:t>ation,</w:t>
            </w:r>
            <w:r w:rsidRPr="00AE5F17">
              <w:rPr>
                <w:rFonts w:ascii="Times New Roman" w:eastAsia="宋体" w:hAnsi="Times New Roman" w:cs="Times New Roman"/>
                <w:color w:val="000000"/>
                <w:sz w:val="20"/>
                <w:szCs w:val="20"/>
              </w:rPr>
              <w:t xml:space="preserve"> and management service such as statistical analysis, under-reporting investigation, abnormal vaccination reaction treatment,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7F19A527"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EHR</w:t>
            </w:r>
          </w:p>
        </w:tc>
        <w:tc>
          <w:tcPr>
            <w:tcW w:w="3866" w:type="dxa"/>
            <w:tcBorders>
              <w:top w:val="single" w:sz="8" w:space="0" w:color="000000"/>
              <w:left w:val="single" w:sz="8" w:space="0" w:color="000000"/>
              <w:bottom w:val="single" w:sz="8" w:space="0" w:color="000000"/>
              <w:right w:val="single" w:sz="8" w:space="0" w:color="000000"/>
            </w:tcBorders>
            <w:vAlign w:val="center"/>
          </w:tcPr>
          <w:p w14:paraId="15E1B8D0"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The inoculated children aged 0-7 for planned vaccination. </w:t>
            </w:r>
          </w:p>
        </w:tc>
      </w:tr>
      <w:tr w:rsidR="002E73D7" w:rsidRPr="00AE5F17" w14:paraId="43EC4970" w14:textId="77777777" w:rsidTr="00626F9B">
        <w:trPr>
          <w:trHeight w:val="90"/>
        </w:trPr>
        <w:tc>
          <w:tcPr>
            <w:tcW w:w="1242" w:type="dxa"/>
            <w:vMerge/>
            <w:tcBorders>
              <w:left w:val="single" w:sz="8" w:space="0" w:color="000000"/>
              <w:right w:val="single" w:sz="8" w:space="0" w:color="000000"/>
            </w:tcBorders>
            <w:vAlign w:val="center"/>
          </w:tcPr>
          <w:p w14:paraId="1BE4215F"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19E0F96E" w14:textId="2F9306F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10.</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Establishing vaccination certificate</w:t>
            </w:r>
            <w:r w:rsidR="0021114D" w:rsidRPr="00AE5F17">
              <w:rPr>
                <w:rFonts w:ascii="Times New Roman" w:eastAsia="宋体" w:hAnsi="Times New Roman" w:cs="Times New Roman"/>
                <w:color w:val="000000"/>
                <w:sz w:val="20"/>
                <w:szCs w:val="20"/>
              </w:rPr>
              <w:t>s</w:t>
            </w:r>
            <w:r w:rsidRPr="00AE5F17">
              <w:rPr>
                <w:rFonts w:ascii="Times New Roman" w:eastAsia="宋体" w:hAnsi="Times New Roman" w:cs="Times New Roman"/>
                <w:color w:val="000000"/>
                <w:sz w:val="20"/>
                <w:szCs w:val="20"/>
              </w:rPr>
              <w:t xml:space="preserve"> (per child aged 0-6 years)</w:t>
            </w:r>
          </w:p>
        </w:tc>
        <w:tc>
          <w:tcPr>
            <w:tcW w:w="618" w:type="dxa"/>
            <w:tcBorders>
              <w:top w:val="single" w:sz="8" w:space="0" w:color="000000"/>
              <w:left w:val="single" w:sz="8" w:space="0" w:color="000000"/>
              <w:bottom w:val="single" w:sz="8" w:space="0" w:color="000000"/>
              <w:right w:val="single" w:sz="8" w:space="0" w:color="000000"/>
            </w:tcBorders>
            <w:vAlign w:val="center"/>
          </w:tcPr>
          <w:p w14:paraId="66CDA21D"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0.5</w:t>
            </w:r>
          </w:p>
        </w:tc>
        <w:tc>
          <w:tcPr>
            <w:tcW w:w="4626" w:type="dxa"/>
            <w:tcBorders>
              <w:top w:val="single" w:sz="8" w:space="0" w:color="000000"/>
              <w:left w:val="single" w:sz="8" w:space="0" w:color="000000"/>
              <w:bottom w:val="single" w:sz="8" w:space="0" w:color="000000"/>
              <w:right w:val="single" w:sz="8" w:space="0" w:color="000000"/>
            </w:tcBorders>
            <w:vAlign w:val="center"/>
          </w:tcPr>
          <w:p w14:paraId="79D1125E" w14:textId="73D0373D"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establish vaccination certificate</w:t>
            </w:r>
            <w:r w:rsidR="0021114D" w:rsidRPr="00AE5F17">
              <w:rPr>
                <w:rFonts w:ascii="Times New Roman" w:eastAsia="宋体" w:hAnsi="Times New Roman" w:cs="Times New Roman"/>
                <w:color w:val="000000"/>
                <w:sz w:val="20"/>
                <w:szCs w:val="20"/>
              </w:rPr>
              <w:t>s</w:t>
            </w:r>
            <w:r w:rsidRPr="00AE5F17">
              <w:rPr>
                <w:rFonts w:ascii="Times New Roman" w:eastAsia="宋体" w:hAnsi="Times New Roman" w:cs="Times New Roman"/>
                <w:color w:val="000000"/>
                <w:sz w:val="20"/>
                <w:szCs w:val="20"/>
              </w:rPr>
              <w:t xml:space="preserve"> for children aged 0-6 years old who have lived in the district for more than 6 months, and checking them every </w:t>
            </w:r>
            <w:r w:rsidR="0021114D" w:rsidRPr="00AE5F17">
              <w:rPr>
                <w:rFonts w:ascii="Times New Roman" w:eastAsia="宋体" w:hAnsi="Times New Roman" w:cs="Times New Roman"/>
                <w:color w:val="000000"/>
                <w:sz w:val="20"/>
                <w:szCs w:val="20"/>
              </w:rPr>
              <w:t>6</w:t>
            </w:r>
            <w:r w:rsidRPr="00AE5F17">
              <w:rPr>
                <w:rFonts w:ascii="Times New Roman" w:eastAsia="宋体" w:hAnsi="Times New Roman" w:cs="Times New Roman"/>
                <w:color w:val="000000"/>
                <w:sz w:val="20"/>
                <w:szCs w:val="20"/>
              </w:rPr>
              <w:t xml:space="preserve"> months.</w:t>
            </w:r>
          </w:p>
        </w:tc>
        <w:tc>
          <w:tcPr>
            <w:tcW w:w="1559" w:type="dxa"/>
            <w:tcBorders>
              <w:top w:val="single" w:sz="8" w:space="0" w:color="000000"/>
              <w:left w:val="single" w:sz="8" w:space="0" w:color="000000"/>
              <w:bottom w:val="single" w:sz="8" w:space="0" w:color="000000"/>
              <w:right w:val="single" w:sz="8" w:space="0" w:color="000000"/>
            </w:tcBorders>
            <w:vAlign w:val="center"/>
          </w:tcPr>
          <w:p w14:paraId="64BA8633"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Vaccination management system</w:t>
            </w:r>
          </w:p>
        </w:tc>
        <w:tc>
          <w:tcPr>
            <w:tcW w:w="3866" w:type="dxa"/>
            <w:tcBorders>
              <w:top w:val="single" w:sz="8" w:space="0" w:color="000000"/>
              <w:left w:val="single" w:sz="8" w:space="0" w:color="000000"/>
              <w:bottom w:val="single" w:sz="8" w:space="0" w:color="000000"/>
              <w:right w:val="single" w:sz="8" w:space="0" w:color="000000"/>
            </w:tcBorders>
            <w:vAlign w:val="center"/>
          </w:tcPr>
          <w:p w14:paraId="62BB3BA6"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Newly established vaccination certificate.</w:t>
            </w:r>
          </w:p>
        </w:tc>
      </w:tr>
      <w:tr w:rsidR="002E73D7" w:rsidRPr="00AE5F17" w14:paraId="2BE8FA3F" w14:textId="77777777" w:rsidTr="00626F9B">
        <w:tc>
          <w:tcPr>
            <w:tcW w:w="1242" w:type="dxa"/>
            <w:vMerge/>
            <w:tcBorders>
              <w:left w:val="single" w:sz="8" w:space="0" w:color="000000"/>
              <w:right w:val="single" w:sz="8" w:space="0" w:color="000000"/>
            </w:tcBorders>
            <w:vAlign w:val="center"/>
          </w:tcPr>
          <w:p w14:paraId="5ACA2A5F"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18C872CE" w14:textId="0EC01600"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11.</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Home visits to newborn infants (per visit)</w:t>
            </w:r>
          </w:p>
        </w:tc>
        <w:tc>
          <w:tcPr>
            <w:tcW w:w="618" w:type="dxa"/>
            <w:tcBorders>
              <w:top w:val="single" w:sz="8" w:space="0" w:color="000000"/>
              <w:left w:val="single" w:sz="8" w:space="0" w:color="000000"/>
              <w:bottom w:val="single" w:sz="8" w:space="0" w:color="000000"/>
              <w:right w:val="single" w:sz="8" w:space="0" w:color="000000"/>
            </w:tcBorders>
            <w:vAlign w:val="center"/>
          </w:tcPr>
          <w:p w14:paraId="5CE8F8B7"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3</w:t>
            </w:r>
          </w:p>
        </w:tc>
        <w:tc>
          <w:tcPr>
            <w:tcW w:w="4626" w:type="dxa"/>
            <w:tcBorders>
              <w:top w:val="single" w:sz="8" w:space="0" w:color="000000"/>
              <w:left w:val="single" w:sz="8" w:space="0" w:color="000000"/>
              <w:bottom w:val="single" w:sz="8" w:space="0" w:color="000000"/>
              <w:right w:val="single" w:sz="8" w:space="0" w:color="000000"/>
            </w:tcBorders>
            <w:vAlign w:val="center"/>
          </w:tcPr>
          <w:p w14:paraId="709A60F0"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inquiry of neonatal birth condition, vaccination, newborn disease screening, feeding, sleeping, urine and feces, jaundice, umbilical cord, etc. To provide temperature measurement, cardiopulmonary auscultation, abdominal palpation and other examinations, health guidance, health record entry,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6D85DCEF" w14:textId="41A40074"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Maternal and child health information system</w:t>
            </w:r>
            <w:r w:rsidR="0021114D"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43799F81"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In accordance with the newborn visit records.</w:t>
            </w:r>
          </w:p>
        </w:tc>
      </w:tr>
      <w:tr w:rsidR="002E73D7" w:rsidRPr="00AE5F17" w14:paraId="719D8E67" w14:textId="77777777" w:rsidTr="00626F9B">
        <w:tc>
          <w:tcPr>
            <w:tcW w:w="1242" w:type="dxa"/>
            <w:vMerge w:val="restart"/>
            <w:tcBorders>
              <w:left w:val="single" w:sz="8" w:space="0" w:color="000000"/>
              <w:right w:val="single" w:sz="8" w:space="0" w:color="000000"/>
            </w:tcBorders>
            <w:vAlign w:val="center"/>
          </w:tcPr>
          <w:p w14:paraId="23D50952"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r w:rsidRPr="00AE5F17">
              <w:rPr>
                <w:rFonts w:ascii="Times New Roman" w:eastAsia="宋体" w:hAnsi="Times New Roman" w:cs="Times New Roman"/>
                <w:color w:val="000000"/>
                <w:sz w:val="20"/>
                <w:szCs w:val="20"/>
              </w:rPr>
              <w:t>NEPHSP</w:t>
            </w:r>
          </w:p>
        </w:tc>
        <w:tc>
          <w:tcPr>
            <w:tcW w:w="2552" w:type="dxa"/>
            <w:tcBorders>
              <w:top w:val="single" w:sz="8" w:space="0" w:color="000000"/>
              <w:left w:val="single" w:sz="8" w:space="0" w:color="000000"/>
              <w:bottom w:val="single" w:sz="8" w:space="0" w:color="000000"/>
              <w:right w:val="single" w:sz="8" w:space="0" w:color="000000"/>
            </w:tcBorders>
            <w:vAlign w:val="center"/>
          </w:tcPr>
          <w:p w14:paraId="3ED35EBD" w14:textId="7A18B871"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12.</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Establishing newborn health care booklet (per enrolled baby)</w:t>
            </w:r>
          </w:p>
        </w:tc>
        <w:tc>
          <w:tcPr>
            <w:tcW w:w="618" w:type="dxa"/>
            <w:tcBorders>
              <w:top w:val="single" w:sz="8" w:space="0" w:color="000000"/>
              <w:left w:val="single" w:sz="8" w:space="0" w:color="000000"/>
              <w:bottom w:val="single" w:sz="8" w:space="0" w:color="000000"/>
              <w:right w:val="single" w:sz="8" w:space="0" w:color="000000"/>
            </w:tcBorders>
            <w:vAlign w:val="center"/>
          </w:tcPr>
          <w:p w14:paraId="4DE64B3B"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0.5</w:t>
            </w:r>
          </w:p>
        </w:tc>
        <w:tc>
          <w:tcPr>
            <w:tcW w:w="4626" w:type="dxa"/>
            <w:tcBorders>
              <w:top w:val="single" w:sz="8" w:space="0" w:color="000000"/>
              <w:left w:val="single" w:sz="8" w:space="0" w:color="000000"/>
              <w:bottom w:val="single" w:sz="8" w:space="0" w:color="000000"/>
              <w:right w:val="single" w:sz="8" w:space="0" w:color="000000"/>
            </w:tcBorders>
            <w:vAlign w:val="center"/>
          </w:tcPr>
          <w:p w14:paraId="16E0F6B8" w14:textId="110CCE5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To establish </w:t>
            </w:r>
            <w:r w:rsidR="0021114D" w:rsidRPr="00AE5F17">
              <w:rPr>
                <w:rFonts w:ascii="Times New Roman" w:eastAsia="宋体" w:hAnsi="Times New Roman" w:cs="Times New Roman"/>
                <w:color w:val="000000"/>
                <w:sz w:val="20"/>
                <w:szCs w:val="20"/>
              </w:rPr>
              <w:t xml:space="preserve">a </w:t>
            </w:r>
            <w:r w:rsidRPr="00AE5F17">
              <w:rPr>
                <w:rFonts w:ascii="Times New Roman" w:eastAsia="宋体" w:hAnsi="Times New Roman" w:cs="Times New Roman"/>
                <w:color w:val="000000"/>
                <w:sz w:val="20"/>
                <w:szCs w:val="20"/>
              </w:rPr>
              <w:t>booklet including consultation, physical examination, development evaluation, health guidance, health record entry,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4F65B3FB" w14:textId="77777777" w:rsidR="002E73D7" w:rsidRPr="00AE5F17" w:rsidRDefault="002E73D7" w:rsidP="002E73D7">
            <w:pPr>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0BB6746F"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In accordance with the newborn visit records.</w:t>
            </w:r>
          </w:p>
        </w:tc>
      </w:tr>
      <w:tr w:rsidR="002E73D7" w:rsidRPr="00AE5F17" w14:paraId="6A2E72FB" w14:textId="77777777" w:rsidTr="00626F9B">
        <w:trPr>
          <w:trHeight w:val="1285"/>
        </w:trPr>
        <w:tc>
          <w:tcPr>
            <w:tcW w:w="1242" w:type="dxa"/>
            <w:vMerge/>
            <w:tcBorders>
              <w:left w:val="single" w:sz="8" w:space="0" w:color="000000"/>
              <w:right w:val="single" w:sz="8" w:space="0" w:color="000000"/>
            </w:tcBorders>
            <w:vAlign w:val="center"/>
          </w:tcPr>
          <w:p w14:paraId="446CFB94"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right w:val="single" w:sz="8" w:space="0" w:color="000000"/>
            </w:tcBorders>
            <w:vAlign w:val="center"/>
          </w:tcPr>
          <w:p w14:paraId="23FC47D7" w14:textId="49D96F92"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13.</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Health management of children aged 0-3</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right w:val="single" w:sz="8" w:space="0" w:color="000000"/>
            </w:tcBorders>
            <w:vAlign w:val="center"/>
          </w:tcPr>
          <w:p w14:paraId="205CCC3D"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2.5</w:t>
            </w:r>
          </w:p>
        </w:tc>
        <w:tc>
          <w:tcPr>
            <w:tcW w:w="4626" w:type="dxa"/>
            <w:tcBorders>
              <w:top w:val="single" w:sz="8" w:space="0" w:color="000000"/>
              <w:left w:val="single" w:sz="8" w:space="0" w:color="000000"/>
              <w:right w:val="single" w:sz="8" w:space="0" w:color="000000"/>
            </w:tcBorders>
            <w:vAlign w:val="center"/>
          </w:tcPr>
          <w:p w14:paraId="2313FE6D" w14:textId="46B9AA38"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eight physical examinations and developmental assessment at 3, 6, 8, 12, 18, 24, 30</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36 months old by inquiring about feeding and illness.</w:t>
            </w:r>
            <w:r w:rsidRPr="00AE5F17">
              <w:rPr>
                <w:rFonts w:ascii="Times New Roman" w:eastAsia="宋体" w:hAnsi="Times New Roman" w:cs="Times New Roman"/>
                <w:sz w:val="20"/>
                <w:szCs w:val="20"/>
              </w:rPr>
              <w:t xml:space="preserve"> To provide</w:t>
            </w:r>
            <w:r w:rsidRPr="00AE5F17">
              <w:rPr>
                <w:rFonts w:ascii="Times New Roman" w:eastAsia="宋体" w:hAnsi="Times New Roman" w:cs="Times New Roman"/>
                <w:color w:val="000000"/>
                <w:sz w:val="20"/>
                <w:szCs w:val="20"/>
              </w:rPr>
              <w:t xml:space="preserve"> routine </w:t>
            </w:r>
            <w:r w:rsidR="0021114D" w:rsidRPr="00AE5F17">
              <w:rPr>
                <w:rFonts w:ascii="Times New Roman" w:eastAsia="宋体" w:hAnsi="Times New Roman" w:cs="Times New Roman"/>
                <w:color w:val="000000"/>
                <w:sz w:val="20"/>
                <w:szCs w:val="20"/>
              </w:rPr>
              <w:t xml:space="preserve">blood </w:t>
            </w:r>
            <w:r w:rsidRPr="00AE5F17">
              <w:rPr>
                <w:rFonts w:ascii="Times New Roman" w:eastAsia="宋体" w:hAnsi="Times New Roman" w:cs="Times New Roman"/>
                <w:color w:val="000000"/>
                <w:sz w:val="20"/>
                <w:szCs w:val="20"/>
              </w:rPr>
              <w:t>tests at 6-8, 18</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30 months old.</w:t>
            </w:r>
            <w:r w:rsidRPr="00AE5F17">
              <w:rPr>
                <w:rFonts w:ascii="Times New Roman" w:eastAsia="宋体" w:hAnsi="Times New Roman" w:cs="Times New Roman"/>
                <w:sz w:val="20"/>
                <w:szCs w:val="20"/>
              </w:rPr>
              <w:t xml:space="preserve"> To provide h</w:t>
            </w:r>
            <w:r w:rsidRPr="00AE5F17">
              <w:rPr>
                <w:rFonts w:ascii="Times New Roman" w:eastAsia="宋体" w:hAnsi="Times New Roman" w:cs="Times New Roman"/>
                <w:color w:val="000000"/>
                <w:sz w:val="20"/>
                <w:szCs w:val="20"/>
              </w:rPr>
              <w:t>earing screening at 6, 12, 24</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36 months old.</w:t>
            </w:r>
          </w:p>
        </w:tc>
        <w:tc>
          <w:tcPr>
            <w:tcW w:w="1559" w:type="dxa"/>
            <w:tcBorders>
              <w:top w:val="single" w:sz="8" w:space="0" w:color="000000"/>
              <w:left w:val="single" w:sz="8" w:space="0" w:color="000000"/>
              <w:right w:val="single" w:sz="8" w:space="0" w:color="000000"/>
            </w:tcBorders>
            <w:vAlign w:val="center"/>
          </w:tcPr>
          <w:p w14:paraId="51147343" w14:textId="77777777" w:rsidR="002E73D7" w:rsidRPr="00AE5F17" w:rsidRDefault="002E73D7" w:rsidP="002E73D7">
            <w:pPr>
              <w:jc w:val="center"/>
              <w:rPr>
                <w:rFonts w:ascii="Times New Roman" w:eastAsia="宋体" w:hAnsi="Times New Roman" w:cs="Times New Roman"/>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right w:val="single" w:sz="8" w:space="0" w:color="000000"/>
            </w:tcBorders>
            <w:vAlign w:val="center"/>
          </w:tcPr>
          <w:p w14:paraId="1896BF1D"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health examination records of children aged 0-3. The cap of visits for group aged 0-1, 1-2 and 2-3 is four, two and one respectively.</w:t>
            </w:r>
          </w:p>
        </w:tc>
      </w:tr>
      <w:tr w:rsidR="002E73D7" w:rsidRPr="00AE5F17" w14:paraId="6E321EEF" w14:textId="77777777" w:rsidTr="00626F9B">
        <w:trPr>
          <w:trHeight w:val="720"/>
        </w:trPr>
        <w:tc>
          <w:tcPr>
            <w:tcW w:w="1242" w:type="dxa"/>
            <w:vMerge/>
            <w:tcBorders>
              <w:left w:val="single" w:sz="8" w:space="0" w:color="000000"/>
              <w:right w:val="single" w:sz="8" w:space="0" w:color="000000"/>
            </w:tcBorders>
            <w:vAlign w:val="center"/>
          </w:tcPr>
          <w:p w14:paraId="12FDF0E9"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330FD970" w14:textId="70D9F081"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14.</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Health management of children aged 4-6</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bottom w:val="single" w:sz="8" w:space="0" w:color="000000"/>
              <w:right w:val="single" w:sz="8" w:space="0" w:color="000000"/>
            </w:tcBorders>
            <w:vAlign w:val="center"/>
          </w:tcPr>
          <w:p w14:paraId="02155969"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w:t>
            </w:r>
          </w:p>
        </w:tc>
        <w:tc>
          <w:tcPr>
            <w:tcW w:w="4626" w:type="dxa"/>
            <w:tcBorders>
              <w:top w:val="single" w:sz="8" w:space="0" w:color="000000"/>
              <w:left w:val="single" w:sz="8" w:space="0" w:color="000000"/>
              <w:bottom w:val="single" w:sz="8" w:space="0" w:color="000000"/>
              <w:right w:val="single" w:sz="8" w:space="0" w:color="000000"/>
            </w:tcBorders>
            <w:vAlign w:val="center"/>
          </w:tcPr>
          <w:p w14:paraId="0813BBB5"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To provide management once a year including inquiry about diet, illness, physical examination, blood routine examination, visual screening and development assessment, health guidance, etc. </w:t>
            </w:r>
          </w:p>
        </w:tc>
        <w:tc>
          <w:tcPr>
            <w:tcW w:w="1559" w:type="dxa"/>
            <w:tcBorders>
              <w:top w:val="single" w:sz="8" w:space="0" w:color="000000"/>
              <w:left w:val="single" w:sz="8" w:space="0" w:color="000000"/>
              <w:bottom w:val="single" w:sz="8" w:space="0" w:color="000000"/>
              <w:right w:val="single" w:sz="8" w:space="0" w:color="000000"/>
            </w:tcBorders>
            <w:vAlign w:val="center"/>
          </w:tcPr>
          <w:p w14:paraId="7814C8D3" w14:textId="77777777" w:rsidR="002E73D7" w:rsidRPr="00AE5F17" w:rsidRDefault="002E73D7" w:rsidP="002E73D7">
            <w:pPr>
              <w:jc w:val="center"/>
              <w:rPr>
                <w:rFonts w:ascii="Times New Roman" w:eastAsia="宋体" w:hAnsi="Times New Roman" w:cs="Times New Roman"/>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50692EB8"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statistics of the health examination records of children aged 4-6. The cap is one time per year.</w:t>
            </w:r>
          </w:p>
        </w:tc>
      </w:tr>
      <w:tr w:rsidR="002E73D7" w:rsidRPr="00AE5F17" w14:paraId="1231409C" w14:textId="77777777" w:rsidTr="00626F9B">
        <w:trPr>
          <w:trHeight w:val="717"/>
        </w:trPr>
        <w:tc>
          <w:tcPr>
            <w:tcW w:w="1242" w:type="dxa"/>
            <w:vMerge/>
            <w:tcBorders>
              <w:left w:val="single" w:sz="8" w:space="0" w:color="000000"/>
              <w:right w:val="single" w:sz="8" w:space="0" w:color="000000"/>
            </w:tcBorders>
            <w:vAlign w:val="center"/>
          </w:tcPr>
          <w:p w14:paraId="13D9ABB7"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209D4CBF" w14:textId="73EC7973"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15.</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Management of high-risk infants and children with nutritional diseases (per visit)</w:t>
            </w:r>
          </w:p>
        </w:tc>
        <w:tc>
          <w:tcPr>
            <w:tcW w:w="618" w:type="dxa"/>
            <w:tcBorders>
              <w:top w:val="single" w:sz="8" w:space="0" w:color="000000"/>
              <w:left w:val="single" w:sz="8" w:space="0" w:color="000000"/>
              <w:bottom w:val="single" w:sz="8" w:space="0" w:color="000000"/>
              <w:right w:val="single" w:sz="8" w:space="0" w:color="000000"/>
            </w:tcBorders>
            <w:vAlign w:val="center"/>
          </w:tcPr>
          <w:p w14:paraId="4D95F6E1"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w:t>
            </w:r>
          </w:p>
        </w:tc>
        <w:tc>
          <w:tcPr>
            <w:tcW w:w="4626" w:type="dxa"/>
            <w:tcBorders>
              <w:top w:val="single" w:sz="8" w:space="0" w:color="000000"/>
              <w:left w:val="single" w:sz="8" w:space="0" w:color="000000"/>
              <w:bottom w:val="single" w:sz="8" w:space="0" w:color="000000"/>
              <w:right w:val="single" w:sz="8" w:space="0" w:color="000000"/>
            </w:tcBorders>
            <w:vAlign w:val="center"/>
          </w:tcPr>
          <w:p w14:paraId="0D2CF81F"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screen out high-risk infants and children with nutritional diseases, increase the number of follow-up visits, give targeted interventions and guidance, transfer to higher institutions when necessary, evaluate cases when growth and development are normal, symptoms and signs are reduced or disappeared.</w:t>
            </w:r>
          </w:p>
        </w:tc>
        <w:tc>
          <w:tcPr>
            <w:tcW w:w="1559" w:type="dxa"/>
            <w:tcBorders>
              <w:top w:val="single" w:sz="8" w:space="0" w:color="000000"/>
              <w:left w:val="single" w:sz="8" w:space="0" w:color="000000"/>
              <w:bottom w:val="single" w:sz="8" w:space="0" w:color="000000"/>
              <w:right w:val="single" w:sz="8" w:space="0" w:color="000000"/>
            </w:tcBorders>
            <w:vAlign w:val="center"/>
          </w:tcPr>
          <w:p w14:paraId="113783B3" w14:textId="77777777" w:rsidR="002E73D7" w:rsidRPr="00AE5F17" w:rsidRDefault="002E73D7" w:rsidP="002E73D7">
            <w:pPr>
              <w:jc w:val="center"/>
              <w:rPr>
                <w:rFonts w:ascii="Times New Roman" w:eastAsia="宋体" w:hAnsi="Times New Roman" w:cs="Times New Roman"/>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19C4139D"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follow-up management records of high-risk children with nutritional diseases.</w:t>
            </w:r>
          </w:p>
        </w:tc>
      </w:tr>
      <w:tr w:rsidR="002E73D7" w:rsidRPr="00AE5F17" w14:paraId="6C38AD3D" w14:textId="77777777" w:rsidTr="00626F9B">
        <w:trPr>
          <w:trHeight w:val="1136"/>
        </w:trPr>
        <w:tc>
          <w:tcPr>
            <w:tcW w:w="1242" w:type="dxa"/>
            <w:vMerge w:val="restart"/>
            <w:tcBorders>
              <w:left w:val="single" w:sz="8" w:space="0" w:color="000000"/>
              <w:right w:val="single" w:sz="8" w:space="0" w:color="000000"/>
            </w:tcBorders>
            <w:vAlign w:val="center"/>
          </w:tcPr>
          <w:p w14:paraId="06885A98"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r w:rsidRPr="00AE5F17">
              <w:rPr>
                <w:rFonts w:ascii="Times New Roman" w:eastAsia="宋体" w:hAnsi="Times New Roman" w:cs="Times New Roman"/>
                <w:color w:val="000000"/>
                <w:sz w:val="20"/>
                <w:szCs w:val="20"/>
              </w:rPr>
              <w:lastRenderedPageBreak/>
              <w:t>NEPHSP</w:t>
            </w:r>
          </w:p>
        </w:tc>
        <w:tc>
          <w:tcPr>
            <w:tcW w:w="2552" w:type="dxa"/>
            <w:tcBorders>
              <w:top w:val="single" w:sz="8" w:space="0" w:color="000000"/>
              <w:left w:val="single" w:sz="8" w:space="0" w:color="000000"/>
              <w:bottom w:val="single" w:sz="8" w:space="0" w:color="000000"/>
              <w:right w:val="single" w:sz="8" w:space="0" w:color="000000"/>
            </w:tcBorders>
            <w:vAlign w:val="center"/>
          </w:tcPr>
          <w:p w14:paraId="38083C5B" w14:textId="51FC22E4"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16. Health management for pregnant women before 12 weeks</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enrolled woman)</w:t>
            </w:r>
          </w:p>
        </w:tc>
        <w:tc>
          <w:tcPr>
            <w:tcW w:w="618" w:type="dxa"/>
            <w:tcBorders>
              <w:top w:val="single" w:sz="8" w:space="0" w:color="000000"/>
              <w:left w:val="single" w:sz="8" w:space="0" w:color="000000"/>
              <w:bottom w:val="single" w:sz="8" w:space="0" w:color="000000"/>
              <w:right w:val="single" w:sz="8" w:space="0" w:color="000000"/>
            </w:tcBorders>
            <w:vAlign w:val="center"/>
          </w:tcPr>
          <w:p w14:paraId="2F003F4F"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8</w:t>
            </w:r>
          </w:p>
        </w:tc>
        <w:tc>
          <w:tcPr>
            <w:tcW w:w="4626" w:type="dxa"/>
            <w:tcBorders>
              <w:top w:val="single" w:sz="8" w:space="0" w:color="000000"/>
              <w:left w:val="single" w:sz="8" w:space="0" w:color="000000"/>
              <w:bottom w:val="single" w:sz="8" w:space="0" w:color="000000"/>
              <w:right w:val="single" w:sz="8" w:space="0" w:color="000000"/>
            </w:tcBorders>
            <w:vAlign w:val="center"/>
          </w:tcPr>
          <w:p w14:paraId="378981C8" w14:textId="5BC3FF48"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establish maternal health</w:t>
            </w:r>
            <w:r w:rsidR="004E006B"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care booklet</w:t>
            </w:r>
            <w:r w:rsidR="0021114D" w:rsidRPr="00AE5F17">
              <w:rPr>
                <w:rFonts w:ascii="Times New Roman" w:eastAsia="宋体" w:hAnsi="Times New Roman" w:cs="Times New Roman"/>
                <w:color w:val="000000"/>
                <w:sz w:val="20"/>
                <w:szCs w:val="20"/>
              </w:rPr>
              <w:t>s</w:t>
            </w:r>
            <w:r w:rsidRPr="00AE5F17">
              <w:rPr>
                <w:rFonts w:ascii="Times New Roman" w:eastAsia="宋体" w:hAnsi="Times New Roman" w:cs="Times New Roman"/>
                <w:color w:val="000000"/>
                <w:sz w:val="20"/>
                <w:szCs w:val="20"/>
              </w:rPr>
              <w:t xml:space="preserve"> for pregnant women before 12 weeks of pregnancy, carry out inquiry, physical examination, laboratory and auxiliary examination, give health guidance such as health, psychology, nutrition, prenatal screening</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avoidance of teratogenic factors.</w:t>
            </w:r>
          </w:p>
        </w:tc>
        <w:tc>
          <w:tcPr>
            <w:tcW w:w="1559" w:type="dxa"/>
            <w:tcBorders>
              <w:top w:val="single" w:sz="8" w:space="0" w:color="000000"/>
              <w:left w:val="single" w:sz="8" w:space="0" w:color="000000"/>
              <w:bottom w:val="single" w:sz="8" w:space="0" w:color="000000"/>
              <w:right w:val="single" w:sz="8" w:space="0" w:color="000000"/>
            </w:tcBorders>
            <w:vAlign w:val="center"/>
          </w:tcPr>
          <w:p w14:paraId="3144A575" w14:textId="77777777" w:rsidR="002E73D7" w:rsidRPr="00AE5F17" w:rsidRDefault="002E73D7" w:rsidP="002E73D7">
            <w:pPr>
              <w:jc w:val="center"/>
              <w:rPr>
                <w:rFonts w:ascii="Times New Roman" w:eastAsia="宋体" w:hAnsi="Times New Roman" w:cs="Times New Roman"/>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318C3E24"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newly established maternal health records.</w:t>
            </w:r>
          </w:p>
        </w:tc>
      </w:tr>
      <w:tr w:rsidR="002E73D7" w:rsidRPr="00AE5F17" w14:paraId="414FEBCC" w14:textId="77777777" w:rsidTr="00626F9B">
        <w:trPr>
          <w:trHeight w:val="1652"/>
        </w:trPr>
        <w:tc>
          <w:tcPr>
            <w:tcW w:w="1242" w:type="dxa"/>
            <w:vMerge/>
            <w:tcBorders>
              <w:left w:val="single" w:sz="8" w:space="0" w:color="000000"/>
              <w:right w:val="single" w:sz="8" w:space="0" w:color="000000"/>
            </w:tcBorders>
            <w:vAlign w:val="center"/>
          </w:tcPr>
          <w:p w14:paraId="555AE5E9"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right w:val="single" w:sz="8" w:space="0" w:color="000000"/>
            </w:tcBorders>
            <w:vAlign w:val="center"/>
          </w:tcPr>
          <w:p w14:paraId="1B32F317" w14:textId="5B926D5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17.</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Antenatal examination</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right w:val="single" w:sz="8" w:space="0" w:color="000000"/>
            </w:tcBorders>
            <w:vAlign w:val="center"/>
          </w:tcPr>
          <w:p w14:paraId="0CA46BDC"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1.5</w:t>
            </w:r>
          </w:p>
        </w:tc>
        <w:tc>
          <w:tcPr>
            <w:tcW w:w="4626" w:type="dxa"/>
            <w:tcBorders>
              <w:top w:val="single" w:sz="8" w:space="0" w:color="000000"/>
              <w:left w:val="single" w:sz="8" w:space="0" w:color="000000"/>
              <w:right w:val="single" w:sz="8" w:space="0" w:color="000000"/>
            </w:tcBorders>
            <w:vAlign w:val="center"/>
          </w:tcPr>
          <w:p w14:paraId="1ACA9ABC" w14:textId="276E32D2"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examination once every 16-20, 21-24, 28-36, 37-40 weeks of gestation, including general physical examination, obstetric examination and necessary auxiliary examinations, prenatal screening, prenatal diabetes screening</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screening of high-risk pregnant women according to regulations. </w:t>
            </w:r>
          </w:p>
        </w:tc>
        <w:tc>
          <w:tcPr>
            <w:tcW w:w="1559" w:type="dxa"/>
            <w:tcBorders>
              <w:top w:val="single" w:sz="8" w:space="0" w:color="000000"/>
              <w:left w:val="single" w:sz="8" w:space="0" w:color="000000"/>
              <w:right w:val="single" w:sz="8" w:space="0" w:color="000000"/>
            </w:tcBorders>
            <w:vAlign w:val="center"/>
          </w:tcPr>
          <w:p w14:paraId="699EE088" w14:textId="77777777" w:rsidR="002E73D7" w:rsidRPr="00AE5F17" w:rsidRDefault="002E73D7" w:rsidP="002E73D7">
            <w:pPr>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right w:val="single" w:sz="8" w:space="0" w:color="000000"/>
            </w:tcBorders>
            <w:vAlign w:val="center"/>
          </w:tcPr>
          <w:p w14:paraId="0F18B121" w14:textId="799F6E16"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The cap of prenatal examination visits is the number of pregnant women </w:t>
            </w:r>
            <w:r w:rsidR="0021114D"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8.</w:t>
            </w:r>
          </w:p>
        </w:tc>
      </w:tr>
      <w:tr w:rsidR="002E73D7" w:rsidRPr="00AE5F17" w14:paraId="135EB77A" w14:textId="77777777" w:rsidTr="00626F9B">
        <w:tc>
          <w:tcPr>
            <w:tcW w:w="1242" w:type="dxa"/>
            <w:vMerge/>
            <w:tcBorders>
              <w:left w:val="single" w:sz="8" w:space="0" w:color="000000"/>
              <w:right w:val="single" w:sz="8" w:space="0" w:color="000000"/>
            </w:tcBorders>
            <w:vAlign w:val="center"/>
          </w:tcPr>
          <w:p w14:paraId="3215BC6A"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06E9F70B" w14:textId="70CFE6A0"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18.</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Postpartum visits</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bottom w:val="single" w:sz="8" w:space="0" w:color="000000"/>
              <w:right w:val="single" w:sz="8" w:space="0" w:color="000000"/>
            </w:tcBorders>
            <w:vAlign w:val="center"/>
          </w:tcPr>
          <w:p w14:paraId="58B70DE1"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3</w:t>
            </w:r>
          </w:p>
        </w:tc>
        <w:tc>
          <w:tcPr>
            <w:tcW w:w="4626" w:type="dxa"/>
            <w:tcBorders>
              <w:top w:val="single" w:sz="8" w:space="0" w:color="000000"/>
              <w:left w:val="single" w:sz="8" w:space="0" w:color="000000"/>
              <w:bottom w:val="single" w:sz="8" w:space="0" w:color="000000"/>
              <w:right w:val="single" w:sz="8" w:space="0" w:color="000000"/>
            </w:tcBorders>
            <w:vAlign w:val="center"/>
          </w:tcPr>
          <w:p w14:paraId="019C4304"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maternal home visits within 3 to 7 days after delivery including recording blood pressure and body temperature ,breast and uterus involution , guidance of hygiene, nutrition, rehabilitation, breastfeeding and neonatal care. Recording them in the maternal health information system.</w:t>
            </w:r>
          </w:p>
        </w:tc>
        <w:tc>
          <w:tcPr>
            <w:tcW w:w="1559" w:type="dxa"/>
            <w:tcBorders>
              <w:top w:val="single" w:sz="8" w:space="0" w:color="000000"/>
              <w:left w:val="single" w:sz="8" w:space="0" w:color="000000"/>
              <w:bottom w:val="single" w:sz="8" w:space="0" w:color="000000"/>
              <w:right w:val="single" w:sz="8" w:space="0" w:color="000000"/>
            </w:tcBorders>
            <w:vAlign w:val="center"/>
          </w:tcPr>
          <w:p w14:paraId="62C38E7F" w14:textId="77777777" w:rsidR="002E73D7" w:rsidRPr="00AE5F17" w:rsidRDefault="002E73D7" w:rsidP="002E73D7">
            <w:pPr>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033E9820"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postpartum visits.</w:t>
            </w:r>
          </w:p>
        </w:tc>
      </w:tr>
      <w:tr w:rsidR="002E73D7" w:rsidRPr="00AE5F17" w14:paraId="1A6D3F53" w14:textId="77777777" w:rsidTr="00626F9B">
        <w:trPr>
          <w:trHeight w:val="1052"/>
        </w:trPr>
        <w:tc>
          <w:tcPr>
            <w:tcW w:w="1242" w:type="dxa"/>
            <w:vMerge/>
            <w:tcBorders>
              <w:left w:val="single" w:sz="8" w:space="0" w:color="000000"/>
              <w:right w:val="single" w:sz="8" w:space="0" w:color="000000"/>
            </w:tcBorders>
            <w:vAlign w:val="center"/>
          </w:tcPr>
          <w:p w14:paraId="33B19179"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3E26AABF" w14:textId="1D4145A5"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19.</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Postpartum 42</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day check</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enrolled woman)</w:t>
            </w:r>
          </w:p>
        </w:tc>
        <w:tc>
          <w:tcPr>
            <w:tcW w:w="618" w:type="dxa"/>
            <w:tcBorders>
              <w:top w:val="single" w:sz="8" w:space="0" w:color="000000"/>
              <w:left w:val="single" w:sz="8" w:space="0" w:color="000000"/>
              <w:bottom w:val="single" w:sz="8" w:space="0" w:color="000000"/>
              <w:right w:val="single" w:sz="8" w:space="0" w:color="000000"/>
            </w:tcBorders>
            <w:vAlign w:val="center"/>
          </w:tcPr>
          <w:p w14:paraId="6C71286B"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1</w:t>
            </w:r>
          </w:p>
        </w:tc>
        <w:tc>
          <w:tcPr>
            <w:tcW w:w="4626" w:type="dxa"/>
            <w:tcBorders>
              <w:top w:val="single" w:sz="8" w:space="0" w:color="000000"/>
              <w:left w:val="single" w:sz="8" w:space="0" w:color="000000"/>
              <w:bottom w:val="single" w:sz="8" w:space="0" w:color="000000"/>
              <w:right w:val="single" w:sz="8" w:space="0" w:color="000000"/>
            </w:tcBorders>
            <w:vAlign w:val="center"/>
          </w:tcPr>
          <w:p w14:paraId="4C287234" w14:textId="651D0113"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conduct inquiries, measure blood pressure, body temperature and weight, check breast and uterus involution, give health guidance such as postpartum rehabilitation</w:t>
            </w:r>
            <w:r w:rsidR="0021114D" w:rsidRPr="00AE5F17">
              <w:rPr>
                <w:rFonts w:ascii="Times New Roman" w:eastAsia="宋体" w:hAnsi="Times New Roman" w:cs="Times New Roman"/>
                <w:color w:val="000000"/>
                <w:sz w:val="20"/>
                <w:szCs w:val="20"/>
              </w:rPr>
              <w:t>. Data are recorded</w:t>
            </w:r>
            <w:r w:rsidRPr="00AE5F17">
              <w:rPr>
                <w:rFonts w:ascii="Times New Roman" w:eastAsia="宋体" w:hAnsi="Times New Roman" w:cs="Times New Roman"/>
                <w:color w:val="000000"/>
                <w:sz w:val="20"/>
                <w:szCs w:val="20"/>
              </w:rPr>
              <w:t xml:space="preserve"> in the maternal health information system.</w:t>
            </w:r>
          </w:p>
        </w:tc>
        <w:tc>
          <w:tcPr>
            <w:tcW w:w="1559" w:type="dxa"/>
            <w:tcBorders>
              <w:top w:val="single" w:sz="8" w:space="0" w:color="000000"/>
              <w:left w:val="single" w:sz="8" w:space="0" w:color="000000"/>
              <w:bottom w:val="single" w:sz="8" w:space="0" w:color="000000"/>
              <w:right w:val="single" w:sz="8" w:space="0" w:color="000000"/>
            </w:tcBorders>
            <w:vAlign w:val="center"/>
          </w:tcPr>
          <w:p w14:paraId="46B20CEE" w14:textId="77777777" w:rsidR="002E73D7" w:rsidRPr="00AE5F17" w:rsidRDefault="002E73D7" w:rsidP="002E73D7">
            <w:pPr>
              <w:jc w:val="center"/>
              <w:rPr>
                <w:rFonts w:ascii="Times New Roman" w:eastAsia="宋体" w:hAnsi="Times New Roman" w:cs="Times New Roman"/>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37A6F0B6" w14:textId="5186954A"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record of postpartum 42</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day check.</w:t>
            </w:r>
          </w:p>
        </w:tc>
      </w:tr>
      <w:tr w:rsidR="002E73D7" w:rsidRPr="00AE5F17" w14:paraId="671D39F1" w14:textId="77777777" w:rsidTr="00626F9B">
        <w:trPr>
          <w:trHeight w:val="1187"/>
        </w:trPr>
        <w:tc>
          <w:tcPr>
            <w:tcW w:w="1242" w:type="dxa"/>
            <w:vMerge w:val="restart"/>
            <w:tcBorders>
              <w:left w:val="single" w:sz="8" w:space="0" w:color="000000"/>
              <w:right w:val="single" w:sz="8" w:space="0" w:color="000000"/>
            </w:tcBorders>
            <w:vAlign w:val="center"/>
          </w:tcPr>
          <w:p w14:paraId="6C231862" w14:textId="77777777" w:rsidR="002E73D7" w:rsidRPr="00AE5F17" w:rsidRDefault="002E73D7" w:rsidP="002E73D7">
            <w:pPr>
              <w:adjustRightInd w:val="0"/>
              <w:snapToGrid w:val="0"/>
              <w:spacing w:line="260" w:lineRule="exact"/>
              <w:jc w:val="center"/>
              <w:rPr>
                <w:rFonts w:ascii="Times New Roman" w:eastAsia="宋体" w:hAnsi="Times New Roman" w:cs="Times New Roman"/>
                <w:bCs/>
                <w:color w:val="000000"/>
                <w:sz w:val="20"/>
                <w:szCs w:val="20"/>
              </w:rPr>
            </w:pPr>
            <w:r w:rsidRPr="00AE5F17">
              <w:rPr>
                <w:rFonts w:ascii="Times New Roman" w:eastAsia="宋体" w:hAnsi="Times New Roman" w:cs="Times New Roman"/>
                <w:bCs/>
                <w:color w:val="000000"/>
                <w:sz w:val="20"/>
                <w:szCs w:val="20"/>
              </w:rPr>
              <w:t>NEPHSP</w:t>
            </w:r>
          </w:p>
        </w:tc>
        <w:tc>
          <w:tcPr>
            <w:tcW w:w="2552" w:type="dxa"/>
            <w:tcBorders>
              <w:top w:val="single" w:sz="8" w:space="0" w:color="000000"/>
              <w:left w:val="single" w:sz="8" w:space="0" w:color="000000"/>
              <w:bottom w:val="single" w:sz="8" w:space="0" w:color="000000"/>
              <w:right w:val="single" w:sz="8" w:space="0" w:color="000000"/>
            </w:tcBorders>
            <w:vAlign w:val="center"/>
          </w:tcPr>
          <w:p w14:paraId="196B6183" w14:textId="2A095BD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20.</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Management of high-risk pregnant women</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enrolled woman)</w:t>
            </w:r>
          </w:p>
        </w:tc>
        <w:tc>
          <w:tcPr>
            <w:tcW w:w="618" w:type="dxa"/>
            <w:tcBorders>
              <w:top w:val="single" w:sz="8" w:space="0" w:color="000000"/>
              <w:left w:val="single" w:sz="8" w:space="0" w:color="000000"/>
              <w:bottom w:val="single" w:sz="8" w:space="0" w:color="000000"/>
              <w:right w:val="single" w:sz="8" w:space="0" w:color="000000"/>
            </w:tcBorders>
            <w:vAlign w:val="center"/>
          </w:tcPr>
          <w:p w14:paraId="4788A672"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4</w:t>
            </w:r>
          </w:p>
        </w:tc>
        <w:tc>
          <w:tcPr>
            <w:tcW w:w="4626" w:type="dxa"/>
            <w:tcBorders>
              <w:top w:val="single" w:sz="8" w:space="0" w:color="000000"/>
              <w:left w:val="single" w:sz="8" w:space="0" w:color="000000"/>
              <w:bottom w:val="single" w:sz="8" w:space="0" w:color="000000"/>
              <w:right w:val="single" w:sz="8" w:space="0" w:color="000000"/>
            </w:tcBorders>
            <w:vAlign w:val="center"/>
          </w:tcPr>
          <w:p w14:paraId="606644AB" w14:textId="2F7301F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assess, report</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follow</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up high-risk pregnant women </w:t>
            </w:r>
            <w:r w:rsidR="0021114D" w:rsidRPr="00AE5F17">
              <w:rPr>
                <w:rFonts w:ascii="Times New Roman" w:eastAsia="宋体" w:hAnsi="Times New Roman" w:cs="Times New Roman"/>
                <w:color w:val="000000"/>
                <w:sz w:val="20"/>
                <w:szCs w:val="20"/>
              </w:rPr>
              <w:t xml:space="preserve">identified </w:t>
            </w:r>
            <w:r w:rsidRPr="00AE5F17">
              <w:rPr>
                <w:rFonts w:ascii="Times New Roman" w:eastAsia="宋体" w:hAnsi="Times New Roman" w:cs="Times New Roman"/>
                <w:color w:val="000000"/>
                <w:sz w:val="20"/>
                <w:szCs w:val="20"/>
              </w:rPr>
              <w:t>by screening</w:t>
            </w:r>
            <w:r w:rsidR="0021114D" w:rsidRPr="00AE5F17">
              <w:rPr>
                <w:rFonts w:ascii="Times New Roman" w:eastAsia="宋体" w:hAnsi="Times New Roman" w:cs="Times New Roman"/>
                <w:color w:val="000000"/>
                <w:sz w:val="20"/>
                <w:szCs w:val="20"/>
              </w:rPr>
              <w:t xml:space="preserve"> </w:t>
            </w:r>
            <w:r w:rsidR="0048323A" w:rsidRPr="00AE5F17">
              <w:rPr>
                <w:rFonts w:ascii="Times New Roman" w:eastAsia="宋体" w:hAnsi="Times New Roman" w:cs="Times New Roman"/>
                <w:color w:val="000000"/>
                <w:sz w:val="20"/>
                <w:szCs w:val="20"/>
              </w:rPr>
              <w:t>and refer</w:t>
            </w:r>
            <w:r w:rsidRPr="00AE5F17">
              <w:rPr>
                <w:rFonts w:ascii="Times New Roman" w:eastAsia="宋体" w:hAnsi="Times New Roman" w:cs="Times New Roman"/>
                <w:color w:val="000000"/>
                <w:sz w:val="20"/>
                <w:szCs w:val="20"/>
              </w:rPr>
              <w:t xml:space="preserve"> them when necessary. The high-risk factors were reviewed and concluded at </w:t>
            </w:r>
            <w:r w:rsidR="0021114D" w:rsidRPr="00AE5F17">
              <w:rPr>
                <w:rFonts w:ascii="Times New Roman" w:eastAsia="宋体" w:hAnsi="Times New Roman" w:cs="Times New Roman"/>
                <w:color w:val="000000"/>
                <w:sz w:val="20"/>
                <w:szCs w:val="20"/>
              </w:rPr>
              <w:t xml:space="preserve">the </w:t>
            </w:r>
            <w:r w:rsidRPr="00AE5F17">
              <w:rPr>
                <w:rFonts w:ascii="Times New Roman" w:eastAsia="宋体" w:hAnsi="Times New Roman" w:cs="Times New Roman"/>
                <w:color w:val="000000"/>
                <w:sz w:val="20"/>
                <w:szCs w:val="20"/>
              </w:rPr>
              <w:t>postpartum 42</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day check.</w:t>
            </w:r>
          </w:p>
        </w:tc>
        <w:tc>
          <w:tcPr>
            <w:tcW w:w="1559" w:type="dxa"/>
            <w:tcBorders>
              <w:top w:val="single" w:sz="8" w:space="0" w:color="000000"/>
              <w:left w:val="single" w:sz="8" w:space="0" w:color="000000"/>
              <w:bottom w:val="single" w:sz="8" w:space="0" w:color="000000"/>
              <w:right w:val="single" w:sz="8" w:space="0" w:color="000000"/>
            </w:tcBorders>
            <w:vAlign w:val="center"/>
          </w:tcPr>
          <w:p w14:paraId="4E654B7B" w14:textId="77777777" w:rsidR="002E73D7" w:rsidRPr="00AE5F17" w:rsidRDefault="002E73D7" w:rsidP="002E73D7">
            <w:pPr>
              <w:jc w:val="center"/>
              <w:rPr>
                <w:rFonts w:ascii="Times New Roman" w:eastAsia="宋体" w:hAnsi="Times New Roman" w:cs="Times New Roman"/>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bottom w:val="single" w:sz="8" w:space="0" w:color="000000"/>
              <w:right w:val="single" w:sz="8" w:space="0" w:color="000000"/>
            </w:tcBorders>
            <w:vAlign w:val="center"/>
          </w:tcPr>
          <w:p w14:paraId="1F0D9516"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high-risk pregnant women.</w:t>
            </w:r>
          </w:p>
        </w:tc>
      </w:tr>
      <w:tr w:rsidR="002E73D7" w:rsidRPr="00AE5F17" w14:paraId="712A891A" w14:textId="77777777" w:rsidTr="00626F9B">
        <w:trPr>
          <w:trHeight w:val="1134"/>
        </w:trPr>
        <w:tc>
          <w:tcPr>
            <w:tcW w:w="1242" w:type="dxa"/>
            <w:vMerge/>
            <w:tcBorders>
              <w:left w:val="single" w:sz="8" w:space="0" w:color="000000"/>
              <w:right w:val="single" w:sz="8" w:space="0" w:color="000000"/>
            </w:tcBorders>
            <w:vAlign w:val="center"/>
          </w:tcPr>
          <w:p w14:paraId="6744C14B"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53B845EB" w14:textId="22D8DAB4"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21.</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Health management of the elderly</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enrolled elderly)</w:t>
            </w:r>
          </w:p>
        </w:tc>
        <w:tc>
          <w:tcPr>
            <w:tcW w:w="618" w:type="dxa"/>
            <w:tcBorders>
              <w:top w:val="single" w:sz="8" w:space="0" w:color="000000"/>
              <w:left w:val="single" w:sz="8" w:space="0" w:color="000000"/>
              <w:bottom w:val="single" w:sz="8" w:space="0" w:color="000000"/>
              <w:right w:val="single" w:sz="8" w:space="0" w:color="000000"/>
            </w:tcBorders>
            <w:vAlign w:val="center"/>
          </w:tcPr>
          <w:p w14:paraId="5F5F22E2"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7</w:t>
            </w:r>
          </w:p>
        </w:tc>
        <w:tc>
          <w:tcPr>
            <w:tcW w:w="4626" w:type="dxa"/>
            <w:tcBorders>
              <w:top w:val="single" w:sz="8" w:space="0" w:color="000000"/>
              <w:left w:val="single" w:sz="8" w:space="0" w:color="000000"/>
              <w:bottom w:val="single" w:sz="8" w:space="0" w:color="000000"/>
              <w:right w:val="single" w:sz="8" w:space="0" w:color="000000"/>
            </w:tcBorders>
            <w:vAlign w:val="center"/>
          </w:tcPr>
          <w:p w14:paraId="5FCA2220" w14:textId="688D43BC"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health management services once a year for the elderly over 60 including lifestyle inquiries, physical examinations, supplementary examinations, health assessment</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health guidance.</w:t>
            </w:r>
          </w:p>
        </w:tc>
        <w:tc>
          <w:tcPr>
            <w:tcW w:w="1559" w:type="dxa"/>
            <w:tcBorders>
              <w:top w:val="single" w:sz="8" w:space="0" w:color="000000"/>
              <w:left w:val="single" w:sz="8" w:space="0" w:color="000000"/>
              <w:bottom w:val="single" w:sz="8" w:space="0" w:color="000000"/>
              <w:right w:val="single" w:sz="8" w:space="0" w:color="000000"/>
            </w:tcBorders>
            <w:vAlign w:val="center"/>
          </w:tcPr>
          <w:p w14:paraId="688C0049"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EHR</w:t>
            </w:r>
          </w:p>
        </w:tc>
        <w:tc>
          <w:tcPr>
            <w:tcW w:w="3866" w:type="dxa"/>
            <w:tcBorders>
              <w:top w:val="single" w:sz="8" w:space="0" w:color="000000"/>
              <w:left w:val="single" w:sz="8" w:space="0" w:color="000000"/>
              <w:bottom w:val="single" w:sz="8" w:space="0" w:color="000000"/>
              <w:right w:val="single" w:sz="8" w:space="0" w:color="000000"/>
            </w:tcBorders>
            <w:vAlign w:val="center"/>
          </w:tcPr>
          <w:p w14:paraId="5DF3E87A"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the elderly who have established the record.</w:t>
            </w:r>
          </w:p>
        </w:tc>
      </w:tr>
      <w:tr w:rsidR="002E73D7" w:rsidRPr="00AE5F17" w14:paraId="2DA42FCF" w14:textId="77777777" w:rsidTr="00626F9B">
        <w:trPr>
          <w:trHeight w:val="1993"/>
        </w:trPr>
        <w:tc>
          <w:tcPr>
            <w:tcW w:w="1242" w:type="dxa"/>
            <w:vMerge/>
            <w:tcBorders>
              <w:left w:val="single" w:sz="8" w:space="0" w:color="000000"/>
              <w:right w:val="single" w:sz="8" w:space="0" w:color="000000"/>
            </w:tcBorders>
            <w:vAlign w:val="center"/>
          </w:tcPr>
          <w:p w14:paraId="07DAA329"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right w:val="single" w:sz="8" w:space="0" w:color="000000"/>
            </w:tcBorders>
            <w:vAlign w:val="center"/>
          </w:tcPr>
          <w:p w14:paraId="69B200FB" w14:textId="6A2053C6" w:rsidR="002E73D7" w:rsidRPr="00AE5F17" w:rsidRDefault="002E73D7" w:rsidP="002E73D7">
            <w:pPr>
              <w:adjustRightInd w:val="0"/>
              <w:snapToGrid w:val="0"/>
              <w:spacing w:line="260" w:lineRule="exact"/>
              <w:jc w:val="left"/>
              <w:rPr>
                <w:rFonts w:ascii="Times New Roman" w:eastAsia="宋体" w:hAnsi="Times New Roman" w:cs="Times New Roman"/>
                <w:sz w:val="20"/>
                <w:szCs w:val="20"/>
              </w:rPr>
            </w:pPr>
            <w:r w:rsidRPr="00AE5F17">
              <w:rPr>
                <w:rFonts w:ascii="Times New Roman" w:eastAsia="宋体" w:hAnsi="Times New Roman" w:cs="Times New Roman"/>
                <w:color w:val="000000"/>
                <w:sz w:val="20"/>
                <w:szCs w:val="20"/>
              </w:rPr>
              <w:t>22.</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 xml:space="preserve">Health management of </w:t>
            </w:r>
            <w:r w:rsidR="00901095" w:rsidRPr="00AE5F17">
              <w:rPr>
                <w:rFonts w:ascii="Times New Roman" w:eastAsia="宋体" w:hAnsi="Times New Roman" w:cs="Times New Roman"/>
                <w:color w:val="000000"/>
                <w:sz w:val="20"/>
                <w:szCs w:val="20"/>
              </w:rPr>
              <w:t>h</w:t>
            </w:r>
            <w:r w:rsidRPr="00AE5F17">
              <w:rPr>
                <w:rFonts w:ascii="Times New Roman" w:eastAsia="宋体" w:hAnsi="Times New Roman" w:cs="Times New Roman"/>
                <w:color w:val="000000"/>
                <w:sz w:val="20"/>
                <w:szCs w:val="20"/>
              </w:rPr>
              <w:t>ypertension</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right w:val="single" w:sz="8" w:space="0" w:color="000000"/>
            </w:tcBorders>
            <w:vAlign w:val="center"/>
          </w:tcPr>
          <w:p w14:paraId="6CDC9A03"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2.5</w:t>
            </w:r>
          </w:p>
        </w:tc>
        <w:tc>
          <w:tcPr>
            <w:tcW w:w="4626" w:type="dxa"/>
            <w:tcBorders>
              <w:top w:val="single" w:sz="8" w:space="0" w:color="000000"/>
              <w:left w:val="single" w:sz="8" w:space="0" w:color="000000"/>
              <w:right w:val="single" w:sz="8" w:space="0" w:color="000000"/>
            </w:tcBorders>
            <w:vAlign w:val="center"/>
          </w:tcPr>
          <w:p w14:paraId="660D5674" w14:textId="753ABF59"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measure the blood pressure of first-visit patients over 35 years. To find hypertensive patients through physical examination, follow-up, etc. To implement graded management of hypertension, Level 1: health check-up once a year, 4 times follow-up a year; Level 2: plus 2 times follow-up a year; Level 3: plus 6 times a year.</w:t>
            </w:r>
            <w:r w:rsidRPr="00AE5F17">
              <w:rPr>
                <w:rFonts w:ascii="Times New Roman" w:eastAsia="宋体" w:hAnsi="Times New Roman" w:cs="Times New Roman"/>
                <w:sz w:val="20"/>
                <w:szCs w:val="20"/>
              </w:rPr>
              <w:t xml:space="preserve"> </w:t>
            </w:r>
            <w:r w:rsidR="0021114D" w:rsidRPr="00AE5F17">
              <w:rPr>
                <w:rFonts w:ascii="Times New Roman" w:eastAsia="宋体" w:hAnsi="Times New Roman" w:cs="Times New Roman"/>
                <w:color w:val="000000"/>
                <w:sz w:val="20"/>
                <w:szCs w:val="20"/>
              </w:rPr>
              <w:t xml:space="preserve">Data are recorded </w:t>
            </w:r>
            <w:r w:rsidRPr="00AE5F17">
              <w:rPr>
                <w:rFonts w:ascii="Times New Roman" w:eastAsia="宋体" w:hAnsi="Times New Roman" w:cs="Times New Roman"/>
                <w:color w:val="000000"/>
                <w:sz w:val="20"/>
                <w:szCs w:val="20"/>
              </w:rPr>
              <w:t>in the maternal health information system.</w:t>
            </w:r>
          </w:p>
        </w:tc>
        <w:tc>
          <w:tcPr>
            <w:tcW w:w="1559" w:type="dxa"/>
            <w:tcBorders>
              <w:top w:val="single" w:sz="8" w:space="0" w:color="000000"/>
              <w:left w:val="single" w:sz="8" w:space="0" w:color="000000"/>
              <w:right w:val="single" w:sz="8" w:space="0" w:color="000000"/>
            </w:tcBorders>
            <w:vAlign w:val="center"/>
          </w:tcPr>
          <w:p w14:paraId="28BA999A"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EHR</w:t>
            </w:r>
          </w:p>
        </w:tc>
        <w:tc>
          <w:tcPr>
            <w:tcW w:w="3866" w:type="dxa"/>
            <w:tcBorders>
              <w:top w:val="single" w:sz="8" w:space="0" w:color="000000"/>
              <w:left w:val="single" w:sz="8" w:space="0" w:color="000000"/>
              <w:right w:val="single" w:sz="8" w:space="0" w:color="000000"/>
            </w:tcBorders>
            <w:vAlign w:val="center"/>
          </w:tcPr>
          <w:p w14:paraId="19A36D48" w14:textId="39C0A97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w:t>
            </w:r>
            <w:r w:rsidRPr="00AE5F17">
              <w:rPr>
                <w:rFonts w:ascii="Times New Roman" w:eastAsia="宋体" w:hAnsi="Times New Roman" w:cs="Times New Roman"/>
                <w:sz w:val="20"/>
                <w:szCs w:val="20"/>
              </w:rPr>
              <w:t xml:space="preserve"> </w:t>
            </w:r>
            <w:r w:rsidRPr="00AE5F17">
              <w:rPr>
                <w:rFonts w:ascii="Times New Roman" w:eastAsia="宋体" w:hAnsi="Times New Roman" w:cs="Times New Roman"/>
                <w:color w:val="000000"/>
                <w:sz w:val="20"/>
                <w:szCs w:val="20"/>
              </w:rPr>
              <w:t>patients with hypertension under standardized management. The number of people whose follow-up records are not qualified (blank, missing and wrong items are more than or equal to 2 items, blood pressure value is not filled in, and blood pressure is not controlled for two consecutive times, etc.) will be excluded. The number of first-class, second-class and third-class follow-up was counted respectively. The cap of visits is limited by the number patients with first-</w:t>
            </w:r>
            <w:r w:rsidR="0021114D" w:rsidRPr="00AE5F17">
              <w:rPr>
                <w:rFonts w:ascii="Times New Roman" w:eastAsia="宋体" w:hAnsi="Times New Roman" w:cs="Times New Roman"/>
                <w:color w:val="000000"/>
                <w:sz w:val="20"/>
                <w:szCs w:val="20"/>
              </w:rPr>
              <w:t>, second-, or third-</w:t>
            </w:r>
            <w:r w:rsidRPr="00AE5F17">
              <w:rPr>
                <w:rFonts w:ascii="Times New Roman" w:eastAsia="宋体" w:hAnsi="Times New Roman" w:cs="Times New Roman"/>
                <w:color w:val="000000"/>
                <w:sz w:val="20"/>
                <w:szCs w:val="20"/>
              </w:rPr>
              <w:t xml:space="preserve">level management </w:t>
            </w:r>
            <w:r w:rsidR="0021114D" w:rsidRPr="00AE5F17">
              <w:rPr>
                <w:rFonts w:ascii="Times New Roman" w:eastAsia="宋体" w:hAnsi="Times New Roman" w:cs="Times New Roman"/>
                <w:sz w:val="20"/>
                <w:szCs w:val="20"/>
              </w:rPr>
              <w:t xml:space="preserve">(4, 6, or </w:t>
            </w:r>
            <w:r w:rsidRPr="00AE5F17">
              <w:rPr>
                <w:rFonts w:ascii="Times New Roman" w:eastAsia="宋体" w:hAnsi="Times New Roman" w:cs="Times New Roman"/>
                <w:color w:val="000000"/>
                <w:sz w:val="20"/>
                <w:szCs w:val="20"/>
              </w:rPr>
              <w:t>12 times</w:t>
            </w:r>
            <w:r w:rsidR="0021114D" w:rsidRPr="00AE5F17">
              <w:rPr>
                <w:rFonts w:ascii="Times New Roman" w:eastAsia="宋体" w:hAnsi="Times New Roman" w:cs="Times New Roman"/>
                <w:color w:val="000000"/>
                <w:sz w:val="20"/>
                <w:szCs w:val="20"/>
              </w:rPr>
              <w:t>, respectively)</w:t>
            </w:r>
            <w:r w:rsidRPr="00AE5F17">
              <w:rPr>
                <w:rFonts w:ascii="Times New Roman" w:eastAsia="宋体" w:hAnsi="Times New Roman" w:cs="Times New Roman"/>
                <w:color w:val="000000"/>
                <w:sz w:val="20"/>
                <w:szCs w:val="20"/>
              </w:rPr>
              <w:t>.</w:t>
            </w:r>
          </w:p>
        </w:tc>
      </w:tr>
      <w:tr w:rsidR="002E73D7" w:rsidRPr="00AE5F17" w14:paraId="713E469E" w14:textId="77777777" w:rsidTr="00626F9B">
        <w:trPr>
          <w:trHeight w:val="1256"/>
        </w:trPr>
        <w:tc>
          <w:tcPr>
            <w:tcW w:w="1242" w:type="dxa"/>
            <w:vMerge w:val="restart"/>
            <w:tcBorders>
              <w:left w:val="single" w:sz="8" w:space="0" w:color="000000"/>
              <w:right w:val="single" w:sz="8" w:space="0" w:color="000000"/>
            </w:tcBorders>
            <w:vAlign w:val="center"/>
          </w:tcPr>
          <w:p w14:paraId="0ECAEB13"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r w:rsidRPr="00AE5F17">
              <w:rPr>
                <w:rFonts w:ascii="Times New Roman" w:eastAsia="宋体" w:hAnsi="Times New Roman" w:cs="Times New Roman"/>
                <w:color w:val="000000"/>
                <w:sz w:val="20"/>
                <w:szCs w:val="20"/>
              </w:rPr>
              <w:t>NEPHSP</w:t>
            </w:r>
          </w:p>
        </w:tc>
        <w:tc>
          <w:tcPr>
            <w:tcW w:w="2552" w:type="dxa"/>
            <w:tcBorders>
              <w:top w:val="single" w:sz="8" w:space="0" w:color="000000"/>
              <w:left w:val="single" w:sz="8" w:space="0" w:color="000000"/>
              <w:right w:val="single" w:sz="8" w:space="0" w:color="000000"/>
            </w:tcBorders>
            <w:vAlign w:val="center"/>
          </w:tcPr>
          <w:p w14:paraId="19A8E756" w14:textId="3A68DD92"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23.</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Health management of diabetes(per visit)</w:t>
            </w:r>
          </w:p>
        </w:tc>
        <w:tc>
          <w:tcPr>
            <w:tcW w:w="618" w:type="dxa"/>
            <w:tcBorders>
              <w:top w:val="single" w:sz="8" w:space="0" w:color="000000"/>
              <w:left w:val="single" w:sz="8" w:space="0" w:color="000000"/>
              <w:right w:val="single" w:sz="8" w:space="0" w:color="000000"/>
            </w:tcBorders>
            <w:vAlign w:val="center"/>
          </w:tcPr>
          <w:p w14:paraId="7FBF80E4"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2.75</w:t>
            </w:r>
          </w:p>
        </w:tc>
        <w:tc>
          <w:tcPr>
            <w:tcW w:w="4626" w:type="dxa"/>
            <w:tcBorders>
              <w:top w:val="single" w:sz="8" w:space="0" w:color="000000"/>
              <w:left w:val="single" w:sz="8" w:space="0" w:color="000000"/>
              <w:right w:val="single" w:sz="8" w:space="0" w:color="000000"/>
            </w:tcBorders>
            <w:vAlign w:val="center"/>
          </w:tcPr>
          <w:p w14:paraId="70C0A2EF" w14:textId="2F33422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To </w:t>
            </w:r>
            <w:r w:rsidR="0021114D" w:rsidRPr="00AE5F17">
              <w:rPr>
                <w:rFonts w:ascii="Times New Roman" w:eastAsia="宋体" w:hAnsi="Times New Roman" w:cs="Times New Roman"/>
                <w:color w:val="000000"/>
                <w:sz w:val="20"/>
                <w:szCs w:val="20"/>
              </w:rPr>
              <w:t xml:space="preserve">identify </w:t>
            </w:r>
            <w:r w:rsidRPr="00AE5F17">
              <w:rPr>
                <w:rFonts w:ascii="Times New Roman" w:eastAsia="宋体" w:hAnsi="Times New Roman" w:cs="Times New Roman"/>
                <w:color w:val="000000"/>
                <w:sz w:val="20"/>
                <w:szCs w:val="20"/>
              </w:rPr>
              <w:t>diabetes mellitus patients through outpatient</w:t>
            </w:r>
            <w:r w:rsidR="0021114D" w:rsidRPr="00AE5F17">
              <w:rPr>
                <w:rFonts w:ascii="Times New Roman" w:eastAsia="宋体" w:hAnsi="Times New Roman" w:cs="Times New Roman"/>
                <w:color w:val="000000"/>
                <w:sz w:val="20"/>
                <w:szCs w:val="20"/>
              </w:rPr>
              <w:t xml:space="preserve"> visits</w:t>
            </w:r>
            <w:r w:rsidRPr="00AE5F17">
              <w:rPr>
                <w:rFonts w:ascii="Times New Roman" w:eastAsia="宋体" w:hAnsi="Times New Roman" w:cs="Times New Roman"/>
                <w:color w:val="000000"/>
                <w:sz w:val="20"/>
                <w:szCs w:val="20"/>
              </w:rPr>
              <w:t xml:space="preserve">, physical examination, follow-up, etc. To implement graded management: health check-up once a year, follow-up routine management once every 3 months, strengthened management once a month. </w:t>
            </w:r>
          </w:p>
        </w:tc>
        <w:tc>
          <w:tcPr>
            <w:tcW w:w="1559" w:type="dxa"/>
            <w:tcBorders>
              <w:top w:val="single" w:sz="8" w:space="0" w:color="000000"/>
              <w:left w:val="single" w:sz="8" w:space="0" w:color="000000"/>
              <w:right w:val="single" w:sz="8" w:space="0" w:color="000000"/>
            </w:tcBorders>
            <w:vAlign w:val="center"/>
          </w:tcPr>
          <w:p w14:paraId="2937B19F"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EHR</w:t>
            </w:r>
          </w:p>
        </w:tc>
        <w:tc>
          <w:tcPr>
            <w:tcW w:w="3866" w:type="dxa"/>
            <w:tcBorders>
              <w:top w:val="single" w:sz="8" w:space="0" w:color="000000"/>
              <w:left w:val="single" w:sz="8" w:space="0" w:color="000000"/>
              <w:right w:val="single" w:sz="8" w:space="0" w:color="000000"/>
            </w:tcBorders>
            <w:vAlign w:val="center"/>
          </w:tcPr>
          <w:p w14:paraId="58A5F1E8" w14:textId="3CDDE49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patients with hypertension under standardized management. The number of people whose follow-up records are not qualified (blank, missing and wrong items are more than or equal to 2 items, blood sugar value is not filled in, blood sugar is not controlled for two consecutive times) will be excluded. The number</w:t>
            </w:r>
            <w:r w:rsidR="0021114D" w:rsidRPr="00AE5F17">
              <w:rPr>
                <w:rFonts w:ascii="Times New Roman" w:eastAsia="宋体" w:hAnsi="Times New Roman" w:cs="Times New Roman"/>
                <w:color w:val="000000"/>
                <w:sz w:val="20"/>
                <w:szCs w:val="20"/>
              </w:rPr>
              <w:t>s</w:t>
            </w:r>
            <w:r w:rsidRPr="00AE5F17">
              <w:rPr>
                <w:rFonts w:ascii="Times New Roman" w:eastAsia="宋体" w:hAnsi="Times New Roman" w:cs="Times New Roman"/>
                <w:color w:val="000000"/>
                <w:sz w:val="20"/>
                <w:szCs w:val="20"/>
              </w:rPr>
              <w:t xml:space="preserve"> of follow-up visits for routine and intensive management </w:t>
            </w:r>
            <w:r w:rsidR="0021114D" w:rsidRPr="00AE5F17">
              <w:rPr>
                <w:rFonts w:ascii="Times New Roman" w:eastAsia="宋体" w:hAnsi="Times New Roman" w:cs="Times New Roman"/>
                <w:color w:val="000000"/>
                <w:sz w:val="20"/>
                <w:szCs w:val="20"/>
              </w:rPr>
              <w:t xml:space="preserve">were </w:t>
            </w:r>
            <w:r w:rsidRPr="00AE5F17">
              <w:rPr>
                <w:rFonts w:ascii="Times New Roman" w:eastAsia="宋体" w:hAnsi="Times New Roman" w:cs="Times New Roman"/>
                <w:color w:val="000000"/>
                <w:sz w:val="20"/>
                <w:szCs w:val="20"/>
              </w:rPr>
              <w:t xml:space="preserve">counted. The cap of visits is limited by the number patients </w:t>
            </w:r>
            <w:r w:rsidR="0021114D" w:rsidRPr="00AE5F17">
              <w:rPr>
                <w:rFonts w:ascii="Times New Roman" w:eastAsia="宋体" w:hAnsi="Times New Roman" w:cs="Times New Roman"/>
                <w:color w:val="000000"/>
                <w:sz w:val="20"/>
                <w:szCs w:val="20"/>
              </w:rPr>
              <w:lastRenderedPageBreak/>
              <w:t>under</w:t>
            </w:r>
            <w:r w:rsidRPr="00AE5F17">
              <w:rPr>
                <w:rFonts w:ascii="Times New Roman" w:eastAsia="宋体" w:hAnsi="Times New Roman" w:cs="Times New Roman"/>
                <w:color w:val="000000"/>
                <w:sz w:val="20"/>
                <w:szCs w:val="20"/>
              </w:rPr>
              <w:t xml:space="preserve"> regular management </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4 times</w:t>
            </w:r>
            <w:r w:rsidR="0021114D" w:rsidRPr="00AE5F17">
              <w:rPr>
                <w:rFonts w:ascii="Times New Roman" w:eastAsia="宋体" w:hAnsi="Times New Roman" w:cs="Times New Roman"/>
                <w:color w:val="000000"/>
                <w:sz w:val="20"/>
                <w:szCs w:val="20"/>
              </w:rPr>
              <w:t>) and</w:t>
            </w:r>
            <w:r w:rsidRPr="00AE5F17">
              <w:rPr>
                <w:rFonts w:ascii="Times New Roman" w:eastAsia="宋体" w:hAnsi="Times New Roman" w:cs="Times New Roman"/>
                <w:color w:val="000000"/>
                <w:sz w:val="20"/>
                <w:szCs w:val="20"/>
              </w:rPr>
              <w:t xml:space="preserve"> strengthening management </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12 times</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w:t>
            </w:r>
          </w:p>
        </w:tc>
      </w:tr>
      <w:tr w:rsidR="002E73D7" w:rsidRPr="00AE5F17" w14:paraId="2B829387" w14:textId="77777777" w:rsidTr="00626F9B">
        <w:trPr>
          <w:trHeight w:val="402"/>
        </w:trPr>
        <w:tc>
          <w:tcPr>
            <w:tcW w:w="1242" w:type="dxa"/>
            <w:vMerge/>
            <w:tcBorders>
              <w:left w:val="single" w:sz="8" w:space="0" w:color="000000"/>
              <w:right w:val="single" w:sz="8" w:space="0" w:color="000000"/>
            </w:tcBorders>
            <w:vAlign w:val="center"/>
          </w:tcPr>
          <w:p w14:paraId="7D280678"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right w:val="single" w:sz="8" w:space="0" w:color="000000"/>
            </w:tcBorders>
            <w:vAlign w:val="center"/>
          </w:tcPr>
          <w:p w14:paraId="038D192A" w14:textId="46F556C9"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24.</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Management of patients with severe mental disorders</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right w:val="single" w:sz="8" w:space="0" w:color="000000"/>
            </w:tcBorders>
            <w:vAlign w:val="center"/>
          </w:tcPr>
          <w:p w14:paraId="570B2591"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3</w:t>
            </w:r>
          </w:p>
        </w:tc>
        <w:tc>
          <w:tcPr>
            <w:tcW w:w="4626" w:type="dxa"/>
            <w:tcBorders>
              <w:top w:val="single" w:sz="8" w:space="0" w:color="000000"/>
              <w:left w:val="single" w:sz="8" w:space="0" w:color="000000"/>
              <w:right w:val="single" w:sz="8" w:space="0" w:color="000000"/>
            </w:tcBorders>
            <w:vAlign w:val="center"/>
          </w:tcPr>
          <w:p w14:paraId="61AD0630" w14:textId="35E60AFF"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regular community investigation, refer suspected patients for diagnosis, provide health management including follow-up, physical examination, evaluation, intervention, two-way referral</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emergency treatment. To implement graded management:</w:t>
            </w:r>
          </w:p>
          <w:p w14:paraId="45D34976" w14:textId="5540B386" w:rsidR="002E73D7" w:rsidRPr="00AE5F17" w:rsidRDefault="002E73D7" w:rsidP="002E73D7">
            <w:pPr>
              <w:numPr>
                <w:ilvl w:val="0"/>
                <w:numId w:val="9"/>
              </w:numPr>
              <w:adjustRightInd w:val="0"/>
              <w:snapToGrid w:val="0"/>
              <w:spacing w:line="260" w:lineRule="exact"/>
              <w:ind w:left="266" w:hanging="284"/>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Risk level 3-5: physical examination once a year for patients with unstable condition, transfer treatment</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follow-up for outpatients.</w:t>
            </w:r>
          </w:p>
          <w:p w14:paraId="55B60E88" w14:textId="77777777" w:rsidR="002E73D7" w:rsidRPr="00AE5F17" w:rsidRDefault="002E73D7" w:rsidP="002E73D7">
            <w:pPr>
              <w:numPr>
                <w:ilvl w:val="0"/>
                <w:numId w:val="9"/>
              </w:numPr>
              <w:adjustRightInd w:val="0"/>
              <w:snapToGrid w:val="0"/>
              <w:spacing w:line="260" w:lineRule="exact"/>
              <w:ind w:left="266" w:hanging="284"/>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Risk level 1-2: follow-up after treatment, regular follow-up every 3 months.</w:t>
            </w:r>
          </w:p>
          <w:p w14:paraId="44584901" w14:textId="77777777" w:rsidR="002E73D7" w:rsidRPr="00AE5F17" w:rsidRDefault="002E73D7" w:rsidP="002E73D7">
            <w:pPr>
              <w:numPr>
                <w:ilvl w:val="0"/>
                <w:numId w:val="9"/>
              </w:numPr>
              <w:adjustRightInd w:val="0"/>
              <w:snapToGrid w:val="0"/>
              <w:spacing w:line="260" w:lineRule="exact"/>
              <w:ind w:left="266" w:hanging="284"/>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Risk level 0: follow-up every 3 months.</w:t>
            </w:r>
          </w:p>
        </w:tc>
        <w:tc>
          <w:tcPr>
            <w:tcW w:w="1559" w:type="dxa"/>
            <w:tcBorders>
              <w:top w:val="single" w:sz="8" w:space="0" w:color="000000"/>
              <w:left w:val="single" w:sz="8" w:space="0" w:color="000000"/>
              <w:right w:val="single" w:sz="8" w:space="0" w:color="000000"/>
            </w:tcBorders>
            <w:vAlign w:val="center"/>
          </w:tcPr>
          <w:p w14:paraId="09F57DCA"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Management system for severe mental disorders</w:t>
            </w:r>
          </w:p>
        </w:tc>
        <w:tc>
          <w:tcPr>
            <w:tcW w:w="3866" w:type="dxa"/>
            <w:tcBorders>
              <w:top w:val="single" w:sz="8" w:space="0" w:color="000000"/>
              <w:left w:val="single" w:sz="8" w:space="0" w:color="000000"/>
              <w:right w:val="single" w:sz="8" w:space="0" w:color="000000"/>
            </w:tcBorders>
            <w:vAlign w:val="center"/>
          </w:tcPr>
          <w:p w14:paraId="29E75A5E" w14:textId="57744FC4"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patients with severe mental disorders under standardized management.</w:t>
            </w:r>
            <w:r w:rsidRPr="00AE5F17">
              <w:rPr>
                <w:rFonts w:ascii="Times New Roman" w:eastAsia="宋体" w:hAnsi="Times New Roman" w:cs="Times New Roman"/>
                <w:sz w:val="20"/>
                <w:szCs w:val="20"/>
              </w:rPr>
              <w:t xml:space="preserve"> </w:t>
            </w:r>
            <w:r w:rsidR="0021114D" w:rsidRPr="00AE5F17">
              <w:rPr>
                <w:rFonts w:ascii="Times New Roman" w:eastAsia="宋体" w:hAnsi="Times New Roman" w:cs="Times New Roman"/>
                <w:color w:val="000000"/>
                <w:sz w:val="20"/>
                <w:szCs w:val="20"/>
              </w:rPr>
              <w:t>Patients</w:t>
            </w:r>
            <w:r w:rsidRPr="00AE5F17">
              <w:rPr>
                <w:rFonts w:ascii="Times New Roman" w:eastAsia="宋体" w:hAnsi="Times New Roman" w:cs="Times New Roman"/>
                <w:color w:val="000000"/>
                <w:sz w:val="20"/>
                <w:szCs w:val="20"/>
              </w:rPr>
              <w:t xml:space="preserve"> whose follow-up records are not qualified (blank items, blank items, wrong items &gt;4) will be excluded. The number</w:t>
            </w:r>
            <w:r w:rsidR="0021114D" w:rsidRPr="00AE5F17">
              <w:rPr>
                <w:rFonts w:ascii="Times New Roman" w:eastAsia="宋体" w:hAnsi="Times New Roman" w:cs="Times New Roman"/>
                <w:color w:val="000000"/>
                <w:sz w:val="20"/>
                <w:szCs w:val="20"/>
              </w:rPr>
              <w:t>s</w:t>
            </w:r>
            <w:r w:rsidRPr="00AE5F17">
              <w:rPr>
                <w:rFonts w:ascii="Times New Roman" w:eastAsia="宋体" w:hAnsi="Times New Roman" w:cs="Times New Roman"/>
                <w:color w:val="000000"/>
                <w:sz w:val="20"/>
                <w:szCs w:val="20"/>
              </w:rPr>
              <w:t xml:space="preserve"> of follow-up visits for routine management and intensive management </w:t>
            </w:r>
            <w:r w:rsidR="0021114D" w:rsidRPr="00AE5F17">
              <w:rPr>
                <w:rFonts w:ascii="Times New Roman" w:eastAsia="宋体" w:hAnsi="Times New Roman" w:cs="Times New Roman"/>
                <w:color w:val="000000"/>
                <w:sz w:val="20"/>
                <w:szCs w:val="20"/>
              </w:rPr>
              <w:t xml:space="preserve">were </w:t>
            </w:r>
            <w:r w:rsidRPr="00AE5F17">
              <w:rPr>
                <w:rFonts w:ascii="Times New Roman" w:eastAsia="宋体" w:hAnsi="Times New Roman" w:cs="Times New Roman"/>
                <w:color w:val="000000"/>
                <w:sz w:val="20"/>
                <w:szCs w:val="20"/>
              </w:rPr>
              <w:t xml:space="preserve">counted. The cap of visits is limited by the number patients </w:t>
            </w:r>
            <w:r w:rsidR="0021114D" w:rsidRPr="00AE5F17">
              <w:rPr>
                <w:rFonts w:ascii="Times New Roman" w:eastAsia="宋体" w:hAnsi="Times New Roman" w:cs="Times New Roman"/>
                <w:color w:val="000000"/>
                <w:sz w:val="20"/>
                <w:szCs w:val="20"/>
              </w:rPr>
              <w:t>in</w:t>
            </w:r>
            <w:r w:rsidRPr="00AE5F17">
              <w:rPr>
                <w:rFonts w:ascii="Times New Roman" w:eastAsia="宋体" w:hAnsi="Times New Roman" w:cs="Times New Roman"/>
                <w:color w:val="000000"/>
                <w:sz w:val="20"/>
                <w:szCs w:val="20"/>
              </w:rPr>
              <w:t xml:space="preserve"> level 3-5, level 1-2</w:t>
            </w:r>
            <w:r w:rsidR="0021114D" w:rsidRPr="00AE5F17">
              <w:rPr>
                <w:rFonts w:ascii="Times New Roman" w:eastAsia="宋体" w:hAnsi="Times New Roman" w:cs="Times New Roman"/>
                <w:sz w:val="20"/>
                <w:szCs w:val="20"/>
              </w:rPr>
              <w:t>,</w:t>
            </w:r>
            <w:r w:rsidRPr="00AE5F17">
              <w:rPr>
                <w:rFonts w:ascii="Times New Roman" w:eastAsia="宋体" w:hAnsi="Times New Roman" w:cs="Times New Roman"/>
                <w:color w:val="000000"/>
                <w:sz w:val="20"/>
                <w:szCs w:val="20"/>
              </w:rPr>
              <w:t xml:space="preserve"> and level 0 </w:t>
            </w:r>
            <w:r w:rsidR="0021114D" w:rsidRPr="00AE5F17">
              <w:rPr>
                <w:rFonts w:ascii="Times New Roman" w:eastAsia="宋体" w:hAnsi="Times New Roman" w:cs="Times New Roman"/>
                <w:color w:val="000000"/>
                <w:sz w:val="20"/>
                <w:szCs w:val="20"/>
              </w:rPr>
              <w:t>(12, 6, and 4 visits, respectively)</w:t>
            </w:r>
            <w:r w:rsidRPr="00AE5F17">
              <w:rPr>
                <w:rFonts w:ascii="Times New Roman" w:eastAsia="宋体" w:hAnsi="Times New Roman" w:cs="Times New Roman"/>
                <w:color w:val="000000"/>
                <w:sz w:val="20"/>
                <w:szCs w:val="20"/>
              </w:rPr>
              <w:t>.</w:t>
            </w:r>
          </w:p>
        </w:tc>
      </w:tr>
      <w:tr w:rsidR="002E73D7" w:rsidRPr="00AE5F17" w14:paraId="28532C01" w14:textId="77777777" w:rsidTr="00626F9B">
        <w:trPr>
          <w:trHeight w:val="834"/>
        </w:trPr>
        <w:tc>
          <w:tcPr>
            <w:tcW w:w="1242" w:type="dxa"/>
            <w:vMerge/>
            <w:tcBorders>
              <w:left w:val="single" w:sz="8" w:space="0" w:color="000000"/>
              <w:right w:val="single" w:sz="8" w:space="0" w:color="000000"/>
            </w:tcBorders>
            <w:vAlign w:val="center"/>
          </w:tcPr>
          <w:p w14:paraId="4B62718B"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1AAAB09F" w14:textId="2424EDFE"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25.Traditional Chinese Medicine </w:t>
            </w:r>
            <w:r w:rsidR="0021114D" w:rsidRPr="00AE5F17">
              <w:rPr>
                <w:rFonts w:ascii="Times New Roman" w:eastAsia="宋体" w:hAnsi="Times New Roman" w:cs="Times New Roman"/>
                <w:color w:val="000000"/>
                <w:sz w:val="20"/>
                <w:szCs w:val="20"/>
              </w:rPr>
              <w:t xml:space="preserve">(TCM) </w:t>
            </w:r>
            <w:r w:rsidRPr="00AE5F17">
              <w:rPr>
                <w:rFonts w:ascii="Times New Roman" w:eastAsia="宋体" w:hAnsi="Times New Roman" w:cs="Times New Roman"/>
                <w:color w:val="000000"/>
                <w:sz w:val="20"/>
                <w:szCs w:val="20"/>
              </w:rPr>
              <w:t>management for the elderly aged 65+</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enrolled elderly)</w:t>
            </w:r>
          </w:p>
        </w:tc>
        <w:tc>
          <w:tcPr>
            <w:tcW w:w="618" w:type="dxa"/>
            <w:tcBorders>
              <w:top w:val="single" w:sz="8" w:space="0" w:color="000000"/>
              <w:left w:val="single" w:sz="8" w:space="0" w:color="000000"/>
              <w:bottom w:val="single" w:sz="8" w:space="0" w:color="000000"/>
              <w:right w:val="single" w:sz="8" w:space="0" w:color="000000"/>
            </w:tcBorders>
            <w:vAlign w:val="center"/>
          </w:tcPr>
          <w:p w14:paraId="21469669"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w:t>
            </w:r>
          </w:p>
        </w:tc>
        <w:tc>
          <w:tcPr>
            <w:tcW w:w="4626" w:type="dxa"/>
            <w:tcBorders>
              <w:top w:val="single" w:sz="8" w:space="0" w:color="000000"/>
              <w:left w:val="single" w:sz="8" w:space="0" w:color="000000"/>
              <w:bottom w:val="single" w:sz="8" w:space="0" w:color="000000"/>
              <w:right w:val="single" w:sz="8" w:space="0" w:color="000000"/>
            </w:tcBorders>
            <w:vAlign w:val="center"/>
          </w:tcPr>
          <w:p w14:paraId="2C04FB09"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service once a year including TCM constitution identification and TCM health care guidance, physical identification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561F4749"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EHR</w:t>
            </w:r>
          </w:p>
        </w:tc>
        <w:tc>
          <w:tcPr>
            <w:tcW w:w="3866" w:type="dxa"/>
            <w:tcBorders>
              <w:top w:val="single" w:sz="8" w:space="0" w:color="000000"/>
              <w:left w:val="single" w:sz="8" w:space="0" w:color="000000"/>
              <w:bottom w:val="single" w:sz="8" w:space="0" w:color="000000"/>
              <w:right w:val="single" w:sz="8" w:space="0" w:color="000000"/>
            </w:tcBorders>
            <w:vAlign w:val="center"/>
          </w:tcPr>
          <w:p w14:paraId="08FE8C25"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elderly people aged 65+ who received TCM services.</w:t>
            </w:r>
          </w:p>
        </w:tc>
      </w:tr>
      <w:tr w:rsidR="002E73D7" w:rsidRPr="00AE5F17" w14:paraId="6C74A41F" w14:textId="77777777" w:rsidTr="00626F9B">
        <w:trPr>
          <w:trHeight w:val="1060"/>
        </w:trPr>
        <w:tc>
          <w:tcPr>
            <w:tcW w:w="1242" w:type="dxa"/>
            <w:vMerge/>
            <w:tcBorders>
              <w:left w:val="single" w:sz="8" w:space="0" w:color="000000"/>
              <w:right w:val="single" w:sz="8" w:space="0" w:color="000000"/>
            </w:tcBorders>
            <w:vAlign w:val="center"/>
          </w:tcPr>
          <w:p w14:paraId="19CBDD8F"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right w:val="single" w:sz="8" w:space="0" w:color="000000"/>
            </w:tcBorders>
            <w:vAlign w:val="center"/>
          </w:tcPr>
          <w:p w14:paraId="3CFF7D75" w14:textId="37CAF04E"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26.</w:t>
            </w:r>
            <w:r w:rsidR="00901095" w:rsidRPr="00AE5F17">
              <w:rPr>
                <w:rFonts w:ascii="Times New Roman" w:eastAsia="宋体" w:hAnsi="Times New Roman" w:cs="Times New Roman"/>
                <w:color w:val="000000"/>
                <w:sz w:val="20"/>
                <w:szCs w:val="20"/>
              </w:rPr>
              <w:t xml:space="preserve"> </w:t>
            </w:r>
            <w:r w:rsidR="0021114D" w:rsidRPr="00AE5F17">
              <w:rPr>
                <w:rFonts w:ascii="Times New Roman" w:eastAsia="宋体" w:hAnsi="Times New Roman" w:cs="Times New Roman"/>
                <w:color w:val="000000"/>
                <w:sz w:val="20"/>
                <w:szCs w:val="20"/>
              </w:rPr>
              <w:t>TCM</w:t>
            </w:r>
            <w:r w:rsidRPr="00AE5F17">
              <w:rPr>
                <w:rFonts w:ascii="Times New Roman" w:eastAsia="宋体" w:hAnsi="Times New Roman" w:cs="Times New Roman"/>
                <w:color w:val="000000"/>
                <w:sz w:val="20"/>
                <w:szCs w:val="20"/>
              </w:rPr>
              <w:t xml:space="preserve"> management for children</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visit)</w:t>
            </w:r>
          </w:p>
        </w:tc>
        <w:tc>
          <w:tcPr>
            <w:tcW w:w="618" w:type="dxa"/>
            <w:tcBorders>
              <w:top w:val="single" w:sz="8" w:space="0" w:color="000000"/>
              <w:left w:val="single" w:sz="8" w:space="0" w:color="000000"/>
              <w:right w:val="single" w:sz="8" w:space="0" w:color="000000"/>
            </w:tcBorders>
            <w:vAlign w:val="center"/>
          </w:tcPr>
          <w:p w14:paraId="307CC86C"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0.4</w:t>
            </w:r>
          </w:p>
        </w:tc>
        <w:tc>
          <w:tcPr>
            <w:tcW w:w="4626" w:type="dxa"/>
            <w:tcBorders>
              <w:top w:val="single" w:sz="8" w:space="0" w:color="000000"/>
              <w:left w:val="single" w:sz="8" w:space="0" w:color="000000"/>
              <w:right w:val="single" w:sz="8" w:space="0" w:color="000000"/>
            </w:tcBorders>
            <w:vAlign w:val="center"/>
          </w:tcPr>
          <w:p w14:paraId="3E21A5AF" w14:textId="103502A1"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TCM health care guidance to parents of children aged 6, 12, 18, 24, 30</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36 months including TCM diet, abdominal moistening, chiropractic, acupoint massage method guidance, etc.</w:t>
            </w:r>
          </w:p>
        </w:tc>
        <w:tc>
          <w:tcPr>
            <w:tcW w:w="1559" w:type="dxa"/>
            <w:tcBorders>
              <w:top w:val="single" w:sz="8" w:space="0" w:color="000000"/>
              <w:left w:val="single" w:sz="8" w:space="0" w:color="000000"/>
              <w:right w:val="single" w:sz="8" w:space="0" w:color="000000"/>
            </w:tcBorders>
            <w:vAlign w:val="center"/>
          </w:tcPr>
          <w:p w14:paraId="2BDE0B3C"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MCHIS</w:t>
            </w:r>
          </w:p>
        </w:tc>
        <w:tc>
          <w:tcPr>
            <w:tcW w:w="3866" w:type="dxa"/>
            <w:tcBorders>
              <w:top w:val="single" w:sz="8" w:space="0" w:color="000000"/>
              <w:left w:val="single" w:sz="8" w:space="0" w:color="000000"/>
              <w:right w:val="single" w:sz="8" w:space="0" w:color="000000"/>
            </w:tcBorders>
            <w:vAlign w:val="center"/>
          </w:tcPr>
          <w:p w14:paraId="0061BC6A" w14:textId="7F71C1AA"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According to the number of children in MCHIS. The </w:t>
            </w:r>
            <w:r w:rsidR="0021114D" w:rsidRPr="00AE5F17">
              <w:rPr>
                <w:rFonts w:ascii="Times New Roman" w:eastAsia="宋体" w:hAnsi="Times New Roman" w:cs="Times New Roman"/>
                <w:color w:val="000000"/>
                <w:sz w:val="20"/>
                <w:szCs w:val="20"/>
              </w:rPr>
              <w:t xml:space="preserve">visit </w:t>
            </w:r>
            <w:r w:rsidRPr="00AE5F17">
              <w:rPr>
                <w:rFonts w:ascii="Times New Roman" w:eastAsia="宋体" w:hAnsi="Times New Roman" w:cs="Times New Roman"/>
                <w:color w:val="000000"/>
                <w:sz w:val="20"/>
                <w:szCs w:val="20"/>
              </w:rPr>
              <w:t xml:space="preserve">cap for groups aged </w:t>
            </w:r>
          </w:p>
          <w:p w14:paraId="4085EA27" w14:textId="38A75046"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0-1, 1-2, </w:t>
            </w:r>
            <w:r w:rsidR="0021114D" w:rsidRPr="00AE5F17">
              <w:rPr>
                <w:rFonts w:ascii="Times New Roman" w:eastAsia="宋体" w:hAnsi="Times New Roman" w:cs="Times New Roman"/>
                <w:color w:val="000000"/>
                <w:sz w:val="20"/>
                <w:szCs w:val="20"/>
              </w:rPr>
              <w:t xml:space="preserve">and </w:t>
            </w:r>
            <w:r w:rsidRPr="00AE5F17">
              <w:rPr>
                <w:rFonts w:ascii="Times New Roman" w:eastAsia="宋体" w:hAnsi="Times New Roman" w:cs="Times New Roman"/>
                <w:color w:val="000000"/>
                <w:sz w:val="20"/>
                <w:szCs w:val="20"/>
              </w:rPr>
              <w:t xml:space="preserve">2-3 </w:t>
            </w:r>
            <w:r w:rsidR="0021114D" w:rsidRPr="00AE5F17">
              <w:rPr>
                <w:rFonts w:ascii="Times New Roman" w:eastAsia="宋体" w:hAnsi="Times New Roman" w:cs="Times New Roman"/>
                <w:color w:val="000000"/>
                <w:sz w:val="20"/>
                <w:szCs w:val="20"/>
              </w:rPr>
              <w:t>are</w:t>
            </w:r>
            <w:r w:rsidRPr="00AE5F17">
              <w:rPr>
                <w:rFonts w:ascii="Times New Roman" w:eastAsia="宋体" w:hAnsi="Times New Roman" w:cs="Times New Roman"/>
                <w:color w:val="000000"/>
                <w:sz w:val="20"/>
                <w:szCs w:val="20"/>
              </w:rPr>
              <w:t xml:space="preserve"> 1, 2</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3 times</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w:t>
            </w:r>
            <w:r w:rsidR="001621D9" w:rsidRPr="00AE5F17">
              <w:rPr>
                <w:rFonts w:ascii="Times New Roman" w:eastAsia="宋体" w:hAnsi="Times New Roman" w:cs="Times New Roman"/>
                <w:color w:val="000000"/>
                <w:sz w:val="20"/>
                <w:szCs w:val="20"/>
              </w:rPr>
              <w:t>respectively</w:t>
            </w:r>
            <w:r w:rsidRPr="00AE5F17">
              <w:rPr>
                <w:rFonts w:ascii="Times New Roman" w:eastAsia="宋体" w:hAnsi="Times New Roman" w:cs="Times New Roman"/>
                <w:color w:val="000000"/>
                <w:sz w:val="20"/>
                <w:szCs w:val="20"/>
              </w:rPr>
              <w:t>.</w:t>
            </w:r>
          </w:p>
        </w:tc>
      </w:tr>
      <w:tr w:rsidR="002E73D7" w:rsidRPr="00AE5F17" w14:paraId="4D70FF57" w14:textId="77777777" w:rsidTr="00626F9B">
        <w:tc>
          <w:tcPr>
            <w:tcW w:w="1242" w:type="dxa"/>
            <w:vMerge w:val="restart"/>
            <w:tcBorders>
              <w:left w:val="single" w:sz="8" w:space="0" w:color="000000"/>
              <w:right w:val="single" w:sz="8" w:space="0" w:color="000000"/>
            </w:tcBorders>
            <w:vAlign w:val="center"/>
          </w:tcPr>
          <w:p w14:paraId="51C92C33"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NEPHSP</w:t>
            </w:r>
          </w:p>
        </w:tc>
        <w:tc>
          <w:tcPr>
            <w:tcW w:w="2552" w:type="dxa"/>
            <w:tcBorders>
              <w:top w:val="single" w:sz="8" w:space="0" w:color="000000"/>
              <w:left w:val="single" w:sz="8" w:space="0" w:color="000000"/>
              <w:bottom w:val="single" w:sz="8" w:space="0" w:color="000000"/>
              <w:right w:val="single" w:sz="8" w:space="0" w:color="000000"/>
            </w:tcBorders>
            <w:vAlign w:val="center"/>
          </w:tcPr>
          <w:p w14:paraId="2DB192F2" w14:textId="66BA5E92"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27.</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Report on infectious diseases and public health emergencies</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permanent resident)</w:t>
            </w:r>
          </w:p>
        </w:tc>
        <w:tc>
          <w:tcPr>
            <w:tcW w:w="618" w:type="dxa"/>
            <w:tcBorders>
              <w:top w:val="single" w:sz="8" w:space="0" w:color="000000"/>
              <w:left w:val="single" w:sz="8" w:space="0" w:color="000000"/>
              <w:bottom w:val="single" w:sz="8" w:space="0" w:color="000000"/>
              <w:right w:val="single" w:sz="8" w:space="0" w:color="000000"/>
            </w:tcBorders>
            <w:vAlign w:val="center"/>
          </w:tcPr>
          <w:p w14:paraId="105F0F68"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0.08</w:t>
            </w:r>
          </w:p>
        </w:tc>
        <w:tc>
          <w:tcPr>
            <w:tcW w:w="4626" w:type="dxa"/>
            <w:tcBorders>
              <w:top w:val="single" w:sz="8" w:space="0" w:color="000000"/>
              <w:left w:val="single" w:sz="8" w:space="0" w:color="000000"/>
              <w:bottom w:val="single" w:sz="8" w:space="0" w:color="000000"/>
              <w:right w:val="single" w:sz="8" w:space="0" w:color="000000"/>
            </w:tcBorders>
            <w:vAlign w:val="center"/>
          </w:tcPr>
          <w:p w14:paraId="29DEB2D1" w14:textId="1263FB98"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assist in risk investigation, collection</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provision of risk information on infectious diseases and public health emergencies; to standardize the registration and reporting of information on infectious </w:t>
            </w:r>
            <w:r w:rsidRPr="00AE5F17">
              <w:rPr>
                <w:rFonts w:ascii="Times New Roman" w:eastAsia="宋体" w:hAnsi="Times New Roman" w:cs="Times New Roman"/>
                <w:color w:val="000000"/>
                <w:sz w:val="20"/>
                <w:szCs w:val="20"/>
              </w:rPr>
              <w:lastRenderedPageBreak/>
              <w:t>diseases and public health emergencies, etc.</w:t>
            </w:r>
          </w:p>
        </w:tc>
        <w:tc>
          <w:tcPr>
            <w:tcW w:w="1559" w:type="dxa"/>
            <w:tcBorders>
              <w:top w:val="single" w:sz="8" w:space="0" w:color="000000"/>
              <w:left w:val="single" w:sz="8" w:space="0" w:color="000000"/>
              <w:bottom w:val="single" w:sz="8" w:space="0" w:color="000000"/>
              <w:right w:val="single" w:sz="8" w:space="0" w:color="000000"/>
            </w:tcBorders>
            <w:vAlign w:val="center"/>
          </w:tcPr>
          <w:p w14:paraId="5F7ED1F1"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lastRenderedPageBreak/>
              <w:t>None</w:t>
            </w:r>
          </w:p>
        </w:tc>
        <w:tc>
          <w:tcPr>
            <w:tcW w:w="3866" w:type="dxa"/>
            <w:tcBorders>
              <w:top w:val="single" w:sz="8" w:space="0" w:color="000000"/>
              <w:left w:val="single" w:sz="8" w:space="0" w:color="000000"/>
              <w:bottom w:val="single" w:sz="8" w:space="0" w:color="000000"/>
              <w:right w:val="single" w:sz="8" w:space="0" w:color="000000"/>
            </w:tcBorders>
            <w:vAlign w:val="center"/>
          </w:tcPr>
          <w:p w14:paraId="1F48F879"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permanent residents.</w:t>
            </w:r>
          </w:p>
        </w:tc>
      </w:tr>
      <w:tr w:rsidR="002E73D7" w:rsidRPr="00AE5F17" w14:paraId="141F8763" w14:textId="77777777" w:rsidTr="00626F9B">
        <w:trPr>
          <w:trHeight w:val="434"/>
        </w:trPr>
        <w:tc>
          <w:tcPr>
            <w:tcW w:w="1242" w:type="dxa"/>
            <w:vMerge/>
            <w:tcBorders>
              <w:left w:val="single" w:sz="8" w:space="0" w:color="000000"/>
              <w:right w:val="single" w:sz="8" w:space="0" w:color="000000"/>
            </w:tcBorders>
            <w:vAlign w:val="center"/>
          </w:tcPr>
          <w:p w14:paraId="03008E17"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4757C7E5" w14:textId="02B70BAB"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28.</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Health education</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(per permanent resident)</w:t>
            </w:r>
          </w:p>
        </w:tc>
        <w:tc>
          <w:tcPr>
            <w:tcW w:w="618" w:type="dxa"/>
            <w:tcBorders>
              <w:top w:val="single" w:sz="8" w:space="0" w:color="000000"/>
              <w:left w:val="single" w:sz="8" w:space="0" w:color="000000"/>
              <w:bottom w:val="single" w:sz="8" w:space="0" w:color="000000"/>
              <w:right w:val="single" w:sz="8" w:space="0" w:color="000000"/>
            </w:tcBorders>
            <w:vAlign w:val="center"/>
          </w:tcPr>
          <w:p w14:paraId="0D9C773C"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0.2</w:t>
            </w:r>
          </w:p>
        </w:tc>
        <w:tc>
          <w:tcPr>
            <w:tcW w:w="4626" w:type="dxa"/>
            <w:tcBorders>
              <w:top w:val="single" w:sz="8" w:space="0" w:color="000000"/>
              <w:left w:val="single" w:sz="8" w:space="0" w:color="000000"/>
              <w:bottom w:val="single" w:sz="8" w:space="0" w:color="000000"/>
              <w:right w:val="single" w:sz="8" w:space="0" w:color="000000"/>
            </w:tcBorders>
            <w:vAlign w:val="center"/>
          </w:tcPr>
          <w:p w14:paraId="4696F783" w14:textId="1909895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To provide health education materials, each institution needs to provide 12 kinds of printed material and 6 kinds of image material at least every year; to set up health education propaganda boards at least 6 times a year; to carry out public health consultation services at least 9 times a year; to provide health knowledge lectures at least 12 times a year; to provide individualized health education in combination with outpatient clinics and visits.</w:t>
            </w:r>
          </w:p>
        </w:tc>
        <w:tc>
          <w:tcPr>
            <w:tcW w:w="1559" w:type="dxa"/>
            <w:tcBorders>
              <w:top w:val="single" w:sz="8" w:space="0" w:color="000000"/>
              <w:left w:val="single" w:sz="8" w:space="0" w:color="000000"/>
              <w:bottom w:val="single" w:sz="8" w:space="0" w:color="000000"/>
              <w:right w:val="single" w:sz="8" w:space="0" w:color="000000"/>
            </w:tcBorders>
            <w:vAlign w:val="center"/>
          </w:tcPr>
          <w:p w14:paraId="28A237B4"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None</w:t>
            </w:r>
          </w:p>
        </w:tc>
        <w:tc>
          <w:tcPr>
            <w:tcW w:w="3866" w:type="dxa"/>
            <w:tcBorders>
              <w:top w:val="single" w:sz="8" w:space="0" w:color="000000"/>
              <w:left w:val="single" w:sz="8" w:space="0" w:color="000000"/>
              <w:bottom w:val="single" w:sz="8" w:space="0" w:color="000000"/>
              <w:right w:val="single" w:sz="8" w:space="0" w:color="000000"/>
            </w:tcBorders>
            <w:vAlign w:val="center"/>
          </w:tcPr>
          <w:p w14:paraId="723FC96E"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permanent residents.</w:t>
            </w:r>
          </w:p>
        </w:tc>
      </w:tr>
      <w:tr w:rsidR="002E73D7" w:rsidRPr="00AE5F17" w14:paraId="54A04CC7" w14:textId="77777777" w:rsidTr="00626F9B">
        <w:trPr>
          <w:trHeight w:val="760"/>
        </w:trPr>
        <w:tc>
          <w:tcPr>
            <w:tcW w:w="1242" w:type="dxa"/>
            <w:vMerge/>
            <w:tcBorders>
              <w:left w:val="single" w:sz="8" w:space="0" w:color="000000"/>
              <w:bottom w:val="single" w:sz="8" w:space="0" w:color="000000"/>
              <w:right w:val="single" w:sz="8" w:space="0" w:color="000000"/>
            </w:tcBorders>
            <w:vAlign w:val="center"/>
          </w:tcPr>
          <w:p w14:paraId="18998F59" w14:textId="77777777" w:rsidR="002E73D7" w:rsidRPr="00AE5F17" w:rsidRDefault="002E73D7" w:rsidP="002E73D7">
            <w:pPr>
              <w:adjustRightInd w:val="0"/>
              <w:snapToGrid w:val="0"/>
              <w:spacing w:line="260" w:lineRule="exact"/>
              <w:jc w:val="center"/>
              <w:rPr>
                <w:rFonts w:ascii="Times New Roman" w:eastAsia="宋体" w:hAnsi="Times New Roman" w:cs="Times New Roman"/>
                <w:b/>
                <w:bCs/>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561D0D84" w14:textId="43475D63"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29.</w:t>
            </w:r>
            <w:r w:rsidR="00901095" w:rsidRPr="00AE5F17">
              <w:rPr>
                <w:rFonts w:ascii="Times New Roman" w:eastAsia="宋体" w:hAnsi="Times New Roman" w:cs="Times New Roman"/>
                <w:color w:val="000000"/>
                <w:sz w:val="20"/>
                <w:szCs w:val="20"/>
              </w:rPr>
              <w:t xml:space="preserve"> </w:t>
            </w:r>
            <w:r w:rsidRPr="00AE5F17">
              <w:rPr>
                <w:rFonts w:ascii="Times New Roman" w:eastAsia="宋体" w:hAnsi="Times New Roman" w:cs="Times New Roman"/>
                <w:color w:val="000000"/>
                <w:sz w:val="20"/>
                <w:szCs w:val="20"/>
              </w:rPr>
              <w:t>Health supervision and co-management (per permanent resident)</w:t>
            </w:r>
          </w:p>
        </w:tc>
        <w:tc>
          <w:tcPr>
            <w:tcW w:w="618" w:type="dxa"/>
            <w:tcBorders>
              <w:top w:val="single" w:sz="8" w:space="0" w:color="000000"/>
              <w:left w:val="single" w:sz="8" w:space="0" w:color="000000"/>
              <w:bottom w:val="single" w:sz="8" w:space="0" w:color="000000"/>
              <w:right w:val="single" w:sz="8" w:space="0" w:color="000000"/>
            </w:tcBorders>
            <w:vAlign w:val="center"/>
          </w:tcPr>
          <w:p w14:paraId="339C6608"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0.03</w:t>
            </w:r>
          </w:p>
        </w:tc>
        <w:tc>
          <w:tcPr>
            <w:tcW w:w="4626" w:type="dxa"/>
            <w:tcBorders>
              <w:top w:val="single" w:sz="8" w:space="0" w:color="000000"/>
              <w:left w:val="single" w:sz="8" w:space="0" w:color="000000"/>
              <w:bottom w:val="single" w:sz="8" w:space="0" w:color="000000"/>
              <w:right w:val="single" w:sz="8" w:space="0" w:color="000000"/>
            </w:tcBorders>
            <w:vAlign w:val="center"/>
          </w:tcPr>
          <w:p w14:paraId="12031C06" w14:textId="1DE67F50"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To provide report on food safety, occupational diseases, drinking water safety, school hygiene, illegal medical practice and other incidents; </w:t>
            </w:r>
            <w:r w:rsidR="0021114D" w:rsidRPr="00AE5F17">
              <w:rPr>
                <w:rFonts w:ascii="Times New Roman" w:eastAsia="宋体" w:hAnsi="Times New Roman" w:cs="Times New Roman"/>
                <w:color w:val="000000"/>
                <w:sz w:val="20"/>
                <w:szCs w:val="20"/>
              </w:rPr>
              <w:t>t</w:t>
            </w:r>
            <w:r w:rsidRPr="00AE5F17">
              <w:rPr>
                <w:rFonts w:ascii="Times New Roman" w:eastAsia="宋体" w:hAnsi="Times New Roman" w:cs="Times New Roman"/>
                <w:color w:val="000000"/>
                <w:sz w:val="20"/>
                <w:szCs w:val="20"/>
              </w:rPr>
              <w:t>o inspect drinking water hygiene, school hygiene</w:t>
            </w:r>
            <w:r w:rsidR="0021114D" w:rsidRPr="00AE5F17">
              <w:rPr>
                <w:rFonts w:ascii="Times New Roman" w:eastAsia="宋体" w:hAnsi="Times New Roman" w:cs="Times New Roman"/>
                <w:color w:val="000000"/>
                <w:sz w:val="20"/>
                <w:szCs w:val="20"/>
              </w:rPr>
              <w:t>,</w:t>
            </w:r>
            <w:r w:rsidRPr="00AE5F17">
              <w:rPr>
                <w:rFonts w:ascii="Times New Roman" w:eastAsia="宋体" w:hAnsi="Times New Roman" w:cs="Times New Roman"/>
                <w:color w:val="000000"/>
                <w:sz w:val="20"/>
                <w:szCs w:val="20"/>
              </w:rPr>
              <w:t xml:space="preserve"> and illegal medical practice four times a year.</w:t>
            </w:r>
          </w:p>
        </w:tc>
        <w:tc>
          <w:tcPr>
            <w:tcW w:w="1559" w:type="dxa"/>
            <w:tcBorders>
              <w:top w:val="single" w:sz="8" w:space="0" w:color="000000"/>
              <w:left w:val="single" w:sz="8" w:space="0" w:color="000000"/>
              <w:bottom w:val="single" w:sz="8" w:space="0" w:color="000000"/>
              <w:right w:val="single" w:sz="8" w:space="0" w:color="000000"/>
            </w:tcBorders>
            <w:vAlign w:val="center"/>
          </w:tcPr>
          <w:p w14:paraId="1C56C0DD" w14:textId="77777777" w:rsidR="002E73D7" w:rsidRPr="00AE5F17" w:rsidRDefault="002E73D7" w:rsidP="002E73D7">
            <w:pPr>
              <w:adjustRightInd w:val="0"/>
              <w:snapToGrid w:val="0"/>
              <w:spacing w:line="260" w:lineRule="exact"/>
              <w:jc w:val="center"/>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 xml:space="preserve">None </w:t>
            </w:r>
          </w:p>
        </w:tc>
        <w:tc>
          <w:tcPr>
            <w:tcW w:w="3866" w:type="dxa"/>
            <w:tcBorders>
              <w:top w:val="single" w:sz="8" w:space="0" w:color="000000"/>
              <w:left w:val="single" w:sz="8" w:space="0" w:color="000000"/>
              <w:bottom w:val="single" w:sz="8" w:space="0" w:color="000000"/>
              <w:right w:val="single" w:sz="8" w:space="0" w:color="000000"/>
            </w:tcBorders>
            <w:vAlign w:val="center"/>
          </w:tcPr>
          <w:p w14:paraId="473197FB" w14:textId="77777777" w:rsidR="002E73D7" w:rsidRPr="00AE5F17" w:rsidRDefault="002E73D7" w:rsidP="002E73D7">
            <w:pPr>
              <w:adjustRightInd w:val="0"/>
              <w:snapToGrid w:val="0"/>
              <w:spacing w:line="260" w:lineRule="exact"/>
              <w:jc w:val="left"/>
              <w:rPr>
                <w:rFonts w:ascii="Times New Roman" w:eastAsia="宋体" w:hAnsi="Times New Roman" w:cs="Times New Roman"/>
                <w:color w:val="000000"/>
                <w:sz w:val="20"/>
                <w:szCs w:val="20"/>
              </w:rPr>
            </w:pPr>
            <w:r w:rsidRPr="00AE5F17">
              <w:rPr>
                <w:rFonts w:ascii="Times New Roman" w:eastAsia="宋体" w:hAnsi="Times New Roman" w:cs="Times New Roman"/>
                <w:color w:val="000000"/>
                <w:sz w:val="20"/>
                <w:szCs w:val="20"/>
              </w:rPr>
              <w:t>According to the number of permanent residents.</w:t>
            </w:r>
          </w:p>
        </w:tc>
      </w:tr>
    </w:tbl>
    <w:p w14:paraId="24AE4AE8" w14:textId="77777777" w:rsidR="002E73D7" w:rsidRPr="00AE5F17" w:rsidRDefault="002E73D7" w:rsidP="002E73D7">
      <w:pPr>
        <w:rPr>
          <w:rFonts w:ascii="Times New Roman" w:eastAsia="宋体" w:hAnsi="Times New Roman" w:cs="Times New Roman"/>
          <w:sz w:val="20"/>
          <w:szCs w:val="20"/>
        </w:rPr>
      </w:pPr>
    </w:p>
    <w:p w14:paraId="4D7C6D3D" w14:textId="77777777" w:rsidR="00AF5776" w:rsidRPr="00AE5F17" w:rsidRDefault="00AF5776" w:rsidP="004E38FE">
      <w:pPr>
        <w:widowControl/>
        <w:snapToGrid w:val="0"/>
        <w:spacing w:line="240" w:lineRule="exact"/>
        <w:jc w:val="left"/>
        <w:rPr>
          <w:rFonts w:ascii="Times New Roman" w:hAnsi="Times New Roman" w:cs="Times New Roman"/>
          <w:bCs/>
          <w:kern w:val="36"/>
          <w:sz w:val="20"/>
          <w:szCs w:val="20"/>
        </w:rPr>
      </w:pPr>
    </w:p>
    <w:sectPr w:rsidR="00AF5776" w:rsidRPr="00AE5F17" w:rsidSect="00AF5776">
      <w:footerReference w:type="default" r:id="rId10"/>
      <w:pgSz w:w="16838" w:h="11906" w:orient="landscape"/>
      <w:pgMar w:top="1797" w:right="1440" w:bottom="1797" w:left="1440" w:header="851" w:footer="992" w:gutter="0"/>
      <w:cols w:space="425"/>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F4EF9" w16cid:durableId="21B1A4BB"/>
  <w16cid:commentId w16cid:paraId="58CA7D9D" w16cid:durableId="21B04724"/>
  <w16cid:commentId w16cid:paraId="00850A11" w16cid:durableId="21B2D151"/>
  <w16cid:commentId w16cid:paraId="1CF207D8" w16cid:durableId="21B2E843"/>
  <w16cid:commentId w16cid:paraId="0B6C715D" w16cid:durableId="21B2D7FD"/>
  <w16cid:commentId w16cid:paraId="439745C7" w16cid:durableId="21B2DE59"/>
  <w16cid:commentId w16cid:paraId="6A0C3E1A" w16cid:durableId="21B2E05E"/>
  <w16cid:commentId w16cid:paraId="0E386E54" w16cid:durableId="21B2DDEA"/>
  <w16cid:commentId w16cid:paraId="28A5456B" w16cid:durableId="21B2E3A6"/>
  <w16cid:commentId w16cid:paraId="231ADD03" w16cid:durableId="21B2E440"/>
  <w16cid:commentId w16cid:paraId="4C00B450" w16cid:durableId="21B2D609"/>
  <w16cid:commentId w16cid:paraId="677A7B63" w16cid:durableId="21B2D623"/>
  <w16cid:commentId w16cid:paraId="0D8E6BA3" w16cid:durableId="21B2D721"/>
  <w16cid:commentId w16cid:paraId="3EDCAD04" w16cid:durableId="21B0475D"/>
  <w16cid:commentId w16cid:paraId="2E32184F" w16cid:durableId="21B2D62A"/>
  <w16cid:commentId w16cid:paraId="323BEE42" w16cid:durableId="21B061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ADC4" w14:textId="77777777" w:rsidR="00175415" w:rsidRDefault="00175415" w:rsidP="007720E4">
      <w:r>
        <w:separator/>
      </w:r>
    </w:p>
  </w:endnote>
  <w:endnote w:type="continuationSeparator" w:id="0">
    <w:p w14:paraId="17C6ADA4" w14:textId="77777777" w:rsidR="00175415" w:rsidRDefault="00175415" w:rsidP="0077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26935"/>
      <w:docPartObj>
        <w:docPartGallery w:val="Page Numbers (Bottom of Page)"/>
        <w:docPartUnique/>
      </w:docPartObj>
    </w:sdtPr>
    <w:sdtEndPr/>
    <w:sdtContent>
      <w:p w14:paraId="1BB4496A" w14:textId="77777777" w:rsidR="008566E1" w:rsidRDefault="008566E1">
        <w:pPr>
          <w:pStyle w:val="a9"/>
          <w:jc w:val="center"/>
        </w:pPr>
        <w:r>
          <w:fldChar w:fldCharType="begin"/>
        </w:r>
        <w:r>
          <w:instrText>PAGE   \* MERGEFORMAT</w:instrText>
        </w:r>
        <w:r>
          <w:fldChar w:fldCharType="separate"/>
        </w:r>
        <w:r w:rsidR="00DF21E6" w:rsidRPr="00DF21E6">
          <w:rPr>
            <w:noProof/>
            <w:lang w:val="zh-CN"/>
          </w:rPr>
          <w:t>2</w:t>
        </w:r>
        <w:r>
          <w:fldChar w:fldCharType="end"/>
        </w:r>
      </w:p>
    </w:sdtContent>
  </w:sdt>
  <w:p w14:paraId="6E71215A" w14:textId="77777777" w:rsidR="008566E1" w:rsidRDefault="008566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8683" w14:textId="77777777" w:rsidR="00175415" w:rsidRDefault="00175415" w:rsidP="007720E4">
      <w:r>
        <w:separator/>
      </w:r>
    </w:p>
  </w:footnote>
  <w:footnote w:type="continuationSeparator" w:id="0">
    <w:p w14:paraId="0E208153" w14:textId="77777777" w:rsidR="00175415" w:rsidRDefault="00175415" w:rsidP="0077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265"/>
    <w:multiLevelType w:val="multilevel"/>
    <w:tmpl w:val="C3B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D3BD3"/>
    <w:multiLevelType w:val="hybridMultilevel"/>
    <w:tmpl w:val="7DF24B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B3693D"/>
    <w:multiLevelType w:val="hybridMultilevel"/>
    <w:tmpl w:val="288CEA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2C362E"/>
    <w:multiLevelType w:val="hybridMultilevel"/>
    <w:tmpl w:val="B8E0EDCA"/>
    <w:lvl w:ilvl="0" w:tplc="F684B51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302637"/>
    <w:multiLevelType w:val="hybridMultilevel"/>
    <w:tmpl w:val="6E36929C"/>
    <w:lvl w:ilvl="0" w:tplc="9BACBA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2B1D33"/>
    <w:multiLevelType w:val="hybridMultilevel"/>
    <w:tmpl w:val="EDA472D2"/>
    <w:lvl w:ilvl="0" w:tplc="D9CCE45C">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2A1569"/>
    <w:multiLevelType w:val="hybridMultilevel"/>
    <w:tmpl w:val="2C621C4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1B3567"/>
    <w:multiLevelType w:val="multilevel"/>
    <w:tmpl w:val="032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D1C3F"/>
    <w:multiLevelType w:val="multilevel"/>
    <w:tmpl w:val="992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27"/>
    <w:rsid w:val="000017F0"/>
    <w:rsid w:val="00001C34"/>
    <w:rsid w:val="00004CB2"/>
    <w:rsid w:val="00005944"/>
    <w:rsid w:val="000061FF"/>
    <w:rsid w:val="000071A3"/>
    <w:rsid w:val="000106AC"/>
    <w:rsid w:val="000164D2"/>
    <w:rsid w:val="000167C3"/>
    <w:rsid w:val="00020D16"/>
    <w:rsid w:val="000235D8"/>
    <w:rsid w:val="0002673B"/>
    <w:rsid w:val="00027B0C"/>
    <w:rsid w:val="00033048"/>
    <w:rsid w:val="00033ABD"/>
    <w:rsid w:val="00035C35"/>
    <w:rsid w:val="00043151"/>
    <w:rsid w:val="000431A2"/>
    <w:rsid w:val="00044881"/>
    <w:rsid w:val="00046166"/>
    <w:rsid w:val="00046269"/>
    <w:rsid w:val="00050F27"/>
    <w:rsid w:val="0005275F"/>
    <w:rsid w:val="00056994"/>
    <w:rsid w:val="00056AAB"/>
    <w:rsid w:val="000605AF"/>
    <w:rsid w:val="0006154B"/>
    <w:rsid w:val="00061666"/>
    <w:rsid w:val="00064B6E"/>
    <w:rsid w:val="00067D5E"/>
    <w:rsid w:val="000707C7"/>
    <w:rsid w:val="00070C62"/>
    <w:rsid w:val="00071695"/>
    <w:rsid w:val="00072AA3"/>
    <w:rsid w:val="00072FBA"/>
    <w:rsid w:val="00074CB5"/>
    <w:rsid w:val="00075119"/>
    <w:rsid w:val="00075DB1"/>
    <w:rsid w:val="00080474"/>
    <w:rsid w:val="00080927"/>
    <w:rsid w:val="00080946"/>
    <w:rsid w:val="00083A78"/>
    <w:rsid w:val="00084A25"/>
    <w:rsid w:val="00084CC6"/>
    <w:rsid w:val="00085869"/>
    <w:rsid w:val="00092DBD"/>
    <w:rsid w:val="000938CC"/>
    <w:rsid w:val="00094940"/>
    <w:rsid w:val="00095810"/>
    <w:rsid w:val="0009767E"/>
    <w:rsid w:val="000A10E9"/>
    <w:rsid w:val="000A15E9"/>
    <w:rsid w:val="000A66E1"/>
    <w:rsid w:val="000A7802"/>
    <w:rsid w:val="000A7905"/>
    <w:rsid w:val="000A7DB8"/>
    <w:rsid w:val="000B2BEF"/>
    <w:rsid w:val="000B3852"/>
    <w:rsid w:val="000B5319"/>
    <w:rsid w:val="000C35C9"/>
    <w:rsid w:val="000C37AF"/>
    <w:rsid w:val="000D202E"/>
    <w:rsid w:val="000D3E39"/>
    <w:rsid w:val="000D4D44"/>
    <w:rsid w:val="000E00D1"/>
    <w:rsid w:val="000E2DCD"/>
    <w:rsid w:val="000E37A2"/>
    <w:rsid w:val="000E6CC2"/>
    <w:rsid w:val="000E6CC7"/>
    <w:rsid w:val="000E7CF8"/>
    <w:rsid w:val="000F1BDB"/>
    <w:rsid w:val="000F384E"/>
    <w:rsid w:val="000F7CBD"/>
    <w:rsid w:val="00100738"/>
    <w:rsid w:val="00100900"/>
    <w:rsid w:val="001105B3"/>
    <w:rsid w:val="00111358"/>
    <w:rsid w:val="00111D92"/>
    <w:rsid w:val="00113197"/>
    <w:rsid w:val="001169FC"/>
    <w:rsid w:val="00117629"/>
    <w:rsid w:val="00121930"/>
    <w:rsid w:val="0012441C"/>
    <w:rsid w:val="00130270"/>
    <w:rsid w:val="001335E0"/>
    <w:rsid w:val="00133683"/>
    <w:rsid w:val="001355D5"/>
    <w:rsid w:val="00135B98"/>
    <w:rsid w:val="00135EFD"/>
    <w:rsid w:val="00137816"/>
    <w:rsid w:val="00140486"/>
    <w:rsid w:val="001422F5"/>
    <w:rsid w:val="001442A6"/>
    <w:rsid w:val="0014707B"/>
    <w:rsid w:val="0015199C"/>
    <w:rsid w:val="001561F5"/>
    <w:rsid w:val="001579FB"/>
    <w:rsid w:val="00157D57"/>
    <w:rsid w:val="00160DBF"/>
    <w:rsid w:val="0016157D"/>
    <w:rsid w:val="001621D9"/>
    <w:rsid w:val="00162EBF"/>
    <w:rsid w:val="00165500"/>
    <w:rsid w:val="00166530"/>
    <w:rsid w:val="001702C5"/>
    <w:rsid w:val="00171BB2"/>
    <w:rsid w:val="00175415"/>
    <w:rsid w:val="0017618D"/>
    <w:rsid w:val="00176DBB"/>
    <w:rsid w:val="0017729D"/>
    <w:rsid w:val="001802FB"/>
    <w:rsid w:val="001815ED"/>
    <w:rsid w:val="00182AA1"/>
    <w:rsid w:val="001840C4"/>
    <w:rsid w:val="00184B64"/>
    <w:rsid w:val="00187785"/>
    <w:rsid w:val="00191708"/>
    <w:rsid w:val="00192FEC"/>
    <w:rsid w:val="00193728"/>
    <w:rsid w:val="001A4586"/>
    <w:rsid w:val="001A73E4"/>
    <w:rsid w:val="001A7700"/>
    <w:rsid w:val="001B0BF2"/>
    <w:rsid w:val="001B12B8"/>
    <w:rsid w:val="001B1C26"/>
    <w:rsid w:val="001B34F7"/>
    <w:rsid w:val="001B54A7"/>
    <w:rsid w:val="001B6374"/>
    <w:rsid w:val="001C2EA4"/>
    <w:rsid w:val="001C3121"/>
    <w:rsid w:val="001C38BA"/>
    <w:rsid w:val="001C4C55"/>
    <w:rsid w:val="001C5495"/>
    <w:rsid w:val="001C5F56"/>
    <w:rsid w:val="001C79E4"/>
    <w:rsid w:val="001D352A"/>
    <w:rsid w:val="001D3551"/>
    <w:rsid w:val="001D62D7"/>
    <w:rsid w:val="001D6C0E"/>
    <w:rsid w:val="001D79B2"/>
    <w:rsid w:val="001E439F"/>
    <w:rsid w:val="001E512D"/>
    <w:rsid w:val="001E686C"/>
    <w:rsid w:val="001E7F38"/>
    <w:rsid w:val="001F37C3"/>
    <w:rsid w:val="001F3944"/>
    <w:rsid w:val="001F4819"/>
    <w:rsid w:val="001F7C2F"/>
    <w:rsid w:val="002013F5"/>
    <w:rsid w:val="00202515"/>
    <w:rsid w:val="00202B92"/>
    <w:rsid w:val="0020365D"/>
    <w:rsid w:val="0020608B"/>
    <w:rsid w:val="00206A3E"/>
    <w:rsid w:val="00207E73"/>
    <w:rsid w:val="002109F8"/>
    <w:rsid w:val="00210B32"/>
    <w:rsid w:val="0021114D"/>
    <w:rsid w:val="00211690"/>
    <w:rsid w:val="00222C7A"/>
    <w:rsid w:val="00226162"/>
    <w:rsid w:val="00226967"/>
    <w:rsid w:val="00227A79"/>
    <w:rsid w:val="002346D1"/>
    <w:rsid w:val="0023588B"/>
    <w:rsid w:val="002423FC"/>
    <w:rsid w:val="00242581"/>
    <w:rsid w:val="00247EBE"/>
    <w:rsid w:val="00250450"/>
    <w:rsid w:val="0025126D"/>
    <w:rsid w:val="002564A7"/>
    <w:rsid w:val="00257F02"/>
    <w:rsid w:val="00260B16"/>
    <w:rsid w:val="002628D8"/>
    <w:rsid w:val="002636F8"/>
    <w:rsid w:val="00263954"/>
    <w:rsid w:val="00264788"/>
    <w:rsid w:val="00267017"/>
    <w:rsid w:val="00270360"/>
    <w:rsid w:val="00271C44"/>
    <w:rsid w:val="00275EC3"/>
    <w:rsid w:val="0027720E"/>
    <w:rsid w:val="00281B53"/>
    <w:rsid w:val="002826F8"/>
    <w:rsid w:val="0028299F"/>
    <w:rsid w:val="00283784"/>
    <w:rsid w:val="00284E99"/>
    <w:rsid w:val="002858A6"/>
    <w:rsid w:val="002874D0"/>
    <w:rsid w:val="002900F0"/>
    <w:rsid w:val="00296F42"/>
    <w:rsid w:val="002A0F43"/>
    <w:rsid w:val="002A1032"/>
    <w:rsid w:val="002A191F"/>
    <w:rsid w:val="002A2D66"/>
    <w:rsid w:val="002A3F15"/>
    <w:rsid w:val="002A4DBB"/>
    <w:rsid w:val="002B31F6"/>
    <w:rsid w:val="002B4857"/>
    <w:rsid w:val="002B5E2A"/>
    <w:rsid w:val="002C0153"/>
    <w:rsid w:val="002C2E86"/>
    <w:rsid w:val="002C3F06"/>
    <w:rsid w:val="002C413B"/>
    <w:rsid w:val="002C44B4"/>
    <w:rsid w:val="002C714E"/>
    <w:rsid w:val="002D3582"/>
    <w:rsid w:val="002D4897"/>
    <w:rsid w:val="002D7D07"/>
    <w:rsid w:val="002E0280"/>
    <w:rsid w:val="002E0F7C"/>
    <w:rsid w:val="002E18FF"/>
    <w:rsid w:val="002E3F6D"/>
    <w:rsid w:val="002E73D7"/>
    <w:rsid w:val="002E78AE"/>
    <w:rsid w:val="002F0260"/>
    <w:rsid w:val="002F1C87"/>
    <w:rsid w:val="002F6A00"/>
    <w:rsid w:val="003026FF"/>
    <w:rsid w:val="00302CA4"/>
    <w:rsid w:val="00303F70"/>
    <w:rsid w:val="0030547D"/>
    <w:rsid w:val="0031177C"/>
    <w:rsid w:val="00313ADF"/>
    <w:rsid w:val="00314E8C"/>
    <w:rsid w:val="00315255"/>
    <w:rsid w:val="00316034"/>
    <w:rsid w:val="00316603"/>
    <w:rsid w:val="00316D2A"/>
    <w:rsid w:val="003179BC"/>
    <w:rsid w:val="00321C4A"/>
    <w:rsid w:val="003230D2"/>
    <w:rsid w:val="00327480"/>
    <w:rsid w:val="003304E8"/>
    <w:rsid w:val="00332924"/>
    <w:rsid w:val="00332E92"/>
    <w:rsid w:val="00332FAA"/>
    <w:rsid w:val="00333A16"/>
    <w:rsid w:val="003354D0"/>
    <w:rsid w:val="0033737A"/>
    <w:rsid w:val="0034042B"/>
    <w:rsid w:val="00341DEF"/>
    <w:rsid w:val="00342463"/>
    <w:rsid w:val="00345D3C"/>
    <w:rsid w:val="00351FAA"/>
    <w:rsid w:val="00352892"/>
    <w:rsid w:val="0035325B"/>
    <w:rsid w:val="00355AA0"/>
    <w:rsid w:val="0035654B"/>
    <w:rsid w:val="003577C4"/>
    <w:rsid w:val="003649B4"/>
    <w:rsid w:val="00366164"/>
    <w:rsid w:val="00367557"/>
    <w:rsid w:val="003717A8"/>
    <w:rsid w:val="003751FB"/>
    <w:rsid w:val="00380981"/>
    <w:rsid w:val="00380B37"/>
    <w:rsid w:val="00380CC6"/>
    <w:rsid w:val="00381404"/>
    <w:rsid w:val="00384A02"/>
    <w:rsid w:val="00384D52"/>
    <w:rsid w:val="00384E43"/>
    <w:rsid w:val="003879B5"/>
    <w:rsid w:val="003906A8"/>
    <w:rsid w:val="003921E7"/>
    <w:rsid w:val="00397F95"/>
    <w:rsid w:val="003A03CB"/>
    <w:rsid w:val="003A0F27"/>
    <w:rsid w:val="003A0F73"/>
    <w:rsid w:val="003A7821"/>
    <w:rsid w:val="003B0040"/>
    <w:rsid w:val="003B12CB"/>
    <w:rsid w:val="003B54D3"/>
    <w:rsid w:val="003B67E1"/>
    <w:rsid w:val="003C10AC"/>
    <w:rsid w:val="003C35FA"/>
    <w:rsid w:val="003C3BFC"/>
    <w:rsid w:val="003C5575"/>
    <w:rsid w:val="003C678B"/>
    <w:rsid w:val="003C7061"/>
    <w:rsid w:val="003D0C2F"/>
    <w:rsid w:val="003D18A4"/>
    <w:rsid w:val="003D5373"/>
    <w:rsid w:val="003D6ADF"/>
    <w:rsid w:val="003F1052"/>
    <w:rsid w:val="003F543B"/>
    <w:rsid w:val="003F6992"/>
    <w:rsid w:val="00401E07"/>
    <w:rsid w:val="00406800"/>
    <w:rsid w:val="00407BF2"/>
    <w:rsid w:val="00413E9D"/>
    <w:rsid w:val="00415C59"/>
    <w:rsid w:val="00416E78"/>
    <w:rsid w:val="00417835"/>
    <w:rsid w:val="00417B41"/>
    <w:rsid w:val="00426B4A"/>
    <w:rsid w:val="00430D5B"/>
    <w:rsid w:val="00431E5B"/>
    <w:rsid w:val="00432965"/>
    <w:rsid w:val="00433EE0"/>
    <w:rsid w:val="00443122"/>
    <w:rsid w:val="004431A0"/>
    <w:rsid w:val="0044488F"/>
    <w:rsid w:val="00444D75"/>
    <w:rsid w:val="0045066C"/>
    <w:rsid w:val="00451791"/>
    <w:rsid w:val="0045186D"/>
    <w:rsid w:val="0045465D"/>
    <w:rsid w:val="00455003"/>
    <w:rsid w:val="00455B3E"/>
    <w:rsid w:val="00460B82"/>
    <w:rsid w:val="00462F29"/>
    <w:rsid w:val="00463511"/>
    <w:rsid w:val="00463A44"/>
    <w:rsid w:val="00463DE2"/>
    <w:rsid w:val="00464AA0"/>
    <w:rsid w:val="00466098"/>
    <w:rsid w:val="00480BE4"/>
    <w:rsid w:val="004821BA"/>
    <w:rsid w:val="0048290E"/>
    <w:rsid w:val="0048323A"/>
    <w:rsid w:val="004845EF"/>
    <w:rsid w:val="004870B2"/>
    <w:rsid w:val="00487D2C"/>
    <w:rsid w:val="00487E18"/>
    <w:rsid w:val="004912D0"/>
    <w:rsid w:val="004937A5"/>
    <w:rsid w:val="00494788"/>
    <w:rsid w:val="004954D5"/>
    <w:rsid w:val="0049706B"/>
    <w:rsid w:val="004A2FEB"/>
    <w:rsid w:val="004A38EE"/>
    <w:rsid w:val="004A4164"/>
    <w:rsid w:val="004A4A1A"/>
    <w:rsid w:val="004A5E5F"/>
    <w:rsid w:val="004B07F4"/>
    <w:rsid w:val="004B310D"/>
    <w:rsid w:val="004B352C"/>
    <w:rsid w:val="004B3CAA"/>
    <w:rsid w:val="004B4B1A"/>
    <w:rsid w:val="004B4F3C"/>
    <w:rsid w:val="004C1EB5"/>
    <w:rsid w:val="004C3A70"/>
    <w:rsid w:val="004D75AF"/>
    <w:rsid w:val="004E006B"/>
    <w:rsid w:val="004E1341"/>
    <w:rsid w:val="004E16E4"/>
    <w:rsid w:val="004E2839"/>
    <w:rsid w:val="004E38FE"/>
    <w:rsid w:val="004E6DE0"/>
    <w:rsid w:val="004E7940"/>
    <w:rsid w:val="004F45AA"/>
    <w:rsid w:val="004F6636"/>
    <w:rsid w:val="004F66BD"/>
    <w:rsid w:val="004F6923"/>
    <w:rsid w:val="004F7E01"/>
    <w:rsid w:val="0050281B"/>
    <w:rsid w:val="0050494C"/>
    <w:rsid w:val="00504B83"/>
    <w:rsid w:val="005110E9"/>
    <w:rsid w:val="00513B40"/>
    <w:rsid w:val="00521261"/>
    <w:rsid w:val="0052193A"/>
    <w:rsid w:val="00525F3B"/>
    <w:rsid w:val="005277C8"/>
    <w:rsid w:val="00532DEB"/>
    <w:rsid w:val="005330CE"/>
    <w:rsid w:val="0053511E"/>
    <w:rsid w:val="0054141B"/>
    <w:rsid w:val="00541898"/>
    <w:rsid w:val="00546A8A"/>
    <w:rsid w:val="00551FFB"/>
    <w:rsid w:val="00553199"/>
    <w:rsid w:val="0055324E"/>
    <w:rsid w:val="00555BFC"/>
    <w:rsid w:val="00555E43"/>
    <w:rsid w:val="0055601B"/>
    <w:rsid w:val="00561E4A"/>
    <w:rsid w:val="00561F6E"/>
    <w:rsid w:val="005707AD"/>
    <w:rsid w:val="005729C1"/>
    <w:rsid w:val="00572EED"/>
    <w:rsid w:val="005754DE"/>
    <w:rsid w:val="00577A87"/>
    <w:rsid w:val="005802EF"/>
    <w:rsid w:val="005858E8"/>
    <w:rsid w:val="0059411F"/>
    <w:rsid w:val="00595B39"/>
    <w:rsid w:val="005A42C0"/>
    <w:rsid w:val="005A70CD"/>
    <w:rsid w:val="005B3993"/>
    <w:rsid w:val="005B5F27"/>
    <w:rsid w:val="005B69BA"/>
    <w:rsid w:val="005B7443"/>
    <w:rsid w:val="005B79D8"/>
    <w:rsid w:val="005C1121"/>
    <w:rsid w:val="005C32D2"/>
    <w:rsid w:val="005D15F9"/>
    <w:rsid w:val="005D32F4"/>
    <w:rsid w:val="005D527F"/>
    <w:rsid w:val="005D6F4E"/>
    <w:rsid w:val="005D728A"/>
    <w:rsid w:val="005E4FC6"/>
    <w:rsid w:val="005E4FE8"/>
    <w:rsid w:val="005F022D"/>
    <w:rsid w:val="005F1642"/>
    <w:rsid w:val="005F206F"/>
    <w:rsid w:val="005F2549"/>
    <w:rsid w:val="005F2D5F"/>
    <w:rsid w:val="005F3032"/>
    <w:rsid w:val="005F3738"/>
    <w:rsid w:val="005F3B5C"/>
    <w:rsid w:val="005F44E2"/>
    <w:rsid w:val="005F5C6C"/>
    <w:rsid w:val="005F733B"/>
    <w:rsid w:val="00600001"/>
    <w:rsid w:val="006008CE"/>
    <w:rsid w:val="00600A3A"/>
    <w:rsid w:val="00601FEE"/>
    <w:rsid w:val="00602C0F"/>
    <w:rsid w:val="00603885"/>
    <w:rsid w:val="00603A2F"/>
    <w:rsid w:val="00603AD2"/>
    <w:rsid w:val="00613818"/>
    <w:rsid w:val="006162E6"/>
    <w:rsid w:val="00616312"/>
    <w:rsid w:val="006177AD"/>
    <w:rsid w:val="00620B55"/>
    <w:rsid w:val="00620ECD"/>
    <w:rsid w:val="00621382"/>
    <w:rsid w:val="006216FF"/>
    <w:rsid w:val="00621B73"/>
    <w:rsid w:val="00622EA1"/>
    <w:rsid w:val="006255C7"/>
    <w:rsid w:val="00625A4F"/>
    <w:rsid w:val="00626F54"/>
    <w:rsid w:val="00626F9B"/>
    <w:rsid w:val="006306D6"/>
    <w:rsid w:val="006307A8"/>
    <w:rsid w:val="006325DD"/>
    <w:rsid w:val="00632681"/>
    <w:rsid w:val="006333DC"/>
    <w:rsid w:val="006336F6"/>
    <w:rsid w:val="00633B12"/>
    <w:rsid w:val="00634634"/>
    <w:rsid w:val="00634732"/>
    <w:rsid w:val="0063791A"/>
    <w:rsid w:val="00640273"/>
    <w:rsid w:val="00643BC9"/>
    <w:rsid w:val="00646FA6"/>
    <w:rsid w:val="00651687"/>
    <w:rsid w:val="006533DD"/>
    <w:rsid w:val="00656A8E"/>
    <w:rsid w:val="006575F4"/>
    <w:rsid w:val="00657E33"/>
    <w:rsid w:val="00660933"/>
    <w:rsid w:val="00662E94"/>
    <w:rsid w:val="00663CAE"/>
    <w:rsid w:val="0066472A"/>
    <w:rsid w:val="00665231"/>
    <w:rsid w:val="006656A2"/>
    <w:rsid w:val="006675CE"/>
    <w:rsid w:val="00676127"/>
    <w:rsid w:val="006813B8"/>
    <w:rsid w:val="00681FD5"/>
    <w:rsid w:val="0068240D"/>
    <w:rsid w:val="00683F37"/>
    <w:rsid w:val="00685108"/>
    <w:rsid w:val="00685894"/>
    <w:rsid w:val="00685A75"/>
    <w:rsid w:val="00686A2A"/>
    <w:rsid w:val="00687429"/>
    <w:rsid w:val="00687553"/>
    <w:rsid w:val="00687E82"/>
    <w:rsid w:val="00691830"/>
    <w:rsid w:val="006930C6"/>
    <w:rsid w:val="00694227"/>
    <w:rsid w:val="006946E8"/>
    <w:rsid w:val="006A0302"/>
    <w:rsid w:val="006A2B02"/>
    <w:rsid w:val="006A4AB3"/>
    <w:rsid w:val="006A7E41"/>
    <w:rsid w:val="006B12C7"/>
    <w:rsid w:val="006B2109"/>
    <w:rsid w:val="006B5C4C"/>
    <w:rsid w:val="006B6D83"/>
    <w:rsid w:val="006B6E1F"/>
    <w:rsid w:val="006C1921"/>
    <w:rsid w:val="006C20A6"/>
    <w:rsid w:val="006C4D0E"/>
    <w:rsid w:val="006C5591"/>
    <w:rsid w:val="006C6D07"/>
    <w:rsid w:val="006D5B9B"/>
    <w:rsid w:val="006D69C9"/>
    <w:rsid w:val="006D6D90"/>
    <w:rsid w:val="006D773C"/>
    <w:rsid w:val="006E0502"/>
    <w:rsid w:val="006E23D9"/>
    <w:rsid w:val="006E43E2"/>
    <w:rsid w:val="006E5475"/>
    <w:rsid w:val="006E7EAE"/>
    <w:rsid w:val="006F3593"/>
    <w:rsid w:val="006F3F20"/>
    <w:rsid w:val="006F4338"/>
    <w:rsid w:val="006F551F"/>
    <w:rsid w:val="007001F9"/>
    <w:rsid w:val="0070050F"/>
    <w:rsid w:val="00703510"/>
    <w:rsid w:val="0070373A"/>
    <w:rsid w:val="007059CF"/>
    <w:rsid w:val="00706CEF"/>
    <w:rsid w:val="00707F43"/>
    <w:rsid w:val="00712550"/>
    <w:rsid w:val="00713A77"/>
    <w:rsid w:val="0071459C"/>
    <w:rsid w:val="0071736B"/>
    <w:rsid w:val="00717963"/>
    <w:rsid w:val="00723C22"/>
    <w:rsid w:val="00725B4E"/>
    <w:rsid w:val="007260B3"/>
    <w:rsid w:val="00726D11"/>
    <w:rsid w:val="00727CF1"/>
    <w:rsid w:val="00731F32"/>
    <w:rsid w:val="00732A84"/>
    <w:rsid w:val="00733867"/>
    <w:rsid w:val="00734CF7"/>
    <w:rsid w:val="00740B49"/>
    <w:rsid w:val="0075247A"/>
    <w:rsid w:val="00754287"/>
    <w:rsid w:val="00755C3A"/>
    <w:rsid w:val="00763F8A"/>
    <w:rsid w:val="00764B48"/>
    <w:rsid w:val="0076756B"/>
    <w:rsid w:val="007720E4"/>
    <w:rsid w:val="00772781"/>
    <w:rsid w:val="0077287D"/>
    <w:rsid w:val="00773137"/>
    <w:rsid w:val="00775136"/>
    <w:rsid w:val="00775A30"/>
    <w:rsid w:val="007832AC"/>
    <w:rsid w:val="00783634"/>
    <w:rsid w:val="00783F4A"/>
    <w:rsid w:val="00784FCD"/>
    <w:rsid w:val="007865F3"/>
    <w:rsid w:val="007872AA"/>
    <w:rsid w:val="00791345"/>
    <w:rsid w:val="00791742"/>
    <w:rsid w:val="00792311"/>
    <w:rsid w:val="0079339A"/>
    <w:rsid w:val="007935FA"/>
    <w:rsid w:val="0079503C"/>
    <w:rsid w:val="007968B7"/>
    <w:rsid w:val="007A3B3F"/>
    <w:rsid w:val="007A3F03"/>
    <w:rsid w:val="007A49F5"/>
    <w:rsid w:val="007A7DF3"/>
    <w:rsid w:val="007B0F03"/>
    <w:rsid w:val="007B10D7"/>
    <w:rsid w:val="007B570A"/>
    <w:rsid w:val="007C1BD2"/>
    <w:rsid w:val="007C2289"/>
    <w:rsid w:val="007C2D85"/>
    <w:rsid w:val="007C5F5E"/>
    <w:rsid w:val="007C7658"/>
    <w:rsid w:val="007C7C0D"/>
    <w:rsid w:val="007D2916"/>
    <w:rsid w:val="007D392C"/>
    <w:rsid w:val="007D4D3E"/>
    <w:rsid w:val="007E104C"/>
    <w:rsid w:val="007E16F2"/>
    <w:rsid w:val="007E22E4"/>
    <w:rsid w:val="007E32A5"/>
    <w:rsid w:val="007E48C9"/>
    <w:rsid w:val="007E49F3"/>
    <w:rsid w:val="007E7055"/>
    <w:rsid w:val="007F36AC"/>
    <w:rsid w:val="007F63CF"/>
    <w:rsid w:val="008006D6"/>
    <w:rsid w:val="00801F37"/>
    <w:rsid w:val="0080408D"/>
    <w:rsid w:val="00805231"/>
    <w:rsid w:val="0081219A"/>
    <w:rsid w:val="00812F1E"/>
    <w:rsid w:val="00813BF8"/>
    <w:rsid w:val="0081716C"/>
    <w:rsid w:val="0082018A"/>
    <w:rsid w:val="00820709"/>
    <w:rsid w:val="00823B17"/>
    <w:rsid w:val="00826FF5"/>
    <w:rsid w:val="00832073"/>
    <w:rsid w:val="008343C1"/>
    <w:rsid w:val="008379B9"/>
    <w:rsid w:val="008420CB"/>
    <w:rsid w:val="00843D2B"/>
    <w:rsid w:val="00844F83"/>
    <w:rsid w:val="00850334"/>
    <w:rsid w:val="00852FCB"/>
    <w:rsid w:val="00854A1B"/>
    <w:rsid w:val="00856147"/>
    <w:rsid w:val="008566E1"/>
    <w:rsid w:val="00856E4A"/>
    <w:rsid w:val="00857E5F"/>
    <w:rsid w:val="00860335"/>
    <w:rsid w:val="00862ABB"/>
    <w:rsid w:val="00864074"/>
    <w:rsid w:val="00864757"/>
    <w:rsid w:val="008717F2"/>
    <w:rsid w:val="008718DE"/>
    <w:rsid w:val="00872E9A"/>
    <w:rsid w:val="00877E05"/>
    <w:rsid w:val="00880613"/>
    <w:rsid w:val="00881FD6"/>
    <w:rsid w:val="00883874"/>
    <w:rsid w:val="00884947"/>
    <w:rsid w:val="008853D6"/>
    <w:rsid w:val="008863C0"/>
    <w:rsid w:val="00886569"/>
    <w:rsid w:val="008936F1"/>
    <w:rsid w:val="0089484F"/>
    <w:rsid w:val="008A3D85"/>
    <w:rsid w:val="008A4C87"/>
    <w:rsid w:val="008A7139"/>
    <w:rsid w:val="008A733A"/>
    <w:rsid w:val="008B05E3"/>
    <w:rsid w:val="008B0D15"/>
    <w:rsid w:val="008B1C8A"/>
    <w:rsid w:val="008B37F7"/>
    <w:rsid w:val="008B5F01"/>
    <w:rsid w:val="008B6451"/>
    <w:rsid w:val="008B7D02"/>
    <w:rsid w:val="008D1074"/>
    <w:rsid w:val="008E2B7F"/>
    <w:rsid w:val="008E2D5B"/>
    <w:rsid w:val="008E2EFA"/>
    <w:rsid w:val="008E3DFC"/>
    <w:rsid w:val="008E3FA6"/>
    <w:rsid w:val="008E50A1"/>
    <w:rsid w:val="008E5E46"/>
    <w:rsid w:val="008F18C0"/>
    <w:rsid w:val="008F27B1"/>
    <w:rsid w:val="008F2D7B"/>
    <w:rsid w:val="00900CCD"/>
    <w:rsid w:val="00901095"/>
    <w:rsid w:val="009031FD"/>
    <w:rsid w:val="00905008"/>
    <w:rsid w:val="00906301"/>
    <w:rsid w:val="0091069B"/>
    <w:rsid w:val="00911AD3"/>
    <w:rsid w:val="00911E53"/>
    <w:rsid w:val="00913845"/>
    <w:rsid w:val="00916145"/>
    <w:rsid w:val="009162B7"/>
    <w:rsid w:val="00922680"/>
    <w:rsid w:val="00923DAC"/>
    <w:rsid w:val="0092418F"/>
    <w:rsid w:val="00925194"/>
    <w:rsid w:val="0093013F"/>
    <w:rsid w:val="00930175"/>
    <w:rsid w:val="00932C77"/>
    <w:rsid w:val="00933BEC"/>
    <w:rsid w:val="00934472"/>
    <w:rsid w:val="009364DC"/>
    <w:rsid w:val="00936BB3"/>
    <w:rsid w:val="0094067E"/>
    <w:rsid w:val="00940DF1"/>
    <w:rsid w:val="009445C2"/>
    <w:rsid w:val="009475C4"/>
    <w:rsid w:val="00947667"/>
    <w:rsid w:val="009509D9"/>
    <w:rsid w:val="0095219F"/>
    <w:rsid w:val="009526EC"/>
    <w:rsid w:val="00955473"/>
    <w:rsid w:val="00956076"/>
    <w:rsid w:val="00962BEB"/>
    <w:rsid w:val="00965786"/>
    <w:rsid w:val="00970200"/>
    <w:rsid w:val="00970E3E"/>
    <w:rsid w:val="00975412"/>
    <w:rsid w:val="00976914"/>
    <w:rsid w:val="00980A1A"/>
    <w:rsid w:val="00980BBB"/>
    <w:rsid w:val="009816E1"/>
    <w:rsid w:val="00982D02"/>
    <w:rsid w:val="0098304B"/>
    <w:rsid w:val="009853CA"/>
    <w:rsid w:val="00985D7A"/>
    <w:rsid w:val="00986EBA"/>
    <w:rsid w:val="00995BA0"/>
    <w:rsid w:val="00997552"/>
    <w:rsid w:val="009A0E74"/>
    <w:rsid w:val="009A1D70"/>
    <w:rsid w:val="009A38D3"/>
    <w:rsid w:val="009A5596"/>
    <w:rsid w:val="009A668C"/>
    <w:rsid w:val="009B15F5"/>
    <w:rsid w:val="009B2F1C"/>
    <w:rsid w:val="009B457C"/>
    <w:rsid w:val="009B484C"/>
    <w:rsid w:val="009B5AC4"/>
    <w:rsid w:val="009B6D08"/>
    <w:rsid w:val="009C0F74"/>
    <w:rsid w:val="009C0FF7"/>
    <w:rsid w:val="009C3932"/>
    <w:rsid w:val="009C3C69"/>
    <w:rsid w:val="009C41AE"/>
    <w:rsid w:val="009C6B03"/>
    <w:rsid w:val="009C6D5D"/>
    <w:rsid w:val="009D01B3"/>
    <w:rsid w:val="009D29DB"/>
    <w:rsid w:val="009D5081"/>
    <w:rsid w:val="009D5757"/>
    <w:rsid w:val="009D66FE"/>
    <w:rsid w:val="009D75AA"/>
    <w:rsid w:val="009D789C"/>
    <w:rsid w:val="009E0C10"/>
    <w:rsid w:val="009E71EF"/>
    <w:rsid w:val="009F0C72"/>
    <w:rsid w:val="009F6CDF"/>
    <w:rsid w:val="00A002E5"/>
    <w:rsid w:val="00A00DC2"/>
    <w:rsid w:val="00A02EE7"/>
    <w:rsid w:val="00A05145"/>
    <w:rsid w:val="00A0651D"/>
    <w:rsid w:val="00A06644"/>
    <w:rsid w:val="00A06992"/>
    <w:rsid w:val="00A07DFE"/>
    <w:rsid w:val="00A1088F"/>
    <w:rsid w:val="00A14D04"/>
    <w:rsid w:val="00A159EB"/>
    <w:rsid w:val="00A22BD1"/>
    <w:rsid w:val="00A2504C"/>
    <w:rsid w:val="00A254D2"/>
    <w:rsid w:val="00A258F2"/>
    <w:rsid w:val="00A26B27"/>
    <w:rsid w:val="00A27522"/>
    <w:rsid w:val="00A3101A"/>
    <w:rsid w:val="00A320D5"/>
    <w:rsid w:val="00A336CE"/>
    <w:rsid w:val="00A33771"/>
    <w:rsid w:val="00A35128"/>
    <w:rsid w:val="00A35B0A"/>
    <w:rsid w:val="00A44522"/>
    <w:rsid w:val="00A445EF"/>
    <w:rsid w:val="00A44CFA"/>
    <w:rsid w:val="00A46433"/>
    <w:rsid w:val="00A46522"/>
    <w:rsid w:val="00A50736"/>
    <w:rsid w:val="00A516F4"/>
    <w:rsid w:val="00A5286D"/>
    <w:rsid w:val="00A547DB"/>
    <w:rsid w:val="00A5526F"/>
    <w:rsid w:val="00A558D8"/>
    <w:rsid w:val="00A60851"/>
    <w:rsid w:val="00A60DDF"/>
    <w:rsid w:val="00A62383"/>
    <w:rsid w:val="00A628E1"/>
    <w:rsid w:val="00A63D7F"/>
    <w:rsid w:val="00A64855"/>
    <w:rsid w:val="00A64F17"/>
    <w:rsid w:val="00A6665F"/>
    <w:rsid w:val="00A67467"/>
    <w:rsid w:val="00A77769"/>
    <w:rsid w:val="00A81CA3"/>
    <w:rsid w:val="00A827FB"/>
    <w:rsid w:val="00A85BFA"/>
    <w:rsid w:val="00A85F60"/>
    <w:rsid w:val="00A95370"/>
    <w:rsid w:val="00A9590E"/>
    <w:rsid w:val="00A97450"/>
    <w:rsid w:val="00A97D8A"/>
    <w:rsid w:val="00AA0210"/>
    <w:rsid w:val="00AA3A47"/>
    <w:rsid w:val="00AA433D"/>
    <w:rsid w:val="00AA4FDF"/>
    <w:rsid w:val="00AA6612"/>
    <w:rsid w:val="00AB3DC2"/>
    <w:rsid w:val="00AB4658"/>
    <w:rsid w:val="00AB5C69"/>
    <w:rsid w:val="00AC00A2"/>
    <w:rsid w:val="00AC0840"/>
    <w:rsid w:val="00AC53B6"/>
    <w:rsid w:val="00AC5C5C"/>
    <w:rsid w:val="00AC5FB8"/>
    <w:rsid w:val="00AD2130"/>
    <w:rsid w:val="00AD251B"/>
    <w:rsid w:val="00AD2842"/>
    <w:rsid w:val="00AD2892"/>
    <w:rsid w:val="00AD35F8"/>
    <w:rsid w:val="00AD7E4E"/>
    <w:rsid w:val="00AE1925"/>
    <w:rsid w:val="00AE2598"/>
    <w:rsid w:val="00AE31E8"/>
    <w:rsid w:val="00AE3AFB"/>
    <w:rsid w:val="00AE4CC6"/>
    <w:rsid w:val="00AE4FF0"/>
    <w:rsid w:val="00AE5F17"/>
    <w:rsid w:val="00AE69F2"/>
    <w:rsid w:val="00AF0477"/>
    <w:rsid w:val="00AF07E5"/>
    <w:rsid w:val="00AF13C2"/>
    <w:rsid w:val="00AF1CC1"/>
    <w:rsid w:val="00AF2B0C"/>
    <w:rsid w:val="00AF5776"/>
    <w:rsid w:val="00AF5875"/>
    <w:rsid w:val="00AF5B5D"/>
    <w:rsid w:val="00AF69F5"/>
    <w:rsid w:val="00AF780E"/>
    <w:rsid w:val="00B00A61"/>
    <w:rsid w:val="00B02698"/>
    <w:rsid w:val="00B03647"/>
    <w:rsid w:val="00B040E4"/>
    <w:rsid w:val="00B0653F"/>
    <w:rsid w:val="00B13A8A"/>
    <w:rsid w:val="00B13FB5"/>
    <w:rsid w:val="00B145E3"/>
    <w:rsid w:val="00B161B3"/>
    <w:rsid w:val="00B16647"/>
    <w:rsid w:val="00B178A6"/>
    <w:rsid w:val="00B17A65"/>
    <w:rsid w:val="00B2374A"/>
    <w:rsid w:val="00B23993"/>
    <w:rsid w:val="00B26710"/>
    <w:rsid w:val="00B31107"/>
    <w:rsid w:val="00B33268"/>
    <w:rsid w:val="00B34F8C"/>
    <w:rsid w:val="00B410D9"/>
    <w:rsid w:val="00B42323"/>
    <w:rsid w:val="00B438D1"/>
    <w:rsid w:val="00B46C24"/>
    <w:rsid w:val="00B54012"/>
    <w:rsid w:val="00B557BF"/>
    <w:rsid w:val="00B56B9F"/>
    <w:rsid w:val="00B56D0E"/>
    <w:rsid w:val="00B56E38"/>
    <w:rsid w:val="00B6168B"/>
    <w:rsid w:val="00B77BDD"/>
    <w:rsid w:val="00B81485"/>
    <w:rsid w:val="00B8157D"/>
    <w:rsid w:val="00B838F8"/>
    <w:rsid w:val="00B83E24"/>
    <w:rsid w:val="00B84657"/>
    <w:rsid w:val="00B85208"/>
    <w:rsid w:val="00B8576B"/>
    <w:rsid w:val="00B90059"/>
    <w:rsid w:val="00B91EE1"/>
    <w:rsid w:val="00B92630"/>
    <w:rsid w:val="00B93FD8"/>
    <w:rsid w:val="00BA10D1"/>
    <w:rsid w:val="00BA168E"/>
    <w:rsid w:val="00BA1DB0"/>
    <w:rsid w:val="00BA2673"/>
    <w:rsid w:val="00BA4147"/>
    <w:rsid w:val="00BA6E70"/>
    <w:rsid w:val="00BB2C80"/>
    <w:rsid w:val="00BB47C5"/>
    <w:rsid w:val="00BB654E"/>
    <w:rsid w:val="00BB73A3"/>
    <w:rsid w:val="00BC148A"/>
    <w:rsid w:val="00BC1850"/>
    <w:rsid w:val="00BC27FA"/>
    <w:rsid w:val="00BC7904"/>
    <w:rsid w:val="00BC7E4A"/>
    <w:rsid w:val="00BD0836"/>
    <w:rsid w:val="00BD09E5"/>
    <w:rsid w:val="00BD0D5E"/>
    <w:rsid w:val="00BD5356"/>
    <w:rsid w:val="00BE09DE"/>
    <w:rsid w:val="00BE0FDC"/>
    <w:rsid w:val="00BE12C6"/>
    <w:rsid w:val="00BE31FA"/>
    <w:rsid w:val="00BE4C72"/>
    <w:rsid w:val="00BE5323"/>
    <w:rsid w:val="00BE68A6"/>
    <w:rsid w:val="00BE6CAC"/>
    <w:rsid w:val="00BF0C8C"/>
    <w:rsid w:val="00BF13D1"/>
    <w:rsid w:val="00BF28F6"/>
    <w:rsid w:val="00BF37D7"/>
    <w:rsid w:val="00C01182"/>
    <w:rsid w:val="00C0256E"/>
    <w:rsid w:val="00C04D9D"/>
    <w:rsid w:val="00C04FC8"/>
    <w:rsid w:val="00C057C8"/>
    <w:rsid w:val="00C068A4"/>
    <w:rsid w:val="00C10258"/>
    <w:rsid w:val="00C10363"/>
    <w:rsid w:val="00C1609C"/>
    <w:rsid w:val="00C1705A"/>
    <w:rsid w:val="00C22591"/>
    <w:rsid w:val="00C22B56"/>
    <w:rsid w:val="00C22C65"/>
    <w:rsid w:val="00C2561D"/>
    <w:rsid w:val="00C265C6"/>
    <w:rsid w:val="00C27189"/>
    <w:rsid w:val="00C27A98"/>
    <w:rsid w:val="00C315C5"/>
    <w:rsid w:val="00C31E57"/>
    <w:rsid w:val="00C32DA5"/>
    <w:rsid w:val="00C34440"/>
    <w:rsid w:val="00C3480C"/>
    <w:rsid w:val="00C35B8C"/>
    <w:rsid w:val="00C402C2"/>
    <w:rsid w:val="00C40393"/>
    <w:rsid w:val="00C42E15"/>
    <w:rsid w:val="00C43F6A"/>
    <w:rsid w:val="00C45CDB"/>
    <w:rsid w:val="00C50002"/>
    <w:rsid w:val="00C51558"/>
    <w:rsid w:val="00C51E3E"/>
    <w:rsid w:val="00C52D8C"/>
    <w:rsid w:val="00C559E2"/>
    <w:rsid w:val="00C57382"/>
    <w:rsid w:val="00C57594"/>
    <w:rsid w:val="00C6142F"/>
    <w:rsid w:val="00C62BF6"/>
    <w:rsid w:val="00C73FC7"/>
    <w:rsid w:val="00C76753"/>
    <w:rsid w:val="00C76D47"/>
    <w:rsid w:val="00C80165"/>
    <w:rsid w:val="00C82663"/>
    <w:rsid w:val="00C845C8"/>
    <w:rsid w:val="00C8561B"/>
    <w:rsid w:val="00C85BAA"/>
    <w:rsid w:val="00C87031"/>
    <w:rsid w:val="00C9105A"/>
    <w:rsid w:val="00C93666"/>
    <w:rsid w:val="00C943CF"/>
    <w:rsid w:val="00C9486C"/>
    <w:rsid w:val="00CA29C1"/>
    <w:rsid w:val="00CA3A84"/>
    <w:rsid w:val="00CA546A"/>
    <w:rsid w:val="00CA7F01"/>
    <w:rsid w:val="00CB0F33"/>
    <w:rsid w:val="00CB3CBF"/>
    <w:rsid w:val="00CB4E49"/>
    <w:rsid w:val="00CB5984"/>
    <w:rsid w:val="00CB698B"/>
    <w:rsid w:val="00CC0819"/>
    <w:rsid w:val="00CC09C4"/>
    <w:rsid w:val="00CC3BF7"/>
    <w:rsid w:val="00CD229B"/>
    <w:rsid w:val="00CD39C1"/>
    <w:rsid w:val="00CD4F5E"/>
    <w:rsid w:val="00CE0571"/>
    <w:rsid w:val="00CE1E77"/>
    <w:rsid w:val="00CE2ACC"/>
    <w:rsid w:val="00CE48D1"/>
    <w:rsid w:val="00CE4E36"/>
    <w:rsid w:val="00CE5323"/>
    <w:rsid w:val="00CE5ABF"/>
    <w:rsid w:val="00CE687C"/>
    <w:rsid w:val="00CF06A9"/>
    <w:rsid w:val="00CF4A64"/>
    <w:rsid w:val="00CF4C64"/>
    <w:rsid w:val="00CF73E6"/>
    <w:rsid w:val="00D02B61"/>
    <w:rsid w:val="00D03A6C"/>
    <w:rsid w:val="00D04514"/>
    <w:rsid w:val="00D05F8D"/>
    <w:rsid w:val="00D063AD"/>
    <w:rsid w:val="00D06D7D"/>
    <w:rsid w:val="00D07BD9"/>
    <w:rsid w:val="00D10542"/>
    <w:rsid w:val="00D11477"/>
    <w:rsid w:val="00D12B20"/>
    <w:rsid w:val="00D149E6"/>
    <w:rsid w:val="00D26D2F"/>
    <w:rsid w:val="00D27176"/>
    <w:rsid w:val="00D27A36"/>
    <w:rsid w:val="00D31D7E"/>
    <w:rsid w:val="00D349DC"/>
    <w:rsid w:val="00D34A84"/>
    <w:rsid w:val="00D353E4"/>
    <w:rsid w:val="00D36D6C"/>
    <w:rsid w:val="00D37210"/>
    <w:rsid w:val="00D41810"/>
    <w:rsid w:val="00D43BF6"/>
    <w:rsid w:val="00D45074"/>
    <w:rsid w:val="00D46CAD"/>
    <w:rsid w:val="00D53D1C"/>
    <w:rsid w:val="00D561E5"/>
    <w:rsid w:val="00D56929"/>
    <w:rsid w:val="00D57CBD"/>
    <w:rsid w:val="00D60E96"/>
    <w:rsid w:val="00D623F4"/>
    <w:rsid w:val="00D630E2"/>
    <w:rsid w:val="00D64527"/>
    <w:rsid w:val="00D65B57"/>
    <w:rsid w:val="00D67F86"/>
    <w:rsid w:val="00D70036"/>
    <w:rsid w:val="00D70C43"/>
    <w:rsid w:val="00D71378"/>
    <w:rsid w:val="00D751B8"/>
    <w:rsid w:val="00D75461"/>
    <w:rsid w:val="00D76C38"/>
    <w:rsid w:val="00D803F9"/>
    <w:rsid w:val="00D8091C"/>
    <w:rsid w:val="00D8137F"/>
    <w:rsid w:val="00D84E71"/>
    <w:rsid w:val="00D90DAC"/>
    <w:rsid w:val="00D90EAD"/>
    <w:rsid w:val="00D91A4A"/>
    <w:rsid w:val="00D96099"/>
    <w:rsid w:val="00DA03EC"/>
    <w:rsid w:val="00DA34D0"/>
    <w:rsid w:val="00DB0F98"/>
    <w:rsid w:val="00DB259F"/>
    <w:rsid w:val="00DB3C70"/>
    <w:rsid w:val="00DB4754"/>
    <w:rsid w:val="00DB52FD"/>
    <w:rsid w:val="00DB6F75"/>
    <w:rsid w:val="00DB703F"/>
    <w:rsid w:val="00DC078D"/>
    <w:rsid w:val="00DC2655"/>
    <w:rsid w:val="00DC368C"/>
    <w:rsid w:val="00DC753B"/>
    <w:rsid w:val="00DC778F"/>
    <w:rsid w:val="00DC7CAC"/>
    <w:rsid w:val="00DD3043"/>
    <w:rsid w:val="00DD4EB3"/>
    <w:rsid w:val="00DD628B"/>
    <w:rsid w:val="00DE45A7"/>
    <w:rsid w:val="00DE4BDF"/>
    <w:rsid w:val="00DE68FF"/>
    <w:rsid w:val="00DE6C6C"/>
    <w:rsid w:val="00DF0D3A"/>
    <w:rsid w:val="00DF21E6"/>
    <w:rsid w:val="00DF24AF"/>
    <w:rsid w:val="00DF6280"/>
    <w:rsid w:val="00DF71D6"/>
    <w:rsid w:val="00E020F4"/>
    <w:rsid w:val="00E03FC7"/>
    <w:rsid w:val="00E0584A"/>
    <w:rsid w:val="00E05A87"/>
    <w:rsid w:val="00E123FA"/>
    <w:rsid w:val="00E16DF7"/>
    <w:rsid w:val="00E2196F"/>
    <w:rsid w:val="00E24141"/>
    <w:rsid w:val="00E24F26"/>
    <w:rsid w:val="00E27450"/>
    <w:rsid w:val="00E308DB"/>
    <w:rsid w:val="00E30CDC"/>
    <w:rsid w:val="00E3351F"/>
    <w:rsid w:val="00E33AE6"/>
    <w:rsid w:val="00E41542"/>
    <w:rsid w:val="00E42951"/>
    <w:rsid w:val="00E50454"/>
    <w:rsid w:val="00E52947"/>
    <w:rsid w:val="00E52A51"/>
    <w:rsid w:val="00E53434"/>
    <w:rsid w:val="00E559FC"/>
    <w:rsid w:val="00E57417"/>
    <w:rsid w:val="00E60D12"/>
    <w:rsid w:val="00E6143B"/>
    <w:rsid w:val="00E67DE7"/>
    <w:rsid w:val="00E70164"/>
    <w:rsid w:val="00E70A26"/>
    <w:rsid w:val="00E73261"/>
    <w:rsid w:val="00E735D1"/>
    <w:rsid w:val="00E7726F"/>
    <w:rsid w:val="00E77482"/>
    <w:rsid w:val="00E80205"/>
    <w:rsid w:val="00E80C57"/>
    <w:rsid w:val="00E83392"/>
    <w:rsid w:val="00E8419F"/>
    <w:rsid w:val="00E91A8E"/>
    <w:rsid w:val="00E91CDD"/>
    <w:rsid w:val="00E92851"/>
    <w:rsid w:val="00E96204"/>
    <w:rsid w:val="00E96A1D"/>
    <w:rsid w:val="00E96EFD"/>
    <w:rsid w:val="00EB15AF"/>
    <w:rsid w:val="00EB3E8A"/>
    <w:rsid w:val="00EB3F09"/>
    <w:rsid w:val="00EB6372"/>
    <w:rsid w:val="00EC11F6"/>
    <w:rsid w:val="00EC5B06"/>
    <w:rsid w:val="00ED05FF"/>
    <w:rsid w:val="00ED0AE7"/>
    <w:rsid w:val="00ED0F7B"/>
    <w:rsid w:val="00ED1917"/>
    <w:rsid w:val="00ED1B70"/>
    <w:rsid w:val="00ED45E1"/>
    <w:rsid w:val="00ED4A35"/>
    <w:rsid w:val="00ED60DC"/>
    <w:rsid w:val="00ED6ECC"/>
    <w:rsid w:val="00EE11A2"/>
    <w:rsid w:val="00EE5678"/>
    <w:rsid w:val="00EE733B"/>
    <w:rsid w:val="00EF1C4D"/>
    <w:rsid w:val="00EF535E"/>
    <w:rsid w:val="00EF6259"/>
    <w:rsid w:val="00F01A18"/>
    <w:rsid w:val="00F04083"/>
    <w:rsid w:val="00F13AD8"/>
    <w:rsid w:val="00F16878"/>
    <w:rsid w:val="00F17520"/>
    <w:rsid w:val="00F20A1A"/>
    <w:rsid w:val="00F22C82"/>
    <w:rsid w:val="00F24071"/>
    <w:rsid w:val="00F240F1"/>
    <w:rsid w:val="00F25175"/>
    <w:rsid w:val="00F2680A"/>
    <w:rsid w:val="00F303B9"/>
    <w:rsid w:val="00F31200"/>
    <w:rsid w:val="00F31ABC"/>
    <w:rsid w:val="00F33688"/>
    <w:rsid w:val="00F36441"/>
    <w:rsid w:val="00F424FD"/>
    <w:rsid w:val="00F44A2B"/>
    <w:rsid w:val="00F467BA"/>
    <w:rsid w:val="00F475C5"/>
    <w:rsid w:val="00F537F5"/>
    <w:rsid w:val="00F54549"/>
    <w:rsid w:val="00F55BF3"/>
    <w:rsid w:val="00F55D5D"/>
    <w:rsid w:val="00F5672B"/>
    <w:rsid w:val="00F65B02"/>
    <w:rsid w:val="00F70ED4"/>
    <w:rsid w:val="00F71F04"/>
    <w:rsid w:val="00F738AD"/>
    <w:rsid w:val="00F73DF0"/>
    <w:rsid w:val="00F74161"/>
    <w:rsid w:val="00F7570B"/>
    <w:rsid w:val="00F758E2"/>
    <w:rsid w:val="00F75FD3"/>
    <w:rsid w:val="00F83C64"/>
    <w:rsid w:val="00F85AE5"/>
    <w:rsid w:val="00F86A08"/>
    <w:rsid w:val="00F872BB"/>
    <w:rsid w:val="00F90529"/>
    <w:rsid w:val="00F91619"/>
    <w:rsid w:val="00F933B9"/>
    <w:rsid w:val="00FA003E"/>
    <w:rsid w:val="00FA1123"/>
    <w:rsid w:val="00FA2A84"/>
    <w:rsid w:val="00FA6719"/>
    <w:rsid w:val="00FA6DA0"/>
    <w:rsid w:val="00FB06BB"/>
    <w:rsid w:val="00FB1F66"/>
    <w:rsid w:val="00FB4E3C"/>
    <w:rsid w:val="00FB7576"/>
    <w:rsid w:val="00FC05E1"/>
    <w:rsid w:val="00FC2350"/>
    <w:rsid w:val="00FC38C2"/>
    <w:rsid w:val="00FC3C12"/>
    <w:rsid w:val="00FC70EC"/>
    <w:rsid w:val="00FC798A"/>
    <w:rsid w:val="00FD016A"/>
    <w:rsid w:val="00FD033B"/>
    <w:rsid w:val="00FD3B5D"/>
    <w:rsid w:val="00FD3ED2"/>
    <w:rsid w:val="00FD5A0D"/>
    <w:rsid w:val="00FE0933"/>
    <w:rsid w:val="00FE1290"/>
    <w:rsid w:val="00FE1C94"/>
    <w:rsid w:val="00FE3100"/>
    <w:rsid w:val="00FE62BD"/>
    <w:rsid w:val="00FF078D"/>
    <w:rsid w:val="00FF31E9"/>
    <w:rsid w:val="00FF44EA"/>
    <w:rsid w:val="00FF6000"/>
    <w:rsid w:val="00FF60DE"/>
    <w:rsid w:val="00FF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127"/>
    <w:pPr>
      <w:ind w:firstLineChars="200" w:firstLine="420"/>
    </w:pPr>
  </w:style>
  <w:style w:type="table" w:styleId="a4">
    <w:name w:val="Table Grid"/>
    <w:basedOn w:val="a1"/>
    <w:uiPriority w:val="59"/>
    <w:rsid w:val="0062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EC5B06"/>
    <w:rPr>
      <w:sz w:val="18"/>
      <w:szCs w:val="18"/>
    </w:rPr>
  </w:style>
  <w:style w:type="character" w:customStyle="1" w:styleId="Char">
    <w:name w:val="批注框文本 Char"/>
    <w:basedOn w:val="a0"/>
    <w:link w:val="a5"/>
    <w:uiPriority w:val="99"/>
    <w:semiHidden/>
    <w:rsid w:val="00EC5B06"/>
    <w:rPr>
      <w:sz w:val="18"/>
      <w:szCs w:val="18"/>
    </w:rPr>
  </w:style>
  <w:style w:type="paragraph" w:styleId="a6">
    <w:name w:val="Date"/>
    <w:basedOn w:val="a"/>
    <w:next w:val="a"/>
    <w:link w:val="Char0"/>
    <w:uiPriority w:val="99"/>
    <w:semiHidden/>
    <w:unhideWhenUsed/>
    <w:rsid w:val="00A827FB"/>
    <w:pPr>
      <w:ind w:leftChars="2500" w:left="100"/>
    </w:pPr>
  </w:style>
  <w:style w:type="character" w:customStyle="1" w:styleId="Char0">
    <w:name w:val="日期 Char"/>
    <w:basedOn w:val="a0"/>
    <w:link w:val="a6"/>
    <w:uiPriority w:val="99"/>
    <w:semiHidden/>
    <w:rsid w:val="00A827FB"/>
  </w:style>
  <w:style w:type="paragraph" w:styleId="a7">
    <w:name w:val="No Spacing"/>
    <w:uiPriority w:val="1"/>
    <w:qFormat/>
    <w:rsid w:val="00632681"/>
    <w:pPr>
      <w:widowControl w:val="0"/>
      <w:jc w:val="both"/>
    </w:pPr>
  </w:style>
  <w:style w:type="paragraph" w:styleId="a8">
    <w:name w:val="header"/>
    <w:basedOn w:val="a"/>
    <w:link w:val="Char1"/>
    <w:uiPriority w:val="99"/>
    <w:unhideWhenUsed/>
    <w:rsid w:val="007720E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720E4"/>
    <w:rPr>
      <w:sz w:val="18"/>
      <w:szCs w:val="18"/>
    </w:rPr>
  </w:style>
  <w:style w:type="paragraph" w:styleId="a9">
    <w:name w:val="footer"/>
    <w:basedOn w:val="a"/>
    <w:link w:val="Char2"/>
    <w:uiPriority w:val="99"/>
    <w:unhideWhenUsed/>
    <w:rsid w:val="007720E4"/>
    <w:pPr>
      <w:tabs>
        <w:tab w:val="center" w:pos="4153"/>
        <w:tab w:val="right" w:pos="8306"/>
      </w:tabs>
      <w:snapToGrid w:val="0"/>
      <w:jc w:val="left"/>
    </w:pPr>
    <w:rPr>
      <w:sz w:val="18"/>
      <w:szCs w:val="18"/>
    </w:rPr>
  </w:style>
  <w:style w:type="character" w:customStyle="1" w:styleId="Char2">
    <w:name w:val="页脚 Char"/>
    <w:basedOn w:val="a0"/>
    <w:link w:val="a9"/>
    <w:uiPriority w:val="99"/>
    <w:rsid w:val="007720E4"/>
    <w:rPr>
      <w:sz w:val="18"/>
      <w:szCs w:val="18"/>
    </w:rPr>
  </w:style>
  <w:style w:type="character" w:customStyle="1" w:styleId="tran">
    <w:name w:val="tran"/>
    <w:basedOn w:val="a0"/>
    <w:rsid w:val="00E24F26"/>
  </w:style>
  <w:style w:type="character" w:customStyle="1" w:styleId="apple-converted-space">
    <w:name w:val="apple-converted-space"/>
    <w:basedOn w:val="a0"/>
    <w:rsid w:val="00E24F26"/>
  </w:style>
  <w:style w:type="character" w:styleId="aa">
    <w:name w:val="Placeholder Text"/>
    <w:basedOn w:val="a0"/>
    <w:uiPriority w:val="99"/>
    <w:semiHidden/>
    <w:rsid w:val="006008CE"/>
    <w:rPr>
      <w:color w:val="808080"/>
    </w:rPr>
  </w:style>
  <w:style w:type="table" w:styleId="ab">
    <w:name w:val="Light Shading"/>
    <w:basedOn w:val="a1"/>
    <w:uiPriority w:val="60"/>
    <w:rsid w:val="00B267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rc">
    <w:name w:val="src"/>
    <w:basedOn w:val="a0"/>
    <w:rsid w:val="005802EF"/>
  </w:style>
  <w:style w:type="character" w:styleId="ac">
    <w:name w:val="Hyperlink"/>
    <w:basedOn w:val="a0"/>
    <w:uiPriority w:val="99"/>
    <w:unhideWhenUsed/>
    <w:rsid w:val="00C3480C"/>
    <w:rPr>
      <w:color w:val="0000FF" w:themeColor="hyperlink"/>
      <w:u w:val="single"/>
    </w:rPr>
  </w:style>
  <w:style w:type="paragraph" w:styleId="ad">
    <w:name w:val="Revision"/>
    <w:hidden/>
    <w:uiPriority w:val="99"/>
    <w:semiHidden/>
    <w:rsid w:val="00C943CF"/>
  </w:style>
  <w:style w:type="paragraph" w:styleId="HTML">
    <w:name w:val="HTML Preformatted"/>
    <w:basedOn w:val="a"/>
    <w:link w:val="HTMLChar"/>
    <w:uiPriority w:val="99"/>
    <w:semiHidden/>
    <w:unhideWhenUsed/>
    <w:rsid w:val="000F384E"/>
    <w:rPr>
      <w:rFonts w:ascii="Courier New" w:hAnsi="Courier New" w:cs="Courier New"/>
      <w:sz w:val="20"/>
      <w:szCs w:val="20"/>
    </w:rPr>
  </w:style>
  <w:style w:type="character" w:customStyle="1" w:styleId="HTMLChar">
    <w:name w:val="HTML 预设格式 Char"/>
    <w:basedOn w:val="a0"/>
    <w:link w:val="HTML"/>
    <w:uiPriority w:val="99"/>
    <w:semiHidden/>
    <w:rsid w:val="000F384E"/>
    <w:rPr>
      <w:rFonts w:ascii="Courier New" w:hAnsi="Courier New" w:cs="Courier New"/>
      <w:sz w:val="20"/>
      <w:szCs w:val="20"/>
    </w:rPr>
  </w:style>
  <w:style w:type="character" w:styleId="ae">
    <w:name w:val="annotation reference"/>
    <w:basedOn w:val="a0"/>
    <w:uiPriority w:val="99"/>
    <w:semiHidden/>
    <w:unhideWhenUsed/>
    <w:rsid w:val="00C22B56"/>
    <w:rPr>
      <w:sz w:val="16"/>
      <w:szCs w:val="16"/>
    </w:rPr>
  </w:style>
  <w:style w:type="paragraph" w:styleId="af">
    <w:name w:val="annotation text"/>
    <w:basedOn w:val="a"/>
    <w:link w:val="Char3"/>
    <w:uiPriority w:val="99"/>
    <w:semiHidden/>
    <w:unhideWhenUsed/>
    <w:rsid w:val="00C22B56"/>
    <w:rPr>
      <w:sz w:val="20"/>
      <w:szCs w:val="20"/>
    </w:rPr>
  </w:style>
  <w:style w:type="character" w:customStyle="1" w:styleId="Char3">
    <w:name w:val="批注文字 Char"/>
    <w:basedOn w:val="a0"/>
    <w:link w:val="af"/>
    <w:uiPriority w:val="99"/>
    <w:semiHidden/>
    <w:rsid w:val="00C22B56"/>
    <w:rPr>
      <w:sz w:val="20"/>
      <w:szCs w:val="20"/>
    </w:rPr>
  </w:style>
  <w:style w:type="paragraph" w:styleId="af0">
    <w:name w:val="annotation subject"/>
    <w:basedOn w:val="af"/>
    <w:next w:val="af"/>
    <w:link w:val="Char4"/>
    <w:uiPriority w:val="99"/>
    <w:semiHidden/>
    <w:unhideWhenUsed/>
    <w:rsid w:val="00C22B56"/>
    <w:rPr>
      <w:b/>
      <w:bCs/>
    </w:rPr>
  </w:style>
  <w:style w:type="character" w:customStyle="1" w:styleId="Char4">
    <w:name w:val="批注主题 Char"/>
    <w:basedOn w:val="Char3"/>
    <w:link w:val="af0"/>
    <w:uiPriority w:val="99"/>
    <w:semiHidden/>
    <w:rsid w:val="00C22B56"/>
    <w:rPr>
      <w:b/>
      <w:bCs/>
      <w:sz w:val="20"/>
      <w:szCs w:val="20"/>
    </w:rPr>
  </w:style>
  <w:style w:type="character" w:customStyle="1" w:styleId="UnresolvedMention">
    <w:name w:val="Unresolved Mention"/>
    <w:basedOn w:val="a0"/>
    <w:uiPriority w:val="99"/>
    <w:semiHidden/>
    <w:unhideWhenUsed/>
    <w:rsid w:val="006675CE"/>
    <w:rPr>
      <w:color w:val="605E5C"/>
      <w:shd w:val="clear" w:color="auto" w:fill="E1DFDD"/>
    </w:rPr>
  </w:style>
  <w:style w:type="paragraph" w:styleId="af1">
    <w:name w:val="Normal (Web)"/>
    <w:basedOn w:val="a"/>
    <w:uiPriority w:val="99"/>
    <w:unhideWhenUsed/>
    <w:rsid w:val="00BC27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2907">
      <w:bodyDiv w:val="1"/>
      <w:marLeft w:val="0"/>
      <w:marRight w:val="0"/>
      <w:marTop w:val="0"/>
      <w:marBottom w:val="0"/>
      <w:divBdr>
        <w:top w:val="none" w:sz="0" w:space="0" w:color="auto"/>
        <w:left w:val="none" w:sz="0" w:space="0" w:color="auto"/>
        <w:bottom w:val="none" w:sz="0" w:space="0" w:color="auto"/>
        <w:right w:val="none" w:sz="0" w:space="0" w:color="auto"/>
      </w:divBdr>
    </w:div>
    <w:div w:id="143858491">
      <w:bodyDiv w:val="1"/>
      <w:marLeft w:val="0"/>
      <w:marRight w:val="0"/>
      <w:marTop w:val="0"/>
      <w:marBottom w:val="0"/>
      <w:divBdr>
        <w:top w:val="none" w:sz="0" w:space="0" w:color="auto"/>
        <w:left w:val="none" w:sz="0" w:space="0" w:color="auto"/>
        <w:bottom w:val="none" w:sz="0" w:space="0" w:color="auto"/>
        <w:right w:val="none" w:sz="0" w:space="0" w:color="auto"/>
      </w:divBdr>
    </w:div>
    <w:div w:id="233247000">
      <w:bodyDiv w:val="1"/>
      <w:marLeft w:val="0"/>
      <w:marRight w:val="0"/>
      <w:marTop w:val="0"/>
      <w:marBottom w:val="0"/>
      <w:divBdr>
        <w:top w:val="none" w:sz="0" w:space="0" w:color="auto"/>
        <w:left w:val="none" w:sz="0" w:space="0" w:color="auto"/>
        <w:bottom w:val="none" w:sz="0" w:space="0" w:color="auto"/>
        <w:right w:val="none" w:sz="0" w:space="0" w:color="auto"/>
      </w:divBdr>
    </w:div>
    <w:div w:id="412043701">
      <w:bodyDiv w:val="1"/>
      <w:marLeft w:val="0"/>
      <w:marRight w:val="0"/>
      <w:marTop w:val="0"/>
      <w:marBottom w:val="0"/>
      <w:divBdr>
        <w:top w:val="none" w:sz="0" w:space="0" w:color="auto"/>
        <w:left w:val="none" w:sz="0" w:space="0" w:color="auto"/>
        <w:bottom w:val="none" w:sz="0" w:space="0" w:color="auto"/>
        <w:right w:val="none" w:sz="0" w:space="0" w:color="auto"/>
      </w:divBdr>
    </w:div>
    <w:div w:id="594098789">
      <w:bodyDiv w:val="1"/>
      <w:marLeft w:val="0"/>
      <w:marRight w:val="0"/>
      <w:marTop w:val="0"/>
      <w:marBottom w:val="0"/>
      <w:divBdr>
        <w:top w:val="none" w:sz="0" w:space="0" w:color="auto"/>
        <w:left w:val="none" w:sz="0" w:space="0" w:color="auto"/>
        <w:bottom w:val="none" w:sz="0" w:space="0" w:color="auto"/>
        <w:right w:val="none" w:sz="0" w:space="0" w:color="auto"/>
      </w:divBdr>
    </w:div>
    <w:div w:id="633214544">
      <w:bodyDiv w:val="1"/>
      <w:marLeft w:val="0"/>
      <w:marRight w:val="0"/>
      <w:marTop w:val="0"/>
      <w:marBottom w:val="0"/>
      <w:divBdr>
        <w:top w:val="none" w:sz="0" w:space="0" w:color="auto"/>
        <w:left w:val="none" w:sz="0" w:space="0" w:color="auto"/>
        <w:bottom w:val="none" w:sz="0" w:space="0" w:color="auto"/>
        <w:right w:val="none" w:sz="0" w:space="0" w:color="auto"/>
      </w:divBdr>
    </w:div>
    <w:div w:id="686833192">
      <w:bodyDiv w:val="1"/>
      <w:marLeft w:val="0"/>
      <w:marRight w:val="0"/>
      <w:marTop w:val="0"/>
      <w:marBottom w:val="0"/>
      <w:divBdr>
        <w:top w:val="none" w:sz="0" w:space="0" w:color="auto"/>
        <w:left w:val="none" w:sz="0" w:space="0" w:color="auto"/>
        <w:bottom w:val="none" w:sz="0" w:space="0" w:color="auto"/>
        <w:right w:val="none" w:sz="0" w:space="0" w:color="auto"/>
      </w:divBdr>
    </w:div>
    <w:div w:id="784426924">
      <w:bodyDiv w:val="1"/>
      <w:marLeft w:val="0"/>
      <w:marRight w:val="0"/>
      <w:marTop w:val="0"/>
      <w:marBottom w:val="0"/>
      <w:divBdr>
        <w:top w:val="none" w:sz="0" w:space="0" w:color="auto"/>
        <w:left w:val="none" w:sz="0" w:space="0" w:color="auto"/>
        <w:bottom w:val="none" w:sz="0" w:space="0" w:color="auto"/>
        <w:right w:val="none" w:sz="0" w:space="0" w:color="auto"/>
      </w:divBdr>
    </w:div>
    <w:div w:id="847982363">
      <w:bodyDiv w:val="1"/>
      <w:marLeft w:val="0"/>
      <w:marRight w:val="0"/>
      <w:marTop w:val="0"/>
      <w:marBottom w:val="0"/>
      <w:divBdr>
        <w:top w:val="none" w:sz="0" w:space="0" w:color="auto"/>
        <w:left w:val="none" w:sz="0" w:space="0" w:color="auto"/>
        <w:bottom w:val="none" w:sz="0" w:space="0" w:color="auto"/>
        <w:right w:val="none" w:sz="0" w:space="0" w:color="auto"/>
      </w:divBdr>
    </w:div>
    <w:div w:id="875316130">
      <w:bodyDiv w:val="1"/>
      <w:marLeft w:val="0"/>
      <w:marRight w:val="0"/>
      <w:marTop w:val="0"/>
      <w:marBottom w:val="0"/>
      <w:divBdr>
        <w:top w:val="none" w:sz="0" w:space="0" w:color="auto"/>
        <w:left w:val="none" w:sz="0" w:space="0" w:color="auto"/>
        <w:bottom w:val="none" w:sz="0" w:space="0" w:color="auto"/>
        <w:right w:val="none" w:sz="0" w:space="0" w:color="auto"/>
      </w:divBdr>
      <w:divsChild>
        <w:div w:id="1389840347">
          <w:marLeft w:val="60"/>
          <w:marRight w:val="60"/>
          <w:marTop w:val="60"/>
          <w:marBottom w:val="150"/>
          <w:divBdr>
            <w:top w:val="none" w:sz="0" w:space="0" w:color="auto"/>
            <w:left w:val="none" w:sz="0" w:space="0" w:color="auto"/>
            <w:bottom w:val="none" w:sz="0" w:space="0" w:color="auto"/>
            <w:right w:val="none" w:sz="0" w:space="0" w:color="auto"/>
          </w:divBdr>
          <w:divsChild>
            <w:div w:id="1576165812">
              <w:marLeft w:val="0"/>
              <w:marRight w:val="0"/>
              <w:marTop w:val="0"/>
              <w:marBottom w:val="0"/>
              <w:divBdr>
                <w:top w:val="none" w:sz="0" w:space="0" w:color="auto"/>
                <w:left w:val="none" w:sz="0" w:space="0" w:color="auto"/>
                <w:bottom w:val="none" w:sz="0" w:space="0" w:color="auto"/>
                <w:right w:val="none" w:sz="0" w:space="0" w:color="auto"/>
              </w:divBdr>
              <w:divsChild>
                <w:div w:id="8478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8750">
      <w:bodyDiv w:val="1"/>
      <w:marLeft w:val="0"/>
      <w:marRight w:val="0"/>
      <w:marTop w:val="0"/>
      <w:marBottom w:val="0"/>
      <w:divBdr>
        <w:top w:val="none" w:sz="0" w:space="0" w:color="auto"/>
        <w:left w:val="none" w:sz="0" w:space="0" w:color="auto"/>
        <w:bottom w:val="none" w:sz="0" w:space="0" w:color="auto"/>
        <w:right w:val="none" w:sz="0" w:space="0" w:color="auto"/>
      </w:divBdr>
    </w:div>
    <w:div w:id="1082720724">
      <w:bodyDiv w:val="1"/>
      <w:marLeft w:val="0"/>
      <w:marRight w:val="0"/>
      <w:marTop w:val="0"/>
      <w:marBottom w:val="0"/>
      <w:divBdr>
        <w:top w:val="none" w:sz="0" w:space="0" w:color="auto"/>
        <w:left w:val="none" w:sz="0" w:space="0" w:color="auto"/>
        <w:bottom w:val="none" w:sz="0" w:space="0" w:color="auto"/>
        <w:right w:val="none" w:sz="0" w:space="0" w:color="auto"/>
      </w:divBdr>
    </w:div>
    <w:div w:id="1134565912">
      <w:bodyDiv w:val="1"/>
      <w:marLeft w:val="0"/>
      <w:marRight w:val="0"/>
      <w:marTop w:val="0"/>
      <w:marBottom w:val="0"/>
      <w:divBdr>
        <w:top w:val="none" w:sz="0" w:space="0" w:color="auto"/>
        <w:left w:val="none" w:sz="0" w:space="0" w:color="auto"/>
        <w:bottom w:val="none" w:sz="0" w:space="0" w:color="auto"/>
        <w:right w:val="none" w:sz="0" w:space="0" w:color="auto"/>
      </w:divBdr>
    </w:div>
    <w:div w:id="1202093936">
      <w:bodyDiv w:val="1"/>
      <w:marLeft w:val="0"/>
      <w:marRight w:val="0"/>
      <w:marTop w:val="0"/>
      <w:marBottom w:val="0"/>
      <w:divBdr>
        <w:top w:val="none" w:sz="0" w:space="0" w:color="auto"/>
        <w:left w:val="none" w:sz="0" w:space="0" w:color="auto"/>
        <w:bottom w:val="none" w:sz="0" w:space="0" w:color="auto"/>
        <w:right w:val="none" w:sz="0" w:space="0" w:color="auto"/>
      </w:divBdr>
    </w:div>
    <w:div w:id="1203249230">
      <w:bodyDiv w:val="1"/>
      <w:marLeft w:val="0"/>
      <w:marRight w:val="0"/>
      <w:marTop w:val="0"/>
      <w:marBottom w:val="0"/>
      <w:divBdr>
        <w:top w:val="none" w:sz="0" w:space="0" w:color="auto"/>
        <w:left w:val="none" w:sz="0" w:space="0" w:color="auto"/>
        <w:bottom w:val="none" w:sz="0" w:space="0" w:color="auto"/>
        <w:right w:val="none" w:sz="0" w:space="0" w:color="auto"/>
      </w:divBdr>
    </w:div>
    <w:div w:id="1328677398">
      <w:bodyDiv w:val="1"/>
      <w:marLeft w:val="0"/>
      <w:marRight w:val="0"/>
      <w:marTop w:val="0"/>
      <w:marBottom w:val="0"/>
      <w:divBdr>
        <w:top w:val="none" w:sz="0" w:space="0" w:color="auto"/>
        <w:left w:val="none" w:sz="0" w:space="0" w:color="auto"/>
        <w:bottom w:val="none" w:sz="0" w:space="0" w:color="auto"/>
        <w:right w:val="none" w:sz="0" w:space="0" w:color="auto"/>
      </w:divBdr>
    </w:div>
    <w:div w:id="1397975289">
      <w:bodyDiv w:val="1"/>
      <w:marLeft w:val="0"/>
      <w:marRight w:val="0"/>
      <w:marTop w:val="0"/>
      <w:marBottom w:val="0"/>
      <w:divBdr>
        <w:top w:val="none" w:sz="0" w:space="0" w:color="auto"/>
        <w:left w:val="none" w:sz="0" w:space="0" w:color="auto"/>
        <w:bottom w:val="none" w:sz="0" w:space="0" w:color="auto"/>
        <w:right w:val="none" w:sz="0" w:space="0" w:color="auto"/>
      </w:divBdr>
    </w:div>
    <w:div w:id="1413619093">
      <w:bodyDiv w:val="1"/>
      <w:marLeft w:val="0"/>
      <w:marRight w:val="0"/>
      <w:marTop w:val="0"/>
      <w:marBottom w:val="0"/>
      <w:divBdr>
        <w:top w:val="none" w:sz="0" w:space="0" w:color="auto"/>
        <w:left w:val="none" w:sz="0" w:space="0" w:color="auto"/>
        <w:bottom w:val="none" w:sz="0" w:space="0" w:color="auto"/>
        <w:right w:val="none" w:sz="0" w:space="0" w:color="auto"/>
      </w:divBdr>
    </w:div>
    <w:div w:id="1419249441">
      <w:bodyDiv w:val="1"/>
      <w:marLeft w:val="0"/>
      <w:marRight w:val="0"/>
      <w:marTop w:val="0"/>
      <w:marBottom w:val="0"/>
      <w:divBdr>
        <w:top w:val="none" w:sz="0" w:space="0" w:color="auto"/>
        <w:left w:val="none" w:sz="0" w:space="0" w:color="auto"/>
        <w:bottom w:val="none" w:sz="0" w:space="0" w:color="auto"/>
        <w:right w:val="none" w:sz="0" w:space="0" w:color="auto"/>
      </w:divBdr>
    </w:div>
    <w:div w:id="1516842130">
      <w:bodyDiv w:val="1"/>
      <w:marLeft w:val="0"/>
      <w:marRight w:val="0"/>
      <w:marTop w:val="0"/>
      <w:marBottom w:val="0"/>
      <w:divBdr>
        <w:top w:val="none" w:sz="0" w:space="0" w:color="auto"/>
        <w:left w:val="none" w:sz="0" w:space="0" w:color="auto"/>
        <w:bottom w:val="none" w:sz="0" w:space="0" w:color="auto"/>
        <w:right w:val="none" w:sz="0" w:space="0" w:color="auto"/>
      </w:divBdr>
    </w:div>
    <w:div w:id="1573735008">
      <w:bodyDiv w:val="1"/>
      <w:marLeft w:val="0"/>
      <w:marRight w:val="0"/>
      <w:marTop w:val="0"/>
      <w:marBottom w:val="0"/>
      <w:divBdr>
        <w:top w:val="none" w:sz="0" w:space="0" w:color="auto"/>
        <w:left w:val="none" w:sz="0" w:space="0" w:color="auto"/>
        <w:bottom w:val="none" w:sz="0" w:space="0" w:color="auto"/>
        <w:right w:val="none" w:sz="0" w:space="0" w:color="auto"/>
      </w:divBdr>
    </w:div>
    <w:div w:id="1635521874">
      <w:bodyDiv w:val="1"/>
      <w:marLeft w:val="0"/>
      <w:marRight w:val="0"/>
      <w:marTop w:val="0"/>
      <w:marBottom w:val="0"/>
      <w:divBdr>
        <w:top w:val="none" w:sz="0" w:space="0" w:color="auto"/>
        <w:left w:val="none" w:sz="0" w:space="0" w:color="auto"/>
        <w:bottom w:val="none" w:sz="0" w:space="0" w:color="auto"/>
        <w:right w:val="none" w:sz="0" w:space="0" w:color="auto"/>
      </w:divBdr>
    </w:div>
    <w:div w:id="1791826738">
      <w:bodyDiv w:val="1"/>
      <w:marLeft w:val="0"/>
      <w:marRight w:val="0"/>
      <w:marTop w:val="0"/>
      <w:marBottom w:val="0"/>
      <w:divBdr>
        <w:top w:val="none" w:sz="0" w:space="0" w:color="auto"/>
        <w:left w:val="none" w:sz="0" w:space="0" w:color="auto"/>
        <w:bottom w:val="none" w:sz="0" w:space="0" w:color="auto"/>
        <w:right w:val="none" w:sz="0" w:space="0" w:color="auto"/>
      </w:divBdr>
    </w:div>
    <w:div w:id="1810902362">
      <w:bodyDiv w:val="1"/>
      <w:marLeft w:val="0"/>
      <w:marRight w:val="0"/>
      <w:marTop w:val="0"/>
      <w:marBottom w:val="0"/>
      <w:divBdr>
        <w:top w:val="none" w:sz="0" w:space="0" w:color="auto"/>
        <w:left w:val="none" w:sz="0" w:space="0" w:color="auto"/>
        <w:bottom w:val="none" w:sz="0" w:space="0" w:color="auto"/>
        <w:right w:val="none" w:sz="0" w:space="0" w:color="auto"/>
      </w:divBdr>
    </w:div>
    <w:div w:id="19327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D7C338-7A37-412C-90C3-63D331CD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2019-12-17T13:14:00Z</cp:lastPrinted>
  <dcterms:created xsi:type="dcterms:W3CDTF">2020-07-21T13:56:00Z</dcterms:created>
  <dcterms:modified xsi:type="dcterms:W3CDTF">2020-07-21T13:56:00Z</dcterms:modified>
</cp:coreProperties>
</file>