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B" w:rsidRDefault="00C9119B" w:rsidP="00C9119B">
      <w:pPr>
        <w:rPr>
          <w:rFonts w:ascii="Arial" w:hAnsi="Arial" w:cs="Arial"/>
          <w:b/>
          <w:u w:val="single"/>
        </w:rPr>
      </w:pPr>
      <w:r>
        <w:rPr>
          <w:rFonts w:ascii="Arial" w:hAnsi="Arial" w:cs="Arial"/>
          <w:b/>
          <w:u w:val="single"/>
        </w:rPr>
        <w:t>Supplementary File 1</w:t>
      </w:r>
    </w:p>
    <w:p w:rsidR="00C9119B" w:rsidRDefault="00C05D4F" w:rsidP="00C9119B">
      <w:pPr>
        <w:rPr>
          <w:rFonts w:ascii="Arial" w:hAnsi="Arial" w:cs="Arial"/>
        </w:rPr>
      </w:pPr>
      <w:r>
        <w:rPr>
          <w:rFonts w:ascii="Arial" w:hAnsi="Arial" w:cs="Arial"/>
          <w:b/>
          <w:u w:val="single"/>
        </w:rPr>
        <w:t>Example DOAC to warfarin switching letter</w:t>
      </w:r>
    </w:p>
    <w:p w:rsidR="00C05D4F" w:rsidRPr="00C05D4F" w:rsidRDefault="00C05D4F" w:rsidP="00C9119B">
      <w:pPr>
        <w:rPr>
          <w:rFonts w:ascii="Arial" w:hAnsi="Arial" w:cs="Arial"/>
        </w:rPr>
      </w:pPr>
    </w:p>
    <w:p w:rsidR="00C9119B" w:rsidRPr="00EF251D" w:rsidRDefault="00C9119B" w:rsidP="00C9119B">
      <w:r w:rsidRPr="00EF251D">
        <w:rPr>
          <w:highlight w:val="lightGray"/>
        </w:rPr>
        <w:t>Date</w:t>
      </w:r>
    </w:p>
    <w:p w:rsidR="00C9119B" w:rsidRPr="00EF251D" w:rsidRDefault="00C9119B" w:rsidP="00C9119B"/>
    <w:tbl>
      <w:tblPr>
        <w:tblpPr w:leftFromText="180" w:rightFromText="180" w:vertAnchor="text" w:tblpY="1"/>
        <w:tblOverlap w:val="never"/>
        <w:tblW w:w="0" w:type="auto"/>
        <w:tblLook w:val="01E0" w:firstRow="1" w:lastRow="1" w:firstColumn="1" w:lastColumn="1" w:noHBand="0" w:noVBand="0"/>
      </w:tblPr>
      <w:tblGrid>
        <w:gridCol w:w="4919"/>
      </w:tblGrid>
      <w:tr w:rsidR="00C9119B" w:rsidRPr="00EF251D" w:rsidTr="00512AC1">
        <w:trPr>
          <w:trHeight w:val="1003"/>
        </w:trPr>
        <w:tc>
          <w:tcPr>
            <w:tcW w:w="4919" w:type="dxa"/>
            <w:shd w:val="clear" w:color="auto" w:fill="auto"/>
          </w:tcPr>
          <w:p w:rsidR="00C9119B" w:rsidRPr="00EF251D" w:rsidRDefault="00C9119B" w:rsidP="00512AC1">
            <w:pPr>
              <w:ind w:left="-108"/>
            </w:pPr>
          </w:p>
          <w:p w:rsidR="00C9119B" w:rsidRPr="00EF251D" w:rsidRDefault="00C9119B" w:rsidP="00512AC1">
            <w:pPr>
              <w:ind w:left="-108"/>
              <w:rPr>
                <w:highlight w:val="lightGray"/>
              </w:rPr>
            </w:pPr>
            <w:r w:rsidRPr="00EF251D">
              <w:rPr>
                <w:highlight w:val="lightGray"/>
              </w:rPr>
              <w:t>Patient Name:</w:t>
            </w:r>
          </w:p>
          <w:p w:rsidR="00C9119B" w:rsidRPr="00EF251D" w:rsidRDefault="00C9119B" w:rsidP="00512AC1">
            <w:pPr>
              <w:ind w:left="-108"/>
              <w:rPr>
                <w:highlight w:val="lightGray"/>
              </w:rPr>
            </w:pPr>
            <w:r w:rsidRPr="00EF251D">
              <w:rPr>
                <w:highlight w:val="lightGray"/>
              </w:rPr>
              <w:t>Date of Birth:</w:t>
            </w:r>
          </w:p>
          <w:p w:rsidR="00C9119B" w:rsidRPr="00EF251D" w:rsidRDefault="00C9119B" w:rsidP="00512AC1">
            <w:pPr>
              <w:ind w:left="-108"/>
              <w:rPr>
                <w:highlight w:val="lightGray"/>
              </w:rPr>
            </w:pPr>
            <w:r w:rsidRPr="00EF251D">
              <w:rPr>
                <w:highlight w:val="lightGray"/>
              </w:rPr>
              <w:t>MRN:</w:t>
            </w:r>
          </w:p>
          <w:p w:rsidR="00C9119B" w:rsidRPr="00EF251D" w:rsidRDefault="00C9119B" w:rsidP="00512AC1">
            <w:pPr>
              <w:ind w:left="-108"/>
            </w:pPr>
            <w:r w:rsidRPr="00EF251D">
              <w:rPr>
                <w:highlight w:val="lightGray"/>
              </w:rPr>
              <w:t>NHS number:</w:t>
            </w:r>
          </w:p>
        </w:tc>
      </w:tr>
    </w:tbl>
    <w:p w:rsidR="00C9119B" w:rsidRPr="00EF251D" w:rsidRDefault="00C9119B" w:rsidP="00C9119B">
      <w:pPr>
        <w:jc w:val="right"/>
      </w:pPr>
    </w:p>
    <w:p w:rsidR="00C9119B" w:rsidRPr="00EF251D" w:rsidRDefault="00C9119B" w:rsidP="00C9119B">
      <w:pPr>
        <w:jc w:val="right"/>
      </w:pPr>
    </w:p>
    <w:p w:rsidR="00C9119B" w:rsidRPr="00EF251D" w:rsidRDefault="00C9119B" w:rsidP="00C9119B">
      <w:pPr>
        <w:jc w:val="right"/>
      </w:pPr>
    </w:p>
    <w:p w:rsidR="00C9119B" w:rsidRPr="00EF251D" w:rsidRDefault="00C9119B" w:rsidP="00C9119B">
      <w:pPr>
        <w:jc w:val="right"/>
      </w:pPr>
    </w:p>
    <w:p w:rsidR="00C9119B" w:rsidRPr="00EF251D" w:rsidRDefault="00C9119B" w:rsidP="00C9119B"/>
    <w:p w:rsidR="00C9119B" w:rsidRDefault="00C9119B" w:rsidP="00C9119B"/>
    <w:p w:rsidR="00C9119B" w:rsidRPr="00EF251D" w:rsidRDefault="00C9119B" w:rsidP="00C9119B">
      <w:r w:rsidRPr="00EF251D">
        <w:t xml:space="preserve">Dear </w:t>
      </w:r>
      <w:r w:rsidRPr="00EF251D">
        <w:rPr>
          <w:highlight w:val="lightGray"/>
        </w:rPr>
        <w:t>NAME</w:t>
      </w:r>
      <w:r w:rsidR="00C05D4F">
        <w:t>,</w:t>
      </w:r>
      <w:r w:rsidRPr="00EF251D">
        <w:t xml:space="preserve">                         </w:t>
      </w:r>
    </w:p>
    <w:p w:rsidR="00C9119B" w:rsidRPr="00791851" w:rsidRDefault="00C9119B" w:rsidP="00C05D4F">
      <w:pPr>
        <w:rPr>
          <w:rFonts w:ascii="Arial" w:hAnsi="Arial" w:cs="Arial"/>
          <w:b/>
          <w:u w:val="single"/>
        </w:rPr>
      </w:pPr>
      <w:r w:rsidRPr="00791851">
        <w:rPr>
          <w:rFonts w:ascii="Arial" w:hAnsi="Arial" w:cs="Arial"/>
          <w:b/>
          <w:u w:val="single"/>
        </w:rPr>
        <w:t>This plan is for patients who are being switched from warfarin to apixaban</w:t>
      </w:r>
    </w:p>
    <w:p w:rsidR="00C9119B" w:rsidRDefault="00C9119B" w:rsidP="00C9119B">
      <w:pPr>
        <w:pStyle w:val="Default"/>
        <w:rPr>
          <w:rFonts w:cs="SFTCK G+ Scala"/>
          <w:sz w:val="22"/>
          <w:szCs w:val="22"/>
        </w:rPr>
      </w:pPr>
      <w:r>
        <w:rPr>
          <w:rFonts w:cs="SFTCK G+ Scala"/>
          <w:sz w:val="22"/>
          <w:szCs w:val="22"/>
        </w:rPr>
        <w:t>Api</w:t>
      </w:r>
      <w:r w:rsidRPr="00CA6B08">
        <w:rPr>
          <w:rFonts w:cs="SFTCK G+ Scala"/>
          <w:sz w:val="22"/>
          <w:szCs w:val="22"/>
        </w:rPr>
        <w:t>xaban is an example of a Direct Oral Anticoagulant</w:t>
      </w:r>
      <w:r w:rsidR="00791851">
        <w:rPr>
          <w:rFonts w:cs="SFTCK G+ Scala"/>
          <w:sz w:val="22"/>
          <w:szCs w:val="22"/>
        </w:rPr>
        <w:t xml:space="preserve"> (you may hear them referred to as DOACs)</w:t>
      </w:r>
      <w:r w:rsidRPr="00CA6B08">
        <w:rPr>
          <w:rFonts w:cs="SFTCK G+ Scala"/>
          <w:sz w:val="22"/>
          <w:szCs w:val="22"/>
        </w:rPr>
        <w:t xml:space="preserve">. These are an alternative group of drugs to warfarin, they are </w:t>
      </w:r>
      <w:r>
        <w:rPr>
          <w:rFonts w:cs="SFTCK G+ Scala"/>
          <w:sz w:val="22"/>
          <w:szCs w:val="22"/>
        </w:rPr>
        <w:t xml:space="preserve">usually </w:t>
      </w:r>
      <w:r w:rsidRPr="00CA6B08">
        <w:rPr>
          <w:rFonts w:cs="SFTCK G+ Scala"/>
          <w:sz w:val="22"/>
          <w:szCs w:val="22"/>
        </w:rPr>
        <w:t>used for:</w:t>
      </w:r>
    </w:p>
    <w:p w:rsidR="00C9119B" w:rsidRPr="00CA6B08" w:rsidRDefault="00C9119B" w:rsidP="00C9119B">
      <w:pPr>
        <w:pStyle w:val="Default"/>
        <w:rPr>
          <w:rFonts w:cs="SFTCK G+ Scala"/>
          <w:sz w:val="22"/>
          <w:szCs w:val="22"/>
        </w:rPr>
      </w:pPr>
    </w:p>
    <w:p w:rsidR="00C9119B" w:rsidRPr="00CA6B08" w:rsidRDefault="00C9119B" w:rsidP="00C9119B">
      <w:pPr>
        <w:pStyle w:val="Default"/>
        <w:numPr>
          <w:ilvl w:val="0"/>
          <w:numId w:val="2"/>
        </w:numPr>
        <w:spacing w:after="37"/>
        <w:rPr>
          <w:sz w:val="22"/>
          <w:szCs w:val="22"/>
        </w:rPr>
      </w:pPr>
      <w:r w:rsidRPr="00CA6B08">
        <w:rPr>
          <w:sz w:val="22"/>
          <w:szCs w:val="22"/>
        </w:rPr>
        <w:t xml:space="preserve">Stroke prevention in Non-Valvular Atrial Fibrillation </w:t>
      </w:r>
    </w:p>
    <w:p w:rsidR="00C9119B" w:rsidRDefault="00C9119B" w:rsidP="00C9119B">
      <w:pPr>
        <w:pStyle w:val="Default"/>
        <w:numPr>
          <w:ilvl w:val="0"/>
          <w:numId w:val="2"/>
        </w:numPr>
        <w:rPr>
          <w:sz w:val="22"/>
          <w:szCs w:val="22"/>
        </w:rPr>
      </w:pPr>
      <w:r w:rsidRPr="00CA6B08">
        <w:rPr>
          <w:sz w:val="22"/>
          <w:szCs w:val="22"/>
        </w:rPr>
        <w:t xml:space="preserve">Treatment and </w:t>
      </w:r>
      <w:r w:rsidR="00C05D4F">
        <w:rPr>
          <w:sz w:val="22"/>
          <w:szCs w:val="22"/>
        </w:rPr>
        <w:t>p</w:t>
      </w:r>
      <w:r w:rsidRPr="00CA6B08">
        <w:rPr>
          <w:sz w:val="22"/>
          <w:szCs w:val="22"/>
        </w:rPr>
        <w:t xml:space="preserve">revention of </w:t>
      </w:r>
      <w:r w:rsidR="00C05D4F">
        <w:rPr>
          <w:sz w:val="22"/>
          <w:szCs w:val="22"/>
        </w:rPr>
        <w:t>blood clots</w:t>
      </w:r>
      <w:r w:rsidRPr="00CA6B08">
        <w:rPr>
          <w:sz w:val="22"/>
          <w:szCs w:val="22"/>
        </w:rPr>
        <w:t xml:space="preserve"> </w:t>
      </w:r>
    </w:p>
    <w:p w:rsidR="00C9119B" w:rsidRDefault="00C9119B" w:rsidP="00C9119B">
      <w:pPr>
        <w:pStyle w:val="Default"/>
        <w:rPr>
          <w:sz w:val="22"/>
          <w:szCs w:val="22"/>
        </w:rPr>
      </w:pPr>
    </w:p>
    <w:p w:rsidR="00C9119B" w:rsidRDefault="00C9119B" w:rsidP="00C9119B">
      <w:pPr>
        <w:pStyle w:val="Default"/>
        <w:rPr>
          <w:sz w:val="22"/>
          <w:szCs w:val="22"/>
        </w:rPr>
      </w:pPr>
      <w:r>
        <w:rPr>
          <w:sz w:val="22"/>
          <w:szCs w:val="22"/>
        </w:rPr>
        <w:t>Apixaban is also occasionally used for other indications.</w:t>
      </w:r>
    </w:p>
    <w:p w:rsidR="00C9119B" w:rsidRDefault="00C9119B" w:rsidP="00C9119B">
      <w:pPr>
        <w:pStyle w:val="Default"/>
        <w:rPr>
          <w:sz w:val="22"/>
          <w:szCs w:val="22"/>
        </w:rPr>
      </w:pPr>
    </w:p>
    <w:p w:rsidR="00C9119B" w:rsidRPr="00E31407" w:rsidRDefault="00C9119B" w:rsidP="00C9119B">
      <w:pPr>
        <w:pStyle w:val="Default"/>
        <w:rPr>
          <w:sz w:val="22"/>
          <w:szCs w:val="21"/>
        </w:rPr>
      </w:pPr>
      <w:r w:rsidRPr="00E31407">
        <w:rPr>
          <w:b/>
          <w:sz w:val="22"/>
          <w:szCs w:val="22"/>
          <w:u w:val="single"/>
        </w:rPr>
        <w:t xml:space="preserve">Advantages </w:t>
      </w:r>
      <w:r w:rsidRPr="00C05D4F">
        <w:rPr>
          <w:b/>
          <w:i/>
          <w:sz w:val="22"/>
          <w:szCs w:val="22"/>
          <w:u w:val="single"/>
        </w:rPr>
        <w:t>vs</w:t>
      </w:r>
      <w:r w:rsidRPr="00E31407">
        <w:rPr>
          <w:b/>
          <w:sz w:val="22"/>
          <w:szCs w:val="22"/>
          <w:u w:val="single"/>
        </w:rPr>
        <w:t xml:space="preserve">. disadvantages of taking </w:t>
      </w:r>
      <w:r>
        <w:rPr>
          <w:b/>
          <w:sz w:val="22"/>
          <w:szCs w:val="22"/>
          <w:u w:val="single"/>
        </w:rPr>
        <w:t>api</w:t>
      </w:r>
      <w:r w:rsidRPr="00E31407">
        <w:rPr>
          <w:b/>
          <w:sz w:val="22"/>
          <w:szCs w:val="22"/>
          <w:u w:val="single"/>
        </w:rPr>
        <w:t>xaban instead of warfarin</w:t>
      </w:r>
      <w:r w:rsidRPr="00E31407">
        <w:rPr>
          <w:sz w:val="22"/>
          <w:szCs w:val="21"/>
        </w:rPr>
        <w:t xml:space="preserve"> </w:t>
      </w:r>
    </w:p>
    <w:p w:rsidR="00C9119B" w:rsidRPr="00CA6B08" w:rsidRDefault="00C9119B" w:rsidP="00C9119B">
      <w:pPr>
        <w:pStyle w:val="Default"/>
        <w:rPr>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35"/>
      </w:tblGrid>
      <w:tr w:rsidR="00C9119B" w:rsidRPr="00CA6B08" w:rsidTr="00C05D4F">
        <w:tc>
          <w:tcPr>
            <w:tcW w:w="4607" w:type="dxa"/>
            <w:shd w:val="clear" w:color="auto" w:fill="000000"/>
          </w:tcPr>
          <w:p w:rsidR="00C9119B" w:rsidRPr="00081D5E" w:rsidRDefault="00C9119B" w:rsidP="00512AC1">
            <w:pPr>
              <w:pStyle w:val="Default"/>
              <w:jc w:val="center"/>
              <w:rPr>
                <w:b/>
                <w:color w:val="FFFFFF"/>
                <w:sz w:val="22"/>
                <w:szCs w:val="21"/>
              </w:rPr>
            </w:pPr>
            <w:r w:rsidRPr="00081D5E">
              <w:rPr>
                <w:b/>
                <w:color w:val="FFFFFF"/>
                <w:sz w:val="22"/>
                <w:szCs w:val="21"/>
              </w:rPr>
              <w:t xml:space="preserve">Advantages of taking </w:t>
            </w:r>
            <w:r>
              <w:rPr>
                <w:b/>
                <w:color w:val="FFFFFF"/>
                <w:sz w:val="22"/>
                <w:szCs w:val="21"/>
              </w:rPr>
              <w:t>api</w:t>
            </w:r>
            <w:r w:rsidRPr="00081D5E">
              <w:rPr>
                <w:b/>
                <w:color w:val="FFFFFF"/>
                <w:sz w:val="22"/>
                <w:szCs w:val="21"/>
              </w:rPr>
              <w:t>xaban</w:t>
            </w:r>
          </w:p>
        </w:tc>
        <w:tc>
          <w:tcPr>
            <w:tcW w:w="4635" w:type="dxa"/>
            <w:shd w:val="clear" w:color="auto" w:fill="000000"/>
          </w:tcPr>
          <w:p w:rsidR="00C9119B" w:rsidRPr="00081D5E" w:rsidRDefault="00C9119B" w:rsidP="00512AC1">
            <w:pPr>
              <w:pStyle w:val="Default"/>
              <w:jc w:val="center"/>
              <w:rPr>
                <w:b/>
                <w:color w:val="FFFFFF"/>
                <w:sz w:val="22"/>
                <w:szCs w:val="21"/>
              </w:rPr>
            </w:pPr>
            <w:r w:rsidRPr="00081D5E">
              <w:rPr>
                <w:b/>
                <w:color w:val="FFFFFF"/>
                <w:sz w:val="22"/>
                <w:szCs w:val="21"/>
              </w:rPr>
              <w:t xml:space="preserve">Disadvantages of taking </w:t>
            </w:r>
            <w:r>
              <w:rPr>
                <w:b/>
                <w:color w:val="FFFFFF"/>
                <w:sz w:val="22"/>
                <w:szCs w:val="21"/>
              </w:rPr>
              <w:t>api</w:t>
            </w:r>
            <w:r w:rsidRPr="00081D5E">
              <w:rPr>
                <w:b/>
                <w:color w:val="FFFFFF"/>
                <w:sz w:val="22"/>
                <w:szCs w:val="21"/>
              </w:rPr>
              <w:t>xaban</w:t>
            </w:r>
          </w:p>
        </w:tc>
      </w:tr>
      <w:tr w:rsidR="00C9119B" w:rsidRPr="00CA6B08" w:rsidTr="00C05D4F">
        <w:trPr>
          <w:trHeight w:val="493"/>
        </w:trPr>
        <w:tc>
          <w:tcPr>
            <w:tcW w:w="4607" w:type="dxa"/>
            <w:shd w:val="clear" w:color="auto" w:fill="auto"/>
            <w:vAlign w:val="center"/>
          </w:tcPr>
          <w:p w:rsidR="00C9119B" w:rsidRPr="00E31407" w:rsidRDefault="00C9119B" w:rsidP="00512AC1">
            <w:pPr>
              <w:pStyle w:val="Default"/>
              <w:rPr>
                <w:color w:val="auto"/>
                <w:sz w:val="22"/>
                <w:szCs w:val="21"/>
              </w:rPr>
            </w:pPr>
            <w:r w:rsidRPr="00E31407">
              <w:rPr>
                <w:color w:val="auto"/>
                <w:sz w:val="22"/>
                <w:szCs w:val="21"/>
              </w:rPr>
              <w:t>No common food/drink interactions</w:t>
            </w:r>
          </w:p>
        </w:tc>
        <w:tc>
          <w:tcPr>
            <w:tcW w:w="4635" w:type="dxa"/>
            <w:vMerge w:val="restart"/>
            <w:shd w:val="clear" w:color="auto" w:fill="auto"/>
            <w:vAlign w:val="center"/>
          </w:tcPr>
          <w:p w:rsidR="00C9119B" w:rsidRPr="00E31407" w:rsidRDefault="00C9119B" w:rsidP="00791851">
            <w:pPr>
              <w:pStyle w:val="Default"/>
              <w:rPr>
                <w:color w:val="auto"/>
                <w:sz w:val="22"/>
                <w:szCs w:val="21"/>
              </w:rPr>
            </w:pPr>
            <w:r w:rsidRPr="00E31407">
              <w:rPr>
                <w:color w:val="auto"/>
                <w:sz w:val="22"/>
                <w:szCs w:val="21"/>
              </w:rPr>
              <w:t>No reversal agent –</w:t>
            </w:r>
            <w:r>
              <w:rPr>
                <w:color w:val="auto"/>
                <w:sz w:val="22"/>
                <w:szCs w:val="21"/>
              </w:rPr>
              <w:t xml:space="preserve"> </w:t>
            </w:r>
            <w:r w:rsidRPr="00E31407">
              <w:rPr>
                <w:color w:val="auto"/>
                <w:sz w:val="22"/>
                <w:szCs w:val="21"/>
              </w:rPr>
              <w:t>However, the half-life of the drug, which is the time it takes for the amount of drug in your blood stream to reduce by half, is much shorter. Furthermore, the risk of major</w:t>
            </w:r>
            <w:r w:rsidR="00791851">
              <w:rPr>
                <w:color w:val="auto"/>
                <w:sz w:val="22"/>
                <w:szCs w:val="21"/>
              </w:rPr>
              <w:t xml:space="preserve"> life threatening</w:t>
            </w:r>
            <w:r w:rsidRPr="00E31407">
              <w:rPr>
                <w:color w:val="auto"/>
                <w:sz w:val="22"/>
                <w:szCs w:val="21"/>
              </w:rPr>
              <w:t xml:space="preserve"> bleeding is lower </w:t>
            </w:r>
            <w:r>
              <w:rPr>
                <w:color w:val="auto"/>
                <w:sz w:val="22"/>
                <w:szCs w:val="21"/>
              </w:rPr>
              <w:t>with api</w:t>
            </w:r>
            <w:r w:rsidRPr="00E31407">
              <w:rPr>
                <w:color w:val="auto"/>
                <w:sz w:val="22"/>
                <w:szCs w:val="21"/>
              </w:rPr>
              <w:t>xaban compared to warfarin.</w:t>
            </w:r>
            <w:r>
              <w:rPr>
                <w:color w:val="auto"/>
                <w:sz w:val="22"/>
                <w:szCs w:val="21"/>
              </w:rPr>
              <w:t xml:space="preserve"> In addition a reversal agent is also currently in development. </w:t>
            </w:r>
          </w:p>
        </w:tc>
      </w:tr>
      <w:tr w:rsidR="00C9119B" w:rsidRPr="00CA6B08" w:rsidTr="00C05D4F">
        <w:trPr>
          <w:trHeight w:val="700"/>
        </w:trPr>
        <w:tc>
          <w:tcPr>
            <w:tcW w:w="4607" w:type="dxa"/>
            <w:shd w:val="clear" w:color="auto" w:fill="auto"/>
            <w:vAlign w:val="center"/>
          </w:tcPr>
          <w:p w:rsidR="00C05D4F" w:rsidRDefault="00C05D4F" w:rsidP="00C05D4F">
            <w:pPr>
              <w:pStyle w:val="Default"/>
              <w:rPr>
                <w:color w:val="auto"/>
                <w:sz w:val="22"/>
                <w:szCs w:val="21"/>
              </w:rPr>
            </w:pPr>
          </w:p>
          <w:p w:rsidR="00C9119B" w:rsidRDefault="00C05D4F" w:rsidP="00C05D4F">
            <w:pPr>
              <w:pStyle w:val="Default"/>
              <w:rPr>
                <w:color w:val="auto"/>
                <w:sz w:val="22"/>
                <w:szCs w:val="21"/>
              </w:rPr>
            </w:pPr>
            <w:r>
              <w:rPr>
                <w:color w:val="auto"/>
                <w:sz w:val="22"/>
                <w:szCs w:val="21"/>
              </w:rPr>
              <w:t>N</w:t>
            </w:r>
            <w:r w:rsidR="00C9119B" w:rsidRPr="00E31407">
              <w:rPr>
                <w:color w:val="auto"/>
                <w:sz w:val="22"/>
                <w:szCs w:val="21"/>
              </w:rPr>
              <w:t xml:space="preserve">o frequent monitoring </w:t>
            </w:r>
            <w:r>
              <w:rPr>
                <w:color w:val="auto"/>
                <w:sz w:val="22"/>
                <w:szCs w:val="21"/>
              </w:rPr>
              <w:t>(no INR monitoring required).</w:t>
            </w:r>
          </w:p>
          <w:p w:rsidR="00C05D4F" w:rsidRDefault="00C05D4F" w:rsidP="00C05D4F">
            <w:pPr>
              <w:pStyle w:val="Default"/>
              <w:rPr>
                <w:color w:val="auto"/>
                <w:sz w:val="22"/>
                <w:szCs w:val="21"/>
              </w:rPr>
            </w:pPr>
          </w:p>
          <w:p w:rsidR="00C05D4F" w:rsidRDefault="00C05D4F" w:rsidP="00C05D4F">
            <w:pPr>
              <w:pStyle w:val="Default"/>
              <w:rPr>
                <w:color w:val="auto"/>
                <w:sz w:val="22"/>
                <w:szCs w:val="21"/>
              </w:rPr>
            </w:pPr>
            <w:r>
              <w:rPr>
                <w:color w:val="auto"/>
                <w:sz w:val="22"/>
                <w:szCs w:val="21"/>
              </w:rPr>
              <w:t>Most patients</w:t>
            </w:r>
            <w:r w:rsidRPr="00E31407">
              <w:rPr>
                <w:color w:val="auto"/>
                <w:sz w:val="22"/>
                <w:szCs w:val="21"/>
              </w:rPr>
              <w:t xml:space="preserve"> will have 6 </w:t>
            </w:r>
            <w:r>
              <w:rPr>
                <w:color w:val="auto"/>
                <w:sz w:val="22"/>
                <w:szCs w:val="21"/>
              </w:rPr>
              <w:t>-</w:t>
            </w:r>
            <w:r w:rsidRPr="00E31407">
              <w:rPr>
                <w:color w:val="auto"/>
                <w:sz w:val="22"/>
                <w:szCs w:val="21"/>
              </w:rPr>
              <w:t xml:space="preserve"> 12 monthly reviews to check liver function, full blood count and kidney function</w:t>
            </w:r>
          </w:p>
          <w:p w:rsidR="00C05D4F" w:rsidRPr="00E31407" w:rsidRDefault="00C05D4F" w:rsidP="00C05D4F">
            <w:pPr>
              <w:pStyle w:val="Default"/>
              <w:rPr>
                <w:color w:val="auto"/>
                <w:sz w:val="22"/>
                <w:szCs w:val="21"/>
              </w:rPr>
            </w:pPr>
          </w:p>
        </w:tc>
        <w:tc>
          <w:tcPr>
            <w:tcW w:w="4635" w:type="dxa"/>
            <w:vMerge/>
            <w:shd w:val="clear" w:color="auto" w:fill="auto"/>
            <w:vAlign w:val="center"/>
          </w:tcPr>
          <w:p w:rsidR="00C9119B" w:rsidRPr="00E31407" w:rsidRDefault="00C9119B" w:rsidP="00512AC1">
            <w:pPr>
              <w:pStyle w:val="Default"/>
              <w:rPr>
                <w:color w:val="auto"/>
                <w:sz w:val="22"/>
                <w:szCs w:val="21"/>
              </w:rPr>
            </w:pPr>
          </w:p>
        </w:tc>
      </w:tr>
      <w:tr w:rsidR="00C9119B" w:rsidRPr="00CA6B08" w:rsidTr="00C05D4F">
        <w:trPr>
          <w:trHeight w:val="501"/>
        </w:trPr>
        <w:tc>
          <w:tcPr>
            <w:tcW w:w="4607" w:type="dxa"/>
            <w:shd w:val="clear" w:color="auto" w:fill="auto"/>
            <w:vAlign w:val="center"/>
          </w:tcPr>
          <w:p w:rsidR="00C05D4F" w:rsidRPr="00E31407" w:rsidRDefault="00C9119B" w:rsidP="00C05D4F">
            <w:pPr>
              <w:pStyle w:val="Default"/>
              <w:rPr>
                <w:color w:val="auto"/>
                <w:sz w:val="22"/>
                <w:szCs w:val="21"/>
              </w:rPr>
            </w:pPr>
            <w:r w:rsidRPr="00E31407">
              <w:rPr>
                <w:color w:val="auto"/>
                <w:sz w:val="22"/>
                <w:szCs w:val="21"/>
              </w:rPr>
              <w:t>Fewer drug-drug interactions</w:t>
            </w:r>
          </w:p>
        </w:tc>
        <w:tc>
          <w:tcPr>
            <w:tcW w:w="4635" w:type="dxa"/>
            <w:vMerge/>
            <w:shd w:val="clear" w:color="auto" w:fill="auto"/>
            <w:vAlign w:val="center"/>
          </w:tcPr>
          <w:p w:rsidR="00C9119B" w:rsidRPr="00E31407" w:rsidRDefault="00C9119B" w:rsidP="00512AC1">
            <w:pPr>
              <w:pStyle w:val="Default"/>
              <w:rPr>
                <w:color w:val="auto"/>
                <w:sz w:val="22"/>
                <w:szCs w:val="21"/>
              </w:rPr>
            </w:pPr>
          </w:p>
        </w:tc>
      </w:tr>
      <w:tr w:rsidR="00C9119B" w:rsidRPr="00CA6B08" w:rsidTr="00C05D4F">
        <w:trPr>
          <w:trHeight w:val="423"/>
        </w:trPr>
        <w:tc>
          <w:tcPr>
            <w:tcW w:w="4607" w:type="dxa"/>
            <w:shd w:val="clear" w:color="auto" w:fill="auto"/>
            <w:vAlign w:val="center"/>
          </w:tcPr>
          <w:p w:rsidR="00C05D4F" w:rsidRPr="00E31407" w:rsidRDefault="00C9119B" w:rsidP="00C05D4F">
            <w:pPr>
              <w:pStyle w:val="Default"/>
              <w:rPr>
                <w:color w:val="auto"/>
                <w:sz w:val="22"/>
                <w:szCs w:val="21"/>
              </w:rPr>
            </w:pPr>
            <w:r>
              <w:rPr>
                <w:color w:val="auto"/>
                <w:sz w:val="22"/>
                <w:szCs w:val="21"/>
              </w:rPr>
              <w:t xml:space="preserve">Lower risk of </w:t>
            </w:r>
            <w:r w:rsidR="00C05D4F">
              <w:rPr>
                <w:color w:val="auto"/>
                <w:sz w:val="22"/>
                <w:szCs w:val="21"/>
              </w:rPr>
              <w:t>life threatening</w:t>
            </w:r>
            <w:r>
              <w:rPr>
                <w:color w:val="auto"/>
                <w:sz w:val="22"/>
                <w:szCs w:val="21"/>
              </w:rPr>
              <w:t xml:space="preserve"> bleeding</w:t>
            </w:r>
          </w:p>
        </w:tc>
        <w:tc>
          <w:tcPr>
            <w:tcW w:w="4635" w:type="dxa"/>
            <w:vMerge w:val="restart"/>
            <w:shd w:val="clear" w:color="auto" w:fill="auto"/>
            <w:vAlign w:val="center"/>
          </w:tcPr>
          <w:p w:rsidR="00C9119B" w:rsidRPr="00E31407" w:rsidRDefault="00C9119B" w:rsidP="00512AC1">
            <w:pPr>
              <w:pStyle w:val="Default"/>
              <w:rPr>
                <w:color w:val="auto"/>
                <w:sz w:val="22"/>
                <w:szCs w:val="21"/>
              </w:rPr>
            </w:pPr>
            <w:r w:rsidRPr="00E31407">
              <w:rPr>
                <w:color w:val="auto"/>
                <w:sz w:val="22"/>
                <w:szCs w:val="21"/>
              </w:rPr>
              <w:t>Patients with renal disease may need more frequent blood testing.</w:t>
            </w:r>
          </w:p>
        </w:tc>
      </w:tr>
      <w:tr w:rsidR="00C9119B" w:rsidRPr="00CA6B08" w:rsidTr="00C05D4F">
        <w:trPr>
          <w:trHeight w:val="415"/>
        </w:trPr>
        <w:tc>
          <w:tcPr>
            <w:tcW w:w="4607" w:type="dxa"/>
            <w:shd w:val="clear" w:color="auto" w:fill="auto"/>
            <w:vAlign w:val="center"/>
          </w:tcPr>
          <w:p w:rsidR="00C05D4F" w:rsidRPr="00E31407" w:rsidRDefault="00C9119B" w:rsidP="00C05D4F">
            <w:pPr>
              <w:pStyle w:val="Default"/>
              <w:rPr>
                <w:color w:val="auto"/>
                <w:sz w:val="22"/>
                <w:szCs w:val="21"/>
              </w:rPr>
            </w:pPr>
            <w:r w:rsidRPr="00E31407">
              <w:rPr>
                <w:color w:val="auto"/>
                <w:sz w:val="22"/>
                <w:szCs w:val="21"/>
              </w:rPr>
              <w:t>No frequent dose changes</w:t>
            </w:r>
            <w:r w:rsidR="00C05D4F">
              <w:rPr>
                <w:color w:val="auto"/>
                <w:sz w:val="22"/>
                <w:szCs w:val="21"/>
              </w:rPr>
              <w:t xml:space="preserve"> required</w:t>
            </w:r>
          </w:p>
        </w:tc>
        <w:tc>
          <w:tcPr>
            <w:tcW w:w="4635" w:type="dxa"/>
            <w:vMerge/>
            <w:shd w:val="clear" w:color="auto" w:fill="auto"/>
            <w:vAlign w:val="center"/>
          </w:tcPr>
          <w:p w:rsidR="00C9119B" w:rsidRPr="00E31407" w:rsidRDefault="00C9119B" w:rsidP="00512AC1">
            <w:pPr>
              <w:pStyle w:val="Default"/>
              <w:rPr>
                <w:color w:val="auto"/>
                <w:sz w:val="22"/>
                <w:szCs w:val="21"/>
              </w:rPr>
            </w:pPr>
          </w:p>
        </w:tc>
      </w:tr>
      <w:tr w:rsidR="00C9119B" w:rsidRPr="00CA6B08" w:rsidTr="00791851">
        <w:trPr>
          <w:trHeight w:val="557"/>
        </w:trPr>
        <w:tc>
          <w:tcPr>
            <w:tcW w:w="4607" w:type="dxa"/>
            <w:shd w:val="clear" w:color="auto" w:fill="auto"/>
            <w:vAlign w:val="center"/>
          </w:tcPr>
          <w:p w:rsidR="00C05D4F" w:rsidRPr="00E31407" w:rsidRDefault="00C05D4F" w:rsidP="00C05D4F">
            <w:pPr>
              <w:pStyle w:val="Default"/>
              <w:rPr>
                <w:color w:val="auto"/>
                <w:sz w:val="22"/>
                <w:szCs w:val="21"/>
              </w:rPr>
            </w:pPr>
            <w:r>
              <w:rPr>
                <w:color w:val="auto"/>
                <w:sz w:val="22"/>
                <w:szCs w:val="21"/>
              </w:rPr>
              <w:t>Apixaban</w:t>
            </w:r>
            <w:r w:rsidR="00C9119B" w:rsidRPr="00E31407">
              <w:rPr>
                <w:color w:val="auto"/>
                <w:sz w:val="22"/>
                <w:szCs w:val="21"/>
              </w:rPr>
              <w:t xml:space="preserve"> works quickly once taken</w:t>
            </w:r>
          </w:p>
        </w:tc>
        <w:tc>
          <w:tcPr>
            <w:tcW w:w="4635" w:type="dxa"/>
            <w:shd w:val="clear" w:color="auto" w:fill="auto"/>
            <w:vAlign w:val="center"/>
          </w:tcPr>
          <w:p w:rsidR="00C9119B" w:rsidRPr="00E31407" w:rsidRDefault="00C05D4F" w:rsidP="00C05D4F">
            <w:pPr>
              <w:pStyle w:val="Default"/>
              <w:rPr>
                <w:color w:val="auto"/>
                <w:sz w:val="22"/>
                <w:szCs w:val="21"/>
              </w:rPr>
            </w:pPr>
            <w:r>
              <w:rPr>
                <w:color w:val="auto"/>
                <w:sz w:val="22"/>
                <w:szCs w:val="21"/>
              </w:rPr>
              <w:t xml:space="preserve">Lack of regular monitoring (some patients may find regular testing re-assuring that </w:t>
            </w:r>
            <w:r>
              <w:rPr>
                <w:color w:val="auto"/>
                <w:sz w:val="22"/>
                <w:szCs w:val="21"/>
              </w:rPr>
              <w:lastRenderedPageBreak/>
              <w:t xml:space="preserve">warfarin is working and enjoy the contact with a healthcare professional). </w:t>
            </w:r>
          </w:p>
        </w:tc>
      </w:tr>
      <w:tr w:rsidR="00791851" w:rsidRPr="00CA6B08" w:rsidTr="00791851">
        <w:trPr>
          <w:trHeight w:val="608"/>
        </w:trPr>
        <w:tc>
          <w:tcPr>
            <w:tcW w:w="4607" w:type="dxa"/>
            <w:tcBorders>
              <w:top w:val="nil"/>
            </w:tcBorders>
            <w:shd w:val="clear" w:color="auto" w:fill="auto"/>
            <w:vAlign w:val="center"/>
          </w:tcPr>
          <w:p w:rsidR="00791851" w:rsidRDefault="00791851" w:rsidP="00C05D4F">
            <w:pPr>
              <w:pStyle w:val="Default"/>
              <w:rPr>
                <w:color w:val="auto"/>
                <w:sz w:val="22"/>
                <w:szCs w:val="21"/>
              </w:rPr>
            </w:pPr>
          </w:p>
        </w:tc>
        <w:tc>
          <w:tcPr>
            <w:tcW w:w="4635" w:type="dxa"/>
            <w:shd w:val="clear" w:color="auto" w:fill="auto"/>
            <w:vAlign w:val="center"/>
          </w:tcPr>
          <w:p w:rsidR="00791851" w:rsidRDefault="00791851" w:rsidP="00C05D4F">
            <w:pPr>
              <w:pStyle w:val="Default"/>
              <w:rPr>
                <w:color w:val="auto"/>
                <w:sz w:val="22"/>
                <w:szCs w:val="21"/>
              </w:rPr>
            </w:pPr>
            <w:r>
              <w:rPr>
                <w:color w:val="auto"/>
                <w:sz w:val="22"/>
                <w:szCs w:val="21"/>
              </w:rPr>
              <w:t xml:space="preserve">Apixaban needs to be taken twice a day rather than once a day. </w:t>
            </w:r>
          </w:p>
        </w:tc>
      </w:tr>
    </w:tbl>
    <w:p w:rsidR="00C9119B" w:rsidRPr="00367937" w:rsidRDefault="00C9119B" w:rsidP="00C9119B">
      <w:pPr>
        <w:pStyle w:val="Default"/>
        <w:rPr>
          <w:color w:val="auto"/>
          <w:sz w:val="21"/>
          <w:szCs w:val="21"/>
        </w:rPr>
      </w:pPr>
    </w:p>
    <w:p w:rsidR="00C9119B" w:rsidRDefault="00C9119B" w:rsidP="00C9119B">
      <w:pPr>
        <w:pStyle w:val="Default"/>
        <w:rPr>
          <w:b/>
          <w:sz w:val="22"/>
          <w:szCs w:val="21"/>
          <w:u w:val="single"/>
        </w:rPr>
      </w:pPr>
    </w:p>
    <w:p w:rsidR="00C9119B" w:rsidRPr="00E31407" w:rsidRDefault="00C9119B" w:rsidP="00C9119B">
      <w:pPr>
        <w:pStyle w:val="Default"/>
        <w:rPr>
          <w:b/>
          <w:sz w:val="22"/>
          <w:szCs w:val="21"/>
          <w:u w:val="single"/>
        </w:rPr>
      </w:pPr>
      <w:r>
        <w:rPr>
          <w:b/>
          <w:sz w:val="22"/>
          <w:szCs w:val="21"/>
          <w:u w:val="single"/>
        </w:rPr>
        <w:t>Api</w:t>
      </w:r>
      <w:r w:rsidRPr="00E31407">
        <w:rPr>
          <w:b/>
          <w:sz w:val="22"/>
          <w:szCs w:val="21"/>
          <w:u w:val="single"/>
        </w:rPr>
        <w:t>xaban</w:t>
      </w:r>
      <w:r w:rsidR="00791851">
        <w:rPr>
          <w:b/>
          <w:sz w:val="22"/>
          <w:szCs w:val="21"/>
          <w:u w:val="single"/>
        </w:rPr>
        <w:t>:</w:t>
      </w:r>
      <w:r w:rsidRPr="00E31407">
        <w:rPr>
          <w:b/>
          <w:sz w:val="22"/>
          <w:szCs w:val="21"/>
          <w:u w:val="single"/>
        </w:rPr>
        <w:t xml:space="preserve"> </w:t>
      </w:r>
      <w:r w:rsidR="00791851">
        <w:rPr>
          <w:b/>
          <w:sz w:val="22"/>
          <w:szCs w:val="21"/>
          <w:u w:val="single"/>
        </w:rPr>
        <w:t>K</w:t>
      </w:r>
      <w:r w:rsidRPr="00E31407">
        <w:rPr>
          <w:b/>
          <w:sz w:val="22"/>
          <w:szCs w:val="21"/>
          <w:u w:val="single"/>
        </w:rPr>
        <w:t xml:space="preserve">ey </w:t>
      </w:r>
      <w:r w:rsidR="00791851">
        <w:rPr>
          <w:b/>
          <w:sz w:val="22"/>
          <w:szCs w:val="21"/>
          <w:u w:val="single"/>
        </w:rPr>
        <w:t>F</w:t>
      </w:r>
      <w:r w:rsidRPr="00E31407">
        <w:rPr>
          <w:b/>
          <w:sz w:val="22"/>
          <w:szCs w:val="21"/>
          <w:u w:val="single"/>
        </w:rPr>
        <w:t>acts</w:t>
      </w:r>
    </w:p>
    <w:p w:rsidR="00C9119B" w:rsidRPr="00CA6B08" w:rsidRDefault="00C9119B" w:rsidP="00C9119B">
      <w:pPr>
        <w:pStyle w:val="Default"/>
        <w:rPr>
          <w:sz w:val="22"/>
          <w:szCs w:val="21"/>
          <w:u w:val="single"/>
        </w:rPr>
      </w:pPr>
    </w:p>
    <w:p w:rsidR="00C9119B" w:rsidRDefault="00C9119B" w:rsidP="00C9119B">
      <w:pPr>
        <w:pStyle w:val="Default"/>
        <w:numPr>
          <w:ilvl w:val="0"/>
          <w:numId w:val="1"/>
        </w:numPr>
        <w:rPr>
          <w:sz w:val="22"/>
          <w:szCs w:val="21"/>
        </w:rPr>
      </w:pPr>
      <w:r w:rsidRPr="00974755">
        <w:rPr>
          <w:sz w:val="22"/>
          <w:szCs w:val="21"/>
        </w:rPr>
        <w:t xml:space="preserve">Taken </w:t>
      </w:r>
      <w:r>
        <w:rPr>
          <w:sz w:val="22"/>
          <w:szCs w:val="21"/>
        </w:rPr>
        <w:t>twice daily at either a 5mg or 2.5mg dose depending on renal function, weight and age</w:t>
      </w:r>
      <w:r w:rsidR="00791851">
        <w:rPr>
          <w:sz w:val="22"/>
          <w:szCs w:val="21"/>
        </w:rPr>
        <w:t xml:space="preserve"> (you will be advised on the most appropriate dose to take by </w:t>
      </w:r>
      <w:r w:rsidR="00C36408">
        <w:rPr>
          <w:sz w:val="22"/>
          <w:szCs w:val="21"/>
        </w:rPr>
        <w:t>the anticoagulation team</w:t>
      </w:r>
      <w:r w:rsidR="00791851">
        <w:rPr>
          <w:sz w:val="22"/>
          <w:szCs w:val="21"/>
        </w:rPr>
        <w:t>)</w:t>
      </w:r>
      <w:r>
        <w:rPr>
          <w:sz w:val="22"/>
          <w:szCs w:val="21"/>
        </w:rPr>
        <w:t>.</w:t>
      </w:r>
      <w:r w:rsidRPr="00974755">
        <w:rPr>
          <w:sz w:val="22"/>
          <w:szCs w:val="21"/>
        </w:rPr>
        <w:t xml:space="preserve"> </w:t>
      </w:r>
    </w:p>
    <w:p w:rsidR="00C9119B" w:rsidRPr="008963A4" w:rsidRDefault="00C9119B" w:rsidP="00C9119B">
      <w:pPr>
        <w:pStyle w:val="Default"/>
        <w:numPr>
          <w:ilvl w:val="0"/>
          <w:numId w:val="1"/>
        </w:numPr>
        <w:rPr>
          <w:sz w:val="22"/>
          <w:szCs w:val="22"/>
        </w:rPr>
      </w:pPr>
      <w:r w:rsidRPr="00974755">
        <w:rPr>
          <w:sz w:val="22"/>
          <w:szCs w:val="21"/>
        </w:rPr>
        <w:t>Can be put into a dossette box.</w:t>
      </w:r>
      <w:r w:rsidRPr="008963A4">
        <w:rPr>
          <w:sz w:val="22"/>
          <w:szCs w:val="22"/>
          <w:shd w:val="clear" w:color="auto" w:fill="FFFFFF"/>
        </w:rPr>
        <w:t xml:space="preserve"> If a dose is missed,</w:t>
      </w:r>
      <w:r>
        <w:rPr>
          <w:sz w:val="22"/>
          <w:szCs w:val="22"/>
          <w:shd w:val="clear" w:color="auto" w:fill="FFFFFF"/>
        </w:rPr>
        <w:t xml:space="preserve"> take </w:t>
      </w:r>
      <w:r w:rsidR="00791851">
        <w:rPr>
          <w:sz w:val="22"/>
          <w:szCs w:val="22"/>
          <w:shd w:val="clear" w:color="auto" w:fill="FFFFFF"/>
        </w:rPr>
        <w:t>your</w:t>
      </w:r>
      <w:r>
        <w:rPr>
          <w:sz w:val="22"/>
          <w:szCs w:val="22"/>
          <w:shd w:val="clear" w:color="auto" w:fill="FFFFFF"/>
        </w:rPr>
        <w:t xml:space="preserve"> dose</w:t>
      </w:r>
      <w:r w:rsidRPr="008963A4">
        <w:rPr>
          <w:sz w:val="22"/>
          <w:szCs w:val="22"/>
          <w:shd w:val="clear" w:color="auto" w:fill="FFFFFF"/>
        </w:rPr>
        <w:t xml:space="preserve"> immediately and then continue with twice daily intake as before</w:t>
      </w:r>
      <w:r>
        <w:rPr>
          <w:sz w:val="22"/>
          <w:szCs w:val="22"/>
          <w:shd w:val="clear" w:color="auto" w:fill="FFFFFF"/>
        </w:rPr>
        <w:t>.</w:t>
      </w:r>
    </w:p>
    <w:p w:rsidR="00C9119B" w:rsidRPr="008963A4" w:rsidRDefault="00C9119B" w:rsidP="00C9119B">
      <w:pPr>
        <w:pStyle w:val="Default"/>
        <w:numPr>
          <w:ilvl w:val="0"/>
          <w:numId w:val="1"/>
        </w:numPr>
        <w:rPr>
          <w:sz w:val="22"/>
          <w:szCs w:val="22"/>
        </w:rPr>
      </w:pPr>
      <w:r w:rsidRPr="00791851">
        <w:rPr>
          <w:sz w:val="22"/>
          <w:szCs w:val="21"/>
        </w:rPr>
        <w:t>For breastfeeding patients</w:t>
      </w:r>
      <w:r w:rsidR="00C36408">
        <w:rPr>
          <w:sz w:val="22"/>
          <w:szCs w:val="21"/>
        </w:rPr>
        <w:t>,</w:t>
      </w:r>
      <w:r>
        <w:rPr>
          <w:sz w:val="22"/>
          <w:szCs w:val="21"/>
        </w:rPr>
        <w:t xml:space="preserve"> </w:t>
      </w:r>
      <w:r w:rsidR="00C36408">
        <w:rPr>
          <w:sz w:val="22"/>
          <w:szCs w:val="22"/>
          <w:shd w:val="clear" w:color="auto" w:fill="FFFFFF"/>
        </w:rPr>
        <w:t>i</w:t>
      </w:r>
      <w:r w:rsidRPr="008963A4">
        <w:rPr>
          <w:sz w:val="22"/>
          <w:szCs w:val="22"/>
          <w:shd w:val="clear" w:color="auto" w:fill="FFFFFF"/>
        </w:rPr>
        <w:t>t is unknown whether apixa</w:t>
      </w:r>
      <w:r w:rsidR="00791851">
        <w:rPr>
          <w:sz w:val="22"/>
          <w:szCs w:val="22"/>
          <w:shd w:val="clear" w:color="auto" w:fill="FFFFFF"/>
        </w:rPr>
        <w:t xml:space="preserve">ban is excreted in human milk, hence apixaban should be avoided. Apixaban should also be avoided in pregnancy. If you become pregnant and are taking apixaban contact a healthcare professional immediately for advice. </w:t>
      </w:r>
    </w:p>
    <w:p w:rsidR="00791851" w:rsidRDefault="00791851" w:rsidP="00C9119B">
      <w:pPr>
        <w:pStyle w:val="Default"/>
        <w:rPr>
          <w:sz w:val="21"/>
          <w:szCs w:val="21"/>
        </w:rPr>
      </w:pPr>
    </w:p>
    <w:p w:rsidR="00C9119B" w:rsidRPr="00791851" w:rsidRDefault="00C9119B" w:rsidP="00C9119B">
      <w:pPr>
        <w:pStyle w:val="Default"/>
        <w:rPr>
          <w:sz w:val="22"/>
          <w:szCs w:val="22"/>
        </w:rPr>
      </w:pPr>
      <w:r w:rsidRPr="00791851">
        <w:rPr>
          <w:sz w:val="22"/>
          <w:szCs w:val="22"/>
        </w:rPr>
        <w:t>More detailed information can be found in t</w:t>
      </w:r>
      <w:r w:rsidR="00791851">
        <w:rPr>
          <w:sz w:val="22"/>
          <w:szCs w:val="22"/>
        </w:rPr>
        <w:t xml:space="preserve">he patient information leaflet including common side effects. </w:t>
      </w:r>
      <w:r w:rsidR="00C36408">
        <w:rPr>
          <w:sz w:val="22"/>
          <w:szCs w:val="22"/>
        </w:rPr>
        <w:t xml:space="preserve">Contact the anticoagulation team or your GP if you have any concerns. </w:t>
      </w:r>
    </w:p>
    <w:p w:rsidR="00C9119B" w:rsidRDefault="00C9119B" w:rsidP="00C9119B">
      <w:pPr>
        <w:pStyle w:val="Default"/>
        <w:rPr>
          <w:sz w:val="22"/>
          <w:szCs w:val="21"/>
          <w:u w:val="single"/>
        </w:rPr>
      </w:pPr>
    </w:p>
    <w:p w:rsidR="00C9119B" w:rsidRPr="00791851" w:rsidRDefault="00C9119B" w:rsidP="00C9119B">
      <w:pPr>
        <w:pStyle w:val="Default"/>
        <w:rPr>
          <w:b/>
          <w:sz w:val="22"/>
          <w:szCs w:val="21"/>
          <w:u w:val="single"/>
        </w:rPr>
      </w:pPr>
      <w:r w:rsidRPr="00791851">
        <w:rPr>
          <w:b/>
          <w:sz w:val="22"/>
          <w:szCs w:val="21"/>
          <w:u w:val="single"/>
        </w:rPr>
        <w:t>The Switching Plan</w:t>
      </w:r>
    </w:p>
    <w:p w:rsidR="00C9119B" w:rsidRPr="00791851" w:rsidRDefault="00C9119B" w:rsidP="00C9119B">
      <w:pPr>
        <w:pStyle w:val="Default"/>
        <w:rPr>
          <w:sz w:val="22"/>
          <w:szCs w:val="21"/>
          <w:u w:val="single"/>
        </w:rPr>
      </w:pPr>
    </w:p>
    <w:p w:rsidR="00C9119B" w:rsidRPr="00791851" w:rsidRDefault="00C9119B" w:rsidP="00C9119B">
      <w:pPr>
        <w:rPr>
          <w:rFonts w:ascii="Arial" w:hAnsi="Arial" w:cs="Arial"/>
          <w:szCs w:val="21"/>
        </w:rPr>
      </w:pPr>
      <w:r w:rsidRPr="00791851">
        <w:rPr>
          <w:rFonts w:ascii="Arial" w:hAnsi="Arial" w:cs="Arial"/>
          <w:szCs w:val="21"/>
        </w:rPr>
        <w:t xml:space="preserve">Your GP will issue a prescription for apixaban. The following plan should only be started after confirmation from the anticoagulation team. Until then you should cont. to take your warfarin as per normal and you should </w:t>
      </w:r>
      <w:r w:rsidRPr="00791851">
        <w:rPr>
          <w:rFonts w:ascii="Arial" w:hAnsi="Arial" w:cs="Arial"/>
          <w:b/>
          <w:szCs w:val="21"/>
          <w:u w:val="single"/>
        </w:rPr>
        <w:t>not</w:t>
      </w:r>
      <w:r w:rsidRPr="00791851">
        <w:rPr>
          <w:rFonts w:ascii="Arial" w:hAnsi="Arial" w:cs="Arial"/>
          <w:szCs w:val="21"/>
        </w:rPr>
        <w:t xml:space="preserve"> start apixaban until told to do so.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90"/>
      </w:tblGrid>
      <w:tr w:rsidR="00C9119B" w:rsidRPr="00791851" w:rsidTr="00512AC1">
        <w:tc>
          <w:tcPr>
            <w:tcW w:w="1526" w:type="dxa"/>
            <w:shd w:val="clear" w:color="auto" w:fill="auto"/>
            <w:vAlign w:val="center"/>
          </w:tcPr>
          <w:p w:rsidR="00C9119B" w:rsidRPr="00791851" w:rsidRDefault="00C9119B" w:rsidP="00512AC1">
            <w:pPr>
              <w:jc w:val="center"/>
              <w:rPr>
                <w:rFonts w:ascii="Arial" w:hAnsi="Arial" w:cs="Arial"/>
                <w:b/>
                <w:szCs w:val="21"/>
              </w:rPr>
            </w:pPr>
            <w:r w:rsidRPr="00791851">
              <w:rPr>
                <w:rFonts w:ascii="Arial" w:hAnsi="Arial" w:cs="Arial"/>
                <w:b/>
                <w:szCs w:val="21"/>
              </w:rPr>
              <w:t>Day 1</w:t>
            </w:r>
          </w:p>
        </w:tc>
        <w:tc>
          <w:tcPr>
            <w:tcW w:w="8328" w:type="dxa"/>
            <w:shd w:val="clear" w:color="auto" w:fill="auto"/>
          </w:tcPr>
          <w:p w:rsidR="00C9119B" w:rsidRPr="00791851" w:rsidRDefault="00C9119B" w:rsidP="00512AC1">
            <w:pPr>
              <w:rPr>
                <w:rFonts w:ascii="Arial" w:hAnsi="Arial" w:cs="Arial"/>
                <w:szCs w:val="21"/>
              </w:rPr>
            </w:pPr>
            <w:r w:rsidRPr="00791851">
              <w:rPr>
                <w:rFonts w:ascii="Arial" w:hAnsi="Arial" w:cs="Arial"/>
                <w:b/>
                <w:szCs w:val="21"/>
              </w:rPr>
              <w:t>Last dose</w:t>
            </w:r>
            <w:r w:rsidRPr="00791851">
              <w:rPr>
                <w:rFonts w:ascii="Arial" w:hAnsi="Arial" w:cs="Arial"/>
                <w:szCs w:val="21"/>
              </w:rPr>
              <w:t xml:space="preserve"> of warfarin</w:t>
            </w:r>
          </w:p>
        </w:tc>
      </w:tr>
      <w:tr w:rsidR="00C9119B" w:rsidRPr="00791851" w:rsidTr="00512AC1">
        <w:tc>
          <w:tcPr>
            <w:tcW w:w="1526" w:type="dxa"/>
            <w:shd w:val="clear" w:color="auto" w:fill="auto"/>
            <w:vAlign w:val="center"/>
          </w:tcPr>
          <w:p w:rsidR="00C9119B" w:rsidRPr="00791851" w:rsidRDefault="00C9119B" w:rsidP="00512AC1">
            <w:pPr>
              <w:jc w:val="center"/>
              <w:rPr>
                <w:rFonts w:ascii="Arial" w:hAnsi="Arial" w:cs="Arial"/>
                <w:b/>
                <w:szCs w:val="21"/>
              </w:rPr>
            </w:pPr>
            <w:r w:rsidRPr="00791851">
              <w:rPr>
                <w:rFonts w:ascii="Arial" w:hAnsi="Arial" w:cs="Arial"/>
                <w:b/>
                <w:szCs w:val="21"/>
              </w:rPr>
              <w:t>Day 2</w:t>
            </w:r>
          </w:p>
        </w:tc>
        <w:tc>
          <w:tcPr>
            <w:tcW w:w="8328" w:type="dxa"/>
            <w:shd w:val="clear" w:color="auto" w:fill="auto"/>
          </w:tcPr>
          <w:p w:rsidR="00C9119B" w:rsidRPr="00791851" w:rsidRDefault="00C9119B" w:rsidP="00512AC1">
            <w:pPr>
              <w:rPr>
                <w:rFonts w:ascii="Arial" w:hAnsi="Arial" w:cs="Arial"/>
                <w:szCs w:val="21"/>
              </w:rPr>
            </w:pPr>
            <w:r w:rsidRPr="00791851">
              <w:rPr>
                <w:rFonts w:ascii="Arial" w:hAnsi="Arial" w:cs="Arial"/>
                <w:b/>
                <w:szCs w:val="21"/>
              </w:rPr>
              <w:t>Stop</w:t>
            </w:r>
            <w:r w:rsidRPr="00791851">
              <w:rPr>
                <w:rFonts w:ascii="Arial" w:hAnsi="Arial" w:cs="Arial"/>
                <w:szCs w:val="21"/>
              </w:rPr>
              <w:t xml:space="preserve"> warfarin</w:t>
            </w:r>
          </w:p>
        </w:tc>
      </w:tr>
      <w:tr w:rsidR="00C9119B" w:rsidRPr="00791851" w:rsidTr="00512AC1">
        <w:tc>
          <w:tcPr>
            <w:tcW w:w="1526" w:type="dxa"/>
            <w:shd w:val="clear" w:color="auto" w:fill="auto"/>
            <w:vAlign w:val="center"/>
          </w:tcPr>
          <w:p w:rsidR="00C9119B" w:rsidRPr="00791851" w:rsidRDefault="00C9119B" w:rsidP="00512AC1">
            <w:pPr>
              <w:jc w:val="center"/>
              <w:rPr>
                <w:rFonts w:ascii="Arial" w:hAnsi="Arial" w:cs="Arial"/>
                <w:b/>
                <w:szCs w:val="21"/>
              </w:rPr>
            </w:pPr>
            <w:r w:rsidRPr="00791851">
              <w:rPr>
                <w:rFonts w:ascii="Arial" w:hAnsi="Arial" w:cs="Arial"/>
                <w:b/>
                <w:szCs w:val="21"/>
              </w:rPr>
              <w:t>Day 3</w:t>
            </w:r>
          </w:p>
        </w:tc>
        <w:tc>
          <w:tcPr>
            <w:tcW w:w="8328" w:type="dxa"/>
            <w:shd w:val="clear" w:color="auto" w:fill="auto"/>
          </w:tcPr>
          <w:p w:rsidR="00C9119B" w:rsidRPr="00791851" w:rsidRDefault="00C9119B" w:rsidP="00512AC1">
            <w:pPr>
              <w:rPr>
                <w:rFonts w:ascii="Arial" w:hAnsi="Arial" w:cs="Arial"/>
                <w:szCs w:val="21"/>
              </w:rPr>
            </w:pPr>
            <w:r w:rsidRPr="00791851">
              <w:rPr>
                <w:rFonts w:ascii="Arial" w:hAnsi="Arial" w:cs="Arial"/>
                <w:szCs w:val="21"/>
              </w:rPr>
              <w:t>-</w:t>
            </w:r>
          </w:p>
        </w:tc>
      </w:tr>
      <w:tr w:rsidR="00C9119B" w:rsidRPr="00791851" w:rsidTr="00512AC1">
        <w:tc>
          <w:tcPr>
            <w:tcW w:w="1526" w:type="dxa"/>
            <w:shd w:val="clear" w:color="auto" w:fill="auto"/>
            <w:vAlign w:val="center"/>
          </w:tcPr>
          <w:p w:rsidR="00C9119B" w:rsidRPr="00791851" w:rsidRDefault="00C9119B" w:rsidP="00512AC1">
            <w:pPr>
              <w:jc w:val="center"/>
              <w:rPr>
                <w:rFonts w:ascii="Arial" w:hAnsi="Arial" w:cs="Arial"/>
                <w:b/>
                <w:szCs w:val="21"/>
              </w:rPr>
            </w:pPr>
            <w:r w:rsidRPr="00791851">
              <w:rPr>
                <w:rFonts w:ascii="Arial" w:hAnsi="Arial" w:cs="Arial"/>
                <w:b/>
                <w:szCs w:val="21"/>
              </w:rPr>
              <w:t>Day 4</w:t>
            </w:r>
          </w:p>
        </w:tc>
        <w:tc>
          <w:tcPr>
            <w:tcW w:w="8328" w:type="dxa"/>
            <w:shd w:val="clear" w:color="auto" w:fill="auto"/>
          </w:tcPr>
          <w:p w:rsidR="00C9119B" w:rsidRPr="00791851" w:rsidRDefault="00C9119B" w:rsidP="00512AC1">
            <w:pPr>
              <w:rPr>
                <w:rFonts w:ascii="Arial" w:hAnsi="Arial" w:cs="Arial"/>
                <w:szCs w:val="21"/>
              </w:rPr>
            </w:pPr>
            <w:r w:rsidRPr="00791851">
              <w:rPr>
                <w:rFonts w:ascii="Arial" w:hAnsi="Arial" w:cs="Arial"/>
                <w:szCs w:val="21"/>
              </w:rPr>
              <w:t>INR check</w:t>
            </w:r>
          </w:p>
          <w:p w:rsidR="00C9119B" w:rsidRPr="00791851" w:rsidRDefault="00C9119B" w:rsidP="00C9119B">
            <w:pPr>
              <w:numPr>
                <w:ilvl w:val="0"/>
                <w:numId w:val="3"/>
              </w:numPr>
              <w:spacing w:after="0" w:line="240" w:lineRule="auto"/>
              <w:rPr>
                <w:rFonts w:ascii="Arial" w:hAnsi="Arial" w:cs="Arial"/>
                <w:szCs w:val="21"/>
              </w:rPr>
            </w:pPr>
            <w:r w:rsidRPr="00791851">
              <w:rPr>
                <w:rFonts w:ascii="Arial" w:hAnsi="Arial" w:cs="Arial"/>
                <w:szCs w:val="21"/>
              </w:rPr>
              <w:t xml:space="preserve">If INR is </w:t>
            </w:r>
            <w:r w:rsidRPr="00791851">
              <w:rPr>
                <w:rFonts w:ascii="Arial" w:hAnsi="Arial" w:cs="Arial"/>
                <w:b/>
                <w:szCs w:val="21"/>
                <w:u w:val="single"/>
              </w:rPr>
              <w:t>less than 2.0</w:t>
            </w:r>
            <w:r w:rsidRPr="00791851">
              <w:rPr>
                <w:rFonts w:ascii="Arial" w:hAnsi="Arial" w:cs="Arial"/>
                <w:szCs w:val="21"/>
              </w:rPr>
              <w:t xml:space="preserve"> you can start apixaban. </w:t>
            </w:r>
          </w:p>
          <w:p w:rsidR="00C9119B" w:rsidRPr="00791851" w:rsidRDefault="00C9119B" w:rsidP="00512AC1">
            <w:pPr>
              <w:ind w:left="360"/>
              <w:rPr>
                <w:rFonts w:ascii="Arial" w:hAnsi="Arial" w:cs="Arial"/>
                <w:szCs w:val="21"/>
              </w:rPr>
            </w:pPr>
          </w:p>
          <w:p w:rsidR="00C9119B" w:rsidRPr="00791851" w:rsidRDefault="00C9119B" w:rsidP="00791851">
            <w:pPr>
              <w:rPr>
                <w:rFonts w:ascii="Arial" w:hAnsi="Arial" w:cs="Arial"/>
                <w:szCs w:val="21"/>
              </w:rPr>
            </w:pPr>
            <w:r w:rsidRPr="00791851">
              <w:rPr>
                <w:rFonts w:ascii="Arial" w:hAnsi="Arial" w:cs="Arial"/>
                <w:szCs w:val="21"/>
              </w:rPr>
              <w:t xml:space="preserve">If INR is too high to start </w:t>
            </w:r>
            <w:r w:rsidR="00791851">
              <w:rPr>
                <w:rFonts w:ascii="Arial" w:hAnsi="Arial" w:cs="Arial"/>
                <w:szCs w:val="21"/>
              </w:rPr>
              <w:t>apixaban</w:t>
            </w:r>
            <w:r w:rsidRPr="00791851">
              <w:rPr>
                <w:rFonts w:ascii="Arial" w:hAnsi="Arial" w:cs="Arial"/>
                <w:szCs w:val="21"/>
              </w:rPr>
              <w:t xml:space="preserve">, book an INR test for </w:t>
            </w:r>
            <w:r w:rsidR="00791851">
              <w:rPr>
                <w:rFonts w:ascii="Arial" w:hAnsi="Arial" w:cs="Arial"/>
                <w:szCs w:val="21"/>
              </w:rPr>
              <w:t xml:space="preserve">1- </w:t>
            </w:r>
            <w:r w:rsidRPr="00791851">
              <w:rPr>
                <w:rFonts w:ascii="Arial" w:hAnsi="Arial" w:cs="Arial"/>
                <w:szCs w:val="21"/>
              </w:rPr>
              <w:t>2 days’ time</w:t>
            </w:r>
            <w:r w:rsidR="00791851">
              <w:rPr>
                <w:rFonts w:ascii="Arial" w:hAnsi="Arial" w:cs="Arial"/>
                <w:szCs w:val="21"/>
              </w:rPr>
              <w:t xml:space="preserve"> (discuss with anticoagulation team)</w:t>
            </w:r>
            <w:r w:rsidRPr="00791851">
              <w:rPr>
                <w:rFonts w:ascii="Arial" w:hAnsi="Arial" w:cs="Arial"/>
                <w:szCs w:val="21"/>
              </w:rPr>
              <w:t>.</w:t>
            </w:r>
          </w:p>
        </w:tc>
      </w:tr>
    </w:tbl>
    <w:p w:rsidR="00C9119B" w:rsidRPr="00CA6B08" w:rsidRDefault="00C9119B" w:rsidP="00C9119B"/>
    <w:p w:rsidR="00C9119B" w:rsidRPr="0035188F" w:rsidRDefault="00C9119B" w:rsidP="00C9119B">
      <w:pPr>
        <w:rPr>
          <w:rFonts w:ascii="Arial" w:hAnsi="Arial" w:cs="Arial"/>
        </w:rPr>
      </w:pPr>
    </w:p>
    <w:p w:rsidR="00874D46" w:rsidRDefault="00874D46"/>
    <w:sectPr w:rsidR="00874D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6408">
      <w:pPr>
        <w:spacing w:after="0" w:line="240" w:lineRule="auto"/>
      </w:pPr>
      <w:r>
        <w:separator/>
      </w:r>
    </w:p>
  </w:endnote>
  <w:endnote w:type="continuationSeparator" w:id="0">
    <w:p w:rsidR="00000000" w:rsidRDefault="00C3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TCK G+ Scala">
    <w:altName w:val="Sca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8179"/>
      <w:docPartObj>
        <w:docPartGallery w:val="Page Numbers (Bottom of Page)"/>
        <w:docPartUnique/>
      </w:docPartObj>
    </w:sdtPr>
    <w:sdtEndPr>
      <w:rPr>
        <w:noProof/>
      </w:rPr>
    </w:sdtEndPr>
    <w:sdtContent>
      <w:p w:rsidR="00702E61" w:rsidRDefault="00C9119B">
        <w:pPr>
          <w:pStyle w:val="Footer"/>
        </w:pPr>
        <w:r>
          <w:fldChar w:fldCharType="begin"/>
        </w:r>
        <w:r>
          <w:instrText xml:space="preserve"> PAGE   \* MERGEFORMAT </w:instrText>
        </w:r>
        <w:r>
          <w:fldChar w:fldCharType="separate"/>
        </w:r>
        <w:r w:rsidR="00C36408">
          <w:rPr>
            <w:noProof/>
          </w:rPr>
          <w:t>1</w:t>
        </w:r>
        <w:r>
          <w:rPr>
            <w:noProof/>
          </w:rPr>
          <w:fldChar w:fldCharType="end"/>
        </w:r>
      </w:p>
    </w:sdtContent>
  </w:sdt>
  <w:p w:rsidR="00702E61" w:rsidRDefault="00C3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6408">
      <w:pPr>
        <w:spacing w:after="0" w:line="240" w:lineRule="auto"/>
      </w:pPr>
      <w:r>
        <w:separator/>
      </w:r>
    </w:p>
  </w:footnote>
  <w:footnote w:type="continuationSeparator" w:id="0">
    <w:p w:rsidR="00000000" w:rsidRDefault="00C36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381"/>
    <w:multiLevelType w:val="hybridMultilevel"/>
    <w:tmpl w:val="DCE0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B515B"/>
    <w:multiLevelType w:val="hybridMultilevel"/>
    <w:tmpl w:val="BC2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91C72"/>
    <w:multiLevelType w:val="hybridMultilevel"/>
    <w:tmpl w:val="4396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9B"/>
    <w:rsid w:val="00791851"/>
    <w:rsid w:val="00874D46"/>
    <w:rsid w:val="00C05D4F"/>
    <w:rsid w:val="00C36408"/>
    <w:rsid w:val="00C9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1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9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1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9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Royal United Hospital Bath NHS Trust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Sam</cp:lastModifiedBy>
  <cp:revision>2</cp:revision>
  <dcterms:created xsi:type="dcterms:W3CDTF">2019-10-11T13:54:00Z</dcterms:created>
  <dcterms:modified xsi:type="dcterms:W3CDTF">2020-05-13T08:26:00Z</dcterms:modified>
</cp:coreProperties>
</file>