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CC" w:rsidRPr="0084216B" w:rsidRDefault="000045CC" w:rsidP="002F358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 w:rsidRPr="0084216B">
        <w:rPr>
          <w:rFonts w:ascii="Times New Roman" w:hAnsi="Times New Roman"/>
          <w:b/>
        </w:rPr>
        <w:t>Table 3: Summary of enabling strategies listed in order of priority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095"/>
        <w:gridCol w:w="1559"/>
        <w:gridCol w:w="1701"/>
        <w:gridCol w:w="1985"/>
        <w:gridCol w:w="1134"/>
        <w:gridCol w:w="1700"/>
      </w:tblGrid>
      <w:tr w:rsidR="000045CC" w:rsidRPr="005F5D31" w:rsidTr="00D303B1">
        <w:trPr>
          <w:trHeight w:val="573"/>
        </w:trPr>
        <w:tc>
          <w:tcPr>
            <w:tcW w:w="959" w:type="dxa"/>
            <w:vMerge w:val="restart"/>
            <w:tcBorders>
              <w:left w:val="nil"/>
            </w:tcBorders>
          </w:tcPr>
          <w:p w:rsidR="000045CC" w:rsidRPr="006736B8" w:rsidRDefault="000045CC" w:rsidP="002F3587">
            <w:pPr>
              <w:spacing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Priority No.</w:t>
            </w:r>
          </w:p>
        </w:tc>
        <w:tc>
          <w:tcPr>
            <w:tcW w:w="6095" w:type="dxa"/>
            <w:vMerge w:val="restart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Description                                                </w:t>
            </w:r>
          </w:p>
          <w:p w:rsidR="000045CC" w:rsidRPr="006736B8" w:rsidRDefault="000045CC" w:rsidP="002F35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ED1C3F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(Specific </w:t>
            </w:r>
            <w:r w:rsidRPr="008D1931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health professionals priority </w:t>
            </w:r>
            <w:r w:rsidRPr="00ED1C3F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vote count)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379" w:type="dxa"/>
            <w:gridSpan w:val="4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Number of red stickers allocated to enabling strategy by participants to indicate their top priorities</w:t>
            </w:r>
          </w:p>
        </w:tc>
        <w:tc>
          <w:tcPr>
            <w:tcW w:w="1700" w:type="dxa"/>
            <w:vMerge w:val="restart"/>
            <w:tcBorders>
              <w:right w:val="nil"/>
            </w:tcBorders>
          </w:tcPr>
          <w:p w:rsidR="000045CC" w:rsidRPr="006736B8" w:rsidRDefault="000045CC" w:rsidP="002F358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Domain</w:t>
            </w:r>
          </w:p>
        </w:tc>
      </w:tr>
      <w:tr w:rsidR="000045CC" w:rsidRPr="005F5D31" w:rsidTr="00D303B1">
        <w:trPr>
          <w:trHeight w:val="700"/>
        </w:trPr>
        <w:tc>
          <w:tcPr>
            <w:tcW w:w="959" w:type="dxa"/>
            <w:vMerge/>
            <w:tcBorders>
              <w:lef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vMerge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  <w:t>Indigenous w</w:t>
            </w:r>
            <w:r w:rsidRPr="008D19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  <w:t>omen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 n=7</w:t>
            </w:r>
          </w:p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(5 stickers each)</w:t>
            </w:r>
          </w:p>
        </w:tc>
        <w:tc>
          <w:tcPr>
            <w:tcW w:w="1701" w:type="dxa"/>
          </w:tcPr>
          <w:p w:rsidR="000045CC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  <w:t>Healthworker</w:t>
            </w:r>
            <w:r w:rsidRPr="008D19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  <w:t>s</w:t>
            </w:r>
            <w:proofErr w:type="spellEnd"/>
            <w:r w:rsidRPr="008D19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  <w:t>n=20</w:t>
            </w:r>
          </w:p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D1931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5</w:t>
            </w:r>
            <w:r w:rsidRPr="008D1931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stickers each)</w:t>
            </w:r>
          </w:p>
        </w:tc>
        <w:tc>
          <w:tcPr>
            <w:tcW w:w="1985" w:type="dxa"/>
          </w:tcPr>
          <w:p w:rsidR="000045CC" w:rsidRDefault="000045CC" w:rsidP="002F3587">
            <w:pPr>
              <w:spacing w:after="0" w:line="240" w:lineRule="auto"/>
              <w:rPr>
                <w:rFonts w:ascii="Times New Roman" w:eastAsiaTheme="majorEastAsia" w:hAnsi="Times New Roman" w:cstheme="majorBidi"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  <w:t>Health professionals</w:t>
            </w:r>
          </w:p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n=24</w:t>
            </w:r>
          </w:p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(10 stickers each)</w:t>
            </w:r>
            <w:r w:rsidRPr="008D1931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134" w:type="dxa"/>
          </w:tcPr>
          <w:p w:rsidR="000045CC" w:rsidRPr="008D1931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8D1931">
              <w:rPr>
                <w:rFonts w:ascii="Times New Roman" w:hAnsi="Times New Roman"/>
                <w:color w:val="000000"/>
                <w:sz w:val="18"/>
                <w:szCs w:val="18"/>
                <w:lang w:eastAsia="en-AU"/>
              </w:rPr>
              <w:t>Total sticker allocations</w:t>
            </w:r>
          </w:p>
        </w:tc>
        <w:tc>
          <w:tcPr>
            <w:tcW w:w="1700" w:type="dxa"/>
            <w:vMerge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0045CC" w:rsidRPr="005F5D31" w:rsidTr="00D303B1">
        <w:trPr>
          <w:trHeight w:val="969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Support  for mothers (17), including young mothers support groups, flexible extended family support, community-led development (10), counselling and social work support, needle phobia support, support dealing with stress and 'emotional refuelling' (1)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28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Enablement/ environmental restructuring</w:t>
            </w:r>
          </w:p>
        </w:tc>
      </w:tr>
      <w:tr w:rsidR="000045CC" w:rsidRPr="005F5D31" w:rsidTr="00D303B1">
        <w:trPr>
          <w:trHeight w:val="695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Culturally appropriate resources (2) and plain simple language about GDM and health, including languages other than English (11), and improving consistency of information from service providers (10)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Education</w:t>
            </w:r>
          </w:p>
        </w:tc>
      </w:tr>
      <w:tr w:rsidR="000045CC" w:rsidRPr="005F5D31" w:rsidTr="00D303B1">
        <w:trPr>
          <w:trHeight w:val="1264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Improving engagement and communication by increasing Indigenous staff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healthworker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proofErr w:type="spellEnd"/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in hospital (7) and clinics, including Indigenous social workers and counsellors and other allied health such as diabetes educators (16).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Including Indigenous staff in hospital team meetings, increasing collaboration, and improving networking (1), counselling and support for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healthworker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proofErr w:type="spellEnd"/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(1)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Communication &amp; marketing/ Improve engagement and relationships </w:t>
            </w:r>
          </w:p>
        </w:tc>
      </w:tr>
      <w:tr w:rsidR="000045CC" w:rsidRPr="005F5D31" w:rsidTr="00D303B1">
        <w:trPr>
          <w:trHeight w:val="701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Structured communication system with 'no gaps' for follow-up between locations and across time-points and reminders (5), including use of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F6074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child’s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'red book'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F6074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(child’s personal health record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(12) and </w:t>
            </w:r>
            <w:r w:rsidRPr="003F6074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National</w:t>
            </w:r>
            <w:r w:rsidRPr="00C5412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AU"/>
              </w:rPr>
              <w:t xml:space="preserve"> </w:t>
            </w:r>
            <w:r w:rsidRPr="003F6074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Diabetes Surveillance System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(NDSS)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, and follow-up in Cairns (</w:t>
            </w:r>
            <w:proofErr w:type="spellStart"/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Communicare</w:t>
            </w:r>
            <w:proofErr w:type="spellEnd"/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) (4)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344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095" w:type="dxa"/>
          </w:tcPr>
          <w:p w:rsidR="000045CC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Start education about GDM early (school) &amp;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m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ass media/public health campaigns</w:t>
            </w:r>
          </w:p>
          <w:p w:rsidR="00E872B6" w:rsidRPr="006736B8" w:rsidRDefault="00E872B6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Education</w:t>
            </w:r>
          </w:p>
        </w:tc>
      </w:tr>
      <w:tr w:rsidR="000045CC" w:rsidRPr="005F5D31" w:rsidTr="00D303B1">
        <w:trPr>
          <w:trHeight w:val="548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095" w:type="dxa"/>
          </w:tcPr>
          <w:p w:rsidR="000045CC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Holistic continuity models of care for women with GDM </w:t>
            </w:r>
          </w:p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e.g.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healthworker</w:t>
            </w:r>
            <w:proofErr w:type="spellEnd"/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-led </w:t>
            </w:r>
            <w:r w:rsidRPr="003F6074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‘Baby One’ maternal and child health program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268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Acceptable test options for diabetes screening (HBA1c/OGTT)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D9D9D9" w:themeFill="background1" w:themeFillShade="D9"/>
                <w:lang w:eastAsia="en-AU"/>
              </w:rPr>
              <w:t>1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Guidelines</w:t>
            </w:r>
          </w:p>
        </w:tc>
      </w:tr>
      <w:tr w:rsidR="000045CC" w:rsidRPr="005F5D31" w:rsidTr="00D303B1">
        <w:trPr>
          <w:trHeight w:val="548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Encouraging women to prioritise their own health and tying care for baby with care for self, and encouraging women to ask questions and ask for help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Persuasion</w:t>
            </w:r>
          </w:p>
        </w:tc>
      </w:tr>
      <w:tr w:rsidR="000045CC" w:rsidRPr="005F5D31" w:rsidTr="00D303B1">
        <w:trPr>
          <w:trHeight w:val="406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Home visiting by midwife/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healthworker</w:t>
            </w:r>
            <w:proofErr w:type="spellEnd"/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, including practical support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406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GDM training for workforce (11), including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healthworker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</w:t>
            </w:r>
            <w:proofErr w:type="spellEnd"/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(4). </w:t>
            </w:r>
          </w:p>
        </w:tc>
        <w:tc>
          <w:tcPr>
            <w:tcW w:w="1559" w:type="dxa"/>
            <w:shd w:val="clear" w:color="auto" w:fill="FFFFFF" w:themeFill="background1"/>
          </w:tcPr>
          <w:p w:rsidR="000045CC" w:rsidRPr="006736B8" w:rsidDel="00C50997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Del="00C50997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134" w:type="dxa"/>
          </w:tcPr>
          <w:p w:rsidR="000045CC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Training</w:t>
            </w:r>
          </w:p>
        </w:tc>
      </w:tr>
      <w:tr w:rsidR="000045CC" w:rsidRPr="005F5D31" w:rsidTr="00D303B1">
        <w:trPr>
          <w:trHeight w:val="328"/>
        </w:trPr>
        <w:tc>
          <w:tcPr>
            <w:tcW w:w="959" w:type="dxa"/>
            <w:tcBorders>
              <w:left w:val="nil"/>
              <w:bottom w:val="single" w:sz="4" w:space="0" w:color="auto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Sustainable funding across all sectors and evidence to support funding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auto"/>
              <w:right w:val="nil"/>
            </w:tcBorders>
          </w:tcPr>
          <w:p w:rsidR="000045CC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Fiscal</w:t>
            </w:r>
          </w:p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045CC" w:rsidRPr="005F5D31" w:rsidTr="00D303B1">
        <w:trPr>
          <w:trHeight w:val="328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lastRenderedPageBreak/>
              <w:t>1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emorandum of Understandings (MOUs)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between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boriginal 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ommunity 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ontrolled 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ealth 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rganisation</w:t>
            </w: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 and government services, including improved information sharing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Del="00C50997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10 </w:t>
            </w:r>
          </w:p>
        </w:tc>
        <w:tc>
          <w:tcPr>
            <w:tcW w:w="1134" w:type="dxa"/>
          </w:tcPr>
          <w:p w:rsidR="000045CC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Communication &amp; marketing/ engagement and relationships </w:t>
            </w:r>
          </w:p>
        </w:tc>
      </w:tr>
      <w:tr w:rsidR="000045CC" w:rsidRPr="005F5D31" w:rsidTr="00D303B1">
        <w:trPr>
          <w:trHeight w:val="399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Opportunistic screening and flexibility (open door policy)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399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Breastfeeding support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45CC" w:rsidRPr="006736B8" w:rsidDel="00C50997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134" w:type="dxa"/>
          </w:tcPr>
          <w:p w:rsidR="000045CC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943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Improving respectful culturally appropriate care/cultural awareness training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5 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Communication &amp; marketing/ Improve engagement and relationships </w:t>
            </w:r>
          </w:p>
        </w:tc>
      </w:tr>
      <w:tr w:rsidR="000045CC" w:rsidRPr="005F5D31" w:rsidTr="00D303B1">
        <w:trPr>
          <w:trHeight w:val="520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Involve fathers and men’s health teams in education, but be mindful of 'humbugging' concerns of women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Education</w:t>
            </w:r>
          </w:p>
        </w:tc>
      </w:tr>
      <w:tr w:rsidR="000045CC" w:rsidRPr="005F5D31" w:rsidTr="00D303B1">
        <w:trPr>
          <w:trHeight w:val="375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Transport assistance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5 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300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‘One-stop shop'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552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Creating child/family friendly comfortable spaces and activities/things to do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Environmental/ social planning</w:t>
            </w:r>
          </w:p>
        </w:tc>
      </w:tr>
      <w:tr w:rsidR="000045CC" w:rsidRPr="005F5D31" w:rsidTr="00D303B1">
        <w:trPr>
          <w:trHeight w:val="423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Childcare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543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Community leisure activities (walking tracks etc.)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Environmental/ social planning</w:t>
            </w:r>
          </w:p>
        </w:tc>
      </w:tr>
      <w:tr w:rsidR="000045CC" w:rsidRPr="005F5D31" w:rsidTr="00D303B1">
        <w:trPr>
          <w:trHeight w:val="300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Healthy eating incentives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Incentivisation</w:t>
            </w:r>
            <w:proofErr w:type="spellEnd"/>
          </w:p>
        </w:tc>
      </w:tr>
      <w:tr w:rsidR="000045CC" w:rsidRPr="005F5D31" w:rsidTr="00D303B1">
        <w:trPr>
          <w:trHeight w:val="300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Reduce waiting times at hospital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390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095" w:type="dxa"/>
          </w:tcPr>
          <w:p w:rsidR="000045CC" w:rsidRPr="006736B8" w:rsidRDefault="00701A80" w:rsidP="00701A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Allocate more health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worker</w:t>
            </w:r>
            <w:r w:rsidR="000045CC"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 xml:space="preserve"> time to register women with GDM on NDSS 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390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Health promotion messages on food (labelling etc.)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Del="00C50997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34" w:type="dxa"/>
          </w:tcPr>
          <w:p w:rsidR="000045CC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Education</w:t>
            </w:r>
          </w:p>
        </w:tc>
      </w:tr>
      <w:tr w:rsidR="000045CC" w:rsidRPr="005F5D31" w:rsidTr="00D303B1">
        <w:trPr>
          <w:trHeight w:val="558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Independent facilities/infrastructure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Environmental/ social planning</w:t>
            </w:r>
          </w:p>
        </w:tc>
      </w:tr>
      <w:tr w:rsidR="000045CC" w:rsidRPr="005F5D31" w:rsidTr="00D303B1">
        <w:trPr>
          <w:trHeight w:val="379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Improved OGTT access in communities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701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Service provision</w:t>
            </w:r>
          </w:p>
        </w:tc>
      </w:tr>
      <w:tr w:rsidR="000045CC" w:rsidRPr="005F5D31" w:rsidTr="00D303B1">
        <w:trPr>
          <w:trHeight w:val="696"/>
        </w:trPr>
        <w:tc>
          <w:tcPr>
            <w:tcW w:w="959" w:type="dxa"/>
            <w:tcBorders>
              <w:left w:val="nil"/>
            </w:tcBorders>
            <w:noWrap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6095" w:type="dxa"/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CEO support for changes</w:t>
            </w:r>
          </w:p>
        </w:tc>
        <w:tc>
          <w:tcPr>
            <w:tcW w:w="1559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985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34" w:type="dxa"/>
          </w:tcPr>
          <w:p w:rsidR="000045CC" w:rsidRPr="006736B8" w:rsidRDefault="000045CC" w:rsidP="002F3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700" w:type="dxa"/>
            <w:tcBorders>
              <w:right w:val="nil"/>
            </w:tcBorders>
          </w:tcPr>
          <w:p w:rsidR="000045CC" w:rsidRPr="006736B8" w:rsidRDefault="000045CC" w:rsidP="002F3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6736B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Enablement/ environmental restructuring</w:t>
            </w:r>
          </w:p>
        </w:tc>
      </w:tr>
    </w:tbl>
    <w:p w:rsidR="000045CC" w:rsidRPr="008D1931" w:rsidRDefault="000045CC" w:rsidP="002F358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D1931">
        <w:rPr>
          <w:rFonts w:ascii="Times New Roman" w:hAnsi="Times New Roman"/>
          <w:sz w:val="18"/>
          <w:szCs w:val="18"/>
        </w:rPr>
        <w:t>Shading indicates which group of participants identified the enabling strategy</w:t>
      </w:r>
      <w:r>
        <w:rPr>
          <w:rFonts w:ascii="Times New Roman" w:hAnsi="Times New Roman"/>
          <w:sz w:val="18"/>
          <w:szCs w:val="18"/>
        </w:rPr>
        <w:t xml:space="preserve"> in their discussions</w:t>
      </w:r>
      <w:r w:rsidRPr="008D1931">
        <w:rPr>
          <w:rFonts w:ascii="Times New Roman" w:hAnsi="Times New Roman"/>
          <w:sz w:val="18"/>
          <w:szCs w:val="18"/>
        </w:rPr>
        <w:t>. No sh</w:t>
      </w:r>
      <w:r>
        <w:rPr>
          <w:rFonts w:ascii="Times New Roman" w:hAnsi="Times New Roman"/>
          <w:sz w:val="18"/>
          <w:szCs w:val="18"/>
        </w:rPr>
        <w:t>a</w:t>
      </w:r>
      <w:r w:rsidRPr="008D1931">
        <w:rPr>
          <w:rFonts w:ascii="Times New Roman" w:hAnsi="Times New Roman"/>
          <w:sz w:val="18"/>
          <w:szCs w:val="18"/>
        </w:rPr>
        <w:t>ding indicates that group did not identify the enabling strategy</w:t>
      </w:r>
    </w:p>
    <w:p w:rsidR="000766D6" w:rsidRPr="00701A80" w:rsidRDefault="000045CC" w:rsidP="002F3587">
      <w:pPr>
        <w:spacing w:line="240" w:lineRule="auto"/>
        <w:rPr>
          <w:rFonts w:ascii="Times New Roman" w:hAnsi="Times New Roman"/>
        </w:rPr>
      </w:pPr>
      <w:r w:rsidRPr="008D1931">
        <w:rPr>
          <w:rFonts w:ascii="Times New Roman" w:hAnsi="Times New Roman"/>
          <w:b/>
          <w:sz w:val="18"/>
          <w:szCs w:val="18"/>
        </w:rPr>
        <w:t xml:space="preserve">* </w:t>
      </w:r>
      <w:r w:rsidRPr="008D1931">
        <w:rPr>
          <w:rFonts w:ascii="Times New Roman" w:hAnsi="Times New Roman"/>
          <w:sz w:val="18"/>
          <w:szCs w:val="18"/>
        </w:rPr>
        <w:t xml:space="preserve">Health professionals were encouraged to focus on how strategies proposed by women and </w:t>
      </w:r>
      <w:proofErr w:type="spellStart"/>
      <w:r w:rsidRPr="008D1931">
        <w:rPr>
          <w:rFonts w:ascii="Times New Roman" w:hAnsi="Times New Roman"/>
          <w:sz w:val="18"/>
          <w:szCs w:val="18"/>
        </w:rPr>
        <w:t>healthworkers</w:t>
      </w:r>
      <w:proofErr w:type="spellEnd"/>
      <w:r w:rsidRPr="008D1931">
        <w:rPr>
          <w:rFonts w:ascii="Times New Roman" w:hAnsi="Times New Roman"/>
          <w:sz w:val="18"/>
          <w:szCs w:val="18"/>
        </w:rPr>
        <w:t xml:space="preserve"> might be implemented, however </w:t>
      </w:r>
      <w:r>
        <w:rPr>
          <w:rFonts w:ascii="Times New Roman" w:hAnsi="Times New Roman"/>
          <w:sz w:val="18"/>
          <w:szCs w:val="18"/>
        </w:rPr>
        <w:t xml:space="preserve">two enabling strategies already identified by women and </w:t>
      </w:r>
      <w:proofErr w:type="spellStart"/>
      <w:r>
        <w:rPr>
          <w:rFonts w:ascii="Times New Roman" w:hAnsi="Times New Roman"/>
          <w:sz w:val="18"/>
          <w:szCs w:val="18"/>
        </w:rPr>
        <w:t>healthworkers</w:t>
      </w:r>
      <w:proofErr w:type="spellEnd"/>
      <w:r>
        <w:rPr>
          <w:rFonts w:ascii="Times New Roman" w:hAnsi="Times New Roman"/>
          <w:sz w:val="18"/>
          <w:szCs w:val="18"/>
        </w:rPr>
        <w:t xml:space="preserve"> (Priorities#1 &amp; 5) and three </w:t>
      </w:r>
      <w:r w:rsidRPr="008D1931">
        <w:rPr>
          <w:rFonts w:ascii="Times New Roman" w:hAnsi="Times New Roman"/>
          <w:sz w:val="18"/>
          <w:szCs w:val="18"/>
        </w:rPr>
        <w:t xml:space="preserve">not previously identified </w:t>
      </w:r>
      <w:r>
        <w:rPr>
          <w:rFonts w:ascii="Times New Roman" w:hAnsi="Times New Roman"/>
          <w:sz w:val="18"/>
          <w:szCs w:val="18"/>
        </w:rPr>
        <w:t>(Priorities#13,18 &amp;</w:t>
      </w:r>
      <w:r w:rsidRPr="00BD0F2C">
        <w:rPr>
          <w:rFonts w:ascii="Times New Roman" w:hAnsi="Times New Roman"/>
          <w:sz w:val="18"/>
          <w:szCs w:val="18"/>
        </w:rPr>
        <w:t xml:space="preserve">23) </w:t>
      </w:r>
      <w:r w:rsidRPr="008D1931">
        <w:rPr>
          <w:rFonts w:ascii="Times New Roman" w:hAnsi="Times New Roman"/>
          <w:sz w:val="18"/>
          <w:szCs w:val="18"/>
        </w:rPr>
        <w:t xml:space="preserve">were </w:t>
      </w:r>
      <w:r>
        <w:rPr>
          <w:rFonts w:ascii="Times New Roman" w:hAnsi="Times New Roman"/>
          <w:sz w:val="18"/>
          <w:szCs w:val="18"/>
        </w:rPr>
        <w:t>rais</w:t>
      </w:r>
      <w:r w:rsidRPr="008D1931">
        <w:rPr>
          <w:rFonts w:ascii="Times New Roman" w:hAnsi="Times New Roman"/>
          <w:sz w:val="18"/>
          <w:szCs w:val="18"/>
        </w:rPr>
        <w:t>ed in their workshop</w:t>
      </w:r>
    </w:p>
    <w:sectPr w:rsidR="000766D6" w:rsidRPr="00701A80" w:rsidSect="00090AD3">
      <w:pgSz w:w="16838" w:h="11906" w:orient="landscape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CC"/>
    <w:rsid w:val="000045CC"/>
    <w:rsid w:val="000766D6"/>
    <w:rsid w:val="002F3587"/>
    <w:rsid w:val="00701A80"/>
    <w:rsid w:val="00BF5234"/>
    <w:rsid w:val="00C67700"/>
    <w:rsid w:val="00D95605"/>
    <w:rsid w:val="00E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B544"/>
  <w15:docId w15:val="{B4268E21-032A-47B4-9CD0-2EDE6340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Campbell</dc:creator>
  <cp:lastModifiedBy>Sandy Campbell</cp:lastModifiedBy>
  <cp:revision>3</cp:revision>
  <dcterms:created xsi:type="dcterms:W3CDTF">2017-04-19T02:53:00Z</dcterms:created>
  <dcterms:modified xsi:type="dcterms:W3CDTF">2017-04-19T02:54:00Z</dcterms:modified>
</cp:coreProperties>
</file>