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7D" w:rsidRDefault="002F2301">
      <w:p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color w:val="000000"/>
        </w:rPr>
        <w:t>SUPPLEMENTARY INFORMATION</w:t>
      </w:r>
    </w:p>
    <w:p w:rsidR="007C357D" w:rsidRDefault="002F2301">
      <w:pPr>
        <w:spacing w:line="480" w:lineRule="auto"/>
        <w:jc w:val="both"/>
        <w:rPr>
          <w:rFonts w:ascii="Arial" w:eastAsia="Arial" w:hAnsi="Arial" w:cs="Arial"/>
          <w:color w:val="000000"/>
        </w:rPr>
      </w:pPr>
      <w:bookmarkStart w:id="0" w:name="_heading=h.gjdgxs" w:colFirst="0" w:colLast="0"/>
      <w:bookmarkEnd w:id="0"/>
      <w:r>
        <w:rPr>
          <w:rFonts w:ascii="Arial" w:eastAsia="Arial" w:hAnsi="Arial" w:cs="Arial"/>
          <w:b/>
          <w:color w:val="000000"/>
        </w:rPr>
        <w:t xml:space="preserve">Table S1. Immunomodulatory </w:t>
      </w:r>
      <w:r>
        <w:rPr>
          <w:rFonts w:ascii="Arial" w:eastAsia="Arial" w:hAnsi="Arial" w:cs="Arial"/>
          <w:b/>
        </w:rPr>
        <w:t>strategies</w:t>
      </w:r>
      <w:r>
        <w:rPr>
          <w:rFonts w:ascii="Arial" w:eastAsia="Arial" w:hAnsi="Arial" w:cs="Arial"/>
          <w:b/>
          <w:color w:val="000000"/>
        </w:rPr>
        <w:t xml:space="preserve"> proposed </w:t>
      </w:r>
      <w:r>
        <w:rPr>
          <w:rFonts w:ascii="Arial" w:eastAsia="Arial" w:hAnsi="Arial" w:cs="Arial"/>
          <w:b/>
        </w:rPr>
        <w:t>as</w:t>
      </w:r>
      <w:r>
        <w:rPr>
          <w:rFonts w:ascii="Arial" w:eastAsia="Arial" w:hAnsi="Arial" w:cs="Arial"/>
          <w:b/>
          <w:color w:val="000000"/>
        </w:rPr>
        <w:t xml:space="preserve"> cancer immunotherapies</w:t>
      </w:r>
      <w:r>
        <w:rPr>
          <w:rFonts w:ascii="Arial" w:eastAsia="Arial" w:hAnsi="Arial" w:cs="Arial"/>
          <w:color w:val="000000"/>
        </w:rPr>
        <w:t xml:space="preserve">. </w:t>
      </w:r>
    </w:p>
    <w:p w:rsidR="007C357D" w:rsidRDefault="002F2301">
      <w:pPr>
        <w:spacing w:line="480" w:lineRule="auto"/>
        <w:jc w:val="both"/>
        <w:rPr>
          <w:rFonts w:ascii="Arial" w:eastAsia="Arial" w:hAnsi="Arial" w:cs="Arial"/>
        </w:rPr>
      </w:pPr>
      <w:r>
        <w:rPr>
          <w:rFonts w:ascii="Arial" w:eastAsia="Arial" w:hAnsi="Arial" w:cs="Arial"/>
        </w:rPr>
        <w:t xml:space="preserve">Immune modulated strategies proposed on clinical trial interventional studies for cancer immunotherapies for breast, lung, colorectal and prostate cancer patients in the last years. In the table, information about the biological target, type of agent, name of pharmaceutical formulation and its effect on immune cell population and its effector functions </w:t>
      </w:r>
      <w:r w:rsidR="00B81A69">
        <w:rPr>
          <w:rFonts w:ascii="Arial" w:eastAsia="Arial" w:hAnsi="Arial" w:cs="Arial"/>
        </w:rPr>
        <w:t xml:space="preserve">are </w:t>
      </w:r>
      <w:r>
        <w:rPr>
          <w:rFonts w:ascii="Arial" w:eastAsia="Arial" w:hAnsi="Arial" w:cs="Arial"/>
        </w:rPr>
        <w:t xml:space="preserve">described below. These data </w:t>
      </w:r>
      <w:r w:rsidR="00B81A69">
        <w:rPr>
          <w:rFonts w:ascii="Arial" w:eastAsia="Arial" w:hAnsi="Arial" w:cs="Arial"/>
        </w:rPr>
        <w:t xml:space="preserve">were </w:t>
      </w:r>
      <w:r>
        <w:rPr>
          <w:rFonts w:ascii="Arial" w:eastAsia="Arial" w:hAnsi="Arial" w:cs="Arial"/>
        </w:rPr>
        <w:t xml:space="preserve">obtained from the ClinicalTrials.gov database, according to the following </w:t>
      </w:r>
      <w:r w:rsidR="00B81A69">
        <w:rPr>
          <w:rFonts w:ascii="Arial" w:eastAsia="Arial" w:hAnsi="Arial" w:cs="Arial"/>
        </w:rPr>
        <w:t xml:space="preserve">search </w:t>
      </w:r>
      <w:r>
        <w:rPr>
          <w:rFonts w:ascii="Arial" w:eastAsia="Arial" w:hAnsi="Arial" w:cs="Arial"/>
        </w:rPr>
        <w:t>parameters: (1) Study type: interventional studies, (2) Recruitment status: not stopped studies (i.e. not yet recruiting, recruiting, enrolling by invitation, active not recruiting and completed), (3) Study results: all studies, (4) Study start: from 01/Jan/2010 to 04/Dec/2019.</w:t>
      </w:r>
    </w:p>
    <w:tbl>
      <w:tblPr>
        <w:tblStyle w:val="a"/>
        <w:tblW w:w="99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
        <w:gridCol w:w="1590"/>
        <w:gridCol w:w="2730"/>
        <w:gridCol w:w="4579"/>
      </w:tblGrid>
      <w:tr w:rsidR="007C357D">
        <w:trPr>
          <w:trHeight w:val="481"/>
          <w:jc w:val="center"/>
        </w:trPr>
        <w:tc>
          <w:tcPr>
            <w:tcW w:w="1086" w:type="dxa"/>
            <w:shd w:val="clear" w:color="auto" w:fill="000000"/>
            <w:vAlign w:val="center"/>
          </w:tcPr>
          <w:p w:rsidR="007C357D" w:rsidRDefault="002F2301">
            <w:p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Target</w:t>
            </w:r>
          </w:p>
        </w:tc>
        <w:tc>
          <w:tcPr>
            <w:tcW w:w="1590" w:type="dxa"/>
            <w:shd w:val="clear" w:color="auto" w:fill="000000"/>
            <w:vAlign w:val="center"/>
          </w:tcPr>
          <w:p w:rsidR="007C357D" w:rsidRDefault="002F2301">
            <w:p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Type</w:t>
            </w:r>
          </w:p>
        </w:tc>
        <w:tc>
          <w:tcPr>
            <w:tcW w:w="2730" w:type="dxa"/>
            <w:shd w:val="clear" w:color="auto" w:fill="000000"/>
            <w:vAlign w:val="center"/>
          </w:tcPr>
          <w:p w:rsidR="007C357D" w:rsidRDefault="002F2301">
            <w:p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Formulation name</w:t>
            </w:r>
          </w:p>
        </w:tc>
        <w:tc>
          <w:tcPr>
            <w:tcW w:w="4579" w:type="dxa"/>
            <w:shd w:val="clear" w:color="auto" w:fill="000000"/>
            <w:vAlign w:val="center"/>
          </w:tcPr>
          <w:p w:rsidR="007C357D" w:rsidRDefault="002F2301">
            <w:p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 xml:space="preserve">Effects on immune response </w:t>
            </w:r>
            <w:r>
              <w:rPr>
                <w:rFonts w:ascii="Arial" w:eastAsia="Arial" w:hAnsi="Arial" w:cs="Arial"/>
                <w:b/>
                <w:color w:val="FFFFFF"/>
                <w:sz w:val="20"/>
                <w:szCs w:val="20"/>
                <w:vertAlign w:val="superscript"/>
              </w:rPr>
              <w:t>a</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Adenosine A2A receptor</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Recombinant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AZD4635, AB928, NIR178, CPI-444, PBF-509</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Competes with tumour-released adenosine for binding to A2AR expressed on intra-</w:t>
            </w:r>
            <w:proofErr w:type="spellStart"/>
            <w:r>
              <w:rPr>
                <w:rFonts w:ascii="Arial" w:eastAsia="Arial" w:hAnsi="Arial" w:cs="Arial"/>
                <w:color w:val="000000"/>
                <w:sz w:val="20"/>
                <w:szCs w:val="20"/>
              </w:rPr>
              <w:t>tumoral</w:t>
            </w:r>
            <w:proofErr w:type="spellEnd"/>
            <w:r>
              <w:rPr>
                <w:rFonts w:ascii="Arial" w:eastAsia="Arial" w:hAnsi="Arial" w:cs="Arial"/>
                <w:color w:val="000000"/>
                <w:sz w:val="20"/>
                <w:szCs w:val="20"/>
              </w:rPr>
              <w:t xml:space="preserve"> immune cells. The binding inhibits regular A2AR/A2BR activation, enhancing immune cells proliferation and activation.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B7.1</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MVA, FPV</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TRICOM</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Co-stimulatory </w:t>
            </w:r>
            <w:r>
              <w:rPr>
                <w:rFonts w:ascii="Arial" w:eastAsia="Arial" w:hAnsi="Arial" w:cs="Arial"/>
                <w:sz w:val="20"/>
                <w:szCs w:val="20"/>
              </w:rPr>
              <w:t>molecules</w:t>
            </w:r>
            <w:r>
              <w:rPr>
                <w:rFonts w:ascii="Arial" w:eastAsia="Arial" w:hAnsi="Arial" w:cs="Arial"/>
                <w:color w:val="000000"/>
                <w:sz w:val="20"/>
                <w:szCs w:val="20"/>
              </w:rPr>
              <w:t xml:space="preserve"> regularly expressed on APC. Introduced in combination with a TAA cancer vaccine may enhance TAA-specific T-cell responses.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CCL21</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Tumour cell</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GM.CD40L.CCL21</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Chemokine </w:t>
            </w:r>
            <w:r>
              <w:rPr>
                <w:rFonts w:ascii="Arial" w:eastAsia="Arial" w:hAnsi="Arial" w:cs="Arial"/>
                <w:sz w:val="20"/>
                <w:szCs w:val="20"/>
              </w:rPr>
              <w:t>responds</w:t>
            </w:r>
            <w:r>
              <w:rPr>
                <w:rFonts w:ascii="Arial" w:eastAsia="Arial" w:hAnsi="Arial" w:cs="Arial"/>
                <w:color w:val="000000"/>
                <w:sz w:val="20"/>
                <w:szCs w:val="20"/>
              </w:rPr>
              <w:t xml:space="preserve"> </w:t>
            </w:r>
            <w:r>
              <w:rPr>
                <w:rFonts w:ascii="Arial" w:eastAsia="Arial" w:hAnsi="Arial" w:cs="Arial"/>
                <w:sz w:val="20"/>
                <w:szCs w:val="20"/>
              </w:rPr>
              <w:t>by</w:t>
            </w:r>
            <w:r>
              <w:rPr>
                <w:rFonts w:ascii="Arial" w:eastAsia="Arial" w:hAnsi="Arial" w:cs="Arial"/>
                <w:color w:val="000000"/>
                <w:sz w:val="20"/>
                <w:szCs w:val="20"/>
              </w:rPr>
              <w:t xml:space="preserve"> </w:t>
            </w:r>
            <w:r>
              <w:rPr>
                <w:rFonts w:ascii="Arial" w:eastAsia="Arial" w:hAnsi="Arial" w:cs="Arial"/>
                <w:sz w:val="20"/>
                <w:szCs w:val="20"/>
              </w:rPr>
              <w:t>attracting</w:t>
            </w:r>
            <w:r>
              <w:rPr>
                <w:rFonts w:ascii="Arial" w:eastAsia="Arial" w:hAnsi="Arial" w:cs="Arial"/>
                <w:color w:val="000000"/>
                <w:sz w:val="20"/>
                <w:szCs w:val="20"/>
              </w:rPr>
              <w:t xml:space="preserve"> APCs and NK cells and T-cells to induce a cytotoxic immune response.</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CD137</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PF-05082566 </w:t>
            </w:r>
            <w:r>
              <w:rPr>
                <w:rFonts w:ascii="Arial" w:eastAsia="Arial" w:hAnsi="Arial" w:cs="Arial"/>
                <w:color w:val="000000"/>
                <w:sz w:val="20"/>
                <w:szCs w:val="20"/>
              </w:rPr>
              <w:br/>
            </w:r>
            <w:proofErr w:type="spellStart"/>
            <w:r>
              <w:rPr>
                <w:rFonts w:ascii="Arial" w:eastAsia="Arial" w:hAnsi="Arial" w:cs="Arial"/>
                <w:color w:val="000000"/>
                <w:sz w:val="20"/>
                <w:szCs w:val="20"/>
              </w:rPr>
              <w:t>Utomilumab</w:t>
            </w:r>
            <w:proofErr w:type="spellEnd"/>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CD137 activation stimulates T cell proliferation and survival. This may result in enhanced immune activation.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CD3</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Bispecific antibody, T cell</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AMG 160, RO6958688, CYAD-101, NKR-2 cells,  </w:t>
            </w:r>
            <w:proofErr w:type="spellStart"/>
            <w:r>
              <w:rPr>
                <w:rFonts w:ascii="Arial" w:eastAsia="Arial" w:hAnsi="Arial" w:cs="Arial"/>
                <w:color w:val="000000"/>
                <w:sz w:val="20"/>
                <w:szCs w:val="20"/>
              </w:rPr>
              <w:t>EGFRBi</w:t>
            </w:r>
            <w:proofErr w:type="spellEnd"/>
            <w:r>
              <w:rPr>
                <w:rFonts w:ascii="Arial" w:eastAsia="Arial" w:hAnsi="Arial" w:cs="Arial"/>
                <w:color w:val="000000"/>
                <w:sz w:val="20"/>
                <w:szCs w:val="20"/>
              </w:rPr>
              <w:t xml:space="preserve"> armed activated T cell</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Co-stimulatory molecule expressed in T cells, it </w:t>
            </w:r>
            <w:r>
              <w:rPr>
                <w:rFonts w:ascii="Arial" w:eastAsia="Arial" w:hAnsi="Arial" w:cs="Arial"/>
                <w:sz w:val="20"/>
                <w:szCs w:val="20"/>
              </w:rPr>
              <w:t>participates</w:t>
            </w:r>
            <w:r>
              <w:rPr>
                <w:rFonts w:ascii="Arial" w:eastAsia="Arial" w:hAnsi="Arial" w:cs="Arial"/>
                <w:color w:val="000000"/>
                <w:sz w:val="20"/>
                <w:szCs w:val="20"/>
              </w:rPr>
              <w:t xml:space="preserve"> in T cell activation.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CD39</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TTX-030</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CD39 inhibition on tumour microenvironment promotes high extracellular ATP and low extracellular adenosine leading to immune T cell activation.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CD40</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 bispecific antibody, recombinant protein, RNA</w:t>
            </w:r>
          </w:p>
        </w:tc>
        <w:tc>
          <w:tcPr>
            <w:tcW w:w="2730" w:type="dxa"/>
            <w:shd w:val="clear" w:color="auto" w:fill="auto"/>
            <w:vAlign w:val="center"/>
          </w:tcPr>
          <w:p w:rsidR="007C357D" w:rsidRPr="002F2301" w:rsidRDefault="002F2301">
            <w:pPr>
              <w:spacing w:after="0" w:line="240" w:lineRule="auto"/>
              <w:jc w:val="center"/>
              <w:rPr>
                <w:rFonts w:ascii="Arial" w:eastAsia="Arial" w:hAnsi="Arial" w:cs="Arial"/>
                <w:color w:val="000000"/>
                <w:sz w:val="20"/>
                <w:szCs w:val="20"/>
                <w:lang w:val="es-PE"/>
              </w:rPr>
            </w:pPr>
            <w:proofErr w:type="spellStart"/>
            <w:r w:rsidRPr="002F2301">
              <w:rPr>
                <w:rFonts w:ascii="Arial" w:eastAsia="Arial" w:hAnsi="Arial" w:cs="Arial"/>
                <w:color w:val="000000"/>
                <w:sz w:val="20"/>
                <w:szCs w:val="20"/>
                <w:lang w:val="es-PE"/>
              </w:rPr>
              <w:t>Selicrelumab</w:t>
            </w:r>
            <w:proofErr w:type="spellEnd"/>
            <w:r w:rsidRPr="002F2301">
              <w:rPr>
                <w:rFonts w:ascii="Arial" w:eastAsia="Arial" w:hAnsi="Arial" w:cs="Arial"/>
                <w:color w:val="000000"/>
                <w:sz w:val="20"/>
                <w:szCs w:val="20"/>
                <w:lang w:val="es-PE"/>
              </w:rPr>
              <w:t xml:space="preserve">, APX005M, ABBV-927, ABBV-428, SEA-CD40, </w:t>
            </w:r>
            <w:proofErr w:type="spellStart"/>
            <w:r w:rsidRPr="002F2301">
              <w:rPr>
                <w:rFonts w:ascii="Arial" w:eastAsia="Arial" w:hAnsi="Arial" w:cs="Arial"/>
                <w:color w:val="000000"/>
                <w:sz w:val="20"/>
                <w:szCs w:val="20"/>
                <w:lang w:val="es-PE"/>
              </w:rPr>
              <w:t>Trimix</w:t>
            </w:r>
            <w:proofErr w:type="spellEnd"/>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Enhance immune response, triggers activation of APCs and induce T cell effector response.</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lastRenderedPageBreak/>
              <w:t>CD40L</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Tumour cell</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GM.CD40L.CCL21</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Co-stimulatory </w:t>
            </w:r>
            <w:r>
              <w:rPr>
                <w:rFonts w:ascii="Arial" w:eastAsia="Arial" w:hAnsi="Arial" w:cs="Arial"/>
                <w:sz w:val="20"/>
                <w:szCs w:val="20"/>
              </w:rPr>
              <w:t>molecules</w:t>
            </w:r>
            <w:r>
              <w:rPr>
                <w:rFonts w:ascii="Arial" w:eastAsia="Arial" w:hAnsi="Arial" w:cs="Arial"/>
                <w:color w:val="000000"/>
                <w:sz w:val="20"/>
                <w:szCs w:val="20"/>
              </w:rPr>
              <w:t xml:space="preserve"> allow strong cell activation, proliferation and pro-inflammatory cytokine production.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SIRP</w:t>
            </w:r>
            <w:r w:rsidRPr="00144B5D">
              <w:rPr>
                <w:rFonts w:ascii="Symbol" w:eastAsia="Arial" w:hAnsi="Symbol" w:cs="Arial"/>
                <w:color w:val="000000"/>
                <w:sz w:val="20"/>
                <w:szCs w:val="20"/>
              </w:rPr>
              <w:t></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Fusion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TTI-621</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SIRP</w:t>
            </w:r>
            <w:r>
              <w:rPr>
                <w:rFonts w:ascii="Symbol" w:eastAsia="Symbol" w:hAnsi="Symbol" w:cs="Symbol"/>
                <w:color w:val="000000"/>
                <w:sz w:val="20"/>
                <w:szCs w:val="20"/>
              </w:rPr>
              <w:t></w:t>
            </w:r>
            <w:r>
              <w:rPr>
                <w:rFonts w:ascii="Arial" w:eastAsia="Arial" w:hAnsi="Arial" w:cs="Arial"/>
                <w:color w:val="000000"/>
                <w:sz w:val="20"/>
                <w:szCs w:val="20"/>
              </w:rPr>
              <w:t xml:space="preserve"> is usually expressed on macrophages and it is responsible for effector function suppression and inhibition of phagocytosis. Synthetic SIRP</w:t>
            </w:r>
            <w:r>
              <w:rPr>
                <w:rFonts w:ascii="Symbol" w:eastAsia="Symbol" w:hAnsi="Symbol" w:cs="Symbol"/>
                <w:color w:val="000000"/>
                <w:sz w:val="20"/>
                <w:szCs w:val="20"/>
              </w:rPr>
              <w:t></w:t>
            </w:r>
            <w:r>
              <w:rPr>
                <w:rFonts w:ascii="Arial" w:eastAsia="Arial" w:hAnsi="Arial" w:cs="Arial"/>
                <w:color w:val="000000"/>
                <w:sz w:val="20"/>
                <w:szCs w:val="20"/>
              </w:rPr>
              <w:t xml:space="preserve"> binds to CD47 </w:t>
            </w:r>
            <w:r>
              <w:rPr>
                <w:rFonts w:ascii="Arial" w:eastAsia="Arial" w:hAnsi="Arial" w:cs="Arial"/>
                <w:sz w:val="20"/>
                <w:szCs w:val="20"/>
              </w:rPr>
              <w:t>receptors</w:t>
            </w:r>
            <w:r>
              <w:rPr>
                <w:rFonts w:ascii="Arial" w:eastAsia="Arial" w:hAnsi="Arial" w:cs="Arial"/>
                <w:color w:val="000000"/>
                <w:sz w:val="20"/>
                <w:szCs w:val="20"/>
              </w:rPr>
              <w:t xml:space="preserve"> expressed on tumour cells avoiding macrophage suppression.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CD70</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RNA</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proofErr w:type="spellStart"/>
            <w:r>
              <w:rPr>
                <w:rFonts w:ascii="Arial" w:eastAsia="Arial" w:hAnsi="Arial" w:cs="Arial"/>
                <w:color w:val="000000"/>
                <w:sz w:val="20"/>
                <w:szCs w:val="20"/>
              </w:rPr>
              <w:t>Trimix</w:t>
            </w:r>
            <w:proofErr w:type="spellEnd"/>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Co-stimulatory molecule, binding to CD27 on T cells is responsible for activation and maintenance of T cell effector functions.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CD73</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NZV930, </w:t>
            </w:r>
            <w:proofErr w:type="spellStart"/>
            <w:r>
              <w:rPr>
                <w:rFonts w:ascii="Arial" w:eastAsia="Arial" w:hAnsi="Arial" w:cs="Arial"/>
                <w:color w:val="000000"/>
                <w:sz w:val="20"/>
                <w:szCs w:val="20"/>
              </w:rPr>
              <w:t>Oleclumab</w:t>
            </w:r>
            <w:proofErr w:type="spellEnd"/>
            <w:r>
              <w:rPr>
                <w:rFonts w:ascii="Arial" w:eastAsia="Arial" w:hAnsi="Arial" w:cs="Arial"/>
                <w:color w:val="000000"/>
                <w:sz w:val="20"/>
                <w:szCs w:val="20"/>
              </w:rPr>
              <w:t>, MEDI9447</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sz w:val="20"/>
                <w:szCs w:val="20"/>
              </w:rPr>
              <w:t>Allows</w:t>
            </w:r>
            <w:r>
              <w:rPr>
                <w:rFonts w:ascii="Arial" w:eastAsia="Arial" w:hAnsi="Arial" w:cs="Arial"/>
                <w:color w:val="000000"/>
                <w:sz w:val="20"/>
                <w:szCs w:val="20"/>
              </w:rPr>
              <w:t xml:space="preserve"> CD73 internalization and prevents conversion of extracellular AMP to adenosine, then prevents suppression of lymphocyte effector functions.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CD80/86</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CAR T cell</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Co-stimulatory </w:t>
            </w:r>
            <w:r>
              <w:rPr>
                <w:rFonts w:ascii="Arial" w:eastAsia="Arial" w:hAnsi="Arial" w:cs="Arial"/>
                <w:sz w:val="20"/>
                <w:szCs w:val="20"/>
              </w:rPr>
              <w:t>molecules</w:t>
            </w:r>
            <w:r>
              <w:rPr>
                <w:rFonts w:ascii="Arial" w:eastAsia="Arial" w:hAnsi="Arial" w:cs="Arial"/>
                <w:color w:val="000000"/>
                <w:sz w:val="20"/>
                <w:szCs w:val="20"/>
              </w:rPr>
              <w:t xml:space="preserve"> generally expressed on APC and mediate T cell activation. CD80/CD86 CAR T cells produce a transformed receptor which specifically binds the B7 proteins CD80 (B7-1) and CD86 (B7-2).</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CSF1</w:t>
            </w:r>
          </w:p>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(M-CSF)</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PD 0360324, MCS110</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Prevents the binding to and activation of the M-CSF receptor (M-CSFR) present in macrophages, which is related to immune suppression. </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CSF1R</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Small molecule</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JNJ-4034652</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Inhibitory molecule that blocks the interaction of CSF1 with CSF1R, avoiding immune suppression.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CTLA4</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REGN4659</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Immune checkpoint receptor which </w:t>
            </w:r>
            <w:r>
              <w:rPr>
                <w:rFonts w:ascii="Arial" w:eastAsia="Arial" w:hAnsi="Arial" w:cs="Arial"/>
                <w:sz w:val="20"/>
                <w:szCs w:val="20"/>
              </w:rPr>
              <w:t>mediates</w:t>
            </w:r>
            <w:r>
              <w:rPr>
                <w:rFonts w:ascii="Arial" w:eastAsia="Arial" w:hAnsi="Arial" w:cs="Arial"/>
                <w:color w:val="000000"/>
                <w:sz w:val="20"/>
                <w:szCs w:val="20"/>
              </w:rPr>
              <w:t xml:space="preserve"> immune suppression on T cells.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DEC-205</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Fusion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CDX-1401</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DEC-205 binds to the endocytic DC receptor, leading to neoantigen internalization to induce specific immune response.</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FLT3</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Recombinant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CDX-301</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Stimulate hematopoietic cells proliferation and migration from the bone marrow, including DC.</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proofErr w:type="spellStart"/>
            <w:r>
              <w:rPr>
                <w:rFonts w:ascii="Arial" w:eastAsia="Arial" w:hAnsi="Arial" w:cs="Arial"/>
                <w:color w:val="000000"/>
                <w:sz w:val="20"/>
                <w:szCs w:val="20"/>
              </w:rPr>
              <w:t>Furin</w:t>
            </w:r>
            <w:proofErr w:type="spellEnd"/>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Tumour cell expressing shRNA</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Vigil</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shRNA</w:t>
            </w:r>
            <w:proofErr w:type="gramEnd"/>
            <w:r>
              <w:rPr>
                <w:rFonts w:ascii="Arial" w:eastAsia="Arial" w:hAnsi="Arial" w:cs="Arial"/>
                <w:color w:val="000000"/>
                <w:sz w:val="20"/>
                <w:szCs w:val="20"/>
              </w:rPr>
              <w:t xml:space="preserve"> </w:t>
            </w:r>
            <w:r>
              <w:rPr>
                <w:rFonts w:ascii="Arial" w:eastAsia="Arial" w:hAnsi="Arial" w:cs="Arial"/>
                <w:sz w:val="20"/>
                <w:szCs w:val="20"/>
              </w:rPr>
              <w:t>decreases</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furin</w:t>
            </w:r>
            <w:proofErr w:type="spellEnd"/>
            <w:r>
              <w:rPr>
                <w:rFonts w:ascii="Arial" w:eastAsia="Arial" w:hAnsi="Arial" w:cs="Arial"/>
                <w:color w:val="000000"/>
                <w:sz w:val="20"/>
                <w:szCs w:val="20"/>
              </w:rPr>
              <w:t xml:space="preserve"> protein production on T </w:t>
            </w:r>
            <w:r>
              <w:rPr>
                <w:rFonts w:ascii="Arial" w:eastAsia="Arial" w:hAnsi="Arial" w:cs="Arial"/>
                <w:sz w:val="20"/>
                <w:szCs w:val="20"/>
              </w:rPr>
              <w:t>cells</w:t>
            </w:r>
            <w:r>
              <w:rPr>
                <w:rFonts w:ascii="Arial" w:eastAsia="Arial" w:hAnsi="Arial" w:cs="Arial"/>
                <w:color w:val="000000"/>
                <w:sz w:val="20"/>
                <w:szCs w:val="20"/>
              </w:rPr>
              <w:t xml:space="preserve"> and </w:t>
            </w:r>
            <w:r>
              <w:rPr>
                <w:rFonts w:ascii="Arial" w:eastAsia="Arial" w:hAnsi="Arial" w:cs="Arial"/>
                <w:sz w:val="20"/>
                <w:szCs w:val="20"/>
              </w:rPr>
              <w:t>inhibits</w:t>
            </w:r>
            <w:r>
              <w:rPr>
                <w:rFonts w:ascii="Arial" w:eastAsia="Arial" w:hAnsi="Arial" w:cs="Arial"/>
                <w:color w:val="000000"/>
                <w:sz w:val="20"/>
                <w:szCs w:val="20"/>
              </w:rPr>
              <w:t xml:space="preserve"> TGFβ gene expression, preventing its immunosuppressive role.</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G-CSF</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Recombinant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proofErr w:type="spellStart"/>
            <w:r>
              <w:rPr>
                <w:rFonts w:ascii="Arial" w:eastAsia="Arial" w:hAnsi="Arial" w:cs="Arial"/>
                <w:color w:val="000000"/>
                <w:sz w:val="20"/>
                <w:szCs w:val="20"/>
              </w:rPr>
              <w:t>pegfilgrastim</w:t>
            </w:r>
            <w:proofErr w:type="spellEnd"/>
            <w:r>
              <w:rPr>
                <w:rFonts w:ascii="Arial" w:eastAsia="Arial" w:hAnsi="Arial" w:cs="Arial"/>
                <w:color w:val="000000"/>
                <w:sz w:val="20"/>
                <w:szCs w:val="20"/>
              </w:rPr>
              <w:t xml:space="preserve">, HM10460A, </w:t>
            </w:r>
            <w:proofErr w:type="spellStart"/>
            <w:r>
              <w:rPr>
                <w:rFonts w:ascii="Arial" w:eastAsia="Arial" w:hAnsi="Arial" w:cs="Arial"/>
                <w:color w:val="000000"/>
                <w:sz w:val="20"/>
                <w:szCs w:val="20"/>
              </w:rPr>
              <w:t>eflapegrastim</w:t>
            </w:r>
            <w:proofErr w:type="spellEnd"/>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Induce neutrophil proliferation and activation, improvement chemotherapy-induced neutropenia.</w:t>
            </w:r>
          </w:p>
        </w:tc>
      </w:tr>
      <w:tr w:rsidR="007C357D">
        <w:trPr>
          <w:trHeight w:val="414"/>
          <w:jc w:val="center"/>
        </w:trPr>
        <w:tc>
          <w:tcPr>
            <w:tcW w:w="1086" w:type="dxa"/>
            <w:vMerge w:val="restart"/>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GM-CSF</w:t>
            </w:r>
          </w:p>
        </w:tc>
        <w:tc>
          <w:tcPr>
            <w:tcW w:w="1590" w:type="dxa"/>
            <w:vMerge w:val="restart"/>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Tumour cell, recombinant protein, HSV</w:t>
            </w:r>
          </w:p>
        </w:tc>
        <w:tc>
          <w:tcPr>
            <w:tcW w:w="2730" w:type="dxa"/>
            <w:vMerge w:val="restart"/>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GVAX, SV-BR-1-GM, Vigil, </w:t>
            </w:r>
            <w:proofErr w:type="spellStart"/>
            <w:r>
              <w:rPr>
                <w:rFonts w:ascii="Arial" w:eastAsia="Arial" w:hAnsi="Arial" w:cs="Arial"/>
                <w:color w:val="000000"/>
                <w:sz w:val="20"/>
                <w:szCs w:val="20"/>
              </w:rPr>
              <w:t>Proscavax</w:t>
            </w:r>
            <w:proofErr w:type="spellEnd"/>
            <w:r>
              <w:rPr>
                <w:rFonts w:ascii="Arial" w:eastAsia="Arial" w:hAnsi="Arial" w:cs="Arial"/>
                <w:color w:val="000000"/>
                <w:sz w:val="20"/>
                <w:szCs w:val="20"/>
              </w:rPr>
              <w:t xml:space="preserve">, 1650-G, GM.CD40L.CCL21 , </w:t>
            </w:r>
            <w:proofErr w:type="spellStart"/>
            <w:r>
              <w:rPr>
                <w:rFonts w:ascii="Arial" w:eastAsia="Arial" w:hAnsi="Arial" w:cs="Arial"/>
                <w:color w:val="000000"/>
                <w:sz w:val="20"/>
                <w:szCs w:val="20"/>
              </w:rPr>
              <w:t>rhu</w:t>
            </w:r>
            <w:proofErr w:type="spellEnd"/>
            <w:r>
              <w:rPr>
                <w:rFonts w:ascii="Arial" w:eastAsia="Arial" w:hAnsi="Arial" w:cs="Arial"/>
                <w:color w:val="000000"/>
                <w:sz w:val="20"/>
                <w:szCs w:val="20"/>
              </w:rPr>
              <w:t xml:space="preserve"> GM-CSF, </w:t>
            </w:r>
            <w:proofErr w:type="spellStart"/>
            <w:r>
              <w:rPr>
                <w:rFonts w:ascii="Arial" w:eastAsia="Arial" w:hAnsi="Arial" w:cs="Arial"/>
                <w:color w:val="000000"/>
                <w:sz w:val="20"/>
                <w:szCs w:val="20"/>
              </w:rPr>
              <w:t>Talimogene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Laherparepvec</w:t>
            </w:r>
            <w:proofErr w:type="spellEnd"/>
            <w:r>
              <w:rPr>
                <w:rFonts w:ascii="Arial" w:eastAsia="Arial" w:hAnsi="Arial" w:cs="Arial"/>
                <w:color w:val="000000"/>
                <w:sz w:val="20"/>
                <w:szCs w:val="20"/>
              </w:rPr>
              <w:t>, T-</w:t>
            </w:r>
            <w:proofErr w:type="spellStart"/>
            <w:r>
              <w:rPr>
                <w:rFonts w:ascii="Arial" w:eastAsia="Arial" w:hAnsi="Arial" w:cs="Arial"/>
                <w:color w:val="000000"/>
                <w:sz w:val="20"/>
                <w:szCs w:val="20"/>
              </w:rPr>
              <w:t>Vec</w:t>
            </w:r>
            <w:proofErr w:type="spellEnd"/>
          </w:p>
        </w:tc>
        <w:tc>
          <w:tcPr>
            <w:tcW w:w="4579" w:type="dxa"/>
            <w:vMerge w:val="restart"/>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GM-CSF expression </w:t>
            </w:r>
            <w:r>
              <w:rPr>
                <w:rFonts w:ascii="Arial" w:eastAsia="Arial" w:hAnsi="Arial" w:cs="Arial"/>
                <w:sz w:val="20"/>
                <w:szCs w:val="20"/>
              </w:rPr>
              <w:t>induces</w:t>
            </w:r>
            <w:r>
              <w:rPr>
                <w:rFonts w:ascii="Arial" w:eastAsia="Arial" w:hAnsi="Arial" w:cs="Arial"/>
                <w:color w:val="000000"/>
                <w:sz w:val="20"/>
                <w:szCs w:val="20"/>
              </w:rPr>
              <w:t xml:space="preserve"> local migration of granulocytes and monocyte/macrophages, </w:t>
            </w:r>
            <w:r>
              <w:rPr>
                <w:rFonts w:ascii="Arial" w:eastAsia="Arial" w:hAnsi="Arial" w:cs="Arial"/>
                <w:sz w:val="20"/>
                <w:szCs w:val="20"/>
              </w:rPr>
              <w:t>promoting</w:t>
            </w:r>
            <w:r>
              <w:rPr>
                <w:rFonts w:ascii="Arial" w:eastAsia="Arial" w:hAnsi="Arial" w:cs="Arial"/>
                <w:color w:val="000000"/>
                <w:sz w:val="20"/>
                <w:szCs w:val="20"/>
              </w:rPr>
              <w:t xml:space="preserve"> antigen presentation.</w:t>
            </w:r>
          </w:p>
        </w:tc>
      </w:tr>
      <w:tr w:rsidR="007C357D">
        <w:trPr>
          <w:trHeight w:val="414"/>
          <w:jc w:val="center"/>
        </w:trPr>
        <w:tc>
          <w:tcPr>
            <w:tcW w:w="1086" w:type="dxa"/>
            <w:vMerge/>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590" w:type="dxa"/>
            <w:vMerge/>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730" w:type="dxa"/>
            <w:vMerge/>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4579" w:type="dxa"/>
            <w:vMerge/>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ICAM-1</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MVA, FPV</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TRICOM</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Co-stimulatory </w:t>
            </w:r>
            <w:r>
              <w:rPr>
                <w:rFonts w:ascii="Arial" w:eastAsia="Arial" w:hAnsi="Arial" w:cs="Arial"/>
                <w:sz w:val="20"/>
                <w:szCs w:val="20"/>
              </w:rPr>
              <w:t>molecules</w:t>
            </w:r>
            <w:r>
              <w:rPr>
                <w:rFonts w:ascii="Arial" w:eastAsia="Arial" w:hAnsi="Arial" w:cs="Arial"/>
                <w:color w:val="000000"/>
                <w:sz w:val="20"/>
                <w:szCs w:val="20"/>
              </w:rPr>
              <w:t xml:space="preserve"> regularly expressed on APC. The interaction with its receptor located </w:t>
            </w:r>
            <w:r>
              <w:rPr>
                <w:rFonts w:ascii="Arial" w:eastAsia="Arial" w:hAnsi="Arial" w:cs="Arial"/>
                <w:sz w:val="20"/>
                <w:szCs w:val="20"/>
              </w:rPr>
              <w:t>in the T</w:t>
            </w:r>
            <w:r>
              <w:rPr>
                <w:rFonts w:ascii="Arial" w:eastAsia="Arial" w:hAnsi="Arial" w:cs="Arial"/>
                <w:color w:val="000000"/>
                <w:sz w:val="20"/>
                <w:szCs w:val="20"/>
              </w:rPr>
              <w:t xml:space="preserve"> cell contributes to </w:t>
            </w:r>
            <w:r>
              <w:rPr>
                <w:rFonts w:ascii="Arial" w:eastAsia="Arial" w:hAnsi="Arial" w:cs="Arial"/>
                <w:sz w:val="20"/>
                <w:szCs w:val="20"/>
              </w:rPr>
              <w:t>enhancing</w:t>
            </w:r>
            <w:r>
              <w:rPr>
                <w:rFonts w:ascii="Arial" w:eastAsia="Arial" w:hAnsi="Arial" w:cs="Arial"/>
                <w:color w:val="000000"/>
                <w:sz w:val="20"/>
                <w:szCs w:val="20"/>
              </w:rPr>
              <w:t xml:space="preserve"> T cell effector response.</w:t>
            </w:r>
          </w:p>
        </w:tc>
      </w:tr>
      <w:tr w:rsidR="007C357D">
        <w:trPr>
          <w:trHeight w:val="20"/>
          <w:jc w:val="center"/>
        </w:trPr>
        <w:tc>
          <w:tcPr>
            <w:tcW w:w="1086" w:type="dxa"/>
            <w:shd w:val="clear" w:color="auto" w:fill="auto"/>
            <w:vAlign w:val="center"/>
          </w:tcPr>
          <w:p w:rsidR="007C357D" w:rsidRDefault="007C357D">
            <w:pPr>
              <w:spacing w:after="0" w:line="240" w:lineRule="auto"/>
              <w:jc w:val="center"/>
              <w:rPr>
                <w:rFonts w:ascii="Arial" w:eastAsia="Arial" w:hAnsi="Arial" w:cs="Arial"/>
                <w:color w:val="000000"/>
                <w:sz w:val="20"/>
                <w:szCs w:val="20"/>
              </w:rPr>
            </w:pPr>
          </w:p>
        </w:tc>
        <w:tc>
          <w:tcPr>
            <w:tcW w:w="1590" w:type="dxa"/>
            <w:shd w:val="clear" w:color="auto" w:fill="auto"/>
            <w:vAlign w:val="center"/>
          </w:tcPr>
          <w:p w:rsidR="007C357D" w:rsidRDefault="007C357D">
            <w:pPr>
              <w:spacing w:after="0" w:line="240" w:lineRule="auto"/>
              <w:jc w:val="center"/>
              <w:rPr>
                <w:rFonts w:ascii="Arial" w:eastAsia="Arial" w:hAnsi="Arial" w:cs="Arial"/>
                <w:color w:val="000000"/>
                <w:sz w:val="20"/>
                <w:szCs w:val="20"/>
              </w:rPr>
            </w:pPr>
          </w:p>
        </w:tc>
        <w:tc>
          <w:tcPr>
            <w:tcW w:w="2730" w:type="dxa"/>
            <w:shd w:val="clear" w:color="auto" w:fill="auto"/>
            <w:vAlign w:val="center"/>
          </w:tcPr>
          <w:p w:rsidR="007C357D" w:rsidRDefault="007C357D">
            <w:pPr>
              <w:spacing w:after="0" w:line="240" w:lineRule="auto"/>
              <w:jc w:val="center"/>
              <w:rPr>
                <w:rFonts w:ascii="Arial" w:eastAsia="Arial" w:hAnsi="Arial" w:cs="Arial"/>
                <w:color w:val="000000"/>
                <w:sz w:val="20"/>
                <w:szCs w:val="20"/>
              </w:rPr>
            </w:pPr>
          </w:p>
        </w:tc>
        <w:tc>
          <w:tcPr>
            <w:tcW w:w="4579" w:type="dxa"/>
            <w:shd w:val="clear" w:color="auto" w:fill="auto"/>
            <w:vAlign w:val="center"/>
          </w:tcPr>
          <w:p w:rsidR="007C357D" w:rsidRDefault="007C357D">
            <w:pPr>
              <w:spacing w:after="0" w:line="240" w:lineRule="auto"/>
              <w:rPr>
                <w:rFonts w:ascii="Arial" w:eastAsia="Arial" w:hAnsi="Arial" w:cs="Arial"/>
                <w:color w:val="000000"/>
                <w:sz w:val="20"/>
                <w:szCs w:val="20"/>
              </w:rPr>
            </w:pP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IFN</w:t>
            </w:r>
            <w:r>
              <w:rPr>
                <w:rFonts w:ascii="Symbol" w:eastAsia="Symbol" w:hAnsi="Symbol" w:cs="Symbol"/>
                <w:color w:val="000000"/>
                <w:sz w:val="20"/>
                <w:szCs w:val="20"/>
              </w:rPr>
              <w:t></w:t>
            </w:r>
            <w:r>
              <w:rPr>
                <w:rFonts w:ascii="Arial" w:eastAsia="Arial" w:hAnsi="Arial" w:cs="Arial"/>
                <w:color w:val="000000"/>
                <w:sz w:val="20"/>
                <w:szCs w:val="20"/>
              </w:rPr>
              <w:t xml:space="preserve"> 2a/2b</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Recombinant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Mediate activation and proliferation of various immune cells populations, including B cells and monocytes.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IL10</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Recombinant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proofErr w:type="spellStart"/>
            <w:r>
              <w:rPr>
                <w:rFonts w:ascii="Arial" w:eastAsia="Arial" w:hAnsi="Arial" w:cs="Arial"/>
                <w:color w:val="000000"/>
                <w:sz w:val="20"/>
                <w:szCs w:val="20"/>
              </w:rPr>
              <w:t>Pegilodecakin</w:t>
            </w:r>
            <w:proofErr w:type="spellEnd"/>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Induce differentiation and proliferation of tumour specific CD8</w:t>
            </w:r>
            <w:r>
              <w:rPr>
                <w:rFonts w:ascii="Arial" w:eastAsia="Arial" w:hAnsi="Arial" w:cs="Arial"/>
                <w:vertAlign w:val="superscript"/>
              </w:rPr>
              <w:t>+</w:t>
            </w:r>
            <w:r>
              <w:rPr>
                <w:rFonts w:ascii="Arial" w:eastAsia="Arial" w:hAnsi="Arial" w:cs="Arial"/>
                <w:color w:val="000000"/>
                <w:sz w:val="20"/>
                <w:szCs w:val="20"/>
              </w:rPr>
              <w:t xml:space="preserve"> T cells.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IL12</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Plasmid</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INO-9012, MEDI0457</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The induced expression of IL-12 by tumour tissues promotes the activation of NK cells.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lastRenderedPageBreak/>
              <w:t>IL13</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QBX258</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Cytokine related to allergic inflammatory response, also could stimulate tumour cell proliferation. Antibody prevents tumour progression.</w:t>
            </w:r>
          </w:p>
        </w:tc>
      </w:tr>
      <w:tr w:rsidR="007C357D">
        <w:trPr>
          <w:trHeight w:val="414"/>
          <w:jc w:val="center"/>
        </w:trPr>
        <w:tc>
          <w:tcPr>
            <w:tcW w:w="1086" w:type="dxa"/>
            <w:vMerge w:val="restart"/>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IL15/ IL15R</w:t>
            </w:r>
          </w:p>
        </w:tc>
        <w:tc>
          <w:tcPr>
            <w:tcW w:w="1590" w:type="dxa"/>
            <w:vMerge w:val="restart"/>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Fusion protein, recombinant protein</w:t>
            </w:r>
          </w:p>
        </w:tc>
        <w:tc>
          <w:tcPr>
            <w:tcW w:w="2730" w:type="dxa"/>
            <w:vMerge w:val="restart"/>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ALT-803, N-803</w:t>
            </w:r>
          </w:p>
        </w:tc>
        <w:tc>
          <w:tcPr>
            <w:tcW w:w="4579" w:type="dxa"/>
            <w:vMerge w:val="restart"/>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Super agonist of IL-15R which mediate</w:t>
            </w:r>
            <w:r w:rsidR="00B81A69">
              <w:rPr>
                <w:rFonts w:ascii="Arial" w:eastAsia="Arial" w:hAnsi="Arial" w:cs="Arial"/>
                <w:color w:val="000000"/>
                <w:sz w:val="20"/>
                <w:szCs w:val="20"/>
              </w:rPr>
              <w:t>s</w:t>
            </w:r>
            <w:r>
              <w:rPr>
                <w:rFonts w:ascii="Arial" w:eastAsia="Arial" w:hAnsi="Arial" w:cs="Arial"/>
                <w:color w:val="000000"/>
                <w:sz w:val="20"/>
                <w:szCs w:val="20"/>
              </w:rPr>
              <w:t xml:space="preserve"> efficient NK and CD8</w:t>
            </w:r>
            <w:r>
              <w:rPr>
                <w:rFonts w:ascii="Arial" w:eastAsia="Arial" w:hAnsi="Arial" w:cs="Arial"/>
                <w:vertAlign w:val="superscript"/>
              </w:rPr>
              <w:t>+</w:t>
            </w:r>
            <w:r>
              <w:rPr>
                <w:rFonts w:ascii="Arial" w:eastAsia="Arial" w:hAnsi="Arial" w:cs="Arial"/>
                <w:color w:val="000000"/>
                <w:sz w:val="20"/>
                <w:szCs w:val="20"/>
              </w:rPr>
              <w:t xml:space="preserve"> T cell effector functions.</w:t>
            </w:r>
            <w:r>
              <w:rPr>
                <w:rFonts w:ascii="Arial" w:eastAsia="Arial" w:hAnsi="Arial" w:cs="Arial"/>
                <w:color w:val="000000"/>
                <w:sz w:val="20"/>
                <w:szCs w:val="20"/>
              </w:rPr>
              <w:br/>
              <w:t>Cytokine induces activation of DC, T and NK cells.</w:t>
            </w:r>
          </w:p>
        </w:tc>
      </w:tr>
      <w:tr w:rsidR="007C357D">
        <w:trPr>
          <w:trHeight w:val="414"/>
          <w:jc w:val="center"/>
        </w:trPr>
        <w:tc>
          <w:tcPr>
            <w:tcW w:w="1086" w:type="dxa"/>
            <w:vMerge/>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590" w:type="dxa"/>
            <w:vMerge/>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730" w:type="dxa"/>
            <w:vMerge/>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4579" w:type="dxa"/>
            <w:vMerge/>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IL17a</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CJM112</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Prevents inflammation mediated through the pro-inflammatory cytokine IL17, which is usually related to autoimmune diseases.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IL1b</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proofErr w:type="spellStart"/>
            <w:r>
              <w:rPr>
                <w:rFonts w:ascii="Arial" w:eastAsia="Arial" w:hAnsi="Arial" w:cs="Arial"/>
                <w:color w:val="000000"/>
                <w:sz w:val="20"/>
                <w:szCs w:val="20"/>
              </w:rPr>
              <w:t>Canakinumab</w:t>
            </w:r>
            <w:proofErr w:type="spellEnd"/>
            <w:r>
              <w:rPr>
                <w:rFonts w:ascii="Arial" w:eastAsia="Arial" w:hAnsi="Arial" w:cs="Arial"/>
                <w:color w:val="000000"/>
                <w:sz w:val="20"/>
                <w:szCs w:val="20"/>
              </w:rPr>
              <w:t>, ACZ885</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Suppress inflammatory responses mediated by IL-1b, resulting in suppression of inflammation related to autoimmune diseases. </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IL2</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Recombinant protein, fusion protein, MVA</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proofErr w:type="spellStart"/>
            <w:r>
              <w:rPr>
                <w:rFonts w:ascii="Arial" w:eastAsia="Arial" w:hAnsi="Arial" w:cs="Arial"/>
                <w:color w:val="000000"/>
                <w:sz w:val="20"/>
                <w:szCs w:val="20"/>
              </w:rPr>
              <w:t>Proscavax</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Aldesleukin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Bempegaldesleukin</w:t>
            </w:r>
            <w:proofErr w:type="spellEnd"/>
            <w:r>
              <w:rPr>
                <w:rFonts w:ascii="Arial" w:eastAsia="Arial" w:hAnsi="Arial" w:cs="Arial"/>
                <w:color w:val="000000"/>
                <w:sz w:val="20"/>
                <w:szCs w:val="20"/>
              </w:rPr>
              <w:t xml:space="preserve">,  NKTR-214, ALKS 4230, </w:t>
            </w:r>
            <w:proofErr w:type="spellStart"/>
            <w:r>
              <w:rPr>
                <w:rFonts w:ascii="Arial" w:eastAsia="Arial" w:hAnsi="Arial" w:cs="Arial"/>
                <w:color w:val="000000"/>
                <w:sz w:val="20"/>
                <w:szCs w:val="20"/>
              </w:rPr>
              <w:t>Darleukin</w:t>
            </w:r>
            <w:proofErr w:type="spellEnd"/>
            <w:r>
              <w:rPr>
                <w:rFonts w:ascii="Arial" w:eastAsia="Arial" w:hAnsi="Arial" w:cs="Arial"/>
                <w:color w:val="000000"/>
                <w:sz w:val="20"/>
                <w:szCs w:val="20"/>
              </w:rPr>
              <w:t>, RO6874281, TG4010</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Binds to IL2Rb where induce proliferation and activation of effector T cells. PEG conjugation prevents IL-2 binding to the IL2Ra, preventing regulatory T cell activation.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IL4</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QBX258</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Antibody blocks lymphedema-related cytokines. They work blocking IL-4 produced by T cells with a Th2 profile.</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IL6R</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Tocilizumab</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Anti-IL6R blocks the interaction of IL-6 to the receptor. This prevents IL-6-mediated signalling related to autoimmune disorders.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IL7</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Recombinant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Induce T and B cell production in hematopoietic organs, aside from to induce proliferation and differentiation of mature NK and T cells.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IL8</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BMS-986253</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Inhibits IL-8-mediated tumour cell proliferation and reduces inflammation on tumours with IL-8 upregulation, prevents neutrophil recruitment.</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LAG3</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 recombinant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proofErr w:type="spellStart"/>
            <w:r>
              <w:rPr>
                <w:rFonts w:ascii="Arial" w:eastAsia="Arial" w:hAnsi="Arial" w:cs="Arial"/>
                <w:color w:val="000000"/>
                <w:sz w:val="20"/>
                <w:szCs w:val="20"/>
              </w:rPr>
              <w:t>Relatlimab</w:t>
            </w:r>
            <w:proofErr w:type="spellEnd"/>
            <w:r>
              <w:rPr>
                <w:rFonts w:ascii="Arial" w:eastAsia="Arial" w:hAnsi="Arial" w:cs="Arial"/>
                <w:color w:val="000000"/>
                <w:sz w:val="20"/>
                <w:szCs w:val="20"/>
              </w:rPr>
              <w:t>, TSR-033, LA525, IMP321</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Anti-LAG3 binds </w:t>
            </w:r>
            <w:r>
              <w:rPr>
                <w:rFonts w:ascii="Arial" w:eastAsia="Arial" w:hAnsi="Arial" w:cs="Arial"/>
                <w:sz w:val="20"/>
                <w:szCs w:val="20"/>
              </w:rPr>
              <w:t>to the LAG3</w:t>
            </w:r>
            <w:r>
              <w:rPr>
                <w:rFonts w:ascii="Arial" w:eastAsia="Arial" w:hAnsi="Arial" w:cs="Arial"/>
                <w:color w:val="000000"/>
                <w:sz w:val="20"/>
                <w:szCs w:val="20"/>
              </w:rPr>
              <w:t xml:space="preserve"> receptor expressed on TILs, </w:t>
            </w:r>
            <w:r>
              <w:rPr>
                <w:rFonts w:ascii="Arial" w:eastAsia="Arial" w:hAnsi="Arial" w:cs="Arial"/>
                <w:sz w:val="20"/>
                <w:szCs w:val="20"/>
              </w:rPr>
              <w:t>which</w:t>
            </w:r>
            <w:r>
              <w:rPr>
                <w:rFonts w:ascii="Arial" w:eastAsia="Arial" w:hAnsi="Arial" w:cs="Arial"/>
                <w:color w:val="000000"/>
                <w:sz w:val="20"/>
                <w:szCs w:val="20"/>
              </w:rPr>
              <w:t xml:space="preserve"> prevents its interaction with MHC class II expressed in tumours and subsequent induction of immune checkpoint inhibition. The soluble version of LAG3 binds to MHC class II expressed on DC inducing the maturation and migration of these cells to </w:t>
            </w:r>
            <w:r>
              <w:rPr>
                <w:rFonts w:ascii="Arial" w:eastAsia="Arial" w:hAnsi="Arial" w:cs="Arial"/>
                <w:sz w:val="20"/>
                <w:szCs w:val="20"/>
              </w:rPr>
              <w:t>lymph nodes</w:t>
            </w:r>
            <w:r>
              <w:rPr>
                <w:rFonts w:ascii="Arial" w:eastAsia="Arial" w:hAnsi="Arial" w:cs="Arial"/>
                <w:color w:val="000000"/>
                <w:sz w:val="20"/>
                <w:szCs w:val="20"/>
              </w:rPr>
              <w:t xml:space="preserve"> to induce T cells activation.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LFA-3</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MVA, FPV</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TRICOM</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Cell adhesion </w:t>
            </w:r>
            <w:r>
              <w:rPr>
                <w:rFonts w:ascii="Arial" w:eastAsia="Arial" w:hAnsi="Arial" w:cs="Arial"/>
                <w:sz w:val="20"/>
                <w:szCs w:val="20"/>
              </w:rPr>
              <w:t>molecules</w:t>
            </w:r>
            <w:r>
              <w:rPr>
                <w:rFonts w:ascii="Arial" w:eastAsia="Arial" w:hAnsi="Arial" w:cs="Arial"/>
                <w:color w:val="000000"/>
                <w:sz w:val="20"/>
                <w:szCs w:val="20"/>
              </w:rPr>
              <w:t xml:space="preserve"> regularly expressed on APC, specifically macrophages. It is important to improve the interaction between T cells and APC.</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NKG2A</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proofErr w:type="spellStart"/>
            <w:r>
              <w:rPr>
                <w:rFonts w:ascii="Arial" w:eastAsia="Arial" w:hAnsi="Arial" w:cs="Arial"/>
                <w:color w:val="000000"/>
                <w:sz w:val="20"/>
                <w:szCs w:val="20"/>
              </w:rPr>
              <w:t>Monalizumab</w:t>
            </w:r>
            <w:proofErr w:type="spellEnd"/>
            <w:r>
              <w:rPr>
                <w:rFonts w:ascii="Arial" w:eastAsia="Arial" w:hAnsi="Arial" w:cs="Arial"/>
                <w:color w:val="000000"/>
                <w:sz w:val="20"/>
                <w:szCs w:val="20"/>
              </w:rPr>
              <w:t>, IPH2201</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Inhibits NKG2A activation on NK and CD8</w:t>
            </w:r>
            <w:r>
              <w:rPr>
                <w:rFonts w:ascii="Arial" w:eastAsia="Arial" w:hAnsi="Arial" w:cs="Arial"/>
                <w:vertAlign w:val="superscript"/>
              </w:rPr>
              <w:t>+</w:t>
            </w:r>
            <w:r>
              <w:rPr>
                <w:rFonts w:ascii="Arial" w:eastAsia="Arial" w:hAnsi="Arial" w:cs="Arial"/>
                <w:color w:val="000000"/>
                <w:sz w:val="20"/>
                <w:szCs w:val="20"/>
              </w:rPr>
              <w:t xml:space="preserve"> T cells, to avoid subsequent inhibition of their cytotoxic activities.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OX40</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PF-04518600, MEDI6469</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Binds to OX40 and induce T cell proliferation and </w:t>
            </w:r>
            <w:r>
              <w:rPr>
                <w:rFonts w:ascii="Arial" w:eastAsia="Arial" w:hAnsi="Arial" w:cs="Arial"/>
                <w:sz w:val="20"/>
                <w:szCs w:val="20"/>
              </w:rPr>
              <w:t>antitumor</w:t>
            </w:r>
            <w:r>
              <w:rPr>
                <w:rFonts w:ascii="Arial" w:eastAsia="Arial" w:hAnsi="Arial" w:cs="Arial"/>
                <w:color w:val="000000"/>
                <w:sz w:val="20"/>
                <w:szCs w:val="20"/>
              </w:rPr>
              <w:t xml:space="preserve"> effector functions.</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PD1</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 bispecific antibody, fusion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PF-06801591, AB122, PDR001, </w:t>
            </w:r>
            <w:proofErr w:type="spellStart"/>
            <w:r>
              <w:rPr>
                <w:rFonts w:ascii="Arial" w:eastAsia="Arial" w:hAnsi="Arial" w:cs="Arial"/>
                <w:color w:val="000000"/>
                <w:sz w:val="20"/>
                <w:szCs w:val="20"/>
              </w:rPr>
              <w:t>spartalizumab</w:t>
            </w:r>
            <w:proofErr w:type="spellEnd"/>
            <w:r>
              <w:rPr>
                <w:rFonts w:ascii="Arial" w:eastAsia="Arial" w:hAnsi="Arial" w:cs="Arial"/>
                <w:color w:val="000000"/>
                <w:sz w:val="20"/>
                <w:szCs w:val="20"/>
              </w:rPr>
              <w:t xml:space="preserve">,  SHR-1210, </w:t>
            </w:r>
            <w:proofErr w:type="spellStart"/>
            <w:r>
              <w:rPr>
                <w:rFonts w:ascii="Arial" w:eastAsia="Arial" w:hAnsi="Arial" w:cs="Arial"/>
                <w:color w:val="000000"/>
                <w:sz w:val="20"/>
                <w:szCs w:val="20"/>
              </w:rPr>
              <w:t>camrelizumab</w:t>
            </w:r>
            <w:proofErr w:type="spellEnd"/>
            <w:r>
              <w:rPr>
                <w:rFonts w:ascii="Arial" w:eastAsia="Arial" w:hAnsi="Arial" w:cs="Arial"/>
                <w:color w:val="000000"/>
                <w:sz w:val="20"/>
                <w:szCs w:val="20"/>
              </w:rPr>
              <w:t xml:space="preserve">, AK105, </w:t>
            </w:r>
            <w:proofErr w:type="spellStart"/>
            <w:r>
              <w:rPr>
                <w:rFonts w:ascii="Arial" w:eastAsia="Arial" w:hAnsi="Arial" w:cs="Arial"/>
                <w:color w:val="000000"/>
                <w:sz w:val="20"/>
                <w:szCs w:val="20"/>
              </w:rPr>
              <w:t>toripalimab</w:t>
            </w:r>
            <w:proofErr w:type="spellEnd"/>
            <w:r>
              <w:rPr>
                <w:rFonts w:ascii="Arial" w:eastAsia="Arial" w:hAnsi="Arial" w:cs="Arial"/>
                <w:color w:val="000000"/>
                <w:sz w:val="20"/>
                <w:szCs w:val="20"/>
              </w:rPr>
              <w:t xml:space="preserve">, JS001, ABBV-181, </w:t>
            </w:r>
            <w:proofErr w:type="spellStart"/>
            <w:r>
              <w:rPr>
                <w:rFonts w:ascii="Arial" w:eastAsia="Arial" w:hAnsi="Arial" w:cs="Arial"/>
                <w:color w:val="000000"/>
                <w:sz w:val="20"/>
                <w:szCs w:val="20"/>
              </w:rPr>
              <w:t>budigalimab</w:t>
            </w:r>
            <w:proofErr w:type="spellEnd"/>
            <w:r>
              <w:rPr>
                <w:rFonts w:ascii="Arial" w:eastAsia="Arial" w:hAnsi="Arial" w:cs="Arial"/>
                <w:color w:val="000000"/>
                <w:sz w:val="20"/>
                <w:szCs w:val="20"/>
              </w:rPr>
              <w:t xml:space="preserve">, RO7121661, </w:t>
            </w:r>
            <w:proofErr w:type="spellStart"/>
            <w:r>
              <w:rPr>
                <w:rFonts w:ascii="Arial" w:eastAsia="Arial" w:hAnsi="Arial" w:cs="Arial"/>
                <w:color w:val="000000"/>
                <w:sz w:val="20"/>
                <w:szCs w:val="20"/>
              </w:rPr>
              <w:t>Sintilimab</w:t>
            </w:r>
            <w:proofErr w:type="spellEnd"/>
            <w:r>
              <w:rPr>
                <w:rFonts w:ascii="Arial" w:eastAsia="Arial" w:hAnsi="Arial" w:cs="Arial"/>
                <w:color w:val="000000"/>
                <w:sz w:val="20"/>
                <w:szCs w:val="20"/>
              </w:rPr>
              <w:t xml:space="preserve">, TSR-042, </w:t>
            </w:r>
            <w:proofErr w:type="spellStart"/>
            <w:r>
              <w:rPr>
                <w:rFonts w:ascii="Arial" w:eastAsia="Arial" w:hAnsi="Arial" w:cs="Arial"/>
                <w:color w:val="000000"/>
                <w:sz w:val="20"/>
                <w:szCs w:val="20"/>
              </w:rPr>
              <w:t>dostarlimab</w:t>
            </w:r>
            <w:proofErr w:type="spellEnd"/>
            <w:r>
              <w:rPr>
                <w:rFonts w:ascii="Arial" w:eastAsia="Arial" w:hAnsi="Arial" w:cs="Arial"/>
                <w:color w:val="000000"/>
                <w:sz w:val="20"/>
                <w:szCs w:val="20"/>
              </w:rPr>
              <w:t xml:space="preserve">, M7824, BGB-A317,  </w:t>
            </w:r>
            <w:proofErr w:type="spellStart"/>
            <w:r>
              <w:rPr>
                <w:rFonts w:ascii="Arial" w:eastAsia="Arial" w:hAnsi="Arial" w:cs="Arial"/>
                <w:color w:val="000000"/>
                <w:sz w:val="20"/>
                <w:szCs w:val="20"/>
              </w:rPr>
              <w:t>tislelizumab</w:t>
            </w:r>
            <w:proofErr w:type="spellEnd"/>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Target PD1 receptor expressed on T cells and prevents the interaction with PDL1/PDL2 and subsequent T cell inactivation.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lastRenderedPageBreak/>
              <w:t>PDL1</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 fusion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MSB0011359C, M7824, TTI-621</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Binds to PD-L1 and avoid its interaction to PD-1 </w:t>
            </w:r>
            <w:r>
              <w:rPr>
                <w:rFonts w:ascii="Arial" w:eastAsia="Arial" w:hAnsi="Arial" w:cs="Arial"/>
                <w:sz w:val="20"/>
                <w:szCs w:val="20"/>
              </w:rPr>
              <w:t>receptors</w:t>
            </w:r>
            <w:r>
              <w:rPr>
                <w:rFonts w:ascii="Arial" w:eastAsia="Arial" w:hAnsi="Arial" w:cs="Arial"/>
                <w:color w:val="000000"/>
                <w:sz w:val="20"/>
                <w:szCs w:val="20"/>
              </w:rPr>
              <w:t xml:space="preserve"> expressed on T cells. This </w:t>
            </w:r>
            <w:r>
              <w:rPr>
                <w:rFonts w:ascii="Arial" w:eastAsia="Arial" w:hAnsi="Arial" w:cs="Arial"/>
                <w:sz w:val="20"/>
                <w:szCs w:val="20"/>
              </w:rPr>
              <w:t>avoids</w:t>
            </w:r>
            <w:r>
              <w:rPr>
                <w:rFonts w:ascii="Arial" w:eastAsia="Arial" w:hAnsi="Arial" w:cs="Arial"/>
                <w:color w:val="000000"/>
                <w:sz w:val="20"/>
                <w:szCs w:val="20"/>
              </w:rPr>
              <w:t xml:space="preserve"> T cell inactivation.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S15</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NC318</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Targets and binds to S15 on the surface of tumour-associated macrophages </w:t>
            </w:r>
            <w:r>
              <w:rPr>
                <w:rFonts w:ascii="Arial" w:eastAsia="Arial" w:hAnsi="Arial" w:cs="Arial"/>
                <w:sz w:val="20"/>
                <w:szCs w:val="20"/>
              </w:rPr>
              <w:t>with a pro-</w:t>
            </w:r>
            <w:proofErr w:type="spellStart"/>
            <w:r>
              <w:rPr>
                <w:rFonts w:ascii="Arial" w:eastAsia="Arial" w:hAnsi="Arial" w:cs="Arial"/>
                <w:sz w:val="20"/>
                <w:szCs w:val="20"/>
              </w:rPr>
              <w:t>tumoral</w:t>
            </w:r>
            <w:proofErr w:type="spellEnd"/>
            <w:r>
              <w:rPr>
                <w:rFonts w:ascii="Arial" w:eastAsia="Arial" w:hAnsi="Arial" w:cs="Arial"/>
                <w:color w:val="000000"/>
                <w:sz w:val="20"/>
                <w:szCs w:val="20"/>
              </w:rPr>
              <w:t xml:space="preserve"> profile to disrupt its activity.</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TGFβRII</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Fusion protein</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MSB0011359C, M7824</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Neutralizes TGFβ, avoiding its interaction to </w:t>
            </w:r>
            <w:r>
              <w:rPr>
                <w:rFonts w:ascii="Arial" w:eastAsia="Arial" w:hAnsi="Arial" w:cs="Arial"/>
                <w:sz w:val="20"/>
                <w:szCs w:val="20"/>
              </w:rPr>
              <w:t>receptors</w:t>
            </w:r>
            <w:r>
              <w:rPr>
                <w:rFonts w:ascii="Arial" w:eastAsia="Arial" w:hAnsi="Arial" w:cs="Arial"/>
                <w:color w:val="000000"/>
                <w:sz w:val="20"/>
                <w:szCs w:val="20"/>
              </w:rPr>
              <w:t xml:space="preserve"> located in NK and CD8</w:t>
            </w:r>
            <w:r>
              <w:rPr>
                <w:rFonts w:ascii="Arial" w:eastAsia="Arial" w:hAnsi="Arial" w:cs="Arial"/>
                <w:vertAlign w:val="superscript"/>
              </w:rPr>
              <w:t>+</w:t>
            </w:r>
            <w:r>
              <w:rPr>
                <w:rFonts w:ascii="Arial" w:eastAsia="Arial" w:hAnsi="Arial" w:cs="Arial"/>
                <w:color w:val="000000"/>
                <w:sz w:val="20"/>
                <w:szCs w:val="20"/>
              </w:rPr>
              <w:t xml:space="preserve"> T cells which </w:t>
            </w:r>
            <w:r>
              <w:rPr>
                <w:rFonts w:ascii="Arial" w:eastAsia="Arial" w:hAnsi="Arial" w:cs="Arial"/>
                <w:sz w:val="20"/>
                <w:szCs w:val="20"/>
              </w:rPr>
              <w:t>have</w:t>
            </w:r>
            <w:r>
              <w:rPr>
                <w:rFonts w:ascii="Arial" w:eastAsia="Arial" w:hAnsi="Arial" w:cs="Arial"/>
                <w:color w:val="000000"/>
                <w:sz w:val="20"/>
                <w:szCs w:val="20"/>
              </w:rPr>
              <w:t xml:space="preserve"> been related to immune surveillance depression.</w:t>
            </w:r>
          </w:p>
        </w:tc>
      </w:tr>
      <w:tr w:rsidR="007C357D">
        <w:trPr>
          <w:trHeight w:val="20"/>
          <w:jc w:val="center"/>
        </w:trPr>
        <w:tc>
          <w:tcPr>
            <w:tcW w:w="1086"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TIM3</w:t>
            </w:r>
          </w:p>
        </w:tc>
        <w:tc>
          <w:tcPr>
            <w:tcW w:w="159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Bispecific antibody, antibody</w:t>
            </w:r>
          </w:p>
        </w:tc>
        <w:tc>
          <w:tcPr>
            <w:tcW w:w="2730" w:type="dxa"/>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RO7121661, TSR-022</w:t>
            </w:r>
          </w:p>
        </w:tc>
        <w:tc>
          <w:tcPr>
            <w:tcW w:w="4579" w:type="dxa"/>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Blocks interaction with its physiological </w:t>
            </w:r>
            <w:proofErr w:type="gramStart"/>
            <w:r>
              <w:rPr>
                <w:rFonts w:ascii="Arial" w:eastAsia="Arial" w:hAnsi="Arial" w:cs="Arial"/>
                <w:color w:val="000000"/>
                <w:sz w:val="20"/>
                <w:szCs w:val="20"/>
              </w:rPr>
              <w:t>ligand,</w:t>
            </w:r>
            <w:proofErr w:type="gramEnd"/>
            <w:r>
              <w:rPr>
                <w:rFonts w:ascii="Arial" w:eastAsia="Arial" w:hAnsi="Arial" w:cs="Arial"/>
                <w:color w:val="000000"/>
                <w:sz w:val="20"/>
                <w:szCs w:val="20"/>
              </w:rPr>
              <w:t xml:space="preserve"> prevents immune checkpoint T cell suppression and </w:t>
            </w:r>
            <w:r>
              <w:rPr>
                <w:rFonts w:ascii="Arial" w:eastAsia="Arial" w:hAnsi="Arial" w:cs="Arial"/>
                <w:sz w:val="20"/>
                <w:szCs w:val="20"/>
              </w:rPr>
              <w:t>allows</w:t>
            </w:r>
            <w:r>
              <w:rPr>
                <w:rFonts w:ascii="Arial" w:eastAsia="Arial" w:hAnsi="Arial" w:cs="Arial"/>
                <w:color w:val="000000"/>
                <w:sz w:val="20"/>
                <w:szCs w:val="20"/>
              </w:rPr>
              <w:t xml:space="preserve"> T cell effector functions.</w:t>
            </w:r>
          </w:p>
        </w:tc>
      </w:tr>
      <w:tr w:rsidR="007C357D">
        <w:trPr>
          <w:trHeight w:val="20"/>
          <w:jc w:val="center"/>
        </w:trPr>
        <w:tc>
          <w:tcPr>
            <w:tcW w:w="9985" w:type="dxa"/>
            <w:gridSpan w:val="4"/>
            <w:tcBorders>
              <w:top w:val="single" w:sz="4" w:space="0" w:color="000000"/>
              <w:left w:val="single" w:sz="4" w:space="0" w:color="000000"/>
              <w:bottom w:val="single" w:sz="4" w:space="0" w:color="000000"/>
              <w:right w:val="single" w:sz="4" w:space="0" w:color="000000"/>
            </w:tcBorders>
            <w:vAlign w:val="center"/>
          </w:tcPr>
          <w:p w:rsidR="007C357D" w:rsidRDefault="002F2301">
            <w:pPr>
              <w:spacing w:after="0" w:line="240" w:lineRule="auto"/>
              <w:rPr>
                <w:rFonts w:ascii="Arial" w:eastAsia="Arial" w:hAnsi="Arial" w:cs="Arial"/>
                <w:sz w:val="20"/>
                <w:szCs w:val="20"/>
              </w:rPr>
            </w:pPr>
            <w:proofErr w:type="gramStart"/>
            <w:r>
              <w:rPr>
                <w:rFonts w:ascii="Arial" w:eastAsia="Arial" w:hAnsi="Arial" w:cs="Arial"/>
                <w:sz w:val="20"/>
                <w:szCs w:val="20"/>
                <w:vertAlign w:val="superscript"/>
              </w:rPr>
              <w:t>a</w:t>
            </w:r>
            <w:proofErr w:type="gramEnd"/>
            <w:r>
              <w:rPr>
                <w:rFonts w:ascii="Arial" w:eastAsia="Arial" w:hAnsi="Arial" w:cs="Arial"/>
                <w:sz w:val="20"/>
                <w:szCs w:val="20"/>
              </w:rPr>
              <w:t xml:space="preserve"> Drugs function mined from NCI Drug Dictionary, National Cancer Institute at the National Institutes of Health (www.cancer.gov/publications/dictionaries/cancer-drug/). AMP: adenosine monophosphate, APC: antigen-presenting cells, ATP: adenosine triphosphate, CAR T CELL: chimeric antigen receptor T cells, DC: dendritic cell, FPV: </w:t>
            </w:r>
            <w:proofErr w:type="spellStart"/>
            <w:r>
              <w:rPr>
                <w:rFonts w:ascii="Arial" w:eastAsia="Arial" w:hAnsi="Arial" w:cs="Arial"/>
                <w:sz w:val="20"/>
                <w:szCs w:val="20"/>
              </w:rPr>
              <w:t>fowlpox</w:t>
            </w:r>
            <w:proofErr w:type="spellEnd"/>
            <w:r>
              <w:rPr>
                <w:rFonts w:ascii="Arial" w:eastAsia="Arial" w:hAnsi="Arial" w:cs="Arial"/>
                <w:sz w:val="20"/>
                <w:szCs w:val="20"/>
              </w:rPr>
              <w:t xml:space="preserve"> virus, HSV: herpes simplex virus, MHC: major histocompatibility complex, MVA: Modified Vaccinia Ankara, NK: natural killer, PEG: Polyethylene glycol, shRNA: short hairpin RNA, TAA:  tumour-associated antigens</w:t>
            </w:r>
          </w:p>
        </w:tc>
      </w:tr>
    </w:tbl>
    <w:p w:rsidR="007C357D" w:rsidRDefault="002F2301">
      <w:pPr>
        <w:spacing w:after="200" w:line="276" w:lineRule="auto"/>
        <w:rPr>
          <w:rFonts w:ascii="Arial" w:eastAsia="Arial" w:hAnsi="Arial" w:cs="Arial"/>
          <w:b/>
          <w:color w:val="000000"/>
        </w:rPr>
      </w:pPr>
      <w:r>
        <w:br w:type="page"/>
      </w:r>
    </w:p>
    <w:p w:rsidR="007C357D" w:rsidRDefault="002F2301">
      <w:pPr>
        <w:spacing w:line="480" w:lineRule="auto"/>
        <w:jc w:val="both"/>
        <w:rPr>
          <w:rFonts w:ascii="Arial" w:eastAsia="Arial" w:hAnsi="Arial" w:cs="Arial"/>
          <w:color w:val="000000"/>
        </w:rPr>
      </w:pPr>
      <w:r>
        <w:rPr>
          <w:rFonts w:ascii="Arial" w:eastAsia="Arial" w:hAnsi="Arial" w:cs="Arial"/>
          <w:b/>
          <w:color w:val="000000"/>
        </w:rPr>
        <w:lastRenderedPageBreak/>
        <w:t>Table S2. Neoantigens proposed as target for cancer immunotherapies</w:t>
      </w:r>
      <w:r>
        <w:rPr>
          <w:rFonts w:ascii="Arial" w:eastAsia="Arial" w:hAnsi="Arial" w:cs="Arial"/>
          <w:color w:val="000000"/>
        </w:rPr>
        <w:t xml:space="preserve">. </w:t>
      </w:r>
    </w:p>
    <w:p w:rsidR="007C357D" w:rsidRDefault="002F2301">
      <w:pPr>
        <w:spacing w:line="480" w:lineRule="auto"/>
        <w:jc w:val="both"/>
        <w:rPr>
          <w:rFonts w:ascii="Arial" w:eastAsia="Arial" w:hAnsi="Arial" w:cs="Arial"/>
        </w:rPr>
      </w:pPr>
      <w:r>
        <w:rPr>
          <w:rFonts w:ascii="Arial" w:eastAsia="Arial" w:hAnsi="Arial" w:cs="Arial"/>
        </w:rPr>
        <w:t>Description of neoantigen-based immunotherapeutic vaccines currently studied th</w:t>
      </w:r>
      <w:r w:rsidR="00B81A69">
        <w:rPr>
          <w:rFonts w:ascii="Arial" w:eastAsia="Arial" w:hAnsi="Arial" w:cs="Arial"/>
        </w:rPr>
        <w:t>r</w:t>
      </w:r>
      <w:r>
        <w:rPr>
          <w:rFonts w:ascii="Arial" w:eastAsia="Arial" w:hAnsi="Arial" w:cs="Arial"/>
        </w:rPr>
        <w:t xml:space="preserve">ough clinical interventional trials proposed for breast, lung, colorectal and prostate cancer in the </w:t>
      </w:r>
      <w:r w:rsidR="00B81A69">
        <w:rPr>
          <w:rFonts w:ascii="Arial" w:eastAsia="Arial" w:hAnsi="Arial" w:cs="Arial"/>
        </w:rPr>
        <w:t>p</w:t>
      </w:r>
      <w:r>
        <w:rPr>
          <w:rFonts w:ascii="Arial" w:eastAsia="Arial" w:hAnsi="Arial" w:cs="Arial"/>
        </w:rPr>
        <w:t>ast ten years. In the table, the information about the vaccination strategy, the type of cancer, clinical trial phases and code</w:t>
      </w:r>
      <w:r w:rsidR="00B81A69">
        <w:rPr>
          <w:rFonts w:ascii="Arial" w:eastAsia="Arial" w:hAnsi="Arial" w:cs="Arial"/>
        </w:rPr>
        <w:t>s</w:t>
      </w:r>
      <w:r>
        <w:rPr>
          <w:rFonts w:ascii="Arial" w:eastAsia="Arial" w:hAnsi="Arial" w:cs="Arial"/>
        </w:rPr>
        <w:t xml:space="preserve"> are listed below. Th</w:t>
      </w:r>
      <w:r w:rsidR="00B81A69">
        <w:rPr>
          <w:rFonts w:ascii="Arial" w:eastAsia="Arial" w:hAnsi="Arial" w:cs="Arial"/>
        </w:rPr>
        <w:t>e</w:t>
      </w:r>
      <w:r>
        <w:rPr>
          <w:rFonts w:ascii="Arial" w:eastAsia="Arial" w:hAnsi="Arial" w:cs="Arial"/>
        </w:rPr>
        <w:t>s</w:t>
      </w:r>
      <w:r w:rsidR="00B81A69">
        <w:rPr>
          <w:rFonts w:ascii="Arial" w:eastAsia="Arial" w:hAnsi="Arial" w:cs="Arial"/>
        </w:rPr>
        <w:t>e</w:t>
      </w:r>
      <w:r>
        <w:rPr>
          <w:rFonts w:ascii="Arial" w:eastAsia="Arial" w:hAnsi="Arial" w:cs="Arial"/>
        </w:rPr>
        <w:t xml:space="preserve"> data </w:t>
      </w:r>
      <w:r w:rsidR="00B81A69">
        <w:rPr>
          <w:rFonts w:ascii="Arial" w:eastAsia="Arial" w:hAnsi="Arial" w:cs="Arial"/>
        </w:rPr>
        <w:t xml:space="preserve">were </w:t>
      </w:r>
      <w:r>
        <w:rPr>
          <w:rFonts w:ascii="Arial" w:eastAsia="Arial" w:hAnsi="Arial" w:cs="Arial"/>
        </w:rPr>
        <w:t xml:space="preserve">extracted from ClinicalTrials.gov database, according to the following </w:t>
      </w:r>
      <w:r w:rsidR="00B81A69">
        <w:rPr>
          <w:rFonts w:ascii="Arial" w:eastAsia="Arial" w:hAnsi="Arial" w:cs="Arial"/>
        </w:rPr>
        <w:t xml:space="preserve">search </w:t>
      </w:r>
      <w:r>
        <w:rPr>
          <w:rFonts w:ascii="Arial" w:eastAsia="Arial" w:hAnsi="Arial" w:cs="Arial"/>
        </w:rPr>
        <w:t>parameters: (1) Study type: interventional studies, (2) Recruitment status: not stopped studies (i.e. not yet recruiting, recruiting, enrolling by invitation, active not recruiting and completed), (3) Study results: all studies, (4) Study start: from 01/Jan/2010 to 04/Dec/2019.</w:t>
      </w:r>
    </w:p>
    <w:tbl>
      <w:tblPr>
        <w:tblStyle w:val="a0"/>
        <w:tblW w:w="9535" w:type="dxa"/>
        <w:jc w:val="center"/>
        <w:tblInd w:w="0" w:type="dxa"/>
        <w:tblLayout w:type="fixed"/>
        <w:tblLook w:val="0400" w:firstRow="0" w:lastRow="0" w:firstColumn="0" w:lastColumn="0" w:noHBand="0" w:noVBand="1"/>
      </w:tblPr>
      <w:tblGrid>
        <w:gridCol w:w="1830"/>
        <w:gridCol w:w="2035"/>
        <w:gridCol w:w="1710"/>
        <w:gridCol w:w="819"/>
        <w:gridCol w:w="3141"/>
      </w:tblGrid>
      <w:tr w:rsidR="007C357D">
        <w:trPr>
          <w:trHeight w:val="436"/>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7C357D" w:rsidRDefault="002F2301">
            <w:pPr>
              <w:spacing w:after="0" w:line="240" w:lineRule="auto"/>
              <w:jc w:val="center"/>
              <w:rPr>
                <w:rFonts w:ascii="Arial" w:eastAsia="Arial" w:hAnsi="Arial" w:cs="Arial"/>
                <w:color w:val="FFFFFF"/>
                <w:sz w:val="20"/>
                <w:szCs w:val="20"/>
              </w:rPr>
            </w:pPr>
            <w:r>
              <w:rPr>
                <w:rFonts w:ascii="Arial" w:eastAsia="Arial" w:hAnsi="Arial" w:cs="Arial"/>
                <w:color w:val="FFFFFF"/>
                <w:sz w:val="20"/>
                <w:szCs w:val="20"/>
              </w:rPr>
              <w:t>NEOANTIGEN</w:t>
            </w:r>
          </w:p>
        </w:tc>
        <w:tc>
          <w:tcPr>
            <w:tcW w:w="2035" w:type="dxa"/>
            <w:tcBorders>
              <w:top w:val="single" w:sz="4" w:space="0" w:color="000000"/>
              <w:left w:val="nil"/>
              <w:bottom w:val="single" w:sz="4" w:space="0" w:color="000000"/>
              <w:right w:val="single" w:sz="4" w:space="0" w:color="000000"/>
            </w:tcBorders>
            <w:shd w:val="clear" w:color="auto" w:fill="000000"/>
            <w:vAlign w:val="center"/>
          </w:tcPr>
          <w:p w:rsidR="007C357D" w:rsidRDefault="002F2301">
            <w:pPr>
              <w:spacing w:after="0" w:line="240" w:lineRule="auto"/>
              <w:jc w:val="center"/>
              <w:rPr>
                <w:rFonts w:ascii="Arial" w:eastAsia="Arial" w:hAnsi="Arial" w:cs="Arial"/>
                <w:color w:val="FFFFFF"/>
                <w:sz w:val="20"/>
                <w:szCs w:val="20"/>
              </w:rPr>
            </w:pPr>
            <w:r>
              <w:rPr>
                <w:rFonts w:ascii="Arial" w:eastAsia="Arial" w:hAnsi="Arial" w:cs="Arial"/>
                <w:color w:val="FFFFFF"/>
                <w:sz w:val="20"/>
                <w:szCs w:val="20"/>
              </w:rPr>
              <w:t>STRATEGY</w:t>
            </w:r>
          </w:p>
        </w:tc>
        <w:tc>
          <w:tcPr>
            <w:tcW w:w="1710" w:type="dxa"/>
            <w:tcBorders>
              <w:top w:val="single" w:sz="4" w:space="0" w:color="000000"/>
              <w:left w:val="nil"/>
              <w:bottom w:val="single" w:sz="4" w:space="0" w:color="000000"/>
              <w:right w:val="single" w:sz="4" w:space="0" w:color="000000"/>
            </w:tcBorders>
            <w:shd w:val="clear" w:color="auto" w:fill="000000"/>
            <w:vAlign w:val="center"/>
          </w:tcPr>
          <w:p w:rsidR="007C357D" w:rsidRDefault="002F2301">
            <w:pPr>
              <w:spacing w:after="0" w:line="240" w:lineRule="auto"/>
              <w:jc w:val="center"/>
              <w:rPr>
                <w:rFonts w:ascii="Arial" w:eastAsia="Arial" w:hAnsi="Arial" w:cs="Arial"/>
                <w:color w:val="FFFFFF"/>
                <w:sz w:val="20"/>
                <w:szCs w:val="20"/>
              </w:rPr>
            </w:pPr>
            <w:r>
              <w:rPr>
                <w:rFonts w:ascii="Arial" w:eastAsia="Arial" w:hAnsi="Arial" w:cs="Arial"/>
                <w:color w:val="FFFFFF"/>
                <w:sz w:val="20"/>
                <w:szCs w:val="20"/>
              </w:rPr>
              <w:t>CANCER TYPE</w:t>
            </w:r>
          </w:p>
        </w:tc>
        <w:tc>
          <w:tcPr>
            <w:tcW w:w="819" w:type="dxa"/>
            <w:tcBorders>
              <w:top w:val="single" w:sz="4" w:space="0" w:color="000000"/>
              <w:left w:val="nil"/>
              <w:bottom w:val="single" w:sz="4" w:space="0" w:color="000000"/>
              <w:right w:val="single" w:sz="4" w:space="0" w:color="000000"/>
            </w:tcBorders>
            <w:shd w:val="clear" w:color="auto" w:fill="000000"/>
            <w:vAlign w:val="center"/>
          </w:tcPr>
          <w:p w:rsidR="007C357D" w:rsidRDefault="002F2301">
            <w:pPr>
              <w:spacing w:after="0" w:line="240" w:lineRule="auto"/>
              <w:jc w:val="center"/>
              <w:rPr>
                <w:rFonts w:ascii="Arial" w:eastAsia="Arial" w:hAnsi="Arial" w:cs="Arial"/>
                <w:color w:val="FFFFFF"/>
                <w:sz w:val="20"/>
                <w:szCs w:val="20"/>
              </w:rPr>
            </w:pPr>
            <w:r>
              <w:rPr>
                <w:rFonts w:ascii="Arial" w:eastAsia="Arial" w:hAnsi="Arial" w:cs="Arial"/>
                <w:color w:val="FFFFFF"/>
                <w:sz w:val="20"/>
                <w:szCs w:val="20"/>
              </w:rPr>
              <w:t>PHASE</w:t>
            </w:r>
          </w:p>
        </w:tc>
        <w:tc>
          <w:tcPr>
            <w:tcW w:w="3141" w:type="dxa"/>
            <w:tcBorders>
              <w:top w:val="single" w:sz="4" w:space="0" w:color="000000"/>
              <w:left w:val="nil"/>
              <w:bottom w:val="single" w:sz="4" w:space="0" w:color="000000"/>
              <w:right w:val="single" w:sz="4" w:space="0" w:color="000000"/>
            </w:tcBorders>
            <w:shd w:val="clear" w:color="auto" w:fill="000000"/>
            <w:vAlign w:val="center"/>
          </w:tcPr>
          <w:p w:rsidR="007C357D" w:rsidRDefault="002F2301">
            <w:pPr>
              <w:spacing w:after="0" w:line="240" w:lineRule="auto"/>
              <w:jc w:val="center"/>
              <w:rPr>
                <w:rFonts w:ascii="Arial" w:eastAsia="Arial" w:hAnsi="Arial" w:cs="Arial"/>
                <w:color w:val="FFFFFF"/>
                <w:sz w:val="20"/>
                <w:szCs w:val="20"/>
              </w:rPr>
            </w:pPr>
            <w:r>
              <w:rPr>
                <w:rFonts w:ascii="Arial" w:eastAsia="Arial" w:hAnsi="Arial" w:cs="Arial"/>
                <w:color w:val="FFFFFF"/>
                <w:sz w:val="20"/>
                <w:szCs w:val="20"/>
              </w:rPr>
              <w:t>CLINICAL TRIAL CODE</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5T4</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Adenovirus</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NCT03815942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MVA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NCT03815942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RNA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NCT03164772</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Abl-2</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NCT01095848</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ADAM 17</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NCT01095848</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BAP31</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NCT01095848</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Brachyury</w:t>
            </w:r>
            <w:proofErr w:type="spellEnd"/>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Adenovirus</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NCT03387085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PC, 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NCT03384316</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FPV</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NCT03493945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MVA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PC, 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NCT02179515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NCT03493945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S. cerevisiae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NCT03387085</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CD138</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NCT03362060, NCT02826434</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CD38</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Antibody</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NCT03555149</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CD40</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Antibody</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NCT03424005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NCT03555149</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NCT02376699</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NCT03123783</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Bispecific antibody</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NCT02955251</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CEA</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Adenovirus</w:t>
            </w: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NCT03384316</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NCT03387085, NCT01147965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NCT03384316</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NCT01147965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NCT03384316</w:t>
            </w:r>
          </w:p>
        </w:tc>
      </w:tr>
      <w:tr w:rsidR="007C357D">
        <w:trPr>
          <w:trHeight w:val="264"/>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Bispecific antibody</w:t>
            </w: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NCT01221675, NCT03337698</w:t>
            </w:r>
          </w:p>
        </w:tc>
      </w:tr>
      <w:tr w:rsidR="007C357D">
        <w:trPr>
          <w:trHeight w:val="264"/>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3141"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NCT03682744, NCT02850536, NCT02416466</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NCT02654587</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MVA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NCT03315871</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S. cerevisiae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NCT03387085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VRP</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NCT01890213</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CS1</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NCT03362060, NCT02826434</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DLL3</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NCT03392064</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EDDR1</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NCT01095848</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EGFR</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Bispecific</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NCT01420874</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EpCAM</w:t>
            </w:r>
            <w:proofErr w:type="spellEnd"/>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NCT02915445</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FAP</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Fusion protein</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NCT03424005</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sidRPr="00144B5D">
              <w:rPr>
                <w:rFonts w:ascii="Symbol" w:eastAsia="Arial" w:hAnsi="Symbol" w:cs="Arial"/>
                <w:color w:val="000000"/>
                <w:sz w:val="20"/>
                <w:szCs w:val="20"/>
              </w:rPr>
              <w:t></w:t>
            </w:r>
            <w:r>
              <w:rPr>
                <w:rFonts w:ascii="Arial" w:eastAsia="Arial" w:hAnsi="Arial" w:cs="Arial"/>
                <w:color w:val="000000"/>
                <w:sz w:val="20"/>
                <w:szCs w:val="20"/>
              </w:rPr>
              <w:t>-catenin</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NCT01095848</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Globo</w:t>
            </w:r>
            <w:proofErr w:type="spellEnd"/>
            <w:r>
              <w:rPr>
                <w:rFonts w:ascii="Arial" w:eastAsia="Arial" w:hAnsi="Arial" w:cs="Arial"/>
                <w:color w:val="000000"/>
                <w:sz w:val="20"/>
                <w:szCs w:val="20"/>
              </w:rPr>
              <w:t xml:space="preserve"> H</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Carbohydrate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NCT01516307</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NCT02310464</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GPC3</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NCT03198546</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Her2</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BAT (bispecific armed T cell)</w:t>
            </w: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NCT03661424</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NCT03272334</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NCT01147016</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Bispecific antibody</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NCT02892123</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NCT03198052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Conjugated antibody</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NCT03821233</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DC</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NCT02063724, NCT02061423</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NCT02654587</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NCT01376505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NCT00194714</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NCT02297698, NCT01570036</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Plasmid</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NCT03384914</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VRP</w:t>
            </w: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NCT01526473</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NCT03632941</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HPV genes</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HPV vaccine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NCT01909752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NCT02234921</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 monocytogenes</w:t>
            </w:r>
          </w:p>
        </w:tc>
        <w:tc>
          <w:tcPr>
            <w:tcW w:w="1710" w:type="dxa"/>
            <w:tcBorders>
              <w:top w:val="nil"/>
              <w:left w:val="nil"/>
              <w:bottom w:val="single" w:sz="4" w:space="0" w:color="000000"/>
              <w:right w:val="single" w:sz="4" w:space="0" w:color="000000"/>
            </w:tcBorders>
            <w:shd w:val="clear" w:color="auto" w:fill="auto"/>
            <w:vAlign w:val="center"/>
          </w:tcPr>
          <w:p w:rsidR="007C357D" w:rsidRDefault="00CA65A8">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w:t>
            </w:r>
            <w:bookmarkStart w:id="1" w:name="_GoBack"/>
            <w:bookmarkEnd w:id="1"/>
            <w:r w:rsidR="002F2301">
              <w:rPr>
                <w:rFonts w:ascii="Arial" w:eastAsia="Arial" w:hAnsi="Arial" w:cs="Arial"/>
                <w:color w:val="000000"/>
                <w:sz w:val="20"/>
                <w:szCs w:val="20"/>
              </w:rPr>
              <w:t>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NCT02164461</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Plasmid</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NCT03439085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NCT02280811</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HSV-</w:t>
            </w:r>
            <w:proofErr w:type="spellStart"/>
            <w:r>
              <w:rPr>
                <w:rFonts w:ascii="Arial" w:eastAsia="Arial" w:hAnsi="Arial" w:cs="Arial"/>
                <w:color w:val="000000"/>
                <w:sz w:val="20"/>
                <w:szCs w:val="20"/>
              </w:rPr>
              <w:t>tk</w:t>
            </w:r>
            <w:proofErr w:type="spellEnd"/>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Adenovirus</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NCT01997190</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NCT03131037, NCT01997190</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NCT02831933</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NCT02768363</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NCT01436968</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IGF1R</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Plasmid</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NCT03384914</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IGFBP2</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Plasmid</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NCT03384914</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Integrin β8</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NCT01095848</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L19</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Antibody</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NCT03705403</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LAG-3</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Antibody</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NCT02060188</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LAGE-1</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NCT03709706</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LAMP</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DC</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NCT03371485</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Lewis-Y</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NCT03198052</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LIV1</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Antibody</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NCT03424005</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MAGE</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Adenovirus</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NCT02879760</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NCT02654587</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Exosomes</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NCT01159288</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Maraba</w:t>
            </w:r>
            <w:proofErr w:type="spellEnd"/>
            <w:r>
              <w:rPr>
                <w:rFonts w:ascii="Arial" w:eastAsia="Arial" w:hAnsi="Arial" w:cs="Arial"/>
                <w:color w:val="000000"/>
                <w:sz w:val="20"/>
                <w:szCs w:val="20"/>
              </w:rPr>
              <w:t xml:space="preserve"> virus</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NCT02879761</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RNA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NCT03164772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NCT02111850</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MART-1</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Exosome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NCT01159288</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Mesothelin</w:t>
            </w:r>
            <w:proofErr w:type="spellEnd"/>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Bispecific antibody</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NCT02955251</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NCT02414269</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NCT03198052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NCT02792114</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MUC1</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Adenovirus</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NCT03387085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PC, 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NCT03384316</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NCT03198052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Liposome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NCT00828009</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MVA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NCT03353675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NCT03315871</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RNA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NCT03164772</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MYB</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NCT03287427</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NKG2D</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NCT03310008</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NCT03692429</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NY-ESO-1</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Exosome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NCT01159288</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Fusion protein</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PC, 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NCT01522820</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Lentivirus</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NCT02122861</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Protein</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NCT02015416</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RNA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NCT03164772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NCT01967823</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NCT03709706</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P10s (TACA)</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NCT02264236</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p53</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DC</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NCT03406715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NCT02654587</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Liposome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NCT02316457</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PADRE</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NCT02654587</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NCT02264236</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PAP</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DC</w:t>
            </w: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NCT02036918</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NCT01807065, NCT01804465, NCT01818986, NCT02463799, NCT01487863, NCT01431391, NCT01477749</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NCT03686683</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Personalized TAA</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Adenoviral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NCT03639714</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NCT03680560</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DC</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NCT03871205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NCT02107430, NCT02137746, NCT02107404, NCT02107391, NCT02105675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NCT03532217</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DRibble</w:t>
            </w:r>
            <w:proofErr w:type="spellEnd"/>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NCT03057340</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NCT01909752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NCT02234921</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 monocytogenes</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NCT03189030</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Liposome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NCT02316457</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NCT03391232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NCT03380871, NCT02897765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NCT03633110</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Plasmid</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NCT03548467</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RNA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NCT03289962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NCT03639714</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NCT03412877</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NCT03778814, NCT03247309, NCT02876510</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Tumour cells</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NCT03572361</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Yeast vaccine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NCT03552718</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Phosphatidylserine</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Antibody</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NCT01138163, NCT01160601</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PRAME</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Protein</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NCT01853878</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PSA</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MVA FPV</w:t>
            </w: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NCT03532217</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NCT02933255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NCT03315871, NCT02649439, NCT03579654, NCT01867333, NCT01875250, NCT02649855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NCT01322490</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PSCA</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NCT03198052</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PSMA</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Bispecific antibody</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NCT03792841</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Ras</w:t>
            </w:r>
            <w:proofErr w:type="spellEnd"/>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S. cerevisiae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NCT03387085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NCT03190941</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ROR1</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CAR 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NCT02706392</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SEMA4D</w:t>
            </w:r>
          </w:p>
        </w:tc>
        <w:tc>
          <w:tcPr>
            <w:tcW w:w="2035"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Antibody</w:t>
            </w:r>
          </w:p>
        </w:tc>
        <w:tc>
          <w:tcPr>
            <w:tcW w:w="171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NCT03373188</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71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NCT03268057</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proofErr w:type="spellStart"/>
            <w:r>
              <w:rPr>
                <w:rFonts w:ascii="Arial" w:eastAsia="Arial" w:hAnsi="Arial" w:cs="Arial"/>
                <w:color w:val="000000"/>
                <w:sz w:val="20"/>
                <w:szCs w:val="20"/>
              </w:rPr>
              <w:t>Survivin</w:t>
            </w:r>
            <w:proofErr w:type="spellEnd"/>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NCT03836352</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RNA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NCT03164772</w:t>
            </w:r>
          </w:p>
        </w:tc>
      </w:tr>
      <w:tr w:rsidR="007C357D">
        <w:trPr>
          <w:trHeight w:val="20"/>
          <w:jc w:val="center"/>
        </w:trPr>
        <w:tc>
          <w:tcPr>
            <w:tcW w:w="1830" w:type="dxa"/>
            <w:vMerge w:val="restart"/>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TERT</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DC</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NCT03371485</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DNA</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NCT02960594</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NCT02818426</w:t>
            </w:r>
          </w:p>
        </w:tc>
      </w:tr>
      <w:tr w:rsidR="007C357D">
        <w:trPr>
          <w:trHeight w:val="20"/>
          <w:jc w:val="center"/>
        </w:trPr>
        <w:tc>
          <w:tcPr>
            <w:tcW w:w="1830" w:type="dxa"/>
            <w:vMerge/>
            <w:tcBorders>
              <w:top w:val="nil"/>
              <w:left w:val="single" w:sz="4" w:space="0" w:color="000000"/>
              <w:bottom w:val="single" w:sz="4" w:space="0" w:color="000000"/>
              <w:right w:val="single" w:sz="4" w:space="0" w:color="000000"/>
            </w:tcBorders>
            <w:shd w:val="clear" w:color="auto" w:fill="auto"/>
            <w:vAlign w:val="center"/>
          </w:tcPr>
          <w:p w:rsidR="007C357D" w:rsidRDefault="007C357D">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Plasmid</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LC, CC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NCT02960594</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Topoisomerase IIα</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 PC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NCT01095848</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WT1</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T cell</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LC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I/II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NCT02408016</w:t>
            </w:r>
          </w:p>
        </w:tc>
      </w:tr>
      <w:tr w:rsidR="007C357D">
        <w:trPr>
          <w:trHeight w:val="20"/>
          <w:jc w:val="center"/>
        </w:trPr>
        <w:tc>
          <w:tcPr>
            <w:tcW w:w="1830" w:type="dxa"/>
            <w:tcBorders>
              <w:top w:val="nil"/>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XBP1</w:t>
            </w:r>
          </w:p>
        </w:tc>
        <w:tc>
          <w:tcPr>
            <w:tcW w:w="2035"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Peptide</w:t>
            </w:r>
          </w:p>
        </w:tc>
        <w:tc>
          <w:tcPr>
            <w:tcW w:w="1710"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BC</w:t>
            </w:r>
          </w:p>
        </w:tc>
        <w:tc>
          <w:tcPr>
            <w:tcW w:w="819"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w:t>
            </w:r>
          </w:p>
        </w:tc>
        <w:tc>
          <w:tcPr>
            <w:tcW w:w="3141" w:type="dxa"/>
            <w:tcBorders>
              <w:top w:val="nil"/>
              <w:left w:val="nil"/>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color w:val="000000"/>
                <w:sz w:val="20"/>
                <w:szCs w:val="20"/>
              </w:rPr>
            </w:pPr>
            <w:r>
              <w:rPr>
                <w:rFonts w:ascii="Arial" w:eastAsia="Arial" w:hAnsi="Arial" w:cs="Arial"/>
                <w:color w:val="000000"/>
                <w:sz w:val="20"/>
                <w:szCs w:val="20"/>
              </w:rPr>
              <w:t>NCT03362060, NCT02826434</w:t>
            </w:r>
          </w:p>
        </w:tc>
      </w:tr>
      <w:tr w:rsidR="007C357D">
        <w:trPr>
          <w:trHeight w:val="20"/>
          <w:jc w:val="center"/>
        </w:trPr>
        <w:tc>
          <w:tcPr>
            <w:tcW w:w="95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357D" w:rsidRDefault="002F2301">
            <w:pPr>
              <w:spacing w:after="0" w:line="240" w:lineRule="auto"/>
              <w:rPr>
                <w:rFonts w:ascii="Arial" w:eastAsia="Arial" w:hAnsi="Arial" w:cs="Arial"/>
                <w:sz w:val="20"/>
                <w:szCs w:val="20"/>
              </w:rPr>
            </w:pPr>
            <w:r>
              <w:rPr>
                <w:rFonts w:ascii="Arial" w:eastAsia="Arial" w:hAnsi="Arial" w:cs="Arial"/>
                <w:sz w:val="20"/>
                <w:szCs w:val="20"/>
              </w:rPr>
              <w:t xml:space="preserve">Abbreviations: BAT: bispecific armed T cell, BC: breast cancer, CAR T cell: Chimeric antigen receptor T cells, CC: colorectal cancer, DC: dendritic cell, DNA: deoxyribonucleic acid, </w:t>
            </w:r>
            <w:proofErr w:type="spellStart"/>
            <w:r>
              <w:rPr>
                <w:rFonts w:ascii="Arial" w:eastAsia="Arial" w:hAnsi="Arial" w:cs="Arial"/>
                <w:sz w:val="20"/>
                <w:szCs w:val="20"/>
              </w:rPr>
              <w:t>DRibble</w:t>
            </w:r>
            <w:proofErr w:type="spellEnd"/>
            <w:r>
              <w:rPr>
                <w:rFonts w:ascii="Arial" w:eastAsia="Arial" w:hAnsi="Arial" w:cs="Arial"/>
                <w:sz w:val="20"/>
                <w:szCs w:val="20"/>
              </w:rPr>
              <w:t xml:space="preserve">: Tumour-derived </w:t>
            </w:r>
            <w:proofErr w:type="spellStart"/>
            <w:r>
              <w:rPr>
                <w:rFonts w:ascii="Arial" w:eastAsia="Arial" w:hAnsi="Arial" w:cs="Arial"/>
                <w:sz w:val="20"/>
                <w:szCs w:val="20"/>
              </w:rPr>
              <w:t>autophagosome</w:t>
            </w:r>
            <w:proofErr w:type="spellEnd"/>
            <w:r>
              <w:rPr>
                <w:rFonts w:ascii="Arial" w:eastAsia="Arial" w:hAnsi="Arial" w:cs="Arial"/>
                <w:sz w:val="20"/>
                <w:szCs w:val="20"/>
              </w:rPr>
              <w:t xml:space="preserve"> vaccines, FPV: </w:t>
            </w:r>
            <w:proofErr w:type="spellStart"/>
            <w:r>
              <w:rPr>
                <w:rFonts w:ascii="Arial" w:eastAsia="Arial" w:hAnsi="Arial" w:cs="Arial"/>
                <w:sz w:val="20"/>
                <w:szCs w:val="20"/>
              </w:rPr>
              <w:t>fowlpox</w:t>
            </w:r>
            <w:proofErr w:type="spellEnd"/>
            <w:r>
              <w:rPr>
                <w:rFonts w:ascii="Arial" w:eastAsia="Arial" w:hAnsi="Arial" w:cs="Arial"/>
                <w:sz w:val="20"/>
                <w:szCs w:val="20"/>
              </w:rPr>
              <w:t xml:space="preserve"> virus, HPV: Human papillomavirus, LC: lung cancer, L. monocytogenes: Listeria monocytogenes, MVA: Modified Vaccinia Ankara, PC: prostate cancer, RNA: ribonucleic acid, S. cerevisiae: Saccharomyces cerevisiae, VRP: virus replicon particle.</w:t>
            </w:r>
          </w:p>
        </w:tc>
      </w:tr>
    </w:tbl>
    <w:p w:rsidR="007C357D" w:rsidRDefault="007C357D"/>
    <w:sectPr w:rsidR="007C357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7D"/>
    <w:rsid w:val="00144B5D"/>
    <w:rsid w:val="002F2301"/>
    <w:rsid w:val="007C357D"/>
    <w:rsid w:val="00B81A69"/>
    <w:rsid w:val="00CA65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8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FD378A"/>
    <w:pPr>
      <w:ind w:left="720"/>
      <w:contextualSpacing/>
    </w:pPr>
  </w:style>
  <w:style w:type="character" w:customStyle="1" w:styleId="ref-journal">
    <w:name w:val="ref-journal"/>
    <w:basedOn w:val="Fuentedeprrafopredeter"/>
    <w:rsid w:val="00FD378A"/>
  </w:style>
  <w:style w:type="character" w:customStyle="1" w:styleId="citation">
    <w:name w:val="citation"/>
    <w:basedOn w:val="Fuentedeprrafopredeter"/>
    <w:rsid w:val="00FD378A"/>
  </w:style>
  <w:style w:type="character" w:customStyle="1" w:styleId="ref-vol">
    <w:name w:val="ref-vol"/>
    <w:basedOn w:val="Fuentedeprrafopredeter"/>
    <w:rsid w:val="00FD378A"/>
  </w:style>
  <w:style w:type="character" w:customStyle="1" w:styleId="nowrap">
    <w:name w:val="nowrap"/>
    <w:basedOn w:val="Fuentedeprrafopredeter"/>
    <w:rsid w:val="00FD378A"/>
  </w:style>
  <w:style w:type="character" w:styleId="Hipervnculo">
    <w:name w:val="Hyperlink"/>
    <w:basedOn w:val="Fuentedeprrafopredeter"/>
    <w:uiPriority w:val="99"/>
    <w:unhideWhenUsed/>
    <w:rsid w:val="00FD378A"/>
    <w:rPr>
      <w:color w:val="0000FF"/>
      <w:u w:val="single"/>
    </w:rPr>
  </w:style>
  <w:style w:type="paragraph" w:styleId="Textodeglobo">
    <w:name w:val="Balloon Text"/>
    <w:basedOn w:val="Normal"/>
    <w:link w:val="TextodegloboCar"/>
    <w:uiPriority w:val="99"/>
    <w:semiHidden/>
    <w:unhideWhenUsed/>
    <w:rsid w:val="00FD37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78A"/>
    <w:rPr>
      <w:rFonts w:ascii="Tahoma" w:hAnsi="Tahoma" w:cs="Tahoma"/>
      <w:sz w:val="16"/>
      <w:szCs w:val="16"/>
    </w:rPr>
  </w:style>
  <w:style w:type="character" w:styleId="Refdecomentario">
    <w:name w:val="annotation reference"/>
    <w:basedOn w:val="Fuentedeprrafopredeter"/>
    <w:uiPriority w:val="99"/>
    <w:semiHidden/>
    <w:unhideWhenUsed/>
    <w:rsid w:val="00FD378A"/>
    <w:rPr>
      <w:sz w:val="16"/>
      <w:szCs w:val="16"/>
    </w:rPr>
  </w:style>
  <w:style w:type="paragraph" w:styleId="Textocomentario">
    <w:name w:val="annotation text"/>
    <w:basedOn w:val="Normal"/>
    <w:link w:val="TextocomentarioCar"/>
    <w:uiPriority w:val="99"/>
    <w:semiHidden/>
    <w:unhideWhenUsed/>
    <w:rsid w:val="00FD37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378A"/>
    <w:rPr>
      <w:sz w:val="20"/>
      <w:szCs w:val="20"/>
    </w:rPr>
  </w:style>
  <w:style w:type="paragraph" w:styleId="Asuntodelcomentario">
    <w:name w:val="annotation subject"/>
    <w:basedOn w:val="Textocomentario"/>
    <w:next w:val="Textocomentario"/>
    <w:link w:val="AsuntodelcomentarioCar"/>
    <w:uiPriority w:val="99"/>
    <w:semiHidden/>
    <w:unhideWhenUsed/>
    <w:rsid w:val="00FD378A"/>
    <w:rPr>
      <w:b/>
      <w:bCs/>
    </w:rPr>
  </w:style>
  <w:style w:type="character" w:customStyle="1" w:styleId="AsuntodelcomentarioCar">
    <w:name w:val="Asunto del comentario Car"/>
    <w:basedOn w:val="TextocomentarioCar"/>
    <w:link w:val="Asuntodelcomentario"/>
    <w:uiPriority w:val="99"/>
    <w:semiHidden/>
    <w:rsid w:val="00FD378A"/>
    <w:rPr>
      <w:b/>
      <w:bCs/>
      <w:sz w:val="20"/>
      <w:szCs w:val="20"/>
    </w:rPr>
  </w:style>
  <w:style w:type="paragraph" w:customStyle="1" w:styleId="EndNoteBibliographyTitle">
    <w:name w:val="EndNote Bibliography Title"/>
    <w:basedOn w:val="Normal"/>
    <w:link w:val="EndNoteBibliographyTitleCar"/>
    <w:rsid w:val="00FD378A"/>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FD378A"/>
    <w:rPr>
      <w:rFonts w:ascii="Calibri" w:hAnsi="Calibri"/>
      <w:noProof/>
      <w:lang w:val="en-US"/>
    </w:rPr>
  </w:style>
  <w:style w:type="paragraph" w:customStyle="1" w:styleId="EndNoteBibliography">
    <w:name w:val="EndNote Bibliography"/>
    <w:basedOn w:val="Normal"/>
    <w:link w:val="EndNoteBibliographyCar"/>
    <w:rsid w:val="00FD378A"/>
    <w:pPr>
      <w:spacing w:line="240" w:lineRule="auto"/>
      <w:jc w:val="both"/>
    </w:pPr>
    <w:rPr>
      <w:noProof/>
      <w:lang w:val="en-US"/>
    </w:rPr>
  </w:style>
  <w:style w:type="character" w:customStyle="1" w:styleId="EndNoteBibliographyCar">
    <w:name w:val="EndNote Bibliography Car"/>
    <w:basedOn w:val="Fuentedeprrafopredeter"/>
    <w:link w:val="EndNoteBibliography"/>
    <w:rsid w:val="00FD378A"/>
    <w:rPr>
      <w:rFonts w:ascii="Calibri" w:hAnsi="Calibri"/>
      <w:noProof/>
      <w:lang w:val="en-US"/>
    </w:rPr>
  </w:style>
  <w:style w:type="paragraph" w:styleId="NormalWeb">
    <w:name w:val="Normal (Web)"/>
    <w:basedOn w:val="Normal"/>
    <w:uiPriority w:val="99"/>
    <w:semiHidden/>
    <w:unhideWhenUsed/>
    <w:rsid w:val="00FD378A"/>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FD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D378A"/>
    <w:rPr>
      <w:rFonts w:ascii="Courier New" w:eastAsia="Times New Roman" w:hAnsi="Courier New" w:cs="Courier New"/>
      <w:sz w:val="20"/>
      <w:szCs w:val="20"/>
      <w:lang w:eastAsia="es-PE"/>
    </w:rPr>
  </w:style>
  <w:style w:type="table" w:styleId="Tablaconcuadrcula">
    <w:name w:val="Table Grid"/>
    <w:basedOn w:val="Tablanormal"/>
    <w:uiPriority w:val="59"/>
    <w:rsid w:val="00FD37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D378A"/>
    <w:rPr>
      <w:color w:val="954F72" w:themeColor="followedHyperlink"/>
      <w:u w:val="single"/>
    </w:rPr>
  </w:style>
  <w:style w:type="character" w:styleId="nfasis">
    <w:name w:val="Emphasis"/>
    <w:basedOn w:val="Fuentedeprrafopredeter"/>
    <w:uiPriority w:val="20"/>
    <w:qFormat/>
    <w:rsid w:val="00FD378A"/>
    <w:rPr>
      <w:i/>
      <w:iCs/>
    </w:rPr>
  </w:style>
  <w:style w:type="paragraph" w:customStyle="1" w:styleId="msonormal0">
    <w:name w:val="msonormal"/>
    <w:basedOn w:val="Normal"/>
    <w:rsid w:val="00FD3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FD378A"/>
    <w:pPr>
      <w:spacing w:before="100" w:beforeAutospacing="1" w:after="100" w:afterAutospacing="1" w:line="240" w:lineRule="auto"/>
    </w:pPr>
    <w:rPr>
      <w:rFonts w:ascii="Arial" w:eastAsia="Times New Roman" w:hAnsi="Arial" w:cs="Arial"/>
      <w:color w:val="000000"/>
      <w:sz w:val="20"/>
      <w:szCs w:val="20"/>
    </w:rPr>
  </w:style>
  <w:style w:type="paragraph" w:customStyle="1" w:styleId="xl65">
    <w:name w:val="xl65"/>
    <w:basedOn w:val="Normal"/>
    <w:rsid w:val="00FD3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6">
    <w:name w:val="xl66"/>
    <w:basedOn w:val="Normal"/>
    <w:rsid w:val="00FD3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7">
    <w:name w:val="xl67"/>
    <w:basedOn w:val="Normal"/>
    <w:rsid w:val="00FD3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Normal"/>
    <w:rsid w:val="00FD378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color w:val="FFFFFF"/>
      <w:sz w:val="20"/>
      <w:szCs w:val="20"/>
    </w:rPr>
  </w:style>
  <w:style w:type="paragraph" w:customStyle="1" w:styleId="xl69">
    <w:name w:val="xl69"/>
    <w:basedOn w:val="Normal"/>
    <w:rsid w:val="00FD378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color w:val="FFFFFF"/>
      <w:sz w:val="20"/>
      <w:szCs w:val="20"/>
    </w:rPr>
  </w:style>
  <w:style w:type="paragraph" w:customStyle="1" w:styleId="xl70">
    <w:name w:val="xl70"/>
    <w:basedOn w:val="Normal"/>
    <w:rsid w:val="00FD37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1">
    <w:name w:val="xl71"/>
    <w:basedOn w:val="Normal"/>
    <w:rsid w:val="00FD378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2">
    <w:name w:val="xl72"/>
    <w:basedOn w:val="Normal"/>
    <w:rsid w:val="00FD37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3">
    <w:name w:val="xl73"/>
    <w:basedOn w:val="Normal"/>
    <w:rsid w:val="00FD37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4">
    <w:name w:val="xl74"/>
    <w:basedOn w:val="Normal"/>
    <w:rsid w:val="00FD378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5">
    <w:name w:val="xl75"/>
    <w:basedOn w:val="Normal"/>
    <w:rsid w:val="00FD37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6">
    <w:name w:val="xl76"/>
    <w:basedOn w:val="Normal"/>
    <w:rsid w:val="00FD3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000000"/>
      <w:sz w:val="20"/>
      <w:szCs w:val="20"/>
    </w:rPr>
  </w:style>
  <w:style w:type="paragraph" w:customStyle="1" w:styleId="xl77">
    <w:name w:val="xl77"/>
    <w:basedOn w:val="Normal"/>
    <w:rsid w:val="00FD378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FD37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9">
    <w:name w:val="xl79"/>
    <w:basedOn w:val="Normal"/>
    <w:rsid w:val="00FD37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FD378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FD3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Nmerodelnea">
    <w:name w:val="line number"/>
    <w:basedOn w:val="Fuentedeprrafopredeter"/>
    <w:uiPriority w:val="99"/>
    <w:semiHidden/>
    <w:unhideWhenUsed/>
    <w:rsid w:val="00FD378A"/>
  </w:style>
  <w:style w:type="paragraph" w:styleId="Textonotapie">
    <w:name w:val="footnote text"/>
    <w:basedOn w:val="Normal"/>
    <w:link w:val="TextonotapieCar"/>
    <w:uiPriority w:val="99"/>
    <w:semiHidden/>
    <w:unhideWhenUsed/>
    <w:rsid w:val="00FD37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78A"/>
    <w:rPr>
      <w:sz w:val="20"/>
      <w:szCs w:val="20"/>
    </w:rPr>
  </w:style>
  <w:style w:type="character" w:styleId="Refdenotaalpie">
    <w:name w:val="footnote reference"/>
    <w:basedOn w:val="Fuentedeprrafopredeter"/>
    <w:uiPriority w:val="99"/>
    <w:semiHidden/>
    <w:unhideWhenUsed/>
    <w:rsid w:val="00FD378A"/>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8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FD378A"/>
    <w:pPr>
      <w:ind w:left="720"/>
      <w:contextualSpacing/>
    </w:pPr>
  </w:style>
  <w:style w:type="character" w:customStyle="1" w:styleId="ref-journal">
    <w:name w:val="ref-journal"/>
    <w:basedOn w:val="Fuentedeprrafopredeter"/>
    <w:rsid w:val="00FD378A"/>
  </w:style>
  <w:style w:type="character" w:customStyle="1" w:styleId="citation">
    <w:name w:val="citation"/>
    <w:basedOn w:val="Fuentedeprrafopredeter"/>
    <w:rsid w:val="00FD378A"/>
  </w:style>
  <w:style w:type="character" w:customStyle="1" w:styleId="ref-vol">
    <w:name w:val="ref-vol"/>
    <w:basedOn w:val="Fuentedeprrafopredeter"/>
    <w:rsid w:val="00FD378A"/>
  </w:style>
  <w:style w:type="character" w:customStyle="1" w:styleId="nowrap">
    <w:name w:val="nowrap"/>
    <w:basedOn w:val="Fuentedeprrafopredeter"/>
    <w:rsid w:val="00FD378A"/>
  </w:style>
  <w:style w:type="character" w:styleId="Hipervnculo">
    <w:name w:val="Hyperlink"/>
    <w:basedOn w:val="Fuentedeprrafopredeter"/>
    <w:uiPriority w:val="99"/>
    <w:unhideWhenUsed/>
    <w:rsid w:val="00FD378A"/>
    <w:rPr>
      <w:color w:val="0000FF"/>
      <w:u w:val="single"/>
    </w:rPr>
  </w:style>
  <w:style w:type="paragraph" w:styleId="Textodeglobo">
    <w:name w:val="Balloon Text"/>
    <w:basedOn w:val="Normal"/>
    <w:link w:val="TextodegloboCar"/>
    <w:uiPriority w:val="99"/>
    <w:semiHidden/>
    <w:unhideWhenUsed/>
    <w:rsid w:val="00FD37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78A"/>
    <w:rPr>
      <w:rFonts w:ascii="Tahoma" w:hAnsi="Tahoma" w:cs="Tahoma"/>
      <w:sz w:val="16"/>
      <w:szCs w:val="16"/>
    </w:rPr>
  </w:style>
  <w:style w:type="character" w:styleId="Refdecomentario">
    <w:name w:val="annotation reference"/>
    <w:basedOn w:val="Fuentedeprrafopredeter"/>
    <w:uiPriority w:val="99"/>
    <w:semiHidden/>
    <w:unhideWhenUsed/>
    <w:rsid w:val="00FD378A"/>
    <w:rPr>
      <w:sz w:val="16"/>
      <w:szCs w:val="16"/>
    </w:rPr>
  </w:style>
  <w:style w:type="paragraph" w:styleId="Textocomentario">
    <w:name w:val="annotation text"/>
    <w:basedOn w:val="Normal"/>
    <w:link w:val="TextocomentarioCar"/>
    <w:uiPriority w:val="99"/>
    <w:semiHidden/>
    <w:unhideWhenUsed/>
    <w:rsid w:val="00FD37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378A"/>
    <w:rPr>
      <w:sz w:val="20"/>
      <w:szCs w:val="20"/>
    </w:rPr>
  </w:style>
  <w:style w:type="paragraph" w:styleId="Asuntodelcomentario">
    <w:name w:val="annotation subject"/>
    <w:basedOn w:val="Textocomentario"/>
    <w:next w:val="Textocomentario"/>
    <w:link w:val="AsuntodelcomentarioCar"/>
    <w:uiPriority w:val="99"/>
    <w:semiHidden/>
    <w:unhideWhenUsed/>
    <w:rsid w:val="00FD378A"/>
    <w:rPr>
      <w:b/>
      <w:bCs/>
    </w:rPr>
  </w:style>
  <w:style w:type="character" w:customStyle="1" w:styleId="AsuntodelcomentarioCar">
    <w:name w:val="Asunto del comentario Car"/>
    <w:basedOn w:val="TextocomentarioCar"/>
    <w:link w:val="Asuntodelcomentario"/>
    <w:uiPriority w:val="99"/>
    <w:semiHidden/>
    <w:rsid w:val="00FD378A"/>
    <w:rPr>
      <w:b/>
      <w:bCs/>
      <w:sz w:val="20"/>
      <w:szCs w:val="20"/>
    </w:rPr>
  </w:style>
  <w:style w:type="paragraph" w:customStyle="1" w:styleId="EndNoteBibliographyTitle">
    <w:name w:val="EndNote Bibliography Title"/>
    <w:basedOn w:val="Normal"/>
    <w:link w:val="EndNoteBibliographyTitleCar"/>
    <w:rsid w:val="00FD378A"/>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FD378A"/>
    <w:rPr>
      <w:rFonts w:ascii="Calibri" w:hAnsi="Calibri"/>
      <w:noProof/>
      <w:lang w:val="en-US"/>
    </w:rPr>
  </w:style>
  <w:style w:type="paragraph" w:customStyle="1" w:styleId="EndNoteBibliography">
    <w:name w:val="EndNote Bibliography"/>
    <w:basedOn w:val="Normal"/>
    <w:link w:val="EndNoteBibliographyCar"/>
    <w:rsid w:val="00FD378A"/>
    <w:pPr>
      <w:spacing w:line="240" w:lineRule="auto"/>
      <w:jc w:val="both"/>
    </w:pPr>
    <w:rPr>
      <w:noProof/>
      <w:lang w:val="en-US"/>
    </w:rPr>
  </w:style>
  <w:style w:type="character" w:customStyle="1" w:styleId="EndNoteBibliographyCar">
    <w:name w:val="EndNote Bibliography Car"/>
    <w:basedOn w:val="Fuentedeprrafopredeter"/>
    <w:link w:val="EndNoteBibliography"/>
    <w:rsid w:val="00FD378A"/>
    <w:rPr>
      <w:rFonts w:ascii="Calibri" w:hAnsi="Calibri"/>
      <w:noProof/>
      <w:lang w:val="en-US"/>
    </w:rPr>
  </w:style>
  <w:style w:type="paragraph" w:styleId="NormalWeb">
    <w:name w:val="Normal (Web)"/>
    <w:basedOn w:val="Normal"/>
    <w:uiPriority w:val="99"/>
    <w:semiHidden/>
    <w:unhideWhenUsed/>
    <w:rsid w:val="00FD378A"/>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FD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D378A"/>
    <w:rPr>
      <w:rFonts w:ascii="Courier New" w:eastAsia="Times New Roman" w:hAnsi="Courier New" w:cs="Courier New"/>
      <w:sz w:val="20"/>
      <w:szCs w:val="20"/>
      <w:lang w:eastAsia="es-PE"/>
    </w:rPr>
  </w:style>
  <w:style w:type="table" w:styleId="Tablaconcuadrcula">
    <w:name w:val="Table Grid"/>
    <w:basedOn w:val="Tablanormal"/>
    <w:uiPriority w:val="59"/>
    <w:rsid w:val="00FD37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D378A"/>
    <w:rPr>
      <w:color w:val="954F72" w:themeColor="followedHyperlink"/>
      <w:u w:val="single"/>
    </w:rPr>
  </w:style>
  <w:style w:type="character" w:styleId="nfasis">
    <w:name w:val="Emphasis"/>
    <w:basedOn w:val="Fuentedeprrafopredeter"/>
    <w:uiPriority w:val="20"/>
    <w:qFormat/>
    <w:rsid w:val="00FD378A"/>
    <w:rPr>
      <w:i/>
      <w:iCs/>
    </w:rPr>
  </w:style>
  <w:style w:type="paragraph" w:customStyle="1" w:styleId="msonormal0">
    <w:name w:val="msonormal"/>
    <w:basedOn w:val="Normal"/>
    <w:rsid w:val="00FD3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FD378A"/>
    <w:pPr>
      <w:spacing w:before="100" w:beforeAutospacing="1" w:after="100" w:afterAutospacing="1" w:line="240" w:lineRule="auto"/>
    </w:pPr>
    <w:rPr>
      <w:rFonts w:ascii="Arial" w:eastAsia="Times New Roman" w:hAnsi="Arial" w:cs="Arial"/>
      <w:color w:val="000000"/>
      <w:sz w:val="20"/>
      <w:szCs w:val="20"/>
    </w:rPr>
  </w:style>
  <w:style w:type="paragraph" w:customStyle="1" w:styleId="xl65">
    <w:name w:val="xl65"/>
    <w:basedOn w:val="Normal"/>
    <w:rsid w:val="00FD3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6">
    <w:name w:val="xl66"/>
    <w:basedOn w:val="Normal"/>
    <w:rsid w:val="00FD3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67">
    <w:name w:val="xl67"/>
    <w:basedOn w:val="Normal"/>
    <w:rsid w:val="00FD3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Normal"/>
    <w:rsid w:val="00FD378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color w:val="FFFFFF"/>
      <w:sz w:val="20"/>
      <w:szCs w:val="20"/>
    </w:rPr>
  </w:style>
  <w:style w:type="paragraph" w:customStyle="1" w:styleId="xl69">
    <w:name w:val="xl69"/>
    <w:basedOn w:val="Normal"/>
    <w:rsid w:val="00FD378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color w:val="FFFFFF"/>
      <w:sz w:val="20"/>
      <w:szCs w:val="20"/>
    </w:rPr>
  </w:style>
  <w:style w:type="paragraph" w:customStyle="1" w:styleId="xl70">
    <w:name w:val="xl70"/>
    <w:basedOn w:val="Normal"/>
    <w:rsid w:val="00FD37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1">
    <w:name w:val="xl71"/>
    <w:basedOn w:val="Normal"/>
    <w:rsid w:val="00FD378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2">
    <w:name w:val="xl72"/>
    <w:basedOn w:val="Normal"/>
    <w:rsid w:val="00FD37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3">
    <w:name w:val="xl73"/>
    <w:basedOn w:val="Normal"/>
    <w:rsid w:val="00FD37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4">
    <w:name w:val="xl74"/>
    <w:basedOn w:val="Normal"/>
    <w:rsid w:val="00FD378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5">
    <w:name w:val="xl75"/>
    <w:basedOn w:val="Normal"/>
    <w:rsid w:val="00FD37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6">
    <w:name w:val="xl76"/>
    <w:basedOn w:val="Normal"/>
    <w:rsid w:val="00FD3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000000"/>
      <w:sz w:val="20"/>
      <w:szCs w:val="20"/>
    </w:rPr>
  </w:style>
  <w:style w:type="paragraph" w:customStyle="1" w:styleId="xl77">
    <w:name w:val="xl77"/>
    <w:basedOn w:val="Normal"/>
    <w:rsid w:val="00FD378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FD37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9">
    <w:name w:val="xl79"/>
    <w:basedOn w:val="Normal"/>
    <w:rsid w:val="00FD37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FD378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FD3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Nmerodelnea">
    <w:name w:val="line number"/>
    <w:basedOn w:val="Fuentedeprrafopredeter"/>
    <w:uiPriority w:val="99"/>
    <w:semiHidden/>
    <w:unhideWhenUsed/>
    <w:rsid w:val="00FD378A"/>
  </w:style>
  <w:style w:type="paragraph" w:styleId="Textonotapie">
    <w:name w:val="footnote text"/>
    <w:basedOn w:val="Normal"/>
    <w:link w:val="TextonotapieCar"/>
    <w:uiPriority w:val="99"/>
    <w:semiHidden/>
    <w:unhideWhenUsed/>
    <w:rsid w:val="00FD37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78A"/>
    <w:rPr>
      <w:sz w:val="20"/>
      <w:szCs w:val="20"/>
    </w:rPr>
  </w:style>
  <w:style w:type="character" w:styleId="Refdenotaalpie">
    <w:name w:val="footnote reference"/>
    <w:basedOn w:val="Fuentedeprrafopredeter"/>
    <w:uiPriority w:val="99"/>
    <w:semiHidden/>
    <w:unhideWhenUsed/>
    <w:rsid w:val="00FD378A"/>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dqE8/GlIfvxK/gp81HiltSswbw==">AMUW2mV/OB2/Saxa78NDBhSScCB7OBrbYD9TTDfFDEyYNj/SToYQy0EgLG56MlX32/aZKP4v+015nnknR+/M0EQnIyAJrPC+KSuoKrl6+KJL86xFbYJxEatVitNi/vMmJAnXYvDQzkxf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13097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Gonzales</dc:creator>
  <cp:lastModifiedBy>Fanny Lys Casado Peña</cp:lastModifiedBy>
  <cp:revision>3</cp:revision>
  <dcterms:created xsi:type="dcterms:W3CDTF">2021-01-27T01:01:00Z</dcterms:created>
  <dcterms:modified xsi:type="dcterms:W3CDTF">2021-01-27T01:04:00Z</dcterms:modified>
</cp:coreProperties>
</file>