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88B1" w14:textId="77777777" w:rsidR="00F36BB2" w:rsidRPr="008D1182" w:rsidRDefault="00F36BB2" w:rsidP="00F36BB2">
      <w:pPr>
        <w:spacing w:after="0" w:line="360" w:lineRule="auto"/>
        <w:rPr>
          <w:rFonts w:ascii="Times New Roman" w:hAnsi="Times New Roman" w:cs="Times New Roman"/>
          <w:b/>
          <w:bCs/>
          <w:sz w:val="24"/>
          <w:szCs w:val="24"/>
        </w:rPr>
      </w:pPr>
      <w:bookmarkStart w:id="0" w:name="_Hlk93353903"/>
      <w:r w:rsidRPr="008D1182">
        <w:rPr>
          <w:rFonts w:ascii="Times New Roman" w:hAnsi="Times New Roman" w:cs="Times New Roman"/>
          <w:b/>
          <w:bCs/>
          <w:sz w:val="24"/>
          <w:szCs w:val="24"/>
        </w:rPr>
        <w:t>The Power of Relics: The Curation of Human Bone in British Bronze Age Burials</w:t>
      </w:r>
    </w:p>
    <w:p w14:paraId="0B9EC260" w14:textId="77777777" w:rsidR="00F36BB2" w:rsidRPr="008D1182" w:rsidRDefault="00F36BB2" w:rsidP="00F36BB2">
      <w:pPr>
        <w:spacing w:after="0" w:line="360" w:lineRule="auto"/>
        <w:rPr>
          <w:rFonts w:ascii="Times New Roman" w:hAnsi="Times New Roman" w:cs="Times New Roman"/>
          <w:b/>
          <w:bCs/>
          <w:smallCaps/>
          <w:sz w:val="24"/>
          <w:szCs w:val="24"/>
        </w:rPr>
      </w:pPr>
      <w:r w:rsidRPr="008D1182">
        <w:rPr>
          <w:rFonts w:ascii="Times New Roman" w:hAnsi="Times New Roman" w:cs="Times New Roman"/>
          <w:b/>
          <w:bCs/>
          <w:smallCaps/>
          <w:sz w:val="24"/>
          <w:szCs w:val="24"/>
        </w:rPr>
        <w:t xml:space="preserve">Joanna </w:t>
      </w:r>
      <w:proofErr w:type="spellStart"/>
      <w:r w:rsidRPr="008D1182">
        <w:rPr>
          <w:rFonts w:ascii="Times New Roman" w:hAnsi="Times New Roman" w:cs="Times New Roman"/>
          <w:b/>
          <w:bCs/>
          <w:smallCaps/>
          <w:sz w:val="24"/>
          <w:szCs w:val="24"/>
        </w:rPr>
        <w:t>Brück</w:t>
      </w:r>
      <w:proofErr w:type="spellEnd"/>
      <w:r w:rsidRPr="008D1182">
        <w:rPr>
          <w:rFonts w:ascii="Times New Roman" w:hAnsi="Times New Roman" w:cs="Times New Roman"/>
          <w:b/>
          <w:bCs/>
          <w:smallCaps/>
          <w:sz w:val="24"/>
          <w:szCs w:val="24"/>
        </w:rPr>
        <w:t xml:space="preserve"> and Thomas J. Booth</w:t>
      </w:r>
    </w:p>
    <w:p w14:paraId="79FBA811" w14:textId="77777777" w:rsidR="008D1182" w:rsidRPr="008D1182" w:rsidRDefault="008D1182" w:rsidP="008D1182">
      <w:pPr>
        <w:spacing w:after="0" w:line="360" w:lineRule="auto"/>
        <w:jc w:val="center"/>
        <w:rPr>
          <w:rFonts w:ascii="Times New Roman" w:hAnsi="Times New Roman" w:cs="Times New Roman"/>
          <w:b/>
          <w:bCs/>
          <w:smallCaps/>
          <w:sz w:val="24"/>
          <w:szCs w:val="24"/>
        </w:rPr>
      </w:pPr>
    </w:p>
    <w:p w14:paraId="42A58019" w14:textId="6ADB4BE6" w:rsidR="008D1182" w:rsidRPr="008D1182" w:rsidRDefault="008D1182" w:rsidP="008D1182">
      <w:pPr>
        <w:spacing w:after="0" w:line="360" w:lineRule="auto"/>
        <w:jc w:val="center"/>
        <w:rPr>
          <w:rFonts w:ascii="Times New Roman" w:hAnsi="Times New Roman" w:cs="Times New Roman"/>
          <w:b/>
          <w:bCs/>
          <w:smallCaps/>
          <w:sz w:val="24"/>
          <w:szCs w:val="24"/>
        </w:rPr>
      </w:pPr>
      <w:r w:rsidRPr="008D1182">
        <w:rPr>
          <w:rFonts w:ascii="Times New Roman" w:hAnsi="Times New Roman" w:cs="Times New Roman"/>
          <w:b/>
          <w:bCs/>
          <w:smallCaps/>
          <w:sz w:val="24"/>
          <w:szCs w:val="24"/>
        </w:rPr>
        <w:t>Supplementary Material</w:t>
      </w:r>
    </w:p>
    <w:p w14:paraId="649388B5" w14:textId="77777777" w:rsidR="00F36BB2" w:rsidRPr="008D1182" w:rsidRDefault="00F36BB2" w:rsidP="00F36BB2">
      <w:pPr>
        <w:spacing w:after="0" w:line="360" w:lineRule="auto"/>
        <w:rPr>
          <w:rFonts w:ascii="Times New Roman" w:hAnsi="Times New Roman" w:cs="Times New Roman"/>
          <w:b/>
          <w:bCs/>
          <w:smallCaps/>
          <w:sz w:val="24"/>
          <w:szCs w:val="24"/>
        </w:rPr>
      </w:pPr>
    </w:p>
    <w:p w14:paraId="57E0974A" w14:textId="77777777" w:rsidR="000641D8" w:rsidRPr="000641D8" w:rsidRDefault="000641D8" w:rsidP="000641D8">
      <w:pPr>
        <w:autoSpaceDE w:val="0"/>
        <w:autoSpaceDN w:val="0"/>
        <w:adjustRightInd w:val="0"/>
        <w:spacing w:after="0" w:line="360" w:lineRule="auto"/>
        <w:jc w:val="center"/>
        <w:rPr>
          <w:rFonts w:ascii="Times New Roman" w:hAnsi="Times New Roman" w:cs="Times New Roman"/>
          <w:b/>
          <w:bCs/>
          <w:sz w:val="24"/>
          <w:szCs w:val="24"/>
        </w:rPr>
      </w:pPr>
      <w:r w:rsidRPr="000641D8">
        <w:rPr>
          <w:rFonts w:ascii="Times New Roman" w:hAnsi="Times New Roman" w:cs="Times New Roman"/>
          <w:b/>
          <w:bCs/>
          <w:sz w:val="24"/>
          <w:szCs w:val="24"/>
        </w:rPr>
        <w:t>Chronological modelling</w:t>
      </w:r>
    </w:p>
    <w:p w14:paraId="5E18CBB8" w14:textId="04AE0375" w:rsidR="000641D8" w:rsidRDefault="000641D8" w:rsidP="000641D8">
      <w:pPr>
        <w:autoSpaceDE w:val="0"/>
        <w:autoSpaceDN w:val="0"/>
        <w:adjustRightInd w:val="0"/>
        <w:spacing w:after="0" w:line="360" w:lineRule="auto"/>
        <w:rPr>
          <w:rFonts w:ascii="Times New Roman" w:hAnsi="Times New Roman" w:cs="Times New Roman"/>
          <w:sz w:val="24"/>
          <w:szCs w:val="24"/>
        </w:rPr>
      </w:pPr>
      <w:r w:rsidRPr="00E12528">
        <w:rPr>
          <w:rFonts w:ascii="Times New Roman" w:hAnsi="Times New Roman" w:cs="Times New Roman"/>
          <w:sz w:val="24"/>
          <w:szCs w:val="24"/>
        </w:rPr>
        <w:t xml:space="preserve">We used the Combine function and chronological modelling in </w:t>
      </w:r>
      <w:proofErr w:type="spellStart"/>
      <w:r w:rsidRPr="00E12528">
        <w:rPr>
          <w:rFonts w:ascii="Times New Roman" w:hAnsi="Times New Roman" w:cs="Times New Roman"/>
          <w:sz w:val="24"/>
          <w:szCs w:val="24"/>
        </w:rPr>
        <w:t>OxCal</w:t>
      </w:r>
      <w:proofErr w:type="spellEnd"/>
      <w:r w:rsidRPr="00E12528">
        <w:rPr>
          <w:rFonts w:ascii="Times New Roman" w:hAnsi="Times New Roman" w:cs="Times New Roman"/>
          <w:sz w:val="24"/>
          <w:szCs w:val="24"/>
        </w:rPr>
        <w:t xml:space="preserve"> 4.4 using the </w:t>
      </w:r>
      <w:proofErr w:type="spellStart"/>
      <w:r w:rsidRPr="00E12528">
        <w:rPr>
          <w:rFonts w:ascii="Times New Roman" w:hAnsi="Times New Roman" w:cs="Times New Roman"/>
          <w:sz w:val="24"/>
          <w:szCs w:val="24"/>
        </w:rPr>
        <w:t>IntCal20</w:t>
      </w:r>
      <w:proofErr w:type="spellEnd"/>
      <w:r w:rsidRPr="00E12528">
        <w:rPr>
          <w:rFonts w:ascii="Times New Roman" w:hAnsi="Times New Roman" w:cs="Times New Roman"/>
          <w:sz w:val="24"/>
          <w:szCs w:val="24"/>
        </w:rPr>
        <w:t xml:space="preserve"> curve (</w:t>
      </w:r>
      <w:proofErr w:type="spellStart"/>
      <w:r w:rsidRPr="00E12528">
        <w:rPr>
          <w:rFonts w:ascii="Times New Roman" w:hAnsi="Times New Roman" w:cs="Times New Roman"/>
          <w:sz w:val="24"/>
          <w:szCs w:val="24"/>
        </w:rPr>
        <w:t>Bronk</w:t>
      </w:r>
      <w:proofErr w:type="spellEnd"/>
      <w:r w:rsidRPr="00E12528">
        <w:rPr>
          <w:rFonts w:ascii="Times New Roman" w:hAnsi="Times New Roman" w:cs="Times New Roman"/>
          <w:sz w:val="24"/>
          <w:szCs w:val="24"/>
        </w:rPr>
        <w:t xml:space="preserve"> Ramsey, 2009; Reimer </w:t>
      </w:r>
      <w:r w:rsidRPr="00E12528">
        <w:rPr>
          <w:rFonts w:ascii="Times New Roman" w:hAnsi="Times New Roman" w:cs="Times New Roman"/>
          <w:iCs/>
          <w:sz w:val="24"/>
          <w:szCs w:val="24"/>
        </w:rPr>
        <w:t>et al.,</w:t>
      </w:r>
      <w:r w:rsidRPr="00E12528">
        <w:rPr>
          <w:rFonts w:ascii="Times New Roman" w:hAnsi="Times New Roman" w:cs="Times New Roman"/>
          <w:sz w:val="24"/>
          <w:szCs w:val="24"/>
        </w:rPr>
        <w:t xml:space="preserve"> 2013) to test whether bone was significantly older than its depositional context. Human bones from these contexts were taken to be anomalously old when their age caused chronological models incorporating dates from associated material to produce poor agreement indices and/or Combine models to fail </w:t>
      </w:r>
      <w:proofErr w:type="spellStart"/>
      <w:r w:rsidRPr="00E12528">
        <w:rPr>
          <w:rFonts w:ascii="Times New Roman" w:hAnsi="Times New Roman" w:cs="Times New Roman"/>
          <w:i/>
          <w:sz w:val="24"/>
          <w:szCs w:val="24"/>
        </w:rPr>
        <w:t>X</w:t>
      </w:r>
      <w:r w:rsidRPr="00E12528">
        <w:rPr>
          <w:rFonts w:ascii="Times New Roman" w:hAnsi="Times New Roman" w:cs="Times New Roman"/>
          <w:sz w:val="24"/>
          <w:szCs w:val="24"/>
          <w:vertAlign w:val="superscript"/>
        </w:rPr>
        <w:t>2</w:t>
      </w:r>
      <w:proofErr w:type="spellEnd"/>
      <w:r w:rsidRPr="00E12528">
        <w:rPr>
          <w:rFonts w:ascii="Times New Roman" w:hAnsi="Times New Roman" w:cs="Times New Roman"/>
          <w:sz w:val="24"/>
          <w:szCs w:val="24"/>
        </w:rPr>
        <w:t xml:space="preserve"> tests. In such cases, we put the dates into new chronological models </w:t>
      </w:r>
      <w:r>
        <w:rPr>
          <w:rFonts w:ascii="Times New Roman" w:hAnsi="Times New Roman" w:cs="Times New Roman"/>
          <w:sz w:val="24"/>
          <w:szCs w:val="24"/>
        </w:rPr>
        <w:t>that</w:t>
      </w:r>
      <w:r w:rsidRPr="00E12528">
        <w:rPr>
          <w:rFonts w:ascii="Times New Roman" w:hAnsi="Times New Roman" w:cs="Times New Roman"/>
          <w:sz w:val="24"/>
          <w:szCs w:val="24"/>
        </w:rPr>
        <w:t xml:space="preserve"> assumed that the human bone was older than the material</w:t>
      </w:r>
      <w:r>
        <w:rPr>
          <w:rFonts w:ascii="Times New Roman" w:hAnsi="Times New Roman" w:cs="Times New Roman"/>
          <w:sz w:val="24"/>
          <w:szCs w:val="24"/>
        </w:rPr>
        <w:t xml:space="preserve"> with which</w:t>
      </w:r>
      <w:r w:rsidRPr="00E12528">
        <w:rPr>
          <w:rFonts w:ascii="Times New Roman" w:hAnsi="Times New Roman" w:cs="Times New Roman"/>
          <w:sz w:val="24"/>
          <w:szCs w:val="24"/>
        </w:rPr>
        <w:t xml:space="preserve"> it was associated. We compared dates within these models using the Difference function in </w:t>
      </w:r>
      <w:proofErr w:type="spellStart"/>
      <w:r w:rsidRPr="00E12528">
        <w:rPr>
          <w:rFonts w:ascii="Times New Roman" w:hAnsi="Times New Roman" w:cs="Times New Roman"/>
          <w:sz w:val="24"/>
          <w:szCs w:val="24"/>
        </w:rPr>
        <w:t>OxCal</w:t>
      </w:r>
      <w:proofErr w:type="spellEnd"/>
      <w:r w:rsidRPr="00E12528">
        <w:rPr>
          <w:rFonts w:ascii="Times New Roman" w:hAnsi="Times New Roman" w:cs="Times New Roman"/>
          <w:sz w:val="24"/>
          <w:szCs w:val="24"/>
        </w:rPr>
        <w:t xml:space="preserve"> to determine the period over which the bone was likely to have been curated. When poor agreement and/or failed </w:t>
      </w:r>
      <w:proofErr w:type="spellStart"/>
      <w:r w:rsidRPr="00E12528">
        <w:rPr>
          <w:rFonts w:ascii="Times New Roman" w:hAnsi="Times New Roman" w:cs="Times New Roman"/>
          <w:i/>
          <w:sz w:val="24"/>
          <w:szCs w:val="24"/>
        </w:rPr>
        <w:t>X</w:t>
      </w:r>
      <w:r w:rsidRPr="00E12528">
        <w:rPr>
          <w:rFonts w:ascii="Times New Roman" w:hAnsi="Times New Roman" w:cs="Times New Roman"/>
          <w:sz w:val="24"/>
          <w:szCs w:val="24"/>
          <w:vertAlign w:val="superscript"/>
        </w:rPr>
        <w:t>2</w:t>
      </w:r>
      <w:proofErr w:type="spellEnd"/>
      <w:r w:rsidRPr="00E12528">
        <w:rPr>
          <w:rFonts w:ascii="Times New Roman" w:hAnsi="Times New Roman" w:cs="Times New Roman"/>
          <w:sz w:val="24"/>
          <w:szCs w:val="24"/>
        </w:rPr>
        <w:t xml:space="preserve"> test</w:t>
      </w:r>
      <w:r>
        <w:rPr>
          <w:rFonts w:ascii="Times New Roman" w:hAnsi="Times New Roman" w:cs="Times New Roman"/>
          <w:sz w:val="24"/>
          <w:szCs w:val="24"/>
        </w:rPr>
        <w:t>s</w:t>
      </w:r>
      <w:r w:rsidRPr="00E12528">
        <w:rPr>
          <w:rFonts w:ascii="Times New Roman" w:hAnsi="Times New Roman" w:cs="Times New Roman"/>
          <w:sz w:val="24"/>
          <w:szCs w:val="24"/>
        </w:rPr>
        <w:t xml:space="preserve"> were encountered, the bone was deemed to be anomalously old. </w:t>
      </w:r>
    </w:p>
    <w:p w14:paraId="482E8D84" w14:textId="0A3E3EAF" w:rsidR="000641D8" w:rsidRDefault="000641D8" w:rsidP="000641D8">
      <w:pPr>
        <w:autoSpaceDE w:val="0"/>
        <w:autoSpaceDN w:val="0"/>
        <w:adjustRightInd w:val="0"/>
        <w:spacing w:after="0" w:line="360" w:lineRule="auto"/>
        <w:rPr>
          <w:rFonts w:ascii="Times New Roman" w:hAnsi="Times New Roman" w:cs="Times New Roman"/>
          <w:sz w:val="24"/>
          <w:szCs w:val="24"/>
        </w:rPr>
      </w:pPr>
    </w:p>
    <w:p w14:paraId="75213DFF" w14:textId="77777777" w:rsidR="000641D8" w:rsidRDefault="000641D8">
      <w:pPr>
        <w:rPr>
          <w:rFonts w:ascii="Times New Roman" w:hAnsi="Times New Roman" w:cs="Times New Roman"/>
          <w:b/>
          <w:bCs/>
          <w:sz w:val="24"/>
          <w:szCs w:val="24"/>
        </w:rPr>
      </w:pPr>
      <w:r>
        <w:rPr>
          <w:rFonts w:ascii="Times New Roman" w:hAnsi="Times New Roman" w:cs="Times New Roman"/>
          <w:b/>
          <w:bCs/>
          <w:sz w:val="24"/>
          <w:szCs w:val="24"/>
        </w:rPr>
        <w:br w:type="page"/>
      </w:r>
    </w:p>
    <w:p w14:paraId="41912DB2" w14:textId="100A768D" w:rsidR="000641D8" w:rsidRDefault="000641D8" w:rsidP="000641D8">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AU" w:eastAsia="en-AU"/>
        </w:rPr>
        <w:lastRenderedPageBreak/>
        <w:drawing>
          <wp:anchor distT="0" distB="0" distL="114300" distR="114300" simplePos="0" relativeHeight="251658752" behindDoc="0" locked="0" layoutInCell="1" allowOverlap="1" wp14:anchorId="17369751" wp14:editId="06739E52">
            <wp:simplePos x="0" y="0"/>
            <wp:positionH relativeFrom="column">
              <wp:posOffset>1415208</wp:posOffset>
            </wp:positionH>
            <wp:positionV relativeFrom="paragraph">
              <wp:posOffset>287064</wp:posOffset>
            </wp:positionV>
            <wp:extent cx="4007485" cy="6347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_EJ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7485" cy="63474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Supplementary Figures and Tables</w:t>
      </w:r>
    </w:p>
    <w:p w14:paraId="5632FABA" w14:textId="77777777" w:rsidR="000641D8" w:rsidRDefault="000641D8" w:rsidP="000641D8">
      <w:pPr>
        <w:spacing w:after="0" w:line="360" w:lineRule="auto"/>
        <w:rPr>
          <w:rFonts w:ascii="Times New Roman" w:eastAsia="Times New Roman" w:hAnsi="Times New Roman" w:cs="Times New Roman"/>
          <w:sz w:val="24"/>
          <w:szCs w:val="24"/>
          <w:lang w:val="en-IE" w:eastAsia="en-IE"/>
        </w:rPr>
      </w:pPr>
    </w:p>
    <w:p w14:paraId="534BC381" w14:textId="77777777" w:rsidR="000641D8" w:rsidRDefault="000641D8" w:rsidP="000641D8">
      <w:pPr>
        <w:spacing w:after="0" w:line="360" w:lineRule="auto"/>
        <w:rPr>
          <w:rFonts w:ascii="Times New Roman" w:eastAsia="Times New Roman" w:hAnsi="Times New Roman" w:cs="Times New Roman"/>
          <w:sz w:val="24"/>
          <w:szCs w:val="24"/>
          <w:lang w:val="en-IE" w:eastAsia="en-IE"/>
        </w:rPr>
        <w:sectPr w:rsidR="000641D8" w:rsidSect="000641D8">
          <w:pgSz w:w="11906" w:h="16838"/>
          <w:pgMar w:top="1440" w:right="1440" w:bottom="1440" w:left="567" w:header="709" w:footer="709" w:gutter="0"/>
          <w:cols w:space="708"/>
          <w:docGrid w:linePitch="360"/>
        </w:sectPr>
      </w:pPr>
      <w:r w:rsidRPr="00E12528">
        <w:rPr>
          <w:rFonts w:ascii="Times New Roman" w:eastAsia="Times New Roman" w:hAnsi="Times New Roman" w:cs="Times New Roman"/>
          <w:sz w:val="24"/>
          <w:szCs w:val="24"/>
          <w:lang w:val="en-IE" w:eastAsia="en-IE"/>
        </w:rPr>
        <w:t xml:space="preserve">Figure </w:t>
      </w:r>
      <w:proofErr w:type="spellStart"/>
      <w:r>
        <w:rPr>
          <w:rFonts w:ascii="Times New Roman" w:eastAsia="Times New Roman" w:hAnsi="Times New Roman" w:cs="Times New Roman"/>
          <w:sz w:val="24"/>
          <w:szCs w:val="24"/>
          <w:lang w:val="en-IE" w:eastAsia="en-IE"/>
        </w:rPr>
        <w:t>S</w:t>
      </w:r>
      <w:r w:rsidRPr="00E12528">
        <w:rPr>
          <w:rFonts w:ascii="Times New Roman" w:eastAsia="Times New Roman" w:hAnsi="Times New Roman" w:cs="Times New Roman"/>
          <w:sz w:val="24"/>
          <w:szCs w:val="24"/>
          <w:lang w:val="en-IE" w:eastAsia="en-IE"/>
        </w:rPr>
        <w:t>1</w:t>
      </w:r>
      <w:proofErr w:type="spellEnd"/>
      <w:r w:rsidRPr="00E12528">
        <w:rPr>
          <w:rFonts w:ascii="Times New Roman" w:eastAsia="Times New Roman" w:hAnsi="Times New Roman" w:cs="Times New Roman"/>
          <w:sz w:val="24"/>
          <w:szCs w:val="24"/>
          <w:lang w:val="en-IE" w:eastAsia="en-IE"/>
        </w:rPr>
        <w:t xml:space="preserve">. Location of sites discussed. The numbers refer to the sites in Supplementary Material, Table </w:t>
      </w:r>
      <w:proofErr w:type="spellStart"/>
      <w:r w:rsidRPr="00E12528">
        <w:rPr>
          <w:rFonts w:ascii="Times New Roman" w:eastAsia="Times New Roman" w:hAnsi="Times New Roman" w:cs="Times New Roman"/>
          <w:sz w:val="24"/>
          <w:szCs w:val="24"/>
          <w:lang w:val="en-IE" w:eastAsia="en-IE"/>
        </w:rPr>
        <w:t>S</w:t>
      </w:r>
      <w:r>
        <w:rPr>
          <w:rFonts w:ascii="Times New Roman" w:eastAsia="Times New Roman" w:hAnsi="Times New Roman" w:cs="Times New Roman"/>
          <w:sz w:val="24"/>
          <w:szCs w:val="24"/>
          <w:lang w:val="en-IE" w:eastAsia="en-IE"/>
        </w:rPr>
        <w:t>1</w:t>
      </w:r>
      <w:proofErr w:type="spellEnd"/>
      <w:r>
        <w:rPr>
          <w:rFonts w:ascii="Times New Roman" w:eastAsia="Times New Roman" w:hAnsi="Times New Roman" w:cs="Times New Roman"/>
          <w:sz w:val="24"/>
          <w:szCs w:val="24"/>
          <w:lang w:val="en-IE" w:eastAsia="en-IE"/>
        </w:rPr>
        <w:t>.</w:t>
      </w:r>
    </w:p>
    <w:p w14:paraId="707CC1B4" w14:textId="030B6691" w:rsidR="003E76D4" w:rsidRPr="000641D8" w:rsidRDefault="00F36BB2" w:rsidP="003B0C59">
      <w:pPr>
        <w:spacing w:after="0" w:line="360" w:lineRule="auto"/>
        <w:rPr>
          <w:rFonts w:ascii="Times New Roman" w:hAnsi="Times New Roman" w:cs="Times New Roman"/>
          <w:b/>
          <w:bCs/>
          <w:i/>
          <w:sz w:val="24"/>
          <w:szCs w:val="24"/>
        </w:rPr>
      </w:pPr>
      <w:r w:rsidRPr="000641D8">
        <w:rPr>
          <w:rFonts w:ascii="Times New Roman" w:hAnsi="Times New Roman" w:cs="Times New Roman"/>
          <w:bCs/>
          <w:i/>
          <w:sz w:val="24"/>
          <w:szCs w:val="24"/>
        </w:rPr>
        <w:lastRenderedPageBreak/>
        <w:t xml:space="preserve">Table </w:t>
      </w:r>
      <w:proofErr w:type="spellStart"/>
      <w:r w:rsidRPr="000641D8">
        <w:rPr>
          <w:rFonts w:ascii="Times New Roman" w:hAnsi="Times New Roman" w:cs="Times New Roman"/>
          <w:bCs/>
          <w:i/>
          <w:sz w:val="24"/>
          <w:szCs w:val="24"/>
        </w:rPr>
        <w:t>S1</w:t>
      </w:r>
      <w:proofErr w:type="spellEnd"/>
      <w:r w:rsidRPr="000641D8">
        <w:rPr>
          <w:rFonts w:ascii="Times New Roman" w:hAnsi="Times New Roman" w:cs="Times New Roman"/>
          <w:bCs/>
          <w:i/>
          <w:sz w:val="24"/>
          <w:szCs w:val="24"/>
        </w:rPr>
        <w:t>.</w:t>
      </w:r>
      <w:r w:rsidRPr="000641D8">
        <w:rPr>
          <w:rFonts w:ascii="Times New Roman" w:hAnsi="Times New Roman" w:cs="Times New Roman"/>
          <w:b/>
          <w:bCs/>
          <w:i/>
          <w:sz w:val="24"/>
          <w:szCs w:val="24"/>
        </w:rPr>
        <w:t xml:space="preserve"> </w:t>
      </w:r>
      <w:r w:rsidR="003B0C59" w:rsidRPr="000641D8">
        <w:rPr>
          <w:rFonts w:ascii="Times New Roman" w:hAnsi="Times New Roman" w:cs="Times New Roman"/>
          <w:i/>
          <w:sz w:val="24"/>
          <w:szCs w:val="24"/>
        </w:rPr>
        <w:t xml:space="preserve">List of sites included in this analysis (age categories are as defined in the original reports and/or as described by the excavators; see Booth &amp; </w:t>
      </w:r>
      <w:proofErr w:type="spellStart"/>
      <w:r w:rsidR="003B0C59" w:rsidRPr="000641D8">
        <w:rPr>
          <w:rFonts w:ascii="Times New Roman" w:hAnsi="Times New Roman" w:cs="Times New Roman"/>
          <w:i/>
          <w:sz w:val="24"/>
          <w:szCs w:val="24"/>
        </w:rPr>
        <w:t>Brück</w:t>
      </w:r>
      <w:proofErr w:type="spellEnd"/>
      <w:r w:rsidR="003B0C59" w:rsidRPr="000641D8">
        <w:rPr>
          <w:rFonts w:ascii="Times New Roman" w:hAnsi="Times New Roman" w:cs="Times New Roman"/>
          <w:i/>
          <w:sz w:val="24"/>
          <w:szCs w:val="24"/>
        </w:rPr>
        <w:t>, 2020 for full listing of all eighty-one dates).</w:t>
      </w:r>
    </w:p>
    <w:tbl>
      <w:tblPr>
        <w:tblStyle w:val="TableGrid"/>
        <w:tblW w:w="15254" w:type="dxa"/>
        <w:tblInd w:w="-572" w:type="dxa"/>
        <w:tblLayout w:type="fixed"/>
        <w:tblLook w:val="04A0" w:firstRow="1" w:lastRow="0" w:firstColumn="1" w:lastColumn="0" w:noHBand="0" w:noVBand="1"/>
      </w:tblPr>
      <w:tblGrid>
        <w:gridCol w:w="1028"/>
        <w:gridCol w:w="1531"/>
        <w:gridCol w:w="1191"/>
        <w:gridCol w:w="1191"/>
        <w:gridCol w:w="1077"/>
        <w:gridCol w:w="1361"/>
        <w:gridCol w:w="1191"/>
        <w:gridCol w:w="1298"/>
        <w:gridCol w:w="1310"/>
        <w:gridCol w:w="1383"/>
        <w:gridCol w:w="1559"/>
        <w:gridCol w:w="1134"/>
      </w:tblGrid>
      <w:tr w:rsidR="003B0C59" w:rsidRPr="008D1182" w14:paraId="13CBF66F" w14:textId="77777777" w:rsidTr="001D4775">
        <w:trPr>
          <w:cantSplit/>
          <w:trHeight w:val="1916"/>
        </w:trPr>
        <w:tc>
          <w:tcPr>
            <w:tcW w:w="1028" w:type="dxa"/>
          </w:tcPr>
          <w:p w14:paraId="3F20F5DE"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Map no.</w:t>
            </w:r>
          </w:p>
        </w:tc>
        <w:tc>
          <w:tcPr>
            <w:tcW w:w="1531" w:type="dxa"/>
          </w:tcPr>
          <w:p w14:paraId="6E85251B"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Grave</w:t>
            </w:r>
          </w:p>
        </w:tc>
        <w:tc>
          <w:tcPr>
            <w:tcW w:w="1191" w:type="dxa"/>
          </w:tcPr>
          <w:p w14:paraId="04ED6663"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References</w:t>
            </w:r>
          </w:p>
        </w:tc>
        <w:tc>
          <w:tcPr>
            <w:tcW w:w="1191" w:type="dxa"/>
          </w:tcPr>
          <w:p w14:paraId="227D94E5" w14:textId="77777777" w:rsidR="003B0C59" w:rsidRPr="008D1182" w:rsidRDefault="003B0C59" w:rsidP="008D1182">
            <w:pPr>
              <w:rPr>
                <w:rFonts w:ascii="Times New Roman" w:hAnsi="Times New Roman" w:cs="Times New Roman"/>
                <w:sz w:val="20"/>
                <w:szCs w:val="20"/>
              </w:rPr>
            </w:pPr>
            <w:r w:rsidRPr="008D1182">
              <w:rPr>
                <w:rFonts w:ascii="Times New Roman" w:hAnsi="Times New Roman" w:cs="Times New Roman"/>
                <w:b/>
                <w:bCs/>
                <w:sz w:val="20"/>
                <w:szCs w:val="20"/>
              </w:rPr>
              <w:t>Minimum number of individuals</w:t>
            </w:r>
            <w:r w:rsidRPr="008D1182">
              <w:rPr>
                <w:rFonts w:ascii="Times New Roman" w:hAnsi="Times New Roman" w:cs="Times New Roman"/>
                <w:sz w:val="20"/>
                <w:szCs w:val="20"/>
              </w:rPr>
              <w:t xml:space="preserve"> (curated and non-curated)</w:t>
            </w:r>
          </w:p>
        </w:tc>
        <w:tc>
          <w:tcPr>
            <w:tcW w:w="1077" w:type="dxa"/>
          </w:tcPr>
          <w:p w14:paraId="46C5E01F"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Burnt or unburnt?</w:t>
            </w:r>
          </w:p>
        </w:tc>
        <w:tc>
          <w:tcPr>
            <w:tcW w:w="1361" w:type="dxa"/>
          </w:tcPr>
          <w:p w14:paraId="3033D151"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Treatment of possible curated individual(s)</w:t>
            </w:r>
          </w:p>
        </w:tc>
        <w:tc>
          <w:tcPr>
            <w:tcW w:w="1191" w:type="dxa"/>
          </w:tcPr>
          <w:p w14:paraId="4EF1D1EA"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Skeletal elements curated</w:t>
            </w:r>
          </w:p>
        </w:tc>
        <w:tc>
          <w:tcPr>
            <w:tcW w:w="1298" w:type="dxa"/>
          </w:tcPr>
          <w:p w14:paraId="2E0ECE68"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Associated dated material for TAQ</w:t>
            </w:r>
          </w:p>
        </w:tc>
        <w:tc>
          <w:tcPr>
            <w:tcW w:w="1310" w:type="dxa"/>
          </w:tcPr>
          <w:p w14:paraId="091141CD"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Age of possible curated individual(s)</w:t>
            </w:r>
          </w:p>
        </w:tc>
        <w:tc>
          <w:tcPr>
            <w:tcW w:w="1383" w:type="dxa"/>
          </w:tcPr>
          <w:p w14:paraId="76161D07"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Sex of possible curated individual(s)</w:t>
            </w:r>
          </w:p>
        </w:tc>
        <w:tc>
          <w:tcPr>
            <w:tcW w:w="1559" w:type="dxa"/>
          </w:tcPr>
          <w:p w14:paraId="4964814A"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Chronological modelling indicates prolonged curation?</w:t>
            </w:r>
          </w:p>
        </w:tc>
        <w:tc>
          <w:tcPr>
            <w:tcW w:w="1134" w:type="dxa"/>
          </w:tcPr>
          <w:p w14:paraId="2FC0D584" w14:textId="77777777" w:rsidR="003B0C59" w:rsidRPr="008D1182" w:rsidRDefault="003B0C59" w:rsidP="008D1182">
            <w:pPr>
              <w:rPr>
                <w:rFonts w:ascii="Times New Roman" w:hAnsi="Times New Roman" w:cs="Times New Roman"/>
                <w:b/>
                <w:bCs/>
                <w:sz w:val="20"/>
                <w:szCs w:val="20"/>
              </w:rPr>
            </w:pPr>
            <w:r w:rsidRPr="008D1182">
              <w:rPr>
                <w:rFonts w:ascii="Times New Roman" w:hAnsi="Times New Roman" w:cs="Times New Roman"/>
                <w:b/>
                <w:bCs/>
                <w:sz w:val="20"/>
                <w:szCs w:val="20"/>
              </w:rPr>
              <w:t>Arrested microbial attack?</w:t>
            </w:r>
          </w:p>
        </w:tc>
      </w:tr>
      <w:tr w:rsidR="003B0C59" w:rsidRPr="008D1182" w14:paraId="72B00C43" w14:textId="77777777" w:rsidTr="001D4775">
        <w:tc>
          <w:tcPr>
            <w:tcW w:w="1028" w:type="dxa"/>
          </w:tcPr>
          <w:p w14:paraId="12B9ACC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w:t>
            </w:r>
          </w:p>
        </w:tc>
        <w:tc>
          <w:tcPr>
            <w:tcW w:w="1531" w:type="dxa"/>
          </w:tcPr>
          <w:p w14:paraId="78255D4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Boscombe Bowmen</w:t>
            </w:r>
          </w:p>
        </w:tc>
        <w:tc>
          <w:tcPr>
            <w:tcW w:w="1191" w:type="dxa"/>
          </w:tcPr>
          <w:p w14:paraId="4C79301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McKinley, 2011; Fitzpatrick, 2011</w:t>
            </w:r>
          </w:p>
        </w:tc>
        <w:tc>
          <w:tcPr>
            <w:tcW w:w="1191" w:type="dxa"/>
          </w:tcPr>
          <w:p w14:paraId="6037739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9, possibly 10</w:t>
            </w:r>
          </w:p>
        </w:tc>
        <w:tc>
          <w:tcPr>
            <w:tcW w:w="1077" w:type="dxa"/>
          </w:tcPr>
          <w:p w14:paraId="4A5B5F3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 cremation burial; remainder unburnt</w:t>
            </w:r>
          </w:p>
        </w:tc>
        <w:tc>
          <w:tcPr>
            <w:tcW w:w="1361" w:type="dxa"/>
          </w:tcPr>
          <w:p w14:paraId="2E61CE7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Disarticulated</w:t>
            </w:r>
          </w:p>
        </w:tc>
        <w:tc>
          <w:tcPr>
            <w:tcW w:w="1191" w:type="dxa"/>
          </w:tcPr>
          <w:p w14:paraId="793AE8F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 cranium; unclear if other elements curated</w:t>
            </w:r>
          </w:p>
        </w:tc>
        <w:tc>
          <w:tcPr>
            <w:tcW w:w="1298" w:type="dxa"/>
          </w:tcPr>
          <w:p w14:paraId="640788D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1018B25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Adult (25–30 years)</w:t>
            </w:r>
          </w:p>
        </w:tc>
        <w:tc>
          <w:tcPr>
            <w:tcW w:w="1383" w:type="dxa"/>
          </w:tcPr>
          <w:p w14:paraId="1E7E631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Male</w:t>
            </w:r>
          </w:p>
        </w:tc>
        <w:tc>
          <w:tcPr>
            <w:tcW w:w="1559" w:type="dxa"/>
          </w:tcPr>
          <w:p w14:paraId="71AD092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 except cranium ON 9</w:t>
            </w:r>
          </w:p>
        </w:tc>
        <w:tc>
          <w:tcPr>
            <w:tcW w:w="1134" w:type="dxa"/>
          </w:tcPr>
          <w:p w14:paraId="1645112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0187936B" w14:textId="77777777" w:rsidTr="001D4775">
        <w:tc>
          <w:tcPr>
            <w:tcW w:w="1028" w:type="dxa"/>
          </w:tcPr>
          <w:p w14:paraId="66D3534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531" w:type="dxa"/>
          </w:tcPr>
          <w:p w14:paraId="542EF58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Canada Farm </w:t>
            </w:r>
            <w:proofErr w:type="spellStart"/>
            <w:r w:rsidRPr="008D1182">
              <w:rPr>
                <w:rFonts w:ascii="Times New Roman" w:hAnsi="Times New Roman" w:cs="Times New Roman"/>
                <w:sz w:val="20"/>
                <w:szCs w:val="20"/>
              </w:rPr>
              <w:t>F1</w:t>
            </w:r>
            <w:proofErr w:type="spellEnd"/>
          </w:p>
        </w:tc>
        <w:tc>
          <w:tcPr>
            <w:tcW w:w="1191" w:type="dxa"/>
          </w:tcPr>
          <w:p w14:paraId="288F20D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Smith et al., 2016</w:t>
            </w:r>
          </w:p>
        </w:tc>
        <w:tc>
          <w:tcPr>
            <w:tcW w:w="1191" w:type="dxa"/>
          </w:tcPr>
          <w:p w14:paraId="15EC23F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w:t>
            </w:r>
          </w:p>
        </w:tc>
        <w:tc>
          <w:tcPr>
            <w:tcW w:w="1077" w:type="dxa"/>
          </w:tcPr>
          <w:p w14:paraId="1F2D5DC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2A727B7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w:t>
            </w:r>
          </w:p>
        </w:tc>
        <w:tc>
          <w:tcPr>
            <w:tcW w:w="1191" w:type="dxa"/>
          </w:tcPr>
          <w:p w14:paraId="04F799F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Complete body</w:t>
            </w:r>
          </w:p>
        </w:tc>
        <w:tc>
          <w:tcPr>
            <w:tcW w:w="1298" w:type="dxa"/>
          </w:tcPr>
          <w:p w14:paraId="29D962E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Beaker pot</w:t>
            </w:r>
          </w:p>
        </w:tc>
        <w:tc>
          <w:tcPr>
            <w:tcW w:w="1310" w:type="dxa"/>
          </w:tcPr>
          <w:p w14:paraId="13B331A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Adult (25–30 years)</w:t>
            </w:r>
          </w:p>
        </w:tc>
        <w:tc>
          <w:tcPr>
            <w:tcW w:w="1383" w:type="dxa"/>
          </w:tcPr>
          <w:p w14:paraId="5C8473F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Male</w:t>
            </w:r>
          </w:p>
        </w:tc>
        <w:tc>
          <w:tcPr>
            <w:tcW w:w="1559" w:type="dxa"/>
          </w:tcPr>
          <w:p w14:paraId="6061893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c>
          <w:tcPr>
            <w:tcW w:w="1134" w:type="dxa"/>
          </w:tcPr>
          <w:p w14:paraId="18DA15E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r>
      <w:tr w:rsidR="003B0C59" w:rsidRPr="008D1182" w14:paraId="4A75B022" w14:textId="77777777" w:rsidTr="001D4775">
        <w:tc>
          <w:tcPr>
            <w:tcW w:w="1028" w:type="dxa"/>
          </w:tcPr>
          <w:p w14:paraId="492F287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3</w:t>
            </w:r>
          </w:p>
        </w:tc>
        <w:tc>
          <w:tcPr>
            <w:tcW w:w="1531" w:type="dxa"/>
          </w:tcPr>
          <w:p w14:paraId="312F5636"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Cnip</w:t>
            </w:r>
            <w:proofErr w:type="spellEnd"/>
            <w:r w:rsidRPr="008D1182">
              <w:rPr>
                <w:rFonts w:ascii="Times New Roman" w:hAnsi="Times New Roman" w:cs="Times New Roman"/>
                <w:sz w:val="20"/>
                <w:szCs w:val="20"/>
              </w:rPr>
              <w:t xml:space="preserve"> Area A</w:t>
            </w:r>
          </w:p>
        </w:tc>
        <w:tc>
          <w:tcPr>
            <w:tcW w:w="1191" w:type="dxa"/>
          </w:tcPr>
          <w:p w14:paraId="000B2EC9"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Lelong</w:t>
            </w:r>
            <w:proofErr w:type="spellEnd"/>
            <w:r w:rsidRPr="008D1182">
              <w:rPr>
                <w:rFonts w:ascii="Times New Roman" w:hAnsi="Times New Roman" w:cs="Times New Roman"/>
                <w:sz w:val="20"/>
                <w:szCs w:val="20"/>
              </w:rPr>
              <w:t xml:space="preserve"> 2018</w:t>
            </w:r>
          </w:p>
        </w:tc>
        <w:tc>
          <w:tcPr>
            <w:tcW w:w="1191" w:type="dxa"/>
          </w:tcPr>
          <w:p w14:paraId="480E8E5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3</w:t>
            </w:r>
          </w:p>
        </w:tc>
        <w:tc>
          <w:tcPr>
            <w:tcW w:w="1077" w:type="dxa"/>
          </w:tcPr>
          <w:p w14:paraId="717777B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0F38CCB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Partially articulated skeleton</w:t>
            </w:r>
          </w:p>
        </w:tc>
        <w:tc>
          <w:tcPr>
            <w:tcW w:w="1191" w:type="dxa"/>
          </w:tcPr>
          <w:p w14:paraId="1111B67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Most but not all skeletal elements</w:t>
            </w:r>
          </w:p>
        </w:tc>
        <w:tc>
          <w:tcPr>
            <w:tcW w:w="1298" w:type="dxa"/>
          </w:tcPr>
          <w:p w14:paraId="6F909E2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Disarticulated human bones</w:t>
            </w:r>
          </w:p>
        </w:tc>
        <w:tc>
          <w:tcPr>
            <w:tcW w:w="1310" w:type="dxa"/>
          </w:tcPr>
          <w:p w14:paraId="1A0F681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Adolescent (12–20 years)</w:t>
            </w:r>
          </w:p>
        </w:tc>
        <w:tc>
          <w:tcPr>
            <w:tcW w:w="1383" w:type="dxa"/>
          </w:tcPr>
          <w:p w14:paraId="5C188621" w14:textId="77777777" w:rsidR="003B0C59" w:rsidRPr="008D1182" w:rsidRDefault="003B0C59" w:rsidP="009A74D1">
            <w:pPr>
              <w:rPr>
                <w:rFonts w:ascii="Times New Roman" w:hAnsi="Times New Roman" w:cs="Times New Roman"/>
                <w:sz w:val="20"/>
                <w:szCs w:val="20"/>
              </w:rPr>
            </w:pPr>
            <w:proofErr w:type="gramStart"/>
            <w:r w:rsidRPr="008D1182">
              <w:rPr>
                <w:rFonts w:ascii="Times New Roman" w:hAnsi="Times New Roman" w:cs="Times New Roman"/>
                <w:sz w:val="20"/>
                <w:szCs w:val="20"/>
              </w:rPr>
              <w:t>?Male</w:t>
            </w:r>
            <w:proofErr w:type="gramEnd"/>
          </w:p>
        </w:tc>
        <w:tc>
          <w:tcPr>
            <w:tcW w:w="1559" w:type="dxa"/>
          </w:tcPr>
          <w:p w14:paraId="33DE890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c>
          <w:tcPr>
            <w:tcW w:w="1134" w:type="dxa"/>
          </w:tcPr>
          <w:p w14:paraId="7B3C116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r>
      <w:tr w:rsidR="003B0C59" w:rsidRPr="008D1182" w14:paraId="1B4BAFDB" w14:textId="77777777" w:rsidTr="001D4775">
        <w:tc>
          <w:tcPr>
            <w:tcW w:w="1028" w:type="dxa"/>
          </w:tcPr>
          <w:p w14:paraId="1FF2D5E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4</w:t>
            </w:r>
          </w:p>
        </w:tc>
        <w:tc>
          <w:tcPr>
            <w:tcW w:w="1531" w:type="dxa"/>
          </w:tcPr>
          <w:p w14:paraId="4204D8AF"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Dryburn</w:t>
            </w:r>
            <w:proofErr w:type="spellEnd"/>
            <w:r w:rsidRPr="008D1182">
              <w:rPr>
                <w:rFonts w:ascii="Times New Roman" w:hAnsi="Times New Roman" w:cs="Times New Roman"/>
                <w:sz w:val="20"/>
                <w:szCs w:val="20"/>
              </w:rPr>
              <w:t xml:space="preserve"> Bridge cist 1</w:t>
            </w:r>
          </w:p>
        </w:tc>
        <w:tc>
          <w:tcPr>
            <w:tcW w:w="1191" w:type="dxa"/>
          </w:tcPr>
          <w:p w14:paraId="4EF97C47"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Dunwell</w:t>
            </w:r>
            <w:proofErr w:type="spellEnd"/>
            <w:r w:rsidRPr="008D1182">
              <w:rPr>
                <w:rFonts w:ascii="Times New Roman" w:hAnsi="Times New Roman" w:cs="Times New Roman"/>
                <w:sz w:val="20"/>
                <w:szCs w:val="20"/>
              </w:rPr>
              <w:t xml:space="preserve"> et al., 2007</w:t>
            </w:r>
          </w:p>
        </w:tc>
        <w:tc>
          <w:tcPr>
            <w:tcW w:w="1191" w:type="dxa"/>
          </w:tcPr>
          <w:p w14:paraId="54218D4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077" w:type="dxa"/>
          </w:tcPr>
          <w:p w14:paraId="2636B73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1C1E7BB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Incomplete, disarticulated skeleton</w:t>
            </w:r>
          </w:p>
        </w:tc>
        <w:tc>
          <w:tcPr>
            <w:tcW w:w="1191" w:type="dxa"/>
          </w:tcPr>
          <w:p w14:paraId="587CD5B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Skull and longbones; very few other elements present</w:t>
            </w:r>
          </w:p>
        </w:tc>
        <w:tc>
          <w:tcPr>
            <w:tcW w:w="1298" w:type="dxa"/>
          </w:tcPr>
          <w:p w14:paraId="481F130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6B2A266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Adult (35–45 years)</w:t>
            </w:r>
          </w:p>
        </w:tc>
        <w:tc>
          <w:tcPr>
            <w:tcW w:w="1383" w:type="dxa"/>
          </w:tcPr>
          <w:p w14:paraId="4B0FE0A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Male</w:t>
            </w:r>
          </w:p>
        </w:tc>
        <w:tc>
          <w:tcPr>
            <w:tcW w:w="1559" w:type="dxa"/>
          </w:tcPr>
          <w:p w14:paraId="3B298F1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c>
          <w:tcPr>
            <w:tcW w:w="1134" w:type="dxa"/>
          </w:tcPr>
          <w:p w14:paraId="4462BF2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4D5231BB" w14:textId="77777777" w:rsidTr="001D4775">
        <w:tc>
          <w:tcPr>
            <w:tcW w:w="1028" w:type="dxa"/>
          </w:tcPr>
          <w:p w14:paraId="41A62DF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5</w:t>
            </w:r>
          </w:p>
        </w:tc>
        <w:tc>
          <w:tcPr>
            <w:tcW w:w="1531" w:type="dxa"/>
          </w:tcPr>
          <w:p w14:paraId="1F3F1D0D"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Dryburn</w:t>
            </w:r>
            <w:proofErr w:type="spellEnd"/>
            <w:r w:rsidRPr="008D1182">
              <w:rPr>
                <w:rFonts w:ascii="Times New Roman" w:hAnsi="Times New Roman" w:cs="Times New Roman"/>
                <w:sz w:val="20"/>
                <w:szCs w:val="20"/>
              </w:rPr>
              <w:t xml:space="preserve"> Bridge cist 2</w:t>
            </w:r>
          </w:p>
        </w:tc>
        <w:tc>
          <w:tcPr>
            <w:tcW w:w="1191" w:type="dxa"/>
          </w:tcPr>
          <w:p w14:paraId="534A42E7"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Dunwell</w:t>
            </w:r>
            <w:proofErr w:type="spellEnd"/>
            <w:r w:rsidRPr="008D1182">
              <w:rPr>
                <w:rFonts w:ascii="Times New Roman" w:hAnsi="Times New Roman" w:cs="Times New Roman"/>
                <w:sz w:val="20"/>
                <w:szCs w:val="20"/>
              </w:rPr>
              <w:t xml:space="preserve"> et al., 2007</w:t>
            </w:r>
          </w:p>
        </w:tc>
        <w:tc>
          <w:tcPr>
            <w:tcW w:w="1191" w:type="dxa"/>
          </w:tcPr>
          <w:p w14:paraId="62F5872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077" w:type="dxa"/>
          </w:tcPr>
          <w:p w14:paraId="00500C2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19EF64E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Incomplete, disarticulated skeleton</w:t>
            </w:r>
          </w:p>
        </w:tc>
        <w:tc>
          <w:tcPr>
            <w:tcW w:w="1191" w:type="dxa"/>
          </w:tcPr>
          <w:p w14:paraId="0FFF9E6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Skull and some longbones; very few other elements present</w:t>
            </w:r>
          </w:p>
        </w:tc>
        <w:tc>
          <w:tcPr>
            <w:tcW w:w="1298" w:type="dxa"/>
          </w:tcPr>
          <w:p w14:paraId="5C6BE5F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3262AC0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Child (6–8 years)</w:t>
            </w:r>
          </w:p>
        </w:tc>
        <w:tc>
          <w:tcPr>
            <w:tcW w:w="1383" w:type="dxa"/>
          </w:tcPr>
          <w:p w14:paraId="0E6F40E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5D1A5B2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c>
          <w:tcPr>
            <w:tcW w:w="1134" w:type="dxa"/>
          </w:tcPr>
          <w:p w14:paraId="5728A51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155E9EEF" w14:textId="77777777" w:rsidTr="001D4775">
        <w:tc>
          <w:tcPr>
            <w:tcW w:w="1028" w:type="dxa"/>
          </w:tcPr>
          <w:p w14:paraId="654AAC9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6</w:t>
            </w:r>
          </w:p>
        </w:tc>
        <w:tc>
          <w:tcPr>
            <w:tcW w:w="1531" w:type="dxa"/>
          </w:tcPr>
          <w:p w14:paraId="7CCD39DB"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Irthlingborough</w:t>
            </w:r>
            <w:proofErr w:type="spellEnd"/>
            <w:r w:rsidRPr="008D1182">
              <w:rPr>
                <w:rFonts w:ascii="Times New Roman" w:hAnsi="Times New Roman" w:cs="Times New Roman"/>
                <w:sz w:val="20"/>
                <w:szCs w:val="20"/>
              </w:rPr>
              <w:t xml:space="preserve"> 6400</w:t>
            </w:r>
          </w:p>
        </w:tc>
        <w:tc>
          <w:tcPr>
            <w:tcW w:w="1191" w:type="dxa"/>
          </w:tcPr>
          <w:p w14:paraId="68318E8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Mays, 2011</w:t>
            </w:r>
          </w:p>
        </w:tc>
        <w:tc>
          <w:tcPr>
            <w:tcW w:w="1191" w:type="dxa"/>
          </w:tcPr>
          <w:p w14:paraId="5036AB2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077" w:type="dxa"/>
          </w:tcPr>
          <w:p w14:paraId="5C50377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Burnt</w:t>
            </w:r>
          </w:p>
        </w:tc>
        <w:tc>
          <w:tcPr>
            <w:tcW w:w="1361" w:type="dxa"/>
          </w:tcPr>
          <w:p w14:paraId="0C6D346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Cremated</w:t>
            </w:r>
          </w:p>
        </w:tc>
        <w:tc>
          <w:tcPr>
            <w:tcW w:w="1191" w:type="dxa"/>
          </w:tcPr>
          <w:p w14:paraId="547F977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Unclear if either individual curated</w:t>
            </w:r>
          </w:p>
        </w:tc>
        <w:tc>
          <w:tcPr>
            <w:tcW w:w="1298" w:type="dxa"/>
          </w:tcPr>
          <w:p w14:paraId="3DE2F12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Dates for the two burnt individuals compared</w:t>
            </w:r>
          </w:p>
        </w:tc>
        <w:tc>
          <w:tcPr>
            <w:tcW w:w="1310" w:type="dxa"/>
          </w:tcPr>
          <w:p w14:paraId="464AF44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Unclear if either curated (1 adult 20–40 years, 1 adolescent 13–14 years)</w:t>
            </w:r>
          </w:p>
        </w:tc>
        <w:tc>
          <w:tcPr>
            <w:tcW w:w="1383" w:type="dxa"/>
          </w:tcPr>
          <w:p w14:paraId="4489688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Unclear if either curated (1 male, 1 unknown)</w:t>
            </w:r>
          </w:p>
        </w:tc>
        <w:tc>
          <w:tcPr>
            <w:tcW w:w="1559" w:type="dxa"/>
          </w:tcPr>
          <w:p w14:paraId="667D14F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c>
          <w:tcPr>
            <w:tcW w:w="1134" w:type="dxa"/>
          </w:tcPr>
          <w:p w14:paraId="6799E12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6405F7C0" w14:textId="77777777" w:rsidTr="001D4775">
        <w:tc>
          <w:tcPr>
            <w:tcW w:w="1028" w:type="dxa"/>
          </w:tcPr>
          <w:p w14:paraId="6A03F88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lastRenderedPageBreak/>
              <w:t>7</w:t>
            </w:r>
          </w:p>
        </w:tc>
        <w:tc>
          <w:tcPr>
            <w:tcW w:w="1531" w:type="dxa"/>
          </w:tcPr>
          <w:p w14:paraId="35628513"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Irthlingborough</w:t>
            </w:r>
            <w:proofErr w:type="spellEnd"/>
            <w:r w:rsidRPr="008D1182">
              <w:rPr>
                <w:rFonts w:ascii="Times New Roman" w:hAnsi="Times New Roman" w:cs="Times New Roman"/>
                <w:sz w:val="20"/>
                <w:szCs w:val="20"/>
              </w:rPr>
              <w:t xml:space="preserve"> 6461</w:t>
            </w:r>
          </w:p>
        </w:tc>
        <w:tc>
          <w:tcPr>
            <w:tcW w:w="1191" w:type="dxa"/>
          </w:tcPr>
          <w:p w14:paraId="1F97F38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Mays, 2011</w:t>
            </w:r>
          </w:p>
        </w:tc>
        <w:tc>
          <w:tcPr>
            <w:tcW w:w="1191" w:type="dxa"/>
          </w:tcPr>
          <w:p w14:paraId="23677DA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3</w:t>
            </w:r>
          </w:p>
        </w:tc>
        <w:tc>
          <w:tcPr>
            <w:tcW w:w="1077" w:type="dxa"/>
          </w:tcPr>
          <w:p w14:paraId="544B6AA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Burnt</w:t>
            </w:r>
          </w:p>
        </w:tc>
        <w:tc>
          <w:tcPr>
            <w:tcW w:w="1361" w:type="dxa"/>
          </w:tcPr>
          <w:p w14:paraId="6C48128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Cremated</w:t>
            </w:r>
          </w:p>
        </w:tc>
        <w:tc>
          <w:tcPr>
            <w:tcW w:w="1191" w:type="dxa"/>
          </w:tcPr>
          <w:p w14:paraId="23FB171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Unclear if any individual curated</w:t>
            </w:r>
          </w:p>
        </w:tc>
        <w:tc>
          <w:tcPr>
            <w:tcW w:w="1298" w:type="dxa"/>
          </w:tcPr>
          <w:p w14:paraId="72B2802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Dates for the three burnt individuals compared</w:t>
            </w:r>
          </w:p>
        </w:tc>
        <w:tc>
          <w:tcPr>
            <w:tcW w:w="1310" w:type="dxa"/>
          </w:tcPr>
          <w:p w14:paraId="44EC844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Unclear if any curated (all young adults, 20–40 years)</w:t>
            </w:r>
          </w:p>
        </w:tc>
        <w:tc>
          <w:tcPr>
            <w:tcW w:w="1383" w:type="dxa"/>
          </w:tcPr>
          <w:p w14:paraId="409CA0A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Unclear if any curated (</w:t>
            </w:r>
            <w:proofErr w:type="gramStart"/>
            <w:r w:rsidRPr="008D1182">
              <w:rPr>
                <w:rFonts w:ascii="Times New Roman" w:hAnsi="Times New Roman" w:cs="Times New Roman"/>
                <w:sz w:val="20"/>
                <w:szCs w:val="20"/>
              </w:rPr>
              <w:t>1 ?male</w:t>
            </w:r>
            <w:proofErr w:type="gramEnd"/>
            <w:r w:rsidRPr="008D1182">
              <w:rPr>
                <w:rFonts w:ascii="Times New Roman" w:hAnsi="Times New Roman" w:cs="Times New Roman"/>
                <w:sz w:val="20"/>
                <w:szCs w:val="20"/>
              </w:rPr>
              <w:t>, 1 ?female, 1 unknown)</w:t>
            </w:r>
          </w:p>
        </w:tc>
        <w:tc>
          <w:tcPr>
            <w:tcW w:w="1559" w:type="dxa"/>
          </w:tcPr>
          <w:p w14:paraId="53CB9A8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c>
          <w:tcPr>
            <w:tcW w:w="1134" w:type="dxa"/>
          </w:tcPr>
          <w:p w14:paraId="44F41CE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6D1F8CF3" w14:textId="77777777" w:rsidTr="001D4775">
        <w:tc>
          <w:tcPr>
            <w:tcW w:w="1028" w:type="dxa"/>
          </w:tcPr>
          <w:p w14:paraId="53FE6A2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8</w:t>
            </w:r>
          </w:p>
        </w:tc>
        <w:tc>
          <w:tcPr>
            <w:tcW w:w="1531" w:type="dxa"/>
          </w:tcPr>
          <w:p w14:paraId="623C09A0"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Kingshill</w:t>
            </w:r>
            <w:proofErr w:type="spellEnd"/>
            <w:r w:rsidRPr="008D1182">
              <w:rPr>
                <w:rFonts w:ascii="Times New Roman" w:hAnsi="Times New Roman" w:cs="Times New Roman"/>
                <w:sz w:val="20"/>
                <w:szCs w:val="20"/>
              </w:rPr>
              <w:t xml:space="preserve"> North 1403</w:t>
            </w:r>
          </w:p>
        </w:tc>
        <w:tc>
          <w:tcPr>
            <w:tcW w:w="1191" w:type="dxa"/>
          </w:tcPr>
          <w:p w14:paraId="344A31B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Biddulph &amp; Welsh, 2011</w:t>
            </w:r>
          </w:p>
        </w:tc>
        <w:tc>
          <w:tcPr>
            <w:tcW w:w="1191" w:type="dxa"/>
          </w:tcPr>
          <w:p w14:paraId="1D6122B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077" w:type="dxa"/>
          </w:tcPr>
          <w:p w14:paraId="327E01B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2715135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Disarticulated </w:t>
            </w:r>
          </w:p>
        </w:tc>
        <w:tc>
          <w:tcPr>
            <w:tcW w:w="1191" w:type="dxa"/>
          </w:tcPr>
          <w:p w14:paraId="6E93B11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Femur fragment</w:t>
            </w:r>
          </w:p>
        </w:tc>
        <w:tc>
          <w:tcPr>
            <w:tcW w:w="1298" w:type="dxa"/>
          </w:tcPr>
          <w:p w14:paraId="32FEB4C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706ADB5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Juvenile (age unknown)</w:t>
            </w:r>
          </w:p>
        </w:tc>
        <w:tc>
          <w:tcPr>
            <w:tcW w:w="1383" w:type="dxa"/>
          </w:tcPr>
          <w:p w14:paraId="4E6D5B4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5454193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Dating failed (collagen preservation)</w:t>
            </w:r>
          </w:p>
        </w:tc>
        <w:tc>
          <w:tcPr>
            <w:tcW w:w="1134" w:type="dxa"/>
          </w:tcPr>
          <w:p w14:paraId="395781E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r>
      <w:tr w:rsidR="003B0C59" w:rsidRPr="008D1182" w14:paraId="4E940555" w14:textId="77777777" w:rsidTr="001D4775">
        <w:tc>
          <w:tcPr>
            <w:tcW w:w="1028" w:type="dxa"/>
          </w:tcPr>
          <w:p w14:paraId="6E6F472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9</w:t>
            </w:r>
          </w:p>
        </w:tc>
        <w:tc>
          <w:tcPr>
            <w:tcW w:w="1531" w:type="dxa"/>
          </w:tcPr>
          <w:p w14:paraId="3E098D3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Melton Quarry 1008</w:t>
            </w:r>
          </w:p>
        </w:tc>
        <w:tc>
          <w:tcPr>
            <w:tcW w:w="1191" w:type="dxa"/>
          </w:tcPr>
          <w:p w14:paraId="0F7A6B8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F. Brown and L. McIntyre, OA South, pers. comm.</w:t>
            </w:r>
          </w:p>
        </w:tc>
        <w:tc>
          <w:tcPr>
            <w:tcW w:w="1191" w:type="dxa"/>
          </w:tcPr>
          <w:p w14:paraId="667C65B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077" w:type="dxa"/>
          </w:tcPr>
          <w:p w14:paraId="4D56525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03A1333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Incomplete, disarticulated skeleton</w:t>
            </w:r>
          </w:p>
        </w:tc>
        <w:tc>
          <w:tcPr>
            <w:tcW w:w="1191" w:type="dxa"/>
          </w:tcPr>
          <w:p w14:paraId="5A37730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 (analysis ongoing at time of publication)</w:t>
            </w:r>
          </w:p>
        </w:tc>
        <w:tc>
          <w:tcPr>
            <w:tcW w:w="1298" w:type="dxa"/>
          </w:tcPr>
          <w:p w14:paraId="1C4441B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0199B41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Infant (2–4 months)</w:t>
            </w:r>
          </w:p>
        </w:tc>
        <w:tc>
          <w:tcPr>
            <w:tcW w:w="1383" w:type="dxa"/>
          </w:tcPr>
          <w:p w14:paraId="009FA3F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0760FB2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c>
          <w:tcPr>
            <w:tcW w:w="1134" w:type="dxa"/>
          </w:tcPr>
          <w:p w14:paraId="2E8F67F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r>
      <w:tr w:rsidR="003B0C59" w:rsidRPr="008D1182" w14:paraId="1D1045C8" w14:textId="77777777" w:rsidTr="001D4775">
        <w:tc>
          <w:tcPr>
            <w:tcW w:w="1028" w:type="dxa"/>
          </w:tcPr>
          <w:p w14:paraId="1F9D5AC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10</w:t>
            </w:r>
          </w:p>
        </w:tc>
        <w:tc>
          <w:tcPr>
            <w:tcW w:w="1531" w:type="dxa"/>
          </w:tcPr>
          <w:p w14:paraId="72AF85E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Redlands Farm </w:t>
            </w:r>
            <w:proofErr w:type="spellStart"/>
            <w:r w:rsidRPr="008D1182">
              <w:rPr>
                <w:rFonts w:ascii="Times New Roman" w:hAnsi="Times New Roman" w:cs="Times New Roman"/>
                <w:sz w:val="20"/>
                <w:szCs w:val="20"/>
              </w:rPr>
              <w:t>F131</w:t>
            </w:r>
            <w:proofErr w:type="spellEnd"/>
          </w:p>
        </w:tc>
        <w:tc>
          <w:tcPr>
            <w:tcW w:w="1191" w:type="dxa"/>
          </w:tcPr>
          <w:p w14:paraId="52B0454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Mays, 2011</w:t>
            </w:r>
          </w:p>
        </w:tc>
        <w:tc>
          <w:tcPr>
            <w:tcW w:w="1191" w:type="dxa"/>
          </w:tcPr>
          <w:p w14:paraId="4F5DCF1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3</w:t>
            </w:r>
          </w:p>
        </w:tc>
        <w:tc>
          <w:tcPr>
            <w:tcW w:w="1077" w:type="dxa"/>
          </w:tcPr>
          <w:p w14:paraId="5CDF791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0434E38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Disarticulated</w:t>
            </w:r>
          </w:p>
        </w:tc>
        <w:tc>
          <w:tcPr>
            <w:tcW w:w="1191" w:type="dxa"/>
          </w:tcPr>
          <w:p w14:paraId="7C09CE7D"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Humerus</w:t>
            </w:r>
            <w:proofErr w:type="spellEnd"/>
            <w:r w:rsidRPr="008D1182">
              <w:rPr>
                <w:rFonts w:ascii="Times New Roman" w:hAnsi="Times New Roman" w:cs="Times New Roman"/>
                <w:sz w:val="20"/>
                <w:szCs w:val="20"/>
              </w:rPr>
              <w:t xml:space="preserve"> fragment</w:t>
            </w:r>
          </w:p>
        </w:tc>
        <w:tc>
          <w:tcPr>
            <w:tcW w:w="1298" w:type="dxa"/>
          </w:tcPr>
          <w:p w14:paraId="1F439BC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7FBCF43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Subadult (age unknown)</w:t>
            </w:r>
          </w:p>
        </w:tc>
        <w:tc>
          <w:tcPr>
            <w:tcW w:w="1383" w:type="dxa"/>
          </w:tcPr>
          <w:p w14:paraId="0EF0EB2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4B79C14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c>
          <w:tcPr>
            <w:tcW w:w="1134" w:type="dxa"/>
          </w:tcPr>
          <w:p w14:paraId="18F8D50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6451630A" w14:textId="77777777" w:rsidTr="001D4775">
        <w:tc>
          <w:tcPr>
            <w:tcW w:w="1028" w:type="dxa"/>
          </w:tcPr>
          <w:p w14:paraId="1451C8E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11</w:t>
            </w:r>
          </w:p>
        </w:tc>
        <w:tc>
          <w:tcPr>
            <w:tcW w:w="1531" w:type="dxa"/>
          </w:tcPr>
          <w:p w14:paraId="2094DEB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South Dumpton Down </w:t>
            </w:r>
            <w:proofErr w:type="spellStart"/>
            <w:r w:rsidRPr="008D1182">
              <w:rPr>
                <w:rFonts w:ascii="Times New Roman" w:hAnsi="Times New Roman" w:cs="Times New Roman"/>
                <w:sz w:val="20"/>
                <w:szCs w:val="20"/>
              </w:rPr>
              <w:t>B15</w:t>
            </w:r>
            <w:proofErr w:type="spellEnd"/>
          </w:p>
        </w:tc>
        <w:tc>
          <w:tcPr>
            <w:tcW w:w="1191" w:type="dxa"/>
          </w:tcPr>
          <w:p w14:paraId="0A31176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Perkins, 1995</w:t>
            </w:r>
          </w:p>
        </w:tc>
        <w:tc>
          <w:tcPr>
            <w:tcW w:w="1191" w:type="dxa"/>
          </w:tcPr>
          <w:p w14:paraId="185BAD1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3</w:t>
            </w:r>
          </w:p>
        </w:tc>
        <w:tc>
          <w:tcPr>
            <w:tcW w:w="1077" w:type="dxa"/>
          </w:tcPr>
          <w:p w14:paraId="100C7A6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49C00DC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Disarticulated </w:t>
            </w:r>
          </w:p>
        </w:tc>
        <w:tc>
          <w:tcPr>
            <w:tcW w:w="1191" w:type="dxa"/>
          </w:tcPr>
          <w:p w14:paraId="67DDF8D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Mandible</w:t>
            </w:r>
          </w:p>
        </w:tc>
        <w:tc>
          <w:tcPr>
            <w:tcW w:w="1298" w:type="dxa"/>
          </w:tcPr>
          <w:p w14:paraId="499F3C1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7CD2551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383" w:type="dxa"/>
          </w:tcPr>
          <w:p w14:paraId="2C1644E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6D5EB9D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c>
          <w:tcPr>
            <w:tcW w:w="1134" w:type="dxa"/>
          </w:tcPr>
          <w:p w14:paraId="660B8DF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318F54D4" w14:textId="77777777" w:rsidTr="001D4775">
        <w:tc>
          <w:tcPr>
            <w:tcW w:w="1028" w:type="dxa"/>
          </w:tcPr>
          <w:p w14:paraId="2151669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12</w:t>
            </w:r>
          </w:p>
        </w:tc>
        <w:tc>
          <w:tcPr>
            <w:tcW w:w="1531" w:type="dxa"/>
          </w:tcPr>
          <w:p w14:paraId="4AD8FD7A"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Traigh</w:t>
            </w:r>
            <w:proofErr w:type="spellEnd"/>
            <w:r w:rsidRPr="008D1182">
              <w:rPr>
                <w:rFonts w:ascii="Times New Roman" w:hAnsi="Times New Roman" w:cs="Times New Roman"/>
                <w:sz w:val="20"/>
                <w:szCs w:val="20"/>
              </w:rPr>
              <w:t xml:space="preserve"> Bahn cist 1</w:t>
            </w:r>
          </w:p>
        </w:tc>
        <w:tc>
          <w:tcPr>
            <w:tcW w:w="1191" w:type="dxa"/>
          </w:tcPr>
          <w:p w14:paraId="018116A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Ritchie et al., 1983</w:t>
            </w:r>
          </w:p>
        </w:tc>
        <w:tc>
          <w:tcPr>
            <w:tcW w:w="1191" w:type="dxa"/>
          </w:tcPr>
          <w:p w14:paraId="504DC1C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077" w:type="dxa"/>
          </w:tcPr>
          <w:p w14:paraId="520FDE5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45D175E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Incomplete, disarticulated skeleton</w:t>
            </w:r>
          </w:p>
        </w:tc>
        <w:tc>
          <w:tcPr>
            <w:tcW w:w="1191" w:type="dxa"/>
          </w:tcPr>
          <w:p w14:paraId="0FA46DD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Skull and longbones; very few other elements present</w:t>
            </w:r>
          </w:p>
        </w:tc>
        <w:tc>
          <w:tcPr>
            <w:tcW w:w="1298" w:type="dxa"/>
          </w:tcPr>
          <w:p w14:paraId="3216ABE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2ACE35E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Young adult (20–25 years)</w:t>
            </w:r>
          </w:p>
        </w:tc>
        <w:tc>
          <w:tcPr>
            <w:tcW w:w="1383" w:type="dxa"/>
          </w:tcPr>
          <w:p w14:paraId="43F6CF76" w14:textId="77777777" w:rsidR="003B0C59" w:rsidRPr="008D1182" w:rsidRDefault="003B0C59" w:rsidP="009A74D1">
            <w:pPr>
              <w:rPr>
                <w:rFonts w:ascii="Times New Roman" w:hAnsi="Times New Roman" w:cs="Times New Roman"/>
                <w:sz w:val="20"/>
                <w:szCs w:val="20"/>
              </w:rPr>
            </w:pPr>
            <w:proofErr w:type="gramStart"/>
            <w:r w:rsidRPr="008D1182">
              <w:rPr>
                <w:rFonts w:ascii="Times New Roman" w:hAnsi="Times New Roman" w:cs="Times New Roman"/>
                <w:sz w:val="20"/>
                <w:szCs w:val="20"/>
              </w:rPr>
              <w:t>?Male</w:t>
            </w:r>
            <w:proofErr w:type="gramEnd"/>
          </w:p>
        </w:tc>
        <w:tc>
          <w:tcPr>
            <w:tcW w:w="1559" w:type="dxa"/>
          </w:tcPr>
          <w:p w14:paraId="6E81B4F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Ys</w:t>
            </w:r>
          </w:p>
        </w:tc>
        <w:tc>
          <w:tcPr>
            <w:tcW w:w="1134" w:type="dxa"/>
          </w:tcPr>
          <w:p w14:paraId="01082C1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75B014CD" w14:textId="77777777" w:rsidTr="001D4775">
        <w:tc>
          <w:tcPr>
            <w:tcW w:w="1028" w:type="dxa"/>
          </w:tcPr>
          <w:p w14:paraId="62B61BE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13</w:t>
            </w:r>
          </w:p>
        </w:tc>
        <w:tc>
          <w:tcPr>
            <w:tcW w:w="1531" w:type="dxa"/>
          </w:tcPr>
          <w:p w14:paraId="7F58B4C1"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Trelowthas</w:t>
            </w:r>
            <w:proofErr w:type="spellEnd"/>
          </w:p>
        </w:tc>
        <w:tc>
          <w:tcPr>
            <w:tcW w:w="1191" w:type="dxa"/>
          </w:tcPr>
          <w:p w14:paraId="091B5E2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J. </w:t>
            </w:r>
            <w:proofErr w:type="spellStart"/>
            <w:r w:rsidRPr="008D1182">
              <w:rPr>
                <w:rFonts w:ascii="Times New Roman" w:hAnsi="Times New Roman" w:cs="Times New Roman"/>
                <w:sz w:val="20"/>
                <w:szCs w:val="20"/>
              </w:rPr>
              <w:t>Nowakows</w:t>
            </w:r>
            <w:proofErr w:type="spellEnd"/>
            <w:r w:rsidRPr="008D1182">
              <w:rPr>
                <w:rFonts w:ascii="Times New Roman" w:hAnsi="Times New Roman" w:cs="Times New Roman"/>
                <w:sz w:val="20"/>
                <w:szCs w:val="20"/>
              </w:rPr>
              <w:t>-ki, pers. comm.</w:t>
            </w:r>
          </w:p>
        </w:tc>
        <w:tc>
          <w:tcPr>
            <w:tcW w:w="1191" w:type="dxa"/>
          </w:tcPr>
          <w:p w14:paraId="79F8CD2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Multiple (analysis ongoing at time of publication)</w:t>
            </w:r>
          </w:p>
        </w:tc>
        <w:tc>
          <w:tcPr>
            <w:tcW w:w="1077" w:type="dxa"/>
          </w:tcPr>
          <w:p w14:paraId="58E3EF3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Burnt</w:t>
            </w:r>
          </w:p>
        </w:tc>
        <w:tc>
          <w:tcPr>
            <w:tcW w:w="1361" w:type="dxa"/>
          </w:tcPr>
          <w:p w14:paraId="3B5E0AD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Cremated</w:t>
            </w:r>
          </w:p>
        </w:tc>
        <w:tc>
          <w:tcPr>
            <w:tcW w:w="1191" w:type="dxa"/>
          </w:tcPr>
          <w:p w14:paraId="21D2DAD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298" w:type="dxa"/>
          </w:tcPr>
          <w:p w14:paraId="3121F97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Burnt human bone from the cist into which the urn was deposited</w:t>
            </w:r>
          </w:p>
        </w:tc>
        <w:tc>
          <w:tcPr>
            <w:tcW w:w="1310" w:type="dxa"/>
          </w:tcPr>
          <w:p w14:paraId="7F6C2D2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383" w:type="dxa"/>
          </w:tcPr>
          <w:p w14:paraId="740C688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1B1435D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c>
          <w:tcPr>
            <w:tcW w:w="1134" w:type="dxa"/>
          </w:tcPr>
          <w:p w14:paraId="7162C86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3C3A2E4C" w14:textId="77777777" w:rsidTr="001D4775">
        <w:tc>
          <w:tcPr>
            <w:tcW w:w="1028" w:type="dxa"/>
          </w:tcPr>
          <w:p w14:paraId="7F1AEB9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14</w:t>
            </w:r>
          </w:p>
        </w:tc>
        <w:tc>
          <w:tcPr>
            <w:tcW w:w="1531" w:type="dxa"/>
          </w:tcPr>
          <w:p w14:paraId="46CCE81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West Deeping 344</w:t>
            </w:r>
          </w:p>
        </w:tc>
        <w:tc>
          <w:tcPr>
            <w:tcW w:w="1191" w:type="dxa"/>
          </w:tcPr>
          <w:p w14:paraId="3DF03A9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M. </w:t>
            </w:r>
            <w:proofErr w:type="spellStart"/>
            <w:r w:rsidRPr="008D1182">
              <w:rPr>
                <w:rFonts w:ascii="Times New Roman" w:hAnsi="Times New Roman" w:cs="Times New Roman"/>
                <w:sz w:val="20"/>
                <w:szCs w:val="20"/>
              </w:rPr>
              <w:t>Brittain</w:t>
            </w:r>
            <w:proofErr w:type="spellEnd"/>
            <w:r w:rsidRPr="008D1182">
              <w:rPr>
                <w:rFonts w:ascii="Times New Roman" w:hAnsi="Times New Roman" w:cs="Times New Roman"/>
                <w:sz w:val="20"/>
                <w:szCs w:val="20"/>
              </w:rPr>
              <w:t>, pers. comm.</w:t>
            </w:r>
          </w:p>
        </w:tc>
        <w:tc>
          <w:tcPr>
            <w:tcW w:w="1191" w:type="dxa"/>
          </w:tcPr>
          <w:p w14:paraId="44042E8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w:t>
            </w:r>
          </w:p>
        </w:tc>
        <w:tc>
          <w:tcPr>
            <w:tcW w:w="1077" w:type="dxa"/>
          </w:tcPr>
          <w:p w14:paraId="6F791CE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14567E1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Partially articulated, complete skeleton</w:t>
            </w:r>
          </w:p>
        </w:tc>
        <w:tc>
          <w:tcPr>
            <w:tcW w:w="1191" w:type="dxa"/>
          </w:tcPr>
          <w:p w14:paraId="552F3C33"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Complete body</w:t>
            </w:r>
          </w:p>
        </w:tc>
        <w:tc>
          <w:tcPr>
            <w:tcW w:w="1298" w:type="dxa"/>
          </w:tcPr>
          <w:p w14:paraId="10254B3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Pig scapula</w:t>
            </w:r>
          </w:p>
        </w:tc>
        <w:tc>
          <w:tcPr>
            <w:tcW w:w="1310" w:type="dxa"/>
          </w:tcPr>
          <w:p w14:paraId="01C2686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383" w:type="dxa"/>
          </w:tcPr>
          <w:p w14:paraId="1A2BE37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20C291A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Dating failed (poor collagen preservation)</w:t>
            </w:r>
          </w:p>
        </w:tc>
        <w:tc>
          <w:tcPr>
            <w:tcW w:w="1134" w:type="dxa"/>
          </w:tcPr>
          <w:p w14:paraId="635B2F8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r>
      <w:tr w:rsidR="003B0C59" w:rsidRPr="008D1182" w14:paraId="702DBBC1" w14:textId="77777777" w:rsidTr="001D4775">
        <w:tc>
          <w:tcPr>
            <w:tcW w:w="1028" w:type="dxa"/>
          </w:tcPr>
          <w:p w14:paraId="1F0EE98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15</w:t>
            </w:r>
          </w:p>
        </w:tc>
        <w:tc>
          <w:tcPr>
            <w:tcW w:w="1531" w:type="dxa"/>
          </w:tcPr>
          <w:p w14:paraId="1A22E58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Whitton Hill</w:t>
            </w:r>
          </w:p>
        </w:tc>
        <w:tc>
          <w:tcPr>
            <w:tcW w:w="1191" w:type="dxa"/>
          </w:tcPr>
          <w:p w14:paraId="47CBFF9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Gamble &amp; Fowler, 2013</w:t>
            </w:r>
          </w:p>
        </w:tc>
        <w:tc>
          <w:tcPr>
            <w:tcW w:w="1191" w:type="dxa"/>
          </w:tcPr>
          <w:p w14:paraId="78197A1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24</w:t>
            </w:r>
          </w:p>
        </w:tc>
        <w:tc>
          <w:tcPr>
            <w:tcW w:w="1077" w:type="dxa"/>
          </w:tcPr>
          <w:p w14:paraId="046D47E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Burnt</w:t>
            </w:r>
          </w:p>
        </w:tc>
        <w:tc>
          <w:tcPr>
            <w:tcW w:w="1361" w:type="dxa"/>
          </w:tcPr>
          <w:p w14:paraId="6F6B4AE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Cremated</w:t>
            </w:r>
          </w:p>
        </w:tc>
        <w:tc>
          <w:tcPr>
            <w:tcW w:w="1191" w:type="dxa"/>
          </w:tcPr>
          <w:p w14:paraId="022509F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Skull fragments</w:t>
            </w:r>
          </w:p>
        </w:tc>
        <w:tc>
          <w:tcPr>
            <w:tcW w:w="1298" w:type="dxa"/>
          </w:tcPr>
          <w:p w14:paraId="61FBE307"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Burnt bones belonging to different individuals in the same deposit</w:t>
            </w:r>
          </w:p>
        </w:tc>
        <w:tc>
          <w:tcPr>
            <w:tcW w:w="1310" w:type="dxa"/>
          </w:tcPr>
          <w:p w14:paraId="17417A6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383" w:type="dxa"/>
          </w:tcPr>
          <w:p w14:paraId="4600CF3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281AC4C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c>
          <w:tcPr>
            <w:tcW w:w="1134" w:type="dxa"/>
          </w:tcPr>
          <w:p w14:paraId="25FCD96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37CF7C2F" w14:textId="77777777" w:rsidTr="001D4775">
        <w:tc>
          <w:tcPr>
            <w:tcW w:w="1028" w:type="dxa"/>
          </w:tcPr>
          <w:p w14:paraId="2588CBC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lastRenderedPageBreak/>
              <w:t>16</w:t>
            </w:r>
          </w:p>
        </w:tc>
        <w:tc>
          <w:tcPr>
            <w:tcW w:w="1531" w:type="dxa"/>
          </w:tcPr>
          <w:p w14:paraId="0BFF7EDF"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Wilsford</w:t>
            </w:r>
            <w:proofErr w:type="spellEnd"/>
            <w:r w:rsidRPr="008D1182">
              <w:rPr>
                <w:rFonts w:ascii="Times New Roman" w:hAnsi="Times New Roman" w:cs="Times New Roman"/>
                <w:sz w:val="20"/>
                <w:szCs w:val="20"/>
              </w:rPr>
              <w:t xml:space="preserve"> </w:t>
            </w:r>
            <w:proofErr w:type="spellStart"/>
            <w:r w:rsidRPr="008D1182">
              <w:rPr>
                <w:rFonts w:ascii="Times New Roman" w:hAnsi="Times New Roman" w:cs="Times New Roman"/>
                <w:sz w:val="20"/>
                <w:szCs w:val="20"/>
              </w:rPr>
              <w:t>G58</w:t>
            </w:r>
            <w:proofErr w:type="spellEnd"/>
          </w:p>
        </w:tc>
        <w:tc>
          <w:tcPr>
            <w:tcW w:w="1191" w:type="dxa"/>
          </w:tcPr>
          <w:p w14:paraId="63B2ED1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Woodward &amp; Needham, 2012; Woodward &amp; Hunter, 2015: 114</w:t>
            </w:r>
          </w:p>
        </w:tc>
        <w:tc>
          <w:tcPr>
            <w:tcW w:w="1191" w:type="dxa"/>
          </w:tcPr>
          <w:p w14:paraId="623EF23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w:t>
            </w:r>
          </w:p>
        </w:tc>
        <w:tc>
          <w:tcPr>
            <w:tcW w:w="1077" w:type="dxa"/>
          </w:tcPr>
          <w:p w14:paraId="23DECD7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357C615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Disarticulated</w:t>
            </w:r>
          </w:p>
        </w:tc>
        <w:tc>
          <w:tcPr>
            <w:tcW w:w="1191" w:type="dxa"/>
          </w:tcPr>
          <w:p w14:paraId="7FAFE32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Femur fragment</w:t>
            </w:r>
          </w:p>
        </w:tc>
        <w:tc>
          <w:tcPr>
            <w:tcW w:w="1298" w:type="dxa"/>
          </w:tcPr>
          <w:p w14:paraId="19AB56F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Associated artefacts</w:t>
            </w:r>
          </w:p>
        </w:tc>
        <w:tc>
          <w:tcPr>
            <w:tcW w:w="1310" w:type="dxa"/>
          </w:tcPr>
          <w:p w14:paraId="5D343A4A"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Adult</w:t>
            </w:r>
          </w:p>
        </w:tc>
        <w:tc>
          <w:tcPr>
            <w:tcW w:w="1383" w:type="dxa"/>
          </w:tcPr>
          <w:p w14:paraId="37AD0CB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04CC93A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c>
          <w:tcPr>
            <w:tcW w:w="1134" w:type="dxa"/>
          </w:tcPr>
          <w:p w14:paraId="374A4896"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Not analysed</w:t>
            </w:r>
          </w:p>
        </w:tc>
      </w:tr>
      <w:tr w:rsidR="003B0C59" w:rsidRPr="008D1182" w14:paraId="290EA6CB" w14:textId="77777777" w:rsidTr="001D4775">
        <w:tc>
          <w:tcPr>
            <w:tcW w:w="1028" w:type="dxa"/>
          </w:tcPr>
          <w:p w14:paraId="2DDBDAD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17</w:t>
            </w:r>
          </w:p>
        </w:tc>
        <w:tc>
          <w:tcPr>
            <w:tcW w:w="1531" w:type="dxa"/>
          </w:tcPr>
          <w:p w14:paraId="666618D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 xml:space="preserve">Windmill Fields </w:t>
            </w:r>
            <w:proofErr w:type="spellStart"/>
            <w:r w:rsidRPr="008D1182">
              <w:rPr>
                <w:rFonts w:ascii="Times New Roman" w:hAnsi="Times New Roman" w:cs="Times New Roman"/>
                <w:sz w:val="20"/>
                <w:szCs w:val="20"/>
              </w:rPr>
              <w:t>Sk</w:t>
            </w:r>
            <w:proofErr w:type="spellEnd"/>
            <w:r w:rsidRPr="008D1182">
              <w:rPr>
                <w:rFonts w:ascii="Times New Roman" w:hAnsi="Times New Roman" w:cs="Times New Roman"/>
                <w:sz w:val="20"/>
                <w:szCs w:val="20"/>
              </w:rPr>
              <w:t xml:space="preserve"> 6 and 8</w:t>
            </w:r>
          </w:p>
        </w:tc>
        <w:tc>
          <w:tcPr>
            <w:tcW w:w="1191" w:type="dxa"/>
          </w:tcPr>
          <w:p w14:paraId="75D370DA" w14:textId="77777777" w:rsidR="003B0C59" w:rsidRPr="008D1182" w:rsidRDefault="003B0C59" w:rsidP="009A74D1">
            <w:pPr>
              <w:rPr>
                <w:rFonts w:ascii="Times New Roman" w:hAnsi="Times New Roman" w:cs="Times New Roman"/>
                <w:sz w:val="20"/>
                <w:szCs w:val="20"/>
              </w:rPr>
            </w:pPr>
            <w:proofErr w:type="spellStart"/>
            <w:r w:rsidRPr="008D1182">
              <w:rPr>
                <w:rFonts w:ascii="Times New Roman" w:hAnsi="Times New Roman" w:cs="Times New Roman"/>
                <w:sz w:val="20"/>
                <w:szCs w:val="20"/>
              </w:rPr>
              <w:t>Annis</w:t>
            </w:r>
            <w:proofErr w:type="spellEnd"/>
            <w:r w:rsidRPr="008D1182">
              <w:rPr>
                <w:rFonts w:ascii="Times New Roman" w:hAnsi="Times New Roman" w:cs="Times New Roman"/>
                <w:sz w:val="20"/>
                <w:szCs w:val="20"/>
              </w:rPr>
              <w:t xml:space="preserve"> </w:t>
            </w:r>
            <w:r w:rsidRPr="008D1182">
              <w:rPr>
                <w:rFonts w:ascii="Times New Roman" w:hAnsi="Times New Roman" w:cs="Times New Roman"/>
                <w:iCs/>
                <w:sz w:val="20"/>
                <w:szCs w:val="20"/>
              </w:rPr>
              <w:t>et al</w:t>
            </w:r>
            <w:r w:rsidRPr="008D1182">
              <w:rPr>
                <w:rFonts w:ascii="Times New Roman" w:hAnsi="Times New Roman" w:cs="Times New Roman"/>
                <w:sz w:val="20"/>
                <w:szCs w:val="20"/>
              </w:rPr>
              <w:t>., 1997</w:t>
            </w:r>
          </w:p>
        </w:tc>
        <w:tc>
          <w:tcPr>
            <w:tcW w:w="1191" w:type="dxa"/>
          </w:tcPr>
          <w:p w14:paraId="4B9D545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4</w:t>
            </w:r>
          </w:p>
        </w:tc>
        <w:tc>
          <w:tcPr>
            <w:tcW w:w="1077" w:type="dxa"/>
          </w:tcPr>
          <w:p w14:paraId="6DB9F5F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121D9C1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Disarticulated</w:t>
            </w:r>
          </w:p>
        </w:tc>
        <w:tc>
          <w:tcPr>
            <w:tcW w:w="1191" w:type="dxa"/>
          </w:tcPr>
          <w:p w14:paraId="14FAAB6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Two skulls (dated); possible curated longbones not dated</w:t>
            </w:r>
          </w:p>
        </w:tc>
        <w:tc>
          <w:tcPr>
            <w:tcW w:w="1298" w:type="dxa"/>
          </w:tcPr>
          <w:p w14:paraId="6F8F327C"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Articulated burial</w:t>
            </w:r>
          </w:p>
        </w:tc>
        <w:tc>
          <w:tcPr>
            <w:tcW w:w="1310" w:type="dxa"/>
          </w:tcPr>
          <w:p w14:paraId="6390C099"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Skulls belonged to two adults; an adolescent was represented in the undated longbones</w:t>
            </w:r>
          </w:p>
        </w:tc>
        <w:tc>
          <w:tcPr>
            <w:tcW w:w="1383" w:type="dxa"/>
          </w:tcPr>
          <w:p w14:paraId="433989AB"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Skulls belonged to 1 male and 1 female; the undated adolescent longbones belonged to a possible female</w:t>
            </w:r>
          </w:p>
        </w:tc>
        <w:tc>
          <w:tcPr>
            <w:tcW w:w="1559" w:type="dxa"/>
          </w:tcPr>
          <w:p w14:paraId="1163480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c>
          <w:tcPr>
            <w:tcW w:w="1134" w:type="dxa"/>
          </w:tcPr>
          <w:p w14:paraId="28CF0564"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r>
      <w:tr w:rsidR="003B0C59" w:rsidRPr="008D1182" w14:paraId="46048ABC" w14:textId="77777777" w:rsidTr="001D4775">
        <w:tc>
          <w:tcPr>
            <w:tcW w:w="1028" w:type="dxa"/>
          </w:tcPr>
          <w:p w14:paraId="32218EF1"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18</w:t>
            </w:r>
          </w:p>
        </w:tc>
        <w:tc>
          <w:tcPr>
            <w:tcW w:w="1531" w:type="dxa"/>
          </w:tcPr>
          <w:p w14:paraId="4C757B2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Cotswold Community 7971</w:t>
            </w:r>
          </w:p>
          <w:p w14:paraId="5203866D"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w:t>
            </w:r>
            <w:r w:rsidRPr="008D1182">
              <w:rPr>
                <w:rFonts w:ascii="Times New Roman" w:hAnsi="Times New Roman" w:cs="Times New Roman"/>
                <w:i/>
                <w:iCs/>
                <w:sz w:val="20"/>
                <w:szCs w:val="20"/>
              </w:rPr>
              <w:t>NB: pit deposit, not grave</w:t>
            </w:r>
            <w:r w:rsidRPr="008D1182">
              <w:rPr>
                <w:rFonts w:ascii="Times New Roman" w:hAnsi="Times New Roman" w:cs="Times New Roman"/>
                <w:sz w:val="20"/>
                <w:szCs w:val="20"/>
              </w:rPr>
              <w:t>)</w:t>
            </w:r>
          </w:p>
        </w:tc>
        <w:tc>
          <w:tcPr>
            <w:tcW w:w="1191" w:type="dxa"/>
          </w:tcPr>
          <w:p w14:paraId="6C48E0F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Smith et al., 2010</w:t>
            </w:r>
          </w:p>
        </w:tc>
        <w:tc>
          <w:tcPr>
            <w:tcW w:w="1191" w:type="dxa"/>
          </w:tcPr>
          <w:p w14:paraId="42EAFD48"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1</w:t>
            </w:r>
          </w:p>
        </w:tc>
        <w:tc>
          <w:tcPr>
            <w:tcW w:w="1077" w:type="dxa"/>
          </w:tcPr>
          <w:p w14:paraId="4C038AB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Unburnt</w:t>
            </w:r>
          </w:p>
        </w:tc>
        <w:tc>
          <w:tcPr>
            <w:tcW w:w="1361" w:type="dxa"/>
          </w:tcPr>
          <w:p w14:paraId="3EEEA830"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Disarticulated</w:t>
            </w:r>
          </w:p>
        </w:tc>
        <w:tc>
          <w:tcPr>
            <w:tcW w:w="1191" w:type="dxa"/>
          </w:tcPr>
          <w:p w14:paraId="64B71B5E"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2 femur fragments</w:t>
            </w:r>
          </w:p>
        </w:tc>
        <w:tc>
          <w:tcPr>
            <w:tcW w:w="1298" w:type="dxa"/>
          </w:tcPr>
          <w:p w14:paraId="5FA1CE7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Burnt animal bone</w:t>
            </w:r>
          </w:p>
        </w:tc>
        <w:tc>
          <w:tcPr>
            <w:tcW w:w="1310" w:type="dxa"/>
          </w:tcPr>
          <w:p w14:paraId="5D7BC6CF"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Adult (age unknown)</w:t>
            </w:r>
          </w:p>
        </w:tc>
        <w:tc>
          <w:tcPr>
            <w:tcW w:w="1383" w:type="dxa"/>
          </w:tcPr>
          <w:p w14:paraId="7086E9E2"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Unknown</w:t>
            </w:r>
          </w:p>
        </w:tc>
        <w:tc>
          <w:tcPr>
            <w:tcW w:w="1559" w:type="dxa"/>
          </w:tcPr>
          <w:p w14:paraId="02C7788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Yes</w:t>
            </w:r>
          </w:p>
        </w:tc>
        <w:tc>
          <w:tcPr>
            <w:tcW w:w="1134" w:type="dxa"/>
          </w:tcPr>
          <w:p w14:paraId="39672BB5" w14:textId="77777777" w:rsidR="003B0C59" w:rsidRPr="008D1182" w:rsidRDefault="003B0C59" w:rsidP="009A74D1">
            <w:pPr>
              <w:rPr>
                <w:rFonts w:ascii="Times New Roman" w:hAnsi="Times New Roman" w:cs="Times New Roman"/>
                <w:sz w:val="20"/>
                <w:szCs w:val="20"/>
              </w:rPr>
            </w:pPr>
            <w:r w:rsidRPr="008D1182">
              <w:rPr>
                <w:rFonts w:ascii="Times New Roman" w:hAnsi="Times New Roman" w:cs="Times New Roman"/>
                <w:sz w:val="20"/>
                <w:szCs w:val="20"/>
              </w:rPr>
              <w:t>No</w:t>
            </w:r>
          </w:p>
        </w:tc>
      </w:tr>
      <w:bookmarkEnd w:id="0"/>
    </w:tbl>
    <w:p w14:paraId="6E204C36" w14:textId="72D702FB" w:rsidR="00EE564E" w:rsidRPr="008D1182" w:rsidRDefault="00EE564E">
      <w:pPr>
        <w:rPr>
          <w:rFonts w:ascii="Times New Roman" w:hAnsi="Times New Roman" w:cs="Times New Roman"/>
        </w:rPr>
      </w:pPr>
    </w:p>
    <w:p w14:paraId="62991F6C" w14:textId="50E41E42" w:rsidR="00F36BB2" w:rsidRPr="008D1182" w:rsidRDefault="00F36BB2" w:rsidP="008D1182">
      <w:pPr>
        <w:spacing w:after="0" w:line="360" w:lineRule="auto"/>
        <w:ind w:left="284" w:hanging="284"/>
        <w:jc w:val="center"/>
        <w:rPr>
          <w:rFonts w:ascii="Times New Roman" w:hAnsi="Times New Roman" w:cs="Times New Roman"/>
          <w:b/>
          <w:bCs/>
          <w:smallCaps/>
          <w:sz w:val="24"/>
          <w:szCs w:val="24"/>
        </w:rPr>
      </w:pPr>
      <w:r w:rsidRPr="008D1182">
        <w:rPr>
          <w:rFonts w:ascii="Times New Roman" w:hAnsi="Times New Roman" w:cs="Times New Roman"/>
          <w:b/>
          <w:bCs/>
          <w:smallCaps/>
          <w:sz w:val="24"/>
          <w:szCs w:val="24"/>
        </w:rPr>
        <w:t>References</w:t>
      </w:r>
    </w:p>
    <w:p w14:paraId="27574CC0" w14:textId="77777777" w:rsidR="00F36BB2" w:rsidRPr="008D1182" w:rsidRDefault="00F36BB2" w:rsidP="00F36BB2">
      <w:pPr>
        <w:spacing w:after="0" w:line="360" w:lineRule="auto"/>
        <w:ind w:left="284" w:hanging="284"/>
        <w:rPr>
          <w:rFonts w:ascii="Times New Roman" w:hAnsi="Times New Roman" w:cs="Times New Roman"/>
          <w:sz w:val="24"/>
          <w:szCs w:val="24"/>
        </w:rPr>
      </w:pPr>
      <w:proofErr w:type="spellStart"/>
      <w:r w:rsidRPr="008D1182">
        <w:rPr>
          <w:rFonts w:ascii="Times New Roman" w:hAnsi="Times New Roman" w:cs="Times New Roman"/>
          <w:sz w:val="24"/>
          <w:szCs w:val="24"/>
        </w:rPr>
        <w:t>Annis</w:t>
      </w:r>
      <w:proofErr w:type="spellEnd"/>
      <w:r w:rsidRPr="008D1182">
        <w:rPr>
          <w:rFonts w:ascii="Times New Roman" w:hAnsi="Times New Roman" w:cs="Times New Roman"/>
          <w:sz w:val="24"/>
          <w:szCs w:val="24"/>
        </w:rPr>
        <w:t xml:space="preserve">, R., Anderson, S., Bayliss, A., </w:t>
      </w:r>
      <w:proofErr w:type="spellStart"/>
      <w:r w:rsidRPr="008D1182">
        <w:rPr>
          <w:rFonts w:ascii="Times New Roman" w:hAnsi="Times New Roman" w:cs="Times New Roman"/>
          <w:sz w:val="24"/>
          <w:szCs w:val="24"/>
        </w:rPr>
        <w:t>Bronk</w:t>
      </w:r>
      <w:proofErr w:type="spellEnd"/>
      <w:r w:rsidRPr="008D1182">
        <w:rPr>
          <w:rFonts w:ascii="Times New Roman" w:hAnsi="Times New Roman" w:cs="Times New Roman"/>
          <w:sz w:val="24"/>
          <w:szCs w:val="24"/>
        </w:rPr>
        <w:t xml:space="preserve"> Ramsey, C., Huntley, J., Jones, J., et al. 1997. An Unusual Group of Early Bronze Age Burials from Windmill Fields, Ingleby Barwick, Stockton-on-Tees. Unpublished Tees Archaeology report. Hartlepool: Tees Archaeology.</w:t>
      </w:r>
    </w:p>
    <w:p w14:paraId="5B282569" w14:textId="52B1C675" w:rsidR="00F36BB2" w:rsidRPr="008D1182" w:rsidRDefault="00F36BB2" w:rsidP="00F36BB2">
      <w:pPr>
        <w:tabs>
          <w:tab w:val="left" w:pos="3663"/>
        </w:tabs>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 xml:space="preserve">Biddulph, E. &amp; Welsh, K. 2011. </w:t>
      </w:r>
      <w:r w:rsidRPr="008D1182">
        <w:rPr>
          <w:rFonts w:ascii="Times New Roman" w:hAnsi="Times New Roman" w:cs="Times New Roman"/>
          <w:i/>
          <w:iCs/>
          <w:sz w:val="24"/>
          <w:szCs w:val="24"/>
        </w:rPr>
        <w:t xml:space="preserve">Cirencester before </w:t>
      </w:r>
      <w:proofErr w:type="spellStart"/>
      <w:r w:rsidRPr="008D1182">
        <w:rPr>
          <w:rFonts w:ascii="Times New Roman" w:hAnsi="Times New Roman" w:cs="Times New Roman"/>
          <w:i/>
          <w:iCs/>
          <w:sz w:val="24"/>
          <w:szCs w:val="24"/>
        </w:rPr>
        <w:t>Corinium</w:t>
      </w:r>
      <w:proofErr w:type="spellEnd"/>
      <w:r w:rsidRPr="008D1182">
        <w:rPr>
          <w:rFonts w:ascii="Times New Roman" w:hAnsi="Times New Roman" w:cs="Times New Roman"/>
          <w:i/>
          <w:iCs/>
          <w:sz w:val="24"/>
          <w:szCs w:val="24"/>
        </w:rPr>
        <w:t xml:space="preserve">: Excavations at </w:t>
      </w:r>
      <w:proofErr w:type="spellStart"/>
      <w:r w:rsidRPr="008D1182">
        <w:rPr>
          <w:rFonts w:ascii="Times New Roman" w:hAnsi="Times New Roman" w:cs="Times New Roman"/>
          <w:i/>
          <w:iCs/>
          <w:sz w:val="24"/>
          <w:szCs w:val="24"/>
        </w:rPr>
        <w:t>Kingshill</w:t>
      </w:r>
      <w:proofErr w:type="spellEnd"/>
      <w:r w:rsidRPr="008D1182">
        <w:rPr>
          <w:rFonts w:ascii="Times New Roman" w:hAnsi="Times New Roman" w:cs="Times New Roman"/>
          <w:i/>
          <w:iCs/>
          <w:sz w:val="24"/>
          <w:szCs w:val="24"/>
        </w:rPr>
        <w:t xml:space="preserve"> North, Cirencester, Gloucestershire </w:t>
      </w:r>
      <w:r w:rsidRPr="008D1182">
        <w:rPr>
          <w:rFonts w:ascii="Times New Roman" w:hAnsi="Times New Roman" w:cs="Times New Roman"/>
          <w:sz w:val="24"/>
          <w:szCs w:val="24"/>
        </w:rPr>
        <w:t xml:space="preserve">(Thames Valley Landscapes Monograph 34). Oxford: Oxford Archaeology. </w:t>
      </w:r>
    </w:p>
    <w:p w14:paraId="09174735" w14:textId="25D94CAB" w:rsidR="00F36BB2" w:rsidRPr="008D1182" w:rsidRDefault="00F36BB2" w:rsidP="00F36BB2">
      <w:pPr>
        <w:pStyle w:val="NormalWeb"/>
        <w:spacing w:before="0" w:beforeAutospacing="0" w:after="0" w:afterAutospacing="0" w:line="360" w:lineRule="auto"/>
        <w:ind w:left="284" w:hanging="284"/>
      </w:pPr>
      <w:r w:rsidRPr="008D1182">
        <w:t xml:space="preserve">Booth, T.J. &amp; </w:t>
      </w:r>
      <w:proofErr w:type="spellStart"/>
      <w:r w:rsidRPr="008D1182">
        <w:t>Brück</w:t>
      </w:r>
      <w:proofErr w:type="spellEnd"/>
      <w:r w:rsidRPr="008D1182">
        <w:t xml:space="preserve">, J. 2020. Death is not the End: Radiocarbon and </w:t>
      </w:r>
      <w:proofErr w:type="spellStart"/>
      <w:r w:rsidRPr="008D1182">
        <w:t>Histo</w:t>
      </w:r>
      <w:proofErr w:type="spellEnd"/>
      <w:r w:rsidRPr="008D1182">
        <w:t xml:space="preserve">-Taphonomic Evidence for Curation and Excarnation of Human Remains in Bronze Age Britain. </w:t>
      </w:r>
      <w:r w:rsidRPr="008D1182">
        <w:rPr>
          <w:i/>
          <w:iCs/>
        </w:rPr>
        <w:t>Antiquity</w:t>
      </w:r>
      <w:r w:rsidRPr="008D1182">
        <w:t>, 94: 1186–1203.</w:t>
      </w:r>
    </w:p>
    <w:p w14:paraId="4DBF88B8" w14:textId="77777777" w:rsidR="000641D8" w:rsidRDefault="000641D8" w:rsidP="000641D8">
      <w:pPr>
        <w:tabs>
          <w:tab w:val="left" w:pos="3663"/>
        </w:tabs>
        <w:spacing w:after="0" w:line="360" w:lineRule="auto"/>
        <w:ind w:left="284" w:hanging="284"/>
        <w:rPr>
          <w:rFonts w:ascii="Times New Roman" w:hAnsi="Times New Roman" w:cs="Times New Roman"/>
          <w:sz w:val="24"/>
          <w:szCs w:val="24"/>
        </w:rPr>
      </w:pPr>
      <w:proofErr w:type="spellStart"/>
      <w:r w:rsidRPr="00E12528">
        <w:rPr>
          <w:rFonts w:ascii="Times New Roman" w:hAnsi="Times New Roman" w:cs="Times New Roman"/>
          <w:sz w:val="24"/>
          <w:szCs w:val="24"/>
        </w:rPr>
        <w:t>Bronk</w:t>
      </w:r>
      <w:proofErr w:type="spellEnd"/>
      <w:r w:rsidRPr="00E12528">
        <w:rPr>
          <w:rFonts w:ascii="Times New Roman" w:hAnsi="Times New Roman" w:cs="Times New Roman"/>
          <w:sz w:val="24"/>
          <w:szCs w:val="24"/>
        </w:rPr>
        <w:t xml:space="preserve"> Ramsey, C. 2009. Bayesian Analysis of Radiocarbon Dates. </w:t>
      </w:r>
      <w:r w:rsidRPr="00E12528">
        <w:rPr>
          <w:rFonts w:ascii="Times New Roman" w:hAnsi="Times New Roman" w:cs="Times New Roman"/>
          <w:i/>
          <w:sz w:val="24"/>
          <w:szCs w:val="24"/>
        </w:rPr>
        <w:t>Radiocarbon</w:t>
      </w:r>
      <w:r w:rsidRPr="00E12528">
        <w:rPr>
          <w:rFonts w:ascii="Times New Roman" w:hAnsi="Times New Roman" w:cs="Times New Roman"/>
          <w:sz w:val="24"/>
          <w:szCs w:val="24"/>
        </w:rPr>
        <w:t>, 51: 337–60.</w:t>
      </w:r>
      <w:r>
        <w:rPr>
          <w:rFonts w:ascii="Times New Roman" w:hAnsi="Times New Roman" w:cs="Times New Roman"/>
          <w:sz w:val="24"/>
          <w:szCs w:val="24"/>
        </w:rPr>
        <w:t xml:space="preserve"> </w:t>
      </w:r>
      <w:hyperlink r:id="rId5" w:tgtFrame="_blank" w:history="1">
        <w:r w:rsidRPr="000641D8">
          <w:rPr>
            <w:rStyle w:val="Hyperlink"/>
            <w:rFonts w:ascii="Times New Roman" w:hAnsi="Times New Roman" w:cs="Times New Roman"/>
            <w:sz w:val="24"/>
            <w:szCs w:val="24"/>
          </w:rPr>
          <w:t>https://doi.org/10.1017/S0033822200033865</w:t>
        </w:r>
      </w:hyperlink>
    </w:p>
    <w:p w14:paraId="2E3007CF" w14:textId="77777777" w:rsidR="00F36BB2" w:rsidRPr="008D1182" w:rsidRDefault="00F36BB2" w:rsidP="00F36BB2">
      <w:pPr>
        <w:spacing w:after="0" w:line="360" w:lineRule="auto"/>
        <w:ind w:left="284" w:hanging="284"/>
        <w:rPr>
          <w:rFonts w:ascii="Times New Roman" w:eastAsia="Times New Roman" w:hAnsi="Times New Roman" w:cs="Times New Roman"/>
          <w:color w:val="333333"/>
          <w:sz w:val="24"/>
          <w:szCs w:val="24"/>
          <w:lang w:eastAsia="en-GB"/>
        </w:rPr>
      </w:pPr>
      <w:proofErr w:type="spellStart"/>
      <w:r w:rsidRPr="008D1182">
        <w:rPr>
          <w:rFonts w:ascii="Times New Roman" w:hAnsi="Times New Roman" w:cs="Times New Roman"/>
          <w:sz w:val="24"/>
          <w:szCs w:val="24"/>
        </w:rPr>
        <w:lastRenderedPageBreak/>
        <w:t>Dunwell</w:t>
      </w:r>
      <w:proofErr w:type="spellEnd"/>
      <w:r w:rsidRPr="008D1182">
        <w:rPr>
          <w:rFonts w:ascii="Times New Roman" w:hAnsi="Times New Roman" w:cs="Times New Roman"/>
          <w:sz w:val="24"/>
          <w:szCs w:val="24"/>
        </w:rPr>
        <w:t xml:space="preserve">, A., Finlayson, B., Cool, H., Cowie, T., Heald, A., Hunter, F. et al. 2007. </w:t>
      </w:r>
      <w:r w:rsidRPr="008D1182">
        <w:rPr>
          <w:rFonts w:ascii="Times New Roman" w:hAnsi="Times New Roman" w:cs="Times New Roman"/>
          <w:i/>
          <w:sz w:val="24"/>
          <w:szCs w:val="24"/>
        </w:rPr>
        <w:t xml:space="preserve">Cist Burials and an Iron Age Settlement at </w:t>
      </w:r>
      <w:proofErr w:type="spellStart"/>
      <w:r w:rsidRPr="008D1182">
        <w:rPr>
          <w:rFonts w:ascii="Times New Roman" w:hAnsi="Times New Roman" w:cs="Times New Roman"/>
          <w:i/>
          <w:sz w:val="24"/>
          <w:szCs w:val="24"/>
        </w:rPr>
        <w:t>Dryburn</w:t>
      </w:r>
      <w:proofErr w:type="spellEnd"/>
      <w:r w:rsidRPr="008D1182">
        <w:rPr>
          <w:rFonts w:ascii="Times New Roman" w:hAnsi="Times New Roman" w:cs="Times New Roman"/>
          <w:i/>
          <w:sz w:val="24"/>
          <w:szCs w:val="24"/>
        </w:rPr>
        <w:t xml:space="preserve"> Bridge, </w:t>
      </w:r>
      <w:proofErr w:type="spellStart"/>
      <w:r w:rsidRPr="008D1182">
        <w:rPr>
          <w:rFonts w:ascii="Times New Roman" w:hAnsi="Times New Roman" w:cs="Times New Roman"/>
          <w:i/>
          <w:sz w:val="24"/>
          <w:szCs w:val="24"/>
        </w:rPr>
        <w:t>Innerwick</w:t>
      </w:r>
      <w:proofErr w:type="spellEnd"/>
      <w:r w:rsidRPr="008D1182">
        <w:rPr>
          <w:rFonts w:ascii="Times New Roman" w:hAnsi="Times New Roman" w:cs="Times New Roman"/>
          <w:i/>
          <w:sz w:val="24"/>
          <w:szCs w:val="24"/>
        </w:rPr>
        <w:t>, East Lothian</w:t>
      </w:r>
      <w:r w:rsidRPr="008D1182">
        <w:rPr>
          <w:rFonts w:ascii="Times New Roman" w:hAnsi="Times New Roman" w:cs="Times New Roman"/>
          <w:sz w:val="24"/>
          <w:szCs w:val="24"/>
        </w:rPr>
        <w:t xml:space="preserve"> (Scottish Archaeological Internet Reports, 24). Edinburgh: Society of Antiquaries of Scotland. </w:t>
      </w:r>
      <w:hyperlink r:id="rId6" w:history="1">
        <w:r w:rsidRPr="008D1182">
          <w:rPr>
            <w:rStyle w:val="Hyperlink"/>
            <w:rFonts w:ascii="Times New Roman" w:eastAsia="Times New Roman" w:hAnsi="Times New Roman" w:cs="Times New Roman"/>
            <w:sz w:val="24"/>
            <w:szCs w:val="24"/>
            <w:lang w:eastAsia="en-GB"/>
          </w:rPr>
          <w:t>http://journals.socantscot.org/index.php/sair/article/view/1139</w:t>
        </w:r>
      </w:hyperlink>
    </w:p>
    <w:p w14:paraId="03A861CD" w14:textId="77777777" w:rsidR="00F36BB2" w:rsidRPr="008D1182" w:rsidRDefault="00F36BB2" w:rsidP="00F36BB2">
      <w:pPr>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 xml:space="preserve">Fitzpatrick, A. 2011. </w:t>
      </w:r>
      <w:r w:rsidRPr="008D1182">
        <w:rPr>
          <w:rFonts w:ascii="Times New Roman" w:hAnsi="Times New Roman" w:cs="Times New Roman"/>
          <w:i/>
          <w:sz w:val="24"/>
          <w:szCs w:val="24"/>
        </w:rPr>
        <w:t>The Amesbury Archer and the Boscombe Bowmen. Bell Beaker Burials on Boscombe Down, Amesbury, Wiltshire</w:t>
      </w:r>
      <w:r w:rsidRPr="008D1182">
        <w:rPr>
          <w:rFonts w:ascii="Times New Roman" w:hAnsi="Times New Roman" w:cs="Times New Roman"/>
          <w:sz w:val="24"/>
          <w:szCs w:val="24"/>
        </w:rPr>
        <w:t>. Salisbury: Wessex Archaeology.</w:t>
      </w:r>
    </w:p>
    <w:p w14:paraId="6DBCA187" w14:textId="77777777" w:rsidR="00F36BB2" w:rsidRPr="008D1182" w:rsidRDefault="00F36BB2" w:rsidP="00F36BB2">
      <w:pPr>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 xml:space="preserve">Gamble, M. &amp; Fowler, C. 2013. A Re-Assessment of Human Skeletal Remains in Tyne and Wear Museums: Results and Implications for Interpreting Early Bronze Age Burials from Northeast England and Beyond. </w:t>
      </w:r>
      <w:proofErr w:type="spellStart"/>
      <w:r w:rsidRPr="008D1182">
        <w:rPr>
          <w:rFonts w:ascii="Times New Roman" w:hAnsi="Times New Roman" w:cs="Times New Roman"/>
          <w:i/>
          <w:sz w:val="24"/>
          <w:szCs w:val="24"/>
        </w:rPr>
        <w:t>Archaeologia</w:t>
      </w:r>
      <w:proofErr w:type="spellEnd"/>
      <w:r w:rsidRPr="008D1182">
        <w:rPr>
          <w:rFonts w:ascii="Times New Roman" w:hAnsi="Times New Roman" w:cs="Times New Roman"/>
          <w:i/>
          <w:sz w:val="24"/>
          <w:szCs w:val="24"/>
        </w:rPr>
        <w:t xml:space="preserve"> </w:t>
      </w:r>
      <w:proofErr w:type="spellStart"/>
      <w:r w:rsidRPr="008D1182">
        <w:rPr>
          <w:rFonts w:ascii="Times New Roman" w:hAnsi="Times New Roman" w:cs="Times New Roman"/>
          <w:i/>
          <w:sz w:val="24"/>
          <w:szCs w:val="24"/>
        </w:rPr>
        <w:t>Aeliana</w:t>
      </w:r>
      <w:proofErr w:type="spellEnd"/>
      <w:r w:rsidRPr="008D1182">
        <w:rPr>
          <w:rFonts w:ascii="Times New Roman" w:hAnsi="Times New Roman" w:cs="Times New Roman"/>
          <w:iCs/>
          <w:sz w:val="24"/>
          <w:szCs w:val="24"/>
        </w:rPr>
        <w:t>,</w:t>
      </w:r>
      <w:r w:rsidRPr="008D1182">
        <w:rPr>
          <w:rFonts w:ascii="Times New Roman" w:hAnsi="Times New Roman" w:cs="Times New Roman"/>
          <w:sz w:val="24"/>
          <w:szCs w:val="24"/>
        </w:rPr>
        <w:t xml:space="preserve"> </w:t>
      </w:r>
      <w:r w:rsidRPr="008D1182">
        <w:rPr>
          <w:rFonts w:ascii="Times New Roman" w:hAnsi="Times New Roman" w:cs="Times New Roman"/>
          <w:bCs/>
          <w:sz w:val="24"/>
          <w:szCs w:val="24"/>
        </w:rPr>
        <w:t>42</w:t>
      </w:r>
      <w:r w:rsidRPr="008D1182">
        <w:rPr>
          <w:rFonts w:ascii="Times New Roman" w:hAnsi="Times New Roman" w:cs="Times New Roman"/>
          <w:sz w:val="24"/>
          <w:szCs w:val="24"/>
        </w:rPr>
        <w:t>: 47–80.</w:t>
      </w:r>
    </w:p>
    <w:p w14:paraId="788DB0C0" w14:textId="77777777" w:rsidR="00F36BB2" w:rsidRPr="008D1182" w:rsidRDefault="00F36BB2" w:rsidP="00F36BB2">
      <w:pPr>
        <w:spacing w:after="0" w:line="360" w:lineRule="auto"/>
        <w:ind w:left="284" w:hanging="284"/>
        <w:rPr>
          <w:rFonts w:ascii="Times New Roman" w:hAnsi="Times New Roman" w:cs="Times New Roman"/>
          <w:sz w:val="24"/>
          <w:szCs w:val="24"/>
        </w:rPr>
      </w:pPr>
      <w:proofErr w:type="spellStart"/>
      <w:r w:rsidRPr="008D1182">
        <w:rPr>
          <w:rFonts w:ascii="Times New Roman" w:hAnsi="Times New Roman" w:cs="Times New Roman"/>
          <w:sz w:val="24"/>
          <w:szCs w:val="24"/>
        </w:rPr>
        <w:t>Lelong</w:t>
      </w:r>
      <w:proofErr w:type="spellEnd"/>
      <w:r w:rsidRPr="008D1182">
        <w:rPr>
          <w:rFonts w:ascii="Times New Roman" w:hAnsi="Times New Roman" w:cs="Times New Roman"/>
          <w:sz w:val="24"/>
          <w:szCs w:val="24"/>
        </w:rPr>
        <w:t xml:space="preserve">, O., </w:t>
      </w:r>
      <w:r w:rsidRPr="008D1182">
        <w:rPr>
          <w:rFonts w:ascii="Times New Roman" w:eastAsia="Times New Roman" w:hAnsi="Times New Roman" w:cs="Times New Roman"/>
          <w:color w:val="333333"/>
          <w:sz w:val="24"/>
          <w:szCs w:val="24"/>
          <w:lang w:eastAsia="en-GB"/>
        </w:rPr>
        <w:t xml:space="preserve">Hamilton, D., Lamb, A.L., McLaren, D., Shearer, I., Evans, et al. </w:t>
      </w:r>
      <w:r w:rsidRPr="008D1182">
        <w:rPr>
          <w:rFonts w:ascii="Times New Roman" w:hAnsi="Times New Roman" w:cs="Times New Roman"/>
          <w:sz w:val="24"/>
          <w:szCs w:val="24"/>
        </w:rPr>
        <w:t xml:space="preserve">2018. </w:t>
      </w:r>
      <w:r w:rsidRPr="008D1182">
        <w:rPr>
          <w:rFonts w:ascii="Times New Roman" w:hAnsi="Times New Roman" w:cs="Times New Roman"/>
          <w:i/>
          <w:iCs/>
          <w:sz w:val="24"/>
          <w:szCs w:val="24"/>
        </w:rPr>
        <w:t xml:space="preserve">Fluid Identities, Shifting Sands: Early Bronze Age Burials at </w:t>
      </w:r>
      <w:proofErr w:type="spellStart"/>
      <w:r w:rsidRPr="008D1182">
        <w:rPr>
          <w:rFonts w:ascii="Times New Roman" w:hAnsi="Times New Roman" w:cs="Times New Roman"/>
          <w:i/>
          <w:iCs/>
          <w:sz w:val="24"/>
          <w:szCs w:val="24"/>
        </w:rPr>
        <w:t>Cnip</w:t>
      </w:r>
      <w:proofErr w:type="spellEnd"/>
      <w:r w:rsidRPr="008D1182">
        <w:rPr>
          <w:rFonts w:ascii="Times New Roman" w:hAnsi="Times New Roman" w:cs="Times New Roman"/>
          <w:i/>
          <w:iCs/>
          <w:sz w:val="24"/>
          <w:szCs w:val="24"/>
        </w:rPr>
        <w:t xml:space="preserve"> Headland, Isle of Lewis</w:t>
      </w:r>
      <w:r w:rsidRPr="008D1182">
        <w:rPr>
          <w:rFonts w:ascii="Times New Roman" w:hAnsi="Times New Roman" w:cs="Times New Roman"/>
          <w:sz w:val="24"/>
          <w:szCs w:val="24"/>
        </w:rPr>
        <w:t xml:space="preserve"> (</w:t>
      </w:r>
      <w:r w:rsidRPr="008D1182">
        <w:rPr>
          <w:rFonts w:ascii="Times New Roman" w:hAnsi="Times New Roman" w:cs="Times New Roman"/>
          <w:iCs/>
          <w:sz w:val="24"/>
          <w:szCs w:val="24"/>
        </w:rPr>
        <w:t>Scottish Archaeological Internet Reports</w:t>
      </w:r>
      <w:r w:rsidRPr="008D1182">
        <w:rPr>
          <w:rFonts w:ascii="Times New Roman" w:hAnsi="Times New Roman" w:cs="Times New Roman"/>
          <w:sz w:val="24"/>
          <w:szCs w:val="24"/>
        </w:rPr>
        <w:t xml:space="preserve">, </w:t>
      </w:r>
      <w:r w:rsidRPr="008D1182">
        <w:rPr>
          <w:rFonts w:ascii="Times New Roman" w:hAnsi="Times New Roman" w:cs="Times New Roman"/>
          <w:iCs/>
          <w:sz w:val="24"/>
          <w:szCs w:val="24"/>
        </w:rPr>
        <w:t>75)</w:t>
      </w:r>
      <w:r w:rsidRPr="008D1182">
        <w:rPr>
          <w:rFonts w:ascii="Times New Roman" w:hAnsi="Times New Roman" w:cs="Times New Roman"/>
          <w:sz w:val="24"/>
          <w:szCs w:val="24"/>
        </w:rPr>
        <w:t xml:space="preserve">. </w:t>
      </w:r>
      <w:hyperlink r:id="rId7" w:history="1">
        <w:r w:rsidRPr="008D1182">
          <w:rPr>
            <w:rStyle w:val="Hyperlink"/>
            <w:rFonts w:ascii="Times New Roman" w:eastAsia="Times New Roman" w:hAnsi="Times New Roman" w:cs="Times New Roman"/>
            <w:sz w:val="24"/>
            <w:szCs w:val="24"/>
            <w:lang w:val="en-IE" w:eastAsia="en-IE"/>
          </w:rPr>
          <w:t>https://doi.org/10.9750/issn.2056-7421.2018.75</w:t>
        </w:r>
      </w:hyperlink>
    </w:p>
    <w:p w14:paraId="6EC2A790" w14:textId="77777777" w:rsidR="00F36BB2" w:rsidRPr="008D1182" w:rsidRDefault="00F36BB2" w:rsidP="00F36BB2">
      <w:pPr>
        <w:tabs>
          <w:tab w:val="left" w:pos="3663"/>
        </w:tabs>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 xml:space="preserve">Mays, S. 2011. </w:t>
      </w:r>
      <w:r w:rsidRPr="008D1182">
        <w:rPr>
          <w:rFonts w:ascii="Times New Roman" w:hAnsi="Times New Roman" w:cs="Times New Roman"/>
          <w:bCs/>
          <w:sz w:val="24"/>
          <w:szCs w:val="24"/>
        </w:rPr>
        <w:t xml:space="preserve">Cremations from Barrows 1, 3, 4 and 5. In: J. </w:t>
      </w:r>
      <w:r w:rsidRPr="008D1182">
        <w:rPr>
          <w:rFonts w:ascii="Times New Roman" w:hAnsi="Times New Roman" w:cs="Times New Roman"/>
          <w:sz w:val="24"/>
          <w:szCs w:val="24"/>
        </w:rPr>
        <w:t xml:space="preserve">Harding. &amp; F. Healy, eds. </w:t>
      </w:r>
      <w:r w:rsidRPr="008D1182">
        <w:rPr>
          <w:rFonts w:ascii="Times New Roman" w:hAnsi="Times New Roman" w:cs="Times New Roman"/>
          <w:i/>
          <w:sz w:val="24"/>
          <w:szCs w:val="24"/>
        </w:rPr>
        <w:t xml:space="preserve">The </w:t>
      </w:r>
      <w:proofErr w:type="spellStart"/>
      <w:r w:rsidRPr="008D1182">
        <w:rPr>
          <w:rFonts w:ascii="Times New Roman" w:hAnsi="Times New Roman" w:cs="Times New Roman"/>
          <w:i/>
          <w:sz w:val="24"/>
          <w:szCs w:val="24"/>
        </w:rPr>
        <w:t>Raunds</w:t>
      </w:r>
      <w:proofErr w:type="spellEnd"/>
      <w:r w:rsidRPr="008D1182">
        <w:rPr>
          <w:rFonts w:ascii="Times New Roman" w:hAnsi="Times New Roman" w:cs="Times New Roman"/>
          <w:i/>
          <w:sz w:val="24"/>
          <w:szCs w:val="24"/>
        </w:rPr>
        <w:t xml:space="preserve"> Area Project. A Neolithic and Bronze Age Landscape in Northamptonshire</w:t>
      </w:r>
      <w:r w:rsidRPr="008D1182">
        <w:rPr>
          <w:rFonts w:ascii="Times New Roman" w:hAnsi="Times New Roman" w:cs="Times New Roman"/>
          <w:sz w:val="24"/>
          <w:szCs w:val="24"/>
        </w:rPr>
        <w:t>. London: English Heritage, pp. 709–15.</w:t>
      </w:r>
    </w:p>
    <w:p w14:paraId="3CA33C38" w14:textId="77777777" w:rsidR="00F36BB2" w:rsidRPr="008D1182" w:rsidRDefault="00F36BB2" w:rsidP="00F36BB2">
      <w:pPr>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 xml:space="preserve">McKinley, J. 2011. Human Remains. In: A. Fitzpatrick, </w:t>
      </w:r>
      <w:r w:rsidRPr="008D1182">
        <w:rPr>
          <w:rFonts w:ascii="Times New Roman" w:hAnsi="Times New Roman" w:cs="Times New Roman"/>
          <w:i/>
          <w:sz w:val="24"/>
          <w:szCs w:val="24"/>
        </w:rPr>
        <w:t xml:space="preserve">The Amesbury </w:t>
      </w:r>
      <w:proofErr w:type="gramStart"/>
      <w:r w:rsidRPr="008D1182">
        <w:rPr>
          <w:rFonts w:ascii="Times New Roman" w:hAnsi="Times New Roman" w:cs="Times New Roman"/>
          <w:i/>
          <w:sz w:val="24"/>
          <w:szCs w:val="24"/>
        </w:rPr>
        <w:t>Archer</w:t>
      </w:r>
      <w:proofErr w:type="gramEnd"/>
      <w:r w:rsidRPr="008D1182">
        <w:rPr>
          <w:rFonts w:ascii="Times New Roman" w:hAnsi="Times New Roman" w:cs="Times New Roman"/>
          <w:i/>
          <w:sz w:val="24"/>
          <w:szCs w:val="24"/>
        </w:rPr>
        <w:t xml:space="preserve"> and the Boscombe Bowmen. Bell Beaker Burials at Boscombe Down, Amesbury, Wiltshire </w:t>
      </w:r>
      <w:r w:rsidRPr="008D1182">
        <w:rPr>
          <w:rFonts w:ascii="Times New Roman" w:hAnsi="Times New Roman" w:cs="Times New Roman"/>
          <w:iCs/>
          <w:sz w:val="24"/>
          <w:szCs w:val="24"/>
        </w:rPr>
        <w:t>(</w:t>
      </w:r>
      <w:r w:rsidRPr="008D1182">
        <w:rPr>
          <w:rFonts w:ascii="Times New Roman" w:hAnsi="Times New Roman" w:cs="Times New Roman"/>
          <w:sz w:val="24"/>
          <w:szCs w:val="24"/>
        </w:rPr>
        <w:t>Wessex Archaeology Report 27). Salisbury: Wessex Archaeology, pp. 18–32.</w:t>
      </w:r>
    </w:p>
    <w:p w14:paraId="5D4A0264" w14:textId="77777777" w:rsidR="00F36BB2" w:rsidRPr="008D1182" w:rsidRDefault="00F36BB2" w:rsidP="00F36BB2">
      <w:pPr>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Perkins, D. 1995. An Assessment/Research Design: South Dumpton Down, Broadstairs. Unpublished Trust for Thanet Archaeology report. Birchington: Trust for Thanet Archaeology.</w:t>
      </w:r>
    </w:p>
    <w:p w14:paraId="668DADE1" w14:textId="77777777" w:rsidR="000641D8" w:rsidRPr="00E12528" w:rsidRDefault="000641D8" w:rsidP="000641D8">
      <w:pPr>
        <w:spacing w:after="0" w:line="360" w:lineRule="auto"/>
        <w:ind w:left="284" w:hanging="284"/>
        <w:rPr>
          <w:rFonts w:ascii="Times New Roman" w:eastAsia="Times New Roman" w:hAnsi="Times New Roman" w:cs="Times New Roman"/>
          <w:sz w:val="24"/>
          <w:szCs w:val="24"/>
          <w:lang w:eastAsia="en-IE"/>
        </w:rPr>
      </w:pPr>
      <w:r w:rsidRPr="00E12528">
        <w:rPr>
          <w:rFonts w:ascii="Times New Roman" w:eastAsia="Times New Roman" w:hAnsi="Times New Roman" w:cs="Times New Roman"/>
          <w:sz w:val="24"/>
          <w:szCs w:val="24"/>
          <w:lang w:eastAsia="en-IE"/>
        </w:rPr>
        <w:t xml:space="preserve">Reimer, P.J., Bard, E., Bayliss, A., Beck, </w:t>
      </w:r>
      <w:proofErr w:type="spellStart"/>
      <w:r w:rsidRPr="00E12528">
        <w:rPr>
          <w:rFonts w:ascii="Times New Roman" w:eastAsia="Times New Roman" w:hAnsi="Times New Roman" w:cs="Times New Roman"/>
          <w:sz w:val="24"/>
          <w:szCs w:val="24"/>
          <w:lang w:eastAsia="en-IE"/>
        </w:rPr>
        <w:t>J.W</w:t>
      </w:r>
      <w:proofErr w:type="spellEnd"/>
      <w:r w:rsidRPr="00E12528">
        <w:rPr>
          <w:rFonts w:ascii="Times New Roman" w:eastAsia="Times New Roman" w:hAnsi="Times New Roman" w:cs="Times New Roman"/>
          <w:sz w:val="24"/>
          <w:szCs w:val="24"/>
          <w:lang w:eastAsia="en-IE"/>
        </w:rPr>
        <w:t xml:space="preserve">., Blackwell, P.G., </w:t>
      </w:r>
      <w:proofErr w:type="spellStart"/>
      <w:r w:rsidRPr="00E12528">
        <w:rPr>
          <w:rFonts w:ascii="Times New Roman" w:eastAsia="Times New Roman" w:hAnsi="Times New Roman" w:cs="Times New Roman"/>
          <w:sz w:val="24"/>
          <w:szCs w:val="24"/>
          <w:lang w:eastAsia="en-IE"/>
        </w:rPr>
        <w:t>Bronk</w:t>
      </w:r>
      <w:proofErr w:type="spellEnd"/>
      <w:r w:rsidRPr="00E12528">
        <w:rPr>
          <w:rFonts w:ascii="Times New Roman" w:eastAsia="Times New Roman" w:hAnsi="Times New Roman" w:cs="Times New Roman"/>
          <w:sz w:val="24"/>
          <w:szCs w:val="24"/>
          <w:lang w:eastAsia="en-IE"/>
        </w:rPr>
        <w:t xml:space="preserve"> Ramsey, C., et al. 2013. </w:t>
      </w:r>
      <w:proofErr w:type="spellStart"/>
      <w:r w:rsidRPr="00E12528">
        <w:rPr>
          <w:rFonts w:ascii="Times New Roman" w:eastAsia="Times New Roman" w:hAnsi="Times New Roman" w:cs="Times New Roman"/>
          <w:sz w:val="24"/>
          <w:szCs w:val="24"/>
          <w:lang w:eastAsia="en-IE"/>
        </w:rPr>
        <w:t>IntCal13</w:t>
      </w:r>
      <w:proofErr w:type="spellEnd"/>
      <w:r w:rsidRPr="00E12528">
        <w:rPr>
          <w:rFonts w:ascii="Times New Roman" w:eastAsia="Times New Roman" w:hAnsi="Times New Roman" w:cs="Times New Roman"/>
          <w:sz w:val="24"/>
          <w:szCs w:val="24"/>
          <w:lang w:eastAsia="en-IE"/>
        </w:rPr>
        <w:t xml:space="preserve"> and </w:t>
      </w:r>
      <w:proofErr w:type="spellStart"/>
      <w:r w:rsidRPr="00E12528">
        <w:rPr>
          <w:rFonts w:ascii="Times New Roman" w:eastAsia="Times New Roman" w:hAnsi="Times New Roman" w:cs="Times New Roman"/>
          <w:sz w:val="24"/>
          <w:szCs w:val="24"/>
          <w:lang w:eastAsia="en-IE"/>
        </w:rPr>
        <w:t>Marine13</w:t>
      </w:r>
      <w:proofErr w:type="spellEnd"/>
      <w:r w:rsidRPr="00E12528">
        <w:rPr>
          <w:rFonts w:ascii="Times New Roman" w:eastAsia="Times New Roman" w:hAnsi="Times New Roman" w:cs="Times New Roman"/>
          <w:sz w:val="24"/>
          <w:szCs w:val="24"/>
          <w:lang w:eastAsia="en-IE"/>
        </w:rPr>
        <w:t xml:space="preserve"> Radiocarbon Age Calibration Curves 0–50,000 Years </w:t>
      </w:r>
      <w:proofErr w:type="spellStart"/>
      <w:r w:rsidRPr="00E12528">
        <w:rPr>
          <w:rFonts w:ascii="Times New Roman" w:eastAsia="Times New Roman" w:hAnsi="Times New Roman" w:cs="Times New Roman"/>
          <w:sz w:val="24"/>
          <w:szCs w:val="24"/>
          <w:lang w:eastAsia="en-IE"/>
        </w:rPr>
        <w:t>cal</w:t>
      </w:r>
      <w:proofErr w:type="spellEnd"/>
      <w:r w:rsidRPr="00E12528">
        <w:rPr>
          <w:rFonts w:ascii="Times New Roman" w:eastAsia="Times New Roman" w:hAnsi="Times New Roman" w:cs="Times New Roman"/>
          <w:sz w:val="24"/>
          <w:szCs w:val="24"/>
          <w:lang w:eastAsia="en-IE"/>
        </w:rPr>
        <w:t xml:space="preserve"> </w:t>
      </w:r>
      <w:r w:rsidRPr="004C3C66">
        <w:rPr>
          <w:rFonts w:ascii="Times New Roman" w:eastAsia="Times New Roman" w:hAnsi="Times New Roman" w:cs="Times New Roman"/>
          <w:smallCaps/>
          <w:sz w:val="24"/>
          <w:szCs w:val="24"/>
          <w:lang w:eastAsia="en-IE"/>
        </w:rPr>
        <w:t>bp</w:t>
      </w:r>
      <w:r w:rsidRPr="00E12528">
        <w:rPr>
          <w:rFonts w:ascii="Times New Roman" w:eastAsia="Times New Roman" w:hAnsi="Times New Roman" w:cs="Times New Roman"/>
          <w:sz w:val="24"/>
          <w:szCs w:val="24"/>
          <w:lang w:eastAsia="en-IE"/>
        </w:rPr>
        <w:t xml:space="preserve">. </w:t>
      </w:r>
      <w:r w:rsidRPr="00E12528">
        <w:rPr>
          <w:rFonts w:ascii="Times New Roman" w:eastAsia="Times New Roman" w:hAnsi="Times New Roman" w:cs="Times New Roman"/>
          <w:i/>
          <w:sz w:val="24"/>
          <w:szCs w:val="24"/>
          <w:lang w:eastAsia="en-IE"/>
        </w:rPr>
        <w:t>Radiocarbon</w:t>
      </w:r>
      <w:r w:rsidRPr="00E12528">
        <w:rPr>
          <w:rFonts w:ascii="Times New Roman" w:eastAsia="Times New Roman" w:hAnsi="Times New Roman" w:cs="Times New Roman"/>
          <w:sz w:val="24"/>
          <w:szCs w:val="24"/>
          <w:lang w:eastAsia="en-IE"/>
        </w:rPr>
        <w:t>, 55: 1869–87.</w:t>
      </w:r>
      <w:r>
        <w:rPr>
          <w:rFonts w:ascii="Times New Roman" w:eastAsia="Times New Roman" w:hAnsi="Times New Roman" w:cs="Times New Roman"/>
          <w:sz w:val="24"/>
          <w:szCs w:val="24"/>
          <w:lang w:eastAsia="en-IE"/>
        </w:rPr>
        <w:t xml:space="preserve"> </w:t>
      </w:r>
      <w:hyperlink r:id="rId8" w:tgtFrame="_blank" w:history="1">
        <w:r w:rsidRPr="000641D8">
          <w:rPr>
            <w:rStyle w:val="Hyperlink"/>
            <w:rFonts w:ascii="Times New Roman" w:eastAsia="Times New Roman" w:hAnsi="Times New Roman" w:cs="Times New Roman"/>
            <w:sz w:val="24"/>
            <w:szCs w:val="24"/>
            <w:lang w:eastAsia="en-IE"/>
          </w:rPr>
          <w:t>https://doi.org/10.2458/azu_js_rc.55.16947</w:t>
        </w:r>
      </w:hyperlink>
    </w:p>
    <w:p w14:paraId="7B4A8C31" w14:textId="77777777" w:rsidR="00F36BB2" w:rsidRPr="008D1182" w:rsidRDefault="00F36BB2" w:rsidP="00F36BB2">
      <w:pPr>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 xml:space="preserve">Ritchie, J., Stevenson, J., Lunt, D., Wickham-Jones, C. &amp; Young, A. 1983. Cists at </w:t>
      </w:r>
      <w:proofErr w:type="spellStart"/>
      <w:r w:rsidRPr="008D1182">
        <w:rPr>
          <w:rFonts w:ascii="Times New Roman" w:hAnsi="Times New Roman" w:cs="Times New Roman"/>
          <w:sz w:val="24"/>
          <w:szCs w:val="24"/>
        </w:rPr>
        <w:t>Traigh</w:t>
      </w:r>
      <w:proofErr w:type="spellEnd"/>
      <w:r w:rsidRPr="008D1182">
        <w:rPr>
          <w:rFonts w:ascii="Times New Roman" w:hAnsi="Times New Roman" w:cs="Times New Roman"/>
          <w:sz w:val="24"/>
          <w:szCs w:val="24"/>
        </w:rPr>
        <w:t xml:space="preserve"> </w:t>
      </w:r>
      <w:proofErr w:type="spellStart"/>
      <w:r w:rsidRPr="008D1182">
        <w:rPr>
          <w:rFonts w:ascii="Times New Roman" w:hAnsi="Times New Roman" w:cs="Times New Roman"/>
          <w:sz w:val="24"/>
          <w:szCs w:val="24"/>
        </w:rPr>
        <w:t>Bhan</w:t>
      </w:r>
      <w:proofErr w:type="spellEnd"/>
      <w:r w:rsidRPr="008D1182">
        <w:rPr>
          <w:rFonts w:ascii="Times New Roman" w:hAnsi="Times New Roman" w:cs="Times New Roman"/>
          <w:sz w:val="24"/>
          <w:szCs w:val="24"/>
        </w:rPr>
        <w:t xml:space="preserve">, Islay, Argyll. </w:t>
      </w:r>
      <w:r w:rsidRPr="008D1182">
        <w:rPr>
          <w:rFonts w:ascii="Times New Roman" w:hAnsi="Times New Roman" w:cs="Times New Roman"/>
          <w:i/>
          <w:sz w:val="24"/>
          <w:szCs w:val="24"/>
        </w:rPr>
        <w:t>Proceedings of the Society of Antiquaries of Scotland</w:t>
      </w:r>
      <w:r w:rsidRPr="008D1182">
        <w:rPr>
          <w:rFonts w:ascii="Times New Roman" w:hAnsi="Times New Roman" w:cs="Times New Roman"/>
          <w:iCs/>
          <w:sz w:val="24"/>
          <w:szCs w:val="24"/>
        </w:rPr>
        <w:t>,</w:t>
      </w:r>
      <w:r w:rsidRPr="008D1182">
        <w:rPr>
          <w:rFonts w:ascii="Times New Roman" w:hAnsi="Times New Roman" w:cs="Times New Roman"/>
          <w:sz w:val="24"/>
          <w:szCs w:val="24"/>
        </w:rPr>
        <w:t xml:space="preserve"> 112: 550–59.</w:t>
      </w:r>
    </w:p>
    <w:p w14:paraId="75F13A25" w14:textId="77777777" w:rsidR="00F36BB2" w:rsidRPr="008D1182" w:rsidRDefault="00F36BB2" w:rsidP="00F36BB2">
      <w:pPr>
        <w:spacing w:after="0" w:line="360" w:lineRule="auto"/>
        <w:ind w:left="284" w:hanging="284"/>
        <w:rPr>
          <w:rStyle w:val="Hyperlink"/>
          <w:rFonts w:ascii="Times New Roman" w:hAnsi="Times New Roman" w:cs="Times New Roman"/>
          <w:sz w:val="24"/>
          <w:szCs w:val="24"/>
        </w:rPr>
      </w:pPr>
      <w:r w:rsidRPr="008D1182">
        <w:rPr>
          <w:rFonts w:ascii="Times New Roman" w:hAnsi="Times New Roman" w:cs="Times New Roman"/>
          <w:sz w:val="24"/>
          <w:szCs w:val="24"/>
        </w:rPr>
        <w:t xml:space="preserve">Smith, A., Powell, K. &amp; Booth, P. 2010. </w:t>
      </w:r>
      <w:r w:rsidRPr="008D1182">
        <w:rPr>
          <w:rFonts w:ascii="Times New Roman" w:hAnsi="Times New Roman" w:cs="Times New Roman"/>
          <w:i/>
          <w:iCs/>
          <w:sz w:val="24"/>
          <w:szCs w:val="24"/>
        </w:rPr>
        <w:t xml:space="preserve">Evolution of a Farming Community in the Upper Thames Valley. Excavation of a Prehistoric, Roman and Post-Roman Landscape at Cotswold Community, </w:t>
      </w:r>
      <w:proofErr w:type="gramStart"/>
      <w:r w:rsidRPr="008D1182">
        <w:rPr>
          <w:rFonts w:ascii="Times New Roman" w:hAnsi="Times New Roman" w:cs="Times New Roman"/>
          <w:i/>
          <w:iCs/>
          <w:sz w:val="24"/>
          <w:szCs w:val="24"/>
        </w:rPr>
        <w:t>Gloucestershire</w:t>
      </w:r>
      <w:proofErr w:type="gramEnd"/>
      <w:r w:rsidRPr="008D1182">
        <w:rPr>
          <w:rFonts w:ascii="Times New Roman" w:hAnsi="Times New Roman" w:cs="Times New Roman"/>
          <w:i/>
          <w:iCs/>
          <w:sz w:val="24"/>
          <w:szCs w:val="24"/>
        </w:rPr>
        <w:t xml:space="preserve"> and Wiltshire. Volume 2: The Finds and Environmental Reports </w:t>
      </w:r>
      <w:r w:rsidRPr="008D1182">
        <w:rPr>
          <w:rFonts w:ascii="Times New Roman" w:hAnsi="Times New Roman" w:cs="Times New Roman"/>
          <w:sz w:val="24"/>
          <w:szCs w:val="24"/>
        </w:rPr>
        <w:t xml:space="preserve">(Oxford Archaeology South Report). Oxford: Oxford Archaeology South. </w:t>
      </w:r>
      <w:hyperlink r:id="rId9" w:history="1">
        <w:r w:rsidRPr="008D1182">
          <w:rPr>
            <w:rStyle w:val="Hyperlink"/>
            <w:rFonts w:ascii="Times New Roman" w:hAnsi="Times New Roman" w:cs="Times New Roman"/>
            <w:sz w:val="24"/>
            <w:szCs w:val="24"/>
          </w:rPr>
          <w:t>https://library.thehumanjourney.net/314/</w:t>
        </w:r>
      </w:hyperlink>
      <w:r w:rsidRPr="008D1182">
        <w:rPr>
          <w:rStyle w:val="Hyperlink"/>
          <w:rFonts w:ascii="Times New Roman" w:hAnsi="Times New Roman" w:cs="Times New Roman"/>
          <w:sz w:val="24"/>
          <w:szCs w:val="24"/>
        </w:rPr>
        <w:t xml:space="preserve"> </w:t>
      </w:r>
    </w:p>
    <w:p w14:paraId="42509181" w14:textId="77777777" w:rsidR="00F36BB2" w:rsidRPr="008D1182" w:rsidRDefault="00F36BB2" w:rsidP="00F36BB2">
      <w:pPr>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t xml:space="preserve">Smith, M., Allen, M., </w:t>
      </w:r>
      <w:proofErr w:type="spellStart"/>
      <w:r w:rsidRPr="008D1182">
        <w:rPr>
          <w:rFonts w:ascii="Times New Roman" w:hAnsi="Times New Roman" w:cs="Times New Roman"/>
          <w:sz w:val="24"/>
          <w:szCs w:val="24"/>
        </w:rPr>
        <w:t>Delbarre</w:t>
      </w:r>
      <w:proofErr w:type="spellEnd"/>
      <w:r w:rsidRPr="008D1182">
        <w:rPr>
          <w:rFonts w:ascii="Times New Roman" w:hAnsi="Times New Roman" w:cs="Times New Roman"/>
          <w:sz w:val="24"/>
          <w:szCs w:val="24"/>
        </w:rPr>
        <w:t xml:space="preserve">, G., Booth, T., Cheetham, P., Bailey, L. et al. 2016. Holding on to the Past: Southern British Evidence for Mummification and Retention of the Dead in the Chalcolithic and Bronze Age. </w:t>
      </w:r>
      <w:r w:rsidRPr="008D1182">
        <w:rPr>
          <w:rFonts w:ascii="Times New Roman" w:hAnsi="Times New Roman" w:cs="Times New Roman"/>
          <w:i/>
          <w:sz w:val="24"/>
          <w:szCs w:val="24"/>
        </w:rPr>
        <w:t>Journal of Archaeological Science Reports</w:t>
      </w:r>
      <w:r w:rsidRPr="008D1182">
        <w:rPr>
          <w:rFonts w:ascii="Times New Roman" w:hAnsi="Times New Roman" w:cs="Times New Roman"/>
          <w:iCs/>
          <w:sz w:val="24"/>
          <w:szCs w:val="24"/>
        </w:rPr>
        <w:t>,</w:t>
      </w:r>
      <w:r w:rsidRPr="008D1182">
        <w:rPr>
          <w:rFonts w:ascii="Times New Roman" w:hAnsi="Times New Roman" w:cs="Times New Roman"/>
          <w:sz w:val="24"/>
          <w:szCs w:val="24"/>
        </w:rPr>
        <w:t xml:space="preserve"> 10: 744–56.</w:t>
      </w:r>
    </w:p>
    <w:p w14:paraId="27EAE9A4" w14:textId="77777777" w:rsidR="00F36BB2" w:rsidRPr="008D1182" w:rsidRDefault="00F36BB2" w:rsidP="00F36BB2">
      <w:pPr>
        <w:tabs>
          <w:tab w:val="left" w:pos="3663"/>
        </w:tabs>
        <w:spacing w:after="0" w:line="360" w:lineRule="auto"/>
        <w:ind w:left="284" w:hanging="284"/>
        <w:rPr>
          <w:rFonts w:ascii="Times New Roman" w:hAnsi="Times New Roman" w:cs="Times New Roman"/>
          <w:sz w:val="24"/>
          <w:szCs w:val="24"/>
        </w:rPr>
      </w:pPr>
      <w:r w:rsidRPr="008D1182">
        <w:rPr>
          <w:rFonts w:ascii="Times New Roman" w:hAnsi="Times New Roman" w:cs="Times New Roman"/>
          <w:sz w:val="24"/>
          <w:szCs w:val="24"/>
        </w:rPr>
        <w:lastRenderedPageBreak/>
        <w:t xml:space="preserve">Woodward, A. &amp; Hunter, J. 2015. </w:t>
      </w:r>
      <w:r w:rsidRPr="008D1182">
        <w:rPr>
          <w:rFonts w:ascii="Times New Roman" w:hAnsi="Times New Roman" w:cs="Times New Roman"/>
          <w:i/>
          <w:sz w:val="24"/>
          <w:szCs w:val="24"/>
        </w:rPr>
        <w:t>Ritual in Early Bronze Age Grave Goods: An Examination of Ritual and Dress Equipment from Chalcolithic and Early Bronze Age Graves in England</w:t>
      </w:r>
      <w:r w:rsidRPr="008D1182">
        <w:rPr>
          <w:rFonts w:ascii="Times New Roman" w:hAnsi="Times New Roman" w:cs="Times New Roman"/>
          <w:sz w:val="24"/>
          <w:szCs w:val="24"/>
        </w:rPr>
        <w:t>. Oxford: Oxbow.</w:t>
      </w:r>
    </w:p>
    <w:p w14:paraId="3D9A46C1" w14:textId="5A699E6B" w:rsidR="00F36BB2" w:rsidRPr="008D1182" w:rsidRDefault="00F36BB2" w:rsidP="008D1182">
      <w:pPr>
        <w:spacing w:after="0" w:line="360" w:lineRule="auto"/>
        <w:ind w:left="284" w:hanging="284"/>
        <w:rPr>
          <w:rFonts w:ascii="Times New Roman" w:hAnsi="Times New Roman" w:cs="Times New Roman"/>
          <w:sz w:val="24"/>
          <w:szCs w:val="24"/>
          <w:lang w:eastAsia="en-GB"/>
        </w:rPr>
      </w:pPr>
      <w:r w:rsidRPr="008D1182">
        <w:rPr>
          <w:rFonts w:ascii="Times New Roman" w:hAnsi="Times New Roman" w:cs="Times New Roman"/>
          <w:sz w:val="24"/>
          <w:szCs w:val="24"/>
          <w:lang w:eastAsia="en-GB"/>
        </w:rPr>
        <w:t xml:space="preserve">Woodward, A. &amp; Needham, S. 2012. Diversity and Distinction: Characterising the Individual Buried at </w:t>
      </w:r>
      <w:proofErr w:type="spellStart"/>
      <w:r w:rsidRPr="008D1182">
        <w:rPr>
          <w:rFonts w:ascii="Times New Roman" w:hAnsi="Times New Roman" w:cs="Times New Roman"/>
          <w:sz w:val="24"/>
          <w:szCs w:val="24"/>
          <w:lang w:eastAsia="en-GB"/>
        </w:rPr>
        <w:t>Wilsford</w:t>
      </w:r>
      <w:proofErr w:type="spellEnd"/>
      <w:r w:rsidRPr="008D1182">
        <w:rPr>
          <w:rFonts w:ascii="Times New Roman" w:hAnsi="Times New Roman" w:cs="Times New Roman"/>
          <w:sz w:val="24"/>
          <w:szCs w:val="24"/>
          <w:lang w:eastAsia="en-GB"/>
        </w:rPr>
        <w:t xml:space="preserve"> </w:t>
      </w:r>
      <w:proofErr w:type="spellStart"/>
      <w:r w:rsidRPr="008D1182">
        <w:rPr>
          <w:rFonts w:ascii="Times New Roman" w:hAnsi="Times New Roman" w:cs="Times New Roman"/>
          <w:sz w:val="24"/>
          <w:szCs w:val="24"/>
          <w:lang w:eastAsia="en-GB"/>
        </w:rPr>
        <w:t>G58</w:t>
      </w:r>
      <w:proofErr w:type="spellEnd"/>
      <w:r w:rsidRPr="008D1182">
        <w:rPr>
          <w:rFonts w:ascii="Times New Roman" w:hAnsi="Times New Roman" w:cs="Times New Roman"/>
          <w:sz w:val="24"/>
          <w:szCs w:val="24"/>
          <w:lang w:eastAsia="en-GB"/>
        </w:rPr>
        <w:t xml:space="preserve">, Wiltshire. In: A. Jones, J. Pollard, M. Allen &amp; J. Gardiner, eds. </w:t>
      </w:r>
      <w:r w:rsidRPr="008D1182">
        <w:rPr>
          <w:rFonts w:ascii="Times New Roman" w:hAnsi="Times New Roman" w:cs="Times New Roman"/>
          <w:i/>
          <w:sz w:val="24"/>
          <w:szCs w:val="24"/>
          <w:lang w:eastAsia="en-GB"/>
        </w:rPr>
        <w:t>Image, Memory and Monumentality: Archaeological Engagements with the Material World</w:t>
      </w:r>
      <w:r w:rsidRPr="008D1182">
        <w:rPr>
          <w:rFonts w:ascii="Times New Roman" w:hAnsi="Times New Roman" w:cs="Times New Roman"/>
          <w:sz w:val="24"/>
          <w:szCs w:val="24"/>
          <w:lang w:eastAsia="en-GB"/>
        </w:rPr>
        <w:t>. Oxford: Prehistoric Society &amp; Oxbow, pp. 116–26.</w:t>
      </w:r>
    </w:p>
    <w:sectPr w:rsidR="00F36BB2" w:rsidRPr="008D1182" w:rsidSect="000641D8">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59"/>
    <w:rsid w:val="0003081C"/>
    <w:rsid w:val="000641D8"/>
    <w:rsid w:val="001218E7"/>
    <w:rsid w:val="00141954"/>
    <w:rsid w:val="001759C1"/>
    <w:rsid w:val="00191199"/>
    <w:rsid w:val="001924B8"/>
    <w:rsid w:val="001B76CC"/>
    <w:rsid w:val="001C717B"/>
    <w:rsid w:val="001D4775"/>
    <w:rsid w:val="002258AA"/>
    <w:rsid w:val="00237FC4"/>
    <w:rsid w:val="002A148B"/>
    <w:rsid w:val="002F041A"/>
    <w:rsid w:val="00306905"/>
    <w:rsid w:val="00363FD1"/>
    <w:rsid w:val="003B0C59"/>
    <w:rsid w:val="003B24BF"/>
    <w:rsid w:val="003D075F"/>
    <w:rsid w:val="003D26E1"/>
    <w:rsid w:val="003E4737"/>
    <w:rsid w:val="003E76D4"/>
    <w:rsid w:val="00434A15"/>
    <w:rsid w:val="00462B4F"/>
    <w:rsid w:val="004B7752"/>
    <w:rsid w:val="0052266B"/>
    <w:rsid w:val="00573093"/>
    <w:rsid w:val="00592CAA"/>
    <w:rsid w:val="005A57B5"/>
    <w:rsid w:val="005B15B9"/>
    <w:rsid w:val="005E789B"/>
    <w:rsid w:val="00615783"/>
    <w:rsid w:val="006465B1"/>
    <w:rsid w:val="00682CC7"/>
    <w:rsid w:val="0069357F"/>
    <w:rsid w:val="006B4360"/>
    <w:rsid w:val="006B61B9"/>
    <w:rsid w:val="006C03D4"/>
    <w:rsid w:val="006C7649"/>
    <w:rsid w:val="006E5529"/>
    <w:rsid w:val="00711453"/>
    <w:rsid w:val="00730948"/>
    <w:rsid w:val="007314B6"/>
    <w:rsid w:val="00742CF2"/>
    <w:rsid w:val="007E0730"/>
    <w:rsid w:val="008D1182"/>
    <w:rsid w:val="00903529"/>
    <w:rsid w:val="009C2E95"/>
    <w:rsid w:val="00A47FD9"/>
    <w:rsid w:val="00A87937"/>
    <w:rsid w:val="00A97CD6"/>
    <w:rsid w:val="00B06597"/>
    <w:rsid w:val="00B66DE6"/>
    <w:rsid w:val="00BC26BC"/>
    <w:rsid w:val="00C4751C"/>
    <w:rsid w:val="00CC45B2"/>
    <w:rsid w:val="00CE788B"/>
    <w:rsid w:val="00D3389D"/>
    <w:rsid w:val="00D3643B"/>
    <w:rsid w:val="00DF5404"/>
    <w:rsid w:val="00E47A4C"/>
    <w:rsid w:val="00E57B80"/>
    <w:rsid w:val="00E646ED"/>
    <w:rsid w:val="00E85E0A"/>
    <w:rsid w:val="00EE564E"/>
    <w:rsid w:val="00F36BB2"/>
    <w:rsid w:val="00F76184"/>
    <w:rsid w:val="00F90C2C"/>
    <w:rsid w:val="00F92F2D"/>
    <w:rsid w:val="00FF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596E"/>
  <w15:chartTrackingRefBased/>
  <w15:docId w15:val="{BD5B9A35-8706-4433-A2C6-E515DC8D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081C"/>
    <w:pPr>
      <w:spacing w:after="0" w:line="240" w:lineRule="auto"/>
      <w:jc w:val="center"/>
    </w:pPr>
    <w:rPr>
      <w:rFonts w:ascii="Times New Roman" w:eastAsia="MS Mincho" w:hAnsi="Times New Roman" w:cs="Times New Roman"/>
      <w:bCs/>
      <w:sz w:val="20"/>
      <w:szCs w:val="20"/>
      <w:lang w:val="en-US" w:eastAsia="tr-TR"/>
    </w:rPr>
  </w:style>
  <w:style w:type="character" w:customStyle="1" w:styleId="NoSpacingChar">
    <w:name w:val="No Spacing Char"/>
    <w:basedOn w:val="DefaultParagraphFont"/>
    <w:link w:val="NoSpacing"/>
    <w:uiPriority w:val="1"/>
    <w:rsid w:val="0003081C"/>
    <w:rPr>
      <w:rFonts w:ascii="Times New Roman" w:eastAsia="MS Mincho" w:hAnsi="Times New Roman" w:cs="Times New Roman"/>
      <w:bCs/>
      <w:sz w:val="20"/>
      <w:szCs w:val="20"/>
      <w:lang w:val="en-US" w:eastAsia="tr-TR"/>
    </w:rPr>
  </w:style>
  <w:style w:type="table" w:styleId="TableGrid">
    <w:name w:val="Table Grid"/>
    <w:basedOn w:val="TableNormal"/>
    <w:uiPriority w:val="39"/>
    <w:rsid w:val="003B0C5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6D4"/>
    <w:pPr>
      <w:spacing w:after="0" w:line="240" w:lineRule="auto"/>
    </w:pPr>
  </w:style>
  <w:style w:type="character" w:styleId="Hyperlink">
    <w:name w:val="Hyperlink"/>
    <w:basedOn w:val="DefaultParagraphFont"/>
    <w:uiPriority w:val="99"/>
    <w:unhideWhenUsed/>
    <w:rsid w:val="00F36BB2"/>
    <w:rPr>
      <w:color w:val="0000FF"/>
      <w:u w:val="single"/>
    </w:rPr>
  </w:style>
  <w:style w:type="paragraph" w:styleId="NormalWeb">
    <w:name w:val="Normal (Web)"/>
    <w:basedOn w:val="Normal"/>
    <w:uiPriority w:val="99"/>
    <w:unhideWhenUsed/>
    <w:rsid w:val="00F36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F36BB2"/>
    <w:rPr>
      <w:sz w:val="16"/>
      <w:szCs w:val="16"/>
    </w:rPr>
  </w:style>
  <w:style w:type="paragraph" w:styleId="CommentText">
    <w:name w:val="annotation text"/>
    <w:basedOn w:val="Normal"/>
    <w:link w:val="CommentTextChar"/>
    <w:uiPriority w:val="99"/>
    <w:unhideWhenUsed/>
    <w:rsid w:val="00F36BB2"/>
    <w:pPr>
      <w:spacing w:line="240" w:lineRule="auto"/>
    </w:pPr>
    <w:rPr>
      <w:sz w:val="20"/>
      <w:szCs w:val="20"/>
    </w:rPr>
  </w:style>
  <w:style w:type="character" w:customStyle="1" w:styleId="CommentTextChar">
    <w:name w:val="Comment Text Char"/>
    <w:basedOn w:val="DefaultParagraphFont"/>
    <w:link w:val="CommentText"/>
    <w:uiPriority w:val="99"/>
    <w:rsid w:val="00F36BB2"/>
    <w:rPr>
      <w:sz w:val="20"/>
      <w:szCs w:val="20"/>
    </w:rPr>
  </w:style>
  <w:style w:type="paragraph" w:styleId="CommentSubject">
    <w:name w:val="annotation subject"/>
    <w:basedOn w:val="CommentText"/>
    <w:next w:val="CommentText"/>
    <w:link w:val="CommentSubjectChar"/>
    <w:uiPriority w:val="99"/>
    <w:semiHidden/>
    <w:unhideWhenUsed/>
    <w:rsid w:val="00F36BB2"/>
    <w:rPr>
      <w:b/>
      <w:bCs/>
    </w:rPr>
  </w:style>
  <w:style w:type="character" w:customStyle="1" w:styleId="CommentSubjectChar">
    <w:name w:val="Comment Subject Char"/>
    <w:basedOn w:val="CommentTextChar"/>
    <w:link w:val="CommentSubject"/>
    <w:uiPriority w:val="99"/>
    <w:semiHidden/>
    <w:rsid w:val="00F36BB2"/>
    <w:rPr>
      <w:b/>
      <w:bCs/>
      <w:sz w:val="20"/>
      <w:szCs w:val="20"/>
    </w:rPr>
  </w:style>
  <w:style w:type="paragraph" w:styleId="BalloonText">
    <w:name w:val="Balloon Text"/>
    <w:basedOn w:val="Normal"/>
    <w:link w:val="BalloonTextChar"/>
    <w:uiPriority w:val="99"/>
    <w:semiHidden/>
    <w:unhideWhenUsed/>
    <w:rsid w:val="0006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58/azu_js_rc.55.16947" TargetMode="External"/><Relationship Id="rId3" Type="http://schemas.openxmlformats.org/officeDocument/2006/relationships/webSettings" Target="webSettings.xml"/><Relationship Id="rId7" Type="http://schemas.openxmlformats.org/officeDocument/2006/relationships/hyperlink" Target="https://doi.org/10.9750/issn.2056-7421.2018.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socantscot.org/index.php/sair/article/view/1139" TargetMode="External"/><Relationship Id="rId11" Type="http://schemas.openxmlformats.org/officeDocument/2006/relationships/theme" Target="theme/theme1.xml"/><Relationship Id="rId5" Type="http://schemas.openxmlformats.org/officeDocument/2006/relationships/hyperlink" Target="https://doi.org/10.1017/S003382220003386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ibrary.thehumanjourney.net/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MRH1</dc:creator>
  <cp:keywords/>
  <dc:description/>
  <cp:lastModifiedBy>Catherine Frieman</cp:lastModifiedBy>
  <cp:revision>2</cp:revision>
  <dcterms:created xsi:type="dcterms:W3CDTF">2022-04-04T03:08:00Z</dcterms:created>
  <dcterms:modified xsi:type="dcterms:W3CDTF">2022-04-04T03:08:00Z</dcterms:modified>
</cp:coreProperties>
</file>