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232A" w14:textId="7E065690" w:rsidR="00575ED1" w:rsidRPr="00B57F26" w:rsidRDefault="007B1B92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</w:pPr>
      <w:r w:rsidRP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>Supplement</w:t>
      </w:r>
      <w:r w:rsidR="007A456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>ary material</w:t>
      </w:r>
      <w:r w:rsidRP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 xml:space="preserve"> 1</w:t>
      </w:r>
      <w:r w:rsid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>: Comparanda</w:t>
      </w:r>
    </w:p>
    <w:p w14:paraId="7C48C4DE" w14:textId="77777777" w:rsidR="00575ED1" w:rsidRPr="00267725" w:rsidRDefault="00575ED1" w:rsidP="007B1B9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EB564D9" w14:textId="095EB442" w:rsidR="00575ED1" w:rsidRPr="00267725" w:rsidRDefault="00575ED1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Comparative materials</w:t>
      </w:r>
    </w:p>
    <w:p w14:paraId="5FEA9765" w14:textId="68AC287D" w:rsidR="00575ED1" w:rsidRPr="00267725" w:rsidRDefault="00575ED1" w:rsidP="007B1B9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Sweden, there are archaeological sites similar </w:t>
      </w:r>
      <w:r w:rsidR="00CE3AA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date </w:t>
      </w:r>
      <w:r w:rsidR="00CE3AA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Sandby borg,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where bodies have been found unburied. However, these have been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cremains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in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burn</w:t>
      </w:r>
      <w:r w:rsidR="00CE3AA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down houses (e.g.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Vallhagar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, Gotland) and could be the result of accidental events (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Gejvall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1955). Another site </w:t>
      </w:r>
      <w:r w:rsidR="00CE3AA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comparable date is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Uppåkra</w:t>
      </w:r>
      <w:proofErr w:type="spellEnd"/>
      <w:r w:rsidR="00CE3AA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Scania. Here, longhouses and a ceremonial house dating from the </w:t>
      </w:r>
      <w:r w:rsidR="00CE3AA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third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  <w:r w:rsidR="00CE3AA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tenth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century </w:t>
      </w:r>
      <w:r w:rsidR="00CE3AA2" w:rsidRPr="00B57F26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ad</w:t>
      </w:r>
      <w:r w:rsidR="00CE3AA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excavated (Larsson &amp; Söderberg, 2013). </w:t>
      </w:r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Three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burnt down dwellings of different dates contained human remains (one element with a perimortem lesion). This has been interpreted </w:t>
      </w:r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to have been caused by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continual feud </w:t>
      </w:r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over centuries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between local elite families (Larsson &amp; Söderberg, 2013). There are also Iron Age sites in Scandinavia where commingled human remains showing signs of violence </w:t>
      </w:r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inflicted by weapons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have been discovered deposited in wetlands, sometimes together with large numbers of weapons (e.g.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Skedemosse</w:t>
      </w:r>
      <w:proofErr w:type="spellEnd"/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Öland</w:t>
      </w:r>
      <w:proofErr w:type="spellEnd"/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Monikaner</w:t>
      </w:r>
      <w:proofErr w:type="spellEnd"/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2010;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Alken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Enge</w:t>
      </w:r>
      <w:proofErr w:type="spellEnd"/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Vædebro</w:t>
      </w:r>
      <w:proofErr w:type="spellEnd"/>
      <w:r w:rsidR="006B4F63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Mollerup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et al., 2016). However, these remains appear to have been ritually manipulated postmortem and must be considered as completely different from those found at Sandby borg. Additionally, there are several skeletal assemblages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which exhibit traces of brutal and lethal acts but </w:t>
      </w:r>
      <w:r w:rsidR="0010039E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are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of different date (</w:t>
      </w:r>
      <w:r w:rsidR="0010039E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see for example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Ingelmark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1939</w:t>
      </w:r>
      <w:r w:rsidR="0010039E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Kjellström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2005). In conclusion, no other site 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Scandinavia </w:t>
      </w:r>
      <w:r w:rsidR="0010039E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has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been discovered where multiple victims have been left unburied in a similar manner.</w:t>
      </w:r>
    </w:p>
    <w:p w14:paraId="45BEF13B" w14:textId="77777777" w:rsidR="00575ED1" w:rsidRPr="00267725" w:rsidRDefault="00575ED1" w:rsidP="007B1B9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493941B8" w14:textId="11360D83" w:rsidR="00575ED1" w:rsidRPr="00267725" w:rsidRDefault="00575ED1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Weaponry and martial tactics</w:t>
      </w:r>
    </w:p>
    <w:p w14:paraId="349B0F27" w14:textId="1FCE1DF3" w:rsidR="00575ED1" w:rsidRPr="00267725" w:rsidRDefault="00575ED1" w:rsidP="007B1B9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order to interpret the trauma inflicted on the Sandby borg victims, it is vital to consider contemporary military equipment and conduct of war. </w:t>
      </w:r>
      <w:r w:rsidR="003D0A3C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Knowledge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the contemporary armaments on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Öland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is limited, although we do know that the common weapons of this period in Scandinavia were the sword, the 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spear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and the shield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Nørgård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Jørgensen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1997). Very few weapons have been discovered inside Sandby borg apart from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four or possibly five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arrowheads, a spearhead, two sword pommels, and one sword bead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307BB0"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i.e. a decorative bead attached to the sword by a strap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In addition, a socket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ed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axe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was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found, but this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may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have served as a tool rather than a weapon (Dutra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Leivas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&amp; Victor, 2011; Victor et al., 2013; Victor, 2015; Gunnarsson et al., 2016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Weapons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from the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period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can be studied by looking at weapon burials, but few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that are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contemporary with the ringfort have been documented in the region.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Nevertheless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it is believed that the weaponry used in the Migration </w:t>
      </w:r>
      <w:r w:rsidR="008E1736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eriod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was roughly the same as that of the preceding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period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the Roman Iron Age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with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most common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weapons found in Roman Iron Age 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graves </w:t>
      </w:r>
      <w:r w:rsidR="008E1736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being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swords. These were made of iron and could be either single or double edged (e.g. Schulze, 1996: 90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101;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Beskow-Sjöberg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1996: 258; Ring &amp; Rasch, 2001). In many graves, arrowheads, iron spears, and lance tips, some lancet-shaped, have been found (Schulze, 1996: 90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101;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Beskow-Sjöberg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1996: 258). Finds of bridle sets in graves show that some warriors may have been mounted in battle (e.g.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Ramquist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2017). The most common piece of defen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equipment was the shield (Schulze &amp;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Holgersson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2001: 122; Ring &amp; Rasch, 2001). Two extraordinary helmets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Grimeton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Tuna) from the Swedish Migration period have been found, which 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probably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belonged to the elite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Nerman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1940). It is unknown what type of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headgear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was the most 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common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but helmets seem to have been influenced by the Roman ridge type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Couston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2013). Little is known about other types of body armo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r, although examples of chain mail from the 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third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century </w:t>
      </w:r>
      <w:r w:rsidR="00267725" w:rsidRPr="00B57F2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ad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have been 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found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Denmark (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Vimose</w:t>
      </w:r>
      <w:proofErr w:type="spellEnd"/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Engström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1992). Finds of weapons and weapon graves do not necessarily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reveal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anything about military organi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ation, but they imply a persistent warrior ideology.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Structures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m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artial character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(including the ringforts) and transregional similarities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weaponry 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may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imply a military organi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ation </w:t>
      </w:r>
      <w:r w:rsid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involving</w:t>
      </w:r>
      <w:r w:rsidR="00267725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freemen during the period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Nørgård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Jørgensen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1997;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Niklasson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1997: 173). </w:t>
      </w:r>
      <w:r w:rsid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In addition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weapons of various </w:t>
      </w:r>
      <w:r w:rsid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kinds</w:t>
      </w:r>
      <w:r w:rsidR="00267725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in weapon deposits suggest an organi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ational structure, possibly inspired by the system of the Roman Empire (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Engström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1992).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It is also possible that military units were commanded by warriors or chieftains not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affiliated to a formal martial organi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ation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Lindbom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2006: 254). A shift in armament and fighting tactics is believed to have </w:t>
      </w:r>
      <w:r w:rsidR="00A0378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taken place</w:t>
      </w:r>
      <w:r w:rsidR="00A0378D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after the </w:t>
      </w:r>
      <w:r w:rsidR="00A0378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fifth</w:t>
      </w:r>
      <w:r w:rsidR="00A0378D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century, from heterogeneous armament ‘to individual combat involving fully armed warriors’ 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Nørgård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Jørgensen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1997).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Few traces of battlefields exist. However, depositions in Danish wetlands from the Pre-Roman and </w:t>
      </w:r>
      <w:r w:rsidR="00A0378D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Early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Iron Age (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>fourth</w:t>
      </w:r>
      <w:r w:rsidR="00A0378D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century </w:t>
      </w:r>
      <w:proofErr w:type="spellStart"/>
      <w:r w:rsidR="00A0378D" w:rsidRPr="00B57F26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bc</w:t>
      </w:r>
      <w:proofErr w:type="spellEnd"/>
      <w:r w:rsidR="00A0378D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fourth century </w:t>
      </w:r>
      <w:r w:rsidR="00A0378D" w:rsidRPr="00B57F26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ad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of boats and large 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>quantities</w:t>
      </w:r>
      <w:r w:rsidR="00A0378D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weapons (spears, swords, shields) such as 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Hjortspring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Nydam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been discovered (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Randsborg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1995;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Gebühr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2001). The </w:t>
      </w:r>
      <w:r w:rsidR="00A0378D">
        <w:rPr>
          <w:rFonts w:ascii="Times New Roman" w:eastAsia="Times New Roman" w:hAnsi="Times New Roman" w:cs="Times New Roman"/>
          <w:sz w:val="24"/>
          <w:szCs w:val="24"/>
          <w:lang w:val="en-GB"/>
        </w:rPr>
        <w:t>quantity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weapons and the character of the equipment at, for example,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Hjortspring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suggest that it had belonged to a military unit of at least 100 men, and the placement of the boats in bogs </w:t>
      </w:r>
      <w:r w:rsidR="007A0907">
        <w:rPr>
          <w:rFonts w:ascii="Times New Roman" w:eastAsia="Times New Roman" w:hAnsi="Times New Roman" w:cs="Times New Roman"/>
          <w:sz w:val="24"/>
          <w:szCs w:val="24"/>
          <w:lang w:val="en-GB"/>
        </w:rPr>
        <w:t>has</w:t>
      </w:r>
      <w:r w:rsidR="007A0907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been interpreted as war booty and offerings after victorious battles.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3BA126CE" w14:textId="77777777" w:rsidR="00575ED1" w:rsidRPr="00267725" w:rsidRDefault="00575ED1" w:rsidP="007B1B92">
      <w:pPr>
        <w:spacing w:after="20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5A8C4C" w14:textId="77777777" w:rsidR="00575ED1" w:rsidRPr="00307BB0" w:rsidRDefault="00575ED1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sv-SE"/>
        </w:rPr>
        <w:t>References</w:t>
      </w:r>
    </w:p>
    <w:p w14:paraId="1CC502D3" w14:textId="294CD817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Beskow-Sjöberg, M. 1996. Stenåsa socken. 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In: U.E. Hagberg, B. Stjernquist &amp; M. Rasch, eds.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Ölands järnåldersgravfält, III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. Stockholm: Riksantikvarieämbetet och Statens historiska museer, pp. 225–66.</w:t>
      </w:r>
    </w:p>
    <w:p w14:paraId="4D0A0981" w14:textId="040AB12B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Couston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, J.C.N. 2013. Late Roman Military Equipment Culture. In</w:t>
      </w:r>
      <w:r w:rsidR="007A0907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L.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Lavan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&amp; A.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Sarantis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eds. </w:t>
      </w:r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Archaeology of War in Late Antiquity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Leiden: Brill, pp. 463–92.</w:t>
      </w:r>
    </w:p>
    <w:p w14:paraId="151B8431" w14:textId="77777777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Dutra Leivas, I. &amp; Victor, H. 2011.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Sandby borg I. Undersökningar 2011, Sandby sn, Mörbylånga kommun, Öland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Museiarkeologi sydost, Kalmar läns museum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Kalmar: Kalmar läns museum.</w:t>
      </w:r>
    </w:p>
    <w:p w14:paraId="5BAAF59C" w14:textId="1B288D14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Engström, J. 1992. Skandinaviskt krigsväsen under mellersta järnåldern. </w:t>
      </w:r>
      <w:proofErr w:type="spellStart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Armémuseum</w:t>
      </w:r>
      <w:proofErr w:type="spellEnd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Årsbok</w:t>
      </w:r>
      <w:proofErr w:type="spellEnd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1992, </w:t>
      </w:r>
      <w:proofErr w:type="spellStart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Meddelande</w:t>
      </w:r>
      <w:proofErr w:type="spellEnd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52</w:t>
      </w:r>
      <w:r w:rsidR="007A09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14</w:t>
      </w:r>
      <w:r w:rsidR="007A090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72.</w:t>
      </w:r>
    </w:p>
    <w:p w14:paraId="489D4926" w14:textId="77777777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Gebühr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, M. 2001.</w:t>
      </w:r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Nydam</w:t>
      </w:r>
      <w:proofErr w:type="spellEnd"/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and </w:t>
      </w:r>
      <w:proofErr w:type="spellStart"/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Thorsberg</w:t>
      </w:r>
      <w:proofErr w:type="spellEnd"/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: Iron Age Places of Sacrifice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Schleswig: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Archäologisches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Landesmuseum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Schloß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Gottorf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50C0AB9" w14:textId="39EDED0F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Gejvall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N.G. 1955. Human </w:t>
      </w:r>
      <w:r w:rsidR="007A0907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Bones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</w:t>
      </w:r>
      <w:r w:rsidR="007A0907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Buildings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In: M. Stenberger &amp; O. Klindt-Jensen, eds.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Vallhagar</w:t>
      </w:r>
      <w:r w:rsidR="007A0907"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: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 xml:space="preserve"> </w:t>
      </w:r>
      <w:r w:rsidR="007A0907"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 xml:space="preserve">A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Migration Period Settlement on Gotland, Sweden, part II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 Copenhagen: Munkgaard, pp. 766–67.</w:t>
      </w:r>
    </w:p>
    <w:p w14:paraId="4A0445D4" w14:textId="77777777" w:rsidR="007B1B92" w:rsidRPr="00307BB0" w:rsidRDefault="007B1B92" w:rsidP="00380861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Gunnarsson, F., Victor, H. &amp; Alfsdotter, C. 2016.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Sandby borg VII. Undersökningar 2015, Sandby sn, Mörbylånga kommun, Öland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Kalmar: Kalmar läns museum. </w:t>
      </w:r>
    </w:p>
    <w:p w14:paraId="20F7C210" w14:textId="77777777" w:rsidR="00380861" w:rsidRPr="00307BB0" w:rsidRDefault="00380861" w:rsidP="0038086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Ingelmark, B.E. 1939. The Skeletons. </w:t>
      </w:r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In: B. </w:t>
      </w:r>
      <w:proofErr w:type="spellStart"/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>Thordeman</w:t>
      </w:r>
      <w:proofErr w:type="spellEnd"/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ed. </w:t>
      </w:r>
      <w:r w:rsidRPr="007A090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Armour from the Battle of </w:t>
      </w:r>
      <w:proofErr w:type="spellStart"/>
      <w:r w:rsidRPr="007A090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Wisby</w:t>
      </w:r>
      <w:proofErr w:type="spellEnd"/>
      <w:r w:rsidRPr="007A090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1361</w:t>
      </w:r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Stockholm: Kungliga Vitterhets Historie och Antikvitets Akademien, pp. 149–209.</w:t>
      </w:r>
    </w:p>
    <w:p w14:paraId="5BDCB6CE" w14:textId="69B33FF6" w:rsidR="00380861" w:rsidRPr="00307BB0" w:rsidRDefault="00380861" w:rsidP="00380861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002BFF">
        <w:rPr>
          <w:rFonts w:ascii="Times New Roman" w:eastAsia="Times New Roman" w:hAnsi="Times New Roman" w:cs="Times New Roman"/>
          <w:sz w:val="24"/>
          <w:szCs w:val="24"/>
        </w:rPr>
        <w:t xml:space="preserve">Kjellström, A. 2005.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Sixteenth-Century Warrior Grave from Uppsala, Sweden: The Battle of Good Friday. </w:t>
      </w:r>
      <w:r w:rsidRPr="00002BF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International Journal of Osteoarchaeology,</w:t>
      </w:r>
      <w:r w:rsidRPr="00002B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15: 23–50. </w:t>
      </w:r>
      <w:r w:rsidR="00307BB0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="00307BB0" w:rsidRPr="00002BFF"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HYPERLINK "https://doi.org/10.1002/oa.746" </w:instrText>
      </w:r>
      <w:r w:rsidR="00307BB0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="00307BB0" w:rsidRPr="00307BB0">
        <w:rPr>
          <w:rStyle w:val="Hyperlink"/>
          <w:rFonts w:ascii="Times New Roman" w:eastAsia="Times New Roman" w:hAnsi="Times New Roman" w:cs="Times New Roman"/>
          <w:sz w:val="24"/>
          <w:szCs w:val="24"/>
          <w:lang w:val="sv-SE"/>
        </w:rPr>
        <w:t>https://doi.org/10.1002/oa.746</w:t>
      </w:r>
      <w:r w:rsidR="00307BB0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="007C7794" w:rsidRPr="00002BF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307BB0"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3D5DD241" w14:textId="77AC29E5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Larsson, N. &amp; Söderberg, B. 2013. Brända hallar – diskontinuitet och kontinuitet. Ett järnåldersresidens i Uppåkra, Sydsverige.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Fornvännen,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2013: 238–48.</w:t>
      </w:r>
    </w:p>
    <w:p w14:paraId="5357E426" w14:textId="77777777" w:rsidR="00380861" w:rsidRPr="00307BB0" w:rsidRDefault="00380861" w:rsidP="00380861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Lindbom, P. 2006.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Vapnen under Wreccornas tid, 150-500 e.Kr.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Uppsala: Department of Archaeology and Ancient History, Uppsala University.</w:t>
      </w:r>
    </w:p>
    <w:p w14:paraId="2E76DC87" w14:textId="5AEA4DB0" w:rsidR="00D800E5" w:rsidRPr="00307BB0" w:rsidRDefault="00D800E5" w:rsidP="00D800E5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Mollerup, L., Ejgreen, A.K., Tjellden, E. &amp; Hertz, E. &amp; Kähler Holst, M. 2016. </w:t>
      </w:r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Postmortem Exposure Interval of an Iron Age Human Bone Assemblage from </w:t>
      </w:r>
      <w:proofErr w:type="spellStart"/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>Alken</w:t>
      </w:r>
      <w:proofErr w:type="spellEnd"/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>Enge</w:t>
      </w:r>
      <w:proofErr w:type="spellEnd"/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Denmark. </w:t>
      </w:r>
      <w:r w:rsidRPr="007A090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Journal of Archaeological Science Reports</w:t>
      </w:r>
      <w:r w:rsidRPr="007A090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10: 819–827. </w:t>
      </w:r>
      <w:hyperlink r:id="rId7" w:history="1">
        <w:r w:rsidR="00307BB0" w:rsidRPr="00307BB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https://doi.org/10.1016/j.jasrep.2016.06.021</w:t>
        </w:r>
      </w:hyperlink>
      <w:r w:rsidR="007C77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DD86C27" w14:textId="77777777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Monikaner, A. 2010.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Våld och vatten: Våtmarkskult vid Skedemosse under järnåldern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 Stockholm Studies in Archaeology 52. Stockholm: Institutionen för arkeologi och antikens kultur.</w:t>
      </w:r>
    </w:p>
    <w:p w14:paraId="585E8A3D" w14:textId="1406E9CA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Nerman, B. 1940, Smärre Meddelanden. Ännu en konisk prakthjälm ifrån ett svenskt fynd.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Fornvännen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1940: 312–15.</w:t>
      </w:r>
    </w:p>
    <w:p w14:paraId="3DEA338E" w14:textId="77777777" w:rsidR="00380861" w:rsidRPr="00307BB0" w:rsidRDefault="00380861" w:rsidP="00380861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Nicklasson, P. 1997.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Svärdet ljuger inte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(Acta Archaeologica Lundensia 4. 22). Stockholm: Almqvist &amp; Wiksell International.</w:t>
      </w:r>
    </w:p>
    <w:p w14:paraId="5CC8AFEB" w14:textId="76B97C16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Nørgård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Jørgensen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A. 1997. Scandinavian Military Equipment and the Weapon Burial Rite, </w:t>
      </w:r>
      <w:r w:rsidR="0040434A" w:rsidRPr="00B57F2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ad</w:t>
      </w:r>
      <w:r w:rsidR="0040434A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530–800. In: C. Kjeld Jensen &amp; K.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Höilund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Neilsen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eds.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Burial &amp;. Society. The Chronological and Social Analysis of Archaeological Burial Data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Oxford: Alden Press, pp. 149</w:t>
      </w:r>
      <w:r w:rsidR="004043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63.</w:t>
      </w:r>
    </w:p>
    <w:p w14:paraId="1A11A257" w14:textId="017C1860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Ramquist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P. 2017. Saddle and </w:t>
      </w:r>
      <w:r w:rsidR="0040434A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Bridle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from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Högom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Central Sweden. In: C.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Fabech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&amp; U.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Näsman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eds.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The </w:t>
      </w:r>
      <w:proofErr w:type="spellStart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Sjösala</w:t>
      </w:r>
      <w:proofErr w:type="spellEnd"/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Horsemen and the </w:t>
      </w:r>
      <w:r w:rsidR="0040434A"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Equestrian Elite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of </w:t>
      </w:r>
      <w:r w:rsidR="0040434A"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Fifth</w:t>
      </w:r>
      <w:r w:rsidR="00404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-</w:t>
      </w:r>
      <w:r w:rsidR="0040434A"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Century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Europe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Moesgård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 A</w:t>
      </w:r>
      <w:r w:rsidR="0040434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rhus University Press, pp. 221–35.</w:t>
      </w:r>
    </w:p>
    <w:p w14:paraId="318DA086" w14:textId="10BFCC68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Randsborg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K. 1995. </w:t>
      </w:r>
      <w:proofErr w:type="spellStart"/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Hjortspring</w:t>
      </w:r>
      <w:proofErr w:type="spellEnd"/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Warfare and Sacrifice in Early Europe.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0434A"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Aa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rhus: Aarhus University Press.</w:t>
      </w:r>
    </w:p>
    <w:p w14:paraId="21540202" w14:textId="291167BC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Ring, C. &amp; Rasch, M. 2001. Persnäs socken. In: M. Rasch, ed.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Ölands järnåldersgravfält, IV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 Stockholm: Riksantikvarieämbetet och Statens historiska museer, pp. 137</w:t>
      </w:r>
      <w:r w:rsidR="0040434A"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–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70.</w:t>
      </w:r>
    </w:p>
    <w:p w14:paraId="2EDDCB96" w14:textId="1BC54DE2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Schulze, H. 1996. Mörbylånga socken. In: U.E. Hagberg, B. Stjernquist &amp; M. Rasch, eds.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Ölands järnåldersgravfält, III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. Stockholm: Riksantikvarieämbetet och Statens historiska museer, pp. 65</w:t>
      </w:r>
      <w:r w:rsidR="0040434A"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–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116.</w:t>
      </w:r>
    </w:p>
    <w:p w14:paraId="0DD81090" w14:textId="7B49AA3B" w:rsidR="00575ED1" w:rsidRPr="00307BB0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Schulze, H &amp; Holgersson, K. 2001. Källa socken. In: M. Rasch, ed.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Ölands järnåldersgravfält, IV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 Stockholm: Riksantikvarieämbetet och Statens historiska museer, pp. 79</w:t>
      </w:r>
      <w:r w:rsidR="0040434A"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–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136.</w:t>
      </w:r>
    </w:p>
    <w:p w14:paraId="35001A56" w14:textId="77777777" w:rsidR="00575ED1" w:rsidRPr="00307BB0" w:rsidRDefault="00575ED1" w:rsidP="007B1B9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Victor, H. 2015.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Sandby borg IV. Undersökningar 2014, Sandby sn, Mörbylånga kommun, Öland. Museiarkeologi sydost, Kalmar läns museum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>Kalmar: Kalmar läns museum.</w:t>
      </w:r>
    </w:p>
    <w:p w14:paraId="5FFF2DA8" w14:textId="77777777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Victor, H., Emilsson, A. &amp; Frisk, M. 2013. </w:t>
      </w:r>
      <w:r w:rsidRPr="00307B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v-SE"/>
        </w:rPr>
        <w:t>Sandby borg III. Undersökningar 2013. Sandby sn, Mörbylånga kommun, Öland</w:t>
      </w:r>
      <w:r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.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Kalmar: Kalmar </w:t>
      </w: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läns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museum.</w:t>
      </w:r>
    </w:p>
    <w:p w14:paraId="5B876CC2" w14:textId="77777777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1BEBD8" w14:textId="77777777" w:rsidR="00B57F26" w:rsidRDefault="00B57F26">
      <w:pPr>
        <w:spacing w:after="160" w:line="259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br w:type="page"/>
      </w:r>
    </w:p>
    <w:p w14:paraId="75642970" w14:textId="3DFA6C41" w:rsidR="00575ED1" w:rsidRDefault="00575ED1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</w:pPr>
      <w:r w:rsidRP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lastRenderedPageBreak/>
        <w:t>S</w:t>
      </w:r>
      <w:r w:rsid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>upplement</w:t>
      </w:r>
      <w:r w:rsidR="007A456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>ary material</w:t>
      </w:r>
      <w:r w:rsidRP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 xml:space="preserve"> 2</w:t>
      </w:r>
      <w:r w:rsidR="00B57F2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  <w:t>: Methods</w:t>
      </w:r>
    </w:p>
    <w:p w14:paraId="4B17C930" w14:textId="77777777" w:rsidR="007A456E" w:rsidRPr="00B57F26" w:rsidRDefault="007A456E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val="en-GB"/>
        </w:rPr>
      </w:pPr>
    </w:p>
    <w:p w14:paraId="1E969B29" w14:textId="5C678F60" w:rsidR="00575ED1" w:rsidRPr="00267725" w:rsidRDefault="00575ED1" w:rsidP="007B1B92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Skeletal articulation was documented </w:t>
      </w:r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>in situ</w:t>
      </w:r>
      <w:r w:rsidR="0040434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 xml:space="preserve"> </w:t>
      </w:r>
      <w:r w:rsidR="0040434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at Sandby borg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. The MNI was calculated </w:t>
      </w:r>
      <w:proofErr w:type="gram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on the </w:t>
      </w:r>
      <w:r w:rsidR="0040434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basis of</w:t>
      </w:r>
      <w:proofErr w:type="gramEnd"/>
      <w:r w:rsidR="0040434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the 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most frequent element or element zone in relation to side, age</w:t>
      </w:r>
      <w:r w:rsidR="0040434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and sex (see Gunnarsson </w:t>
      </w:r>
      <w:r w:rsidRPr="00B57F26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et al</w:t>
      </w:r>
      <w:r w:rsidRP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.,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2016</w:t>
      </w:r>
      <w:r w:rsidR="00D800E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;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Alfsdotter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in press). For adults, sex assessments were </w:t>
      </w:r>
      <w:r w:rsidRPr="00267725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based on morphological traits</w:t>
      </w:r>
      <w:r w:rsidRPr="00267725">
        <w:rPr>
          <w:rFonts w:ascii="Times New Roman" w:eastAsia="Times New Roman" w:hAnsi="Times New Roman" w:cs="Times New Roman"/>
          <w:color w:val="1F497D"/>
          <w:sz w:val="24"/>
          <w:szCs w:val="24"/>
          <w:highlight w:val="white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of </w:t>
      </w:r>
      <w:proofErr w:type="spellStart"/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>os</w:t>
      </w:r>
      <w:proofErr w:type="spellEnd"/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 xml:space="preserve"> coxae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using methods developed by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Phenice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(1969) and Milner (1992) and, on crania, after methods found in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Acscádi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Nemeskéri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(1970). The degree of degenerative changes on the auricular surface and pubic symphysis of the </w:t>
      </w:r>
      <w:proofErr w:type="spellStart"/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>os</w:t>
      </w:r>
      <w:proofErr w:type="spellEnd"/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 xml:space="preserve"> coxae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were used 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to estimate the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age at death in adults (Todd, 1920; Lovejoy</w:t>
      </w:r>
      <w:r w:rsidR="00C75104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et al.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, 1985; Brooks &amp;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Suchey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1990). In addition, cranial suture closure (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Meindl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&amp;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Lovjoy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, 1985), thickness of the </w:t>
      </w:r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>tabula externa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proofErr w:type="spellStart"/>
      <w:r w:rsidRPr="0026772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GB"/>
        </w:rPr>
        <w:t>interna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(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Holck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1987)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and dental wear (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Brothwell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, 1963) 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were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observed. The age estimation of young individuals was based on the degree of epiphyseal fusion and dental development (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Scheuer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et al., 2009). All individuals were assigned to 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the 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following age groups: </w:t>
      </w:r>
      <w:proofErr w:type="spellStart"/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fetal</w:t>
      </w:r>
      <w:proofErr w:type="spellEnd"/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= &lt;birth; infant= 0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–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3 y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ea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rs; child= 3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–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12 y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ea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rs; adol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es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cent= 12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–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20 y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ea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rs; young adult= 20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–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35 y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ea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rs; middle adult 35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–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50 y</w:t>
      </w:r>
      <w:r w:rsidR="009A4DCA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ea</w:t>
      </w:r>
      <w:r w:rsidR="009A4DCA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rs; old adult= 50+ </w:t>
      </w:r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(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Buikstra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D800E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&amp;</w:t>
      </w:r>
      <w:r w:rsidR="00D800E5"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Ubelaker</w:t>
      </w:r>
      <w:proofErr w:type="spellEnd"/>
      <w:r w:rsidRPr="0026772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, 1994).</w:t>
      </w:r>
    </w:p>
    <w:p w14:paraId="12CB35E9" w14:textId="77777777" w:rsidR="00575ED1" w:rsidRPr="00267725" w:rsidRDefault="00575ED1" w:rsidP="007B1B92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</w:p>
    <w:p w14:paraId="18DFE019" w14:textId="77777777" w:rsidR="00575ED1" w:rsidRPr="00B57F26" w:rsidRDefault="00575ED1" w:rsidP="00B57F2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222222"/>
          <w:sz w:val="24"/>
          <w:szCs w:val="24"/>
          <w:lang w:val="en-GB"/>
        </w:rPr>
      </w:pPr>
      <w:r w:rsidRPr="00B57F26">
        <w:rPr>
          <w:rFonts w:ascii="Times New Roman" w:eastAsia="Times New Roman" w:hAnsi="Times New Roman" w:cs="Times New Roman"/>
          <w:b/>
          <w:smallCaps/>
          <w:color w:val="222222"/>
          <w:sz w:val="24"/>
          <w:szCs w:val="24"/>
          <w:lang w:val="en-GB"/>
        </w:rPr>
        <w:t>References</w:t>
      </w:r>
    </w:p>
    <w:p w14:paraId="5FA4D840" w14:textId="0BF43437" w:rsidR="00575ED1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Acsádi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G. &amp;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Nemeskéri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J. 1970.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History of Human Life Span and Mortality.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9A4DCA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Budapest</w:t>
      </w:r>
      <w:r w:rsidR="009A4D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="009A4DCA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Akadémiai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Kiadó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15FB2A1" w14:textId="77777777" w:rsidR="00002BFF" w:rsidRDefault="00307BB0" w:rsidP="007B1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Alfsdotter, C. In press. </w:t>
      </w:r>
      <w:r w:rsidRPr="00307BB0">
        <w:rPr>
          <w:rFonts w:ascii="Times New Roman" w:hAnsi="Times New Roman"/>
          <w:sz w:val="24"/>
          <w:szCs w:val="24"/>
          <w:lang w:val="sv-SE"/>
        </w:rPr>
        <w:t xml:space="preserve">Humanosteologi i Sandby borg. </w:t>
      </w:r>
      <w:r w:rsidRPr="00673CAF">
        <w:rPr>
          <w:rFonts w:ascii="Times New Roman" w:hAnsi="Times New Roman"/>
          <w:sz w:val="24"/>
          <w:szCs w:val="24"/>
        </w:rPr>
        <w:t xml:space="preserve">In: L. Papmehl-Dufay &amp; H. Victor, eds. </w:t>
      </w:r>
      <w:r w:rsidRPr="00631CA1">
        <w:rPr>
          <w:rFonts w:ascii="Times New Roman" w:hAnsi="Times New Roman"/>
          <w:i/>
          <w:sz w:val="24"/>
          <w:szCs w:val="24"/>
          <w:lang w:val="sv-SE"/>
        </w:rPr>
        <w:t xml:space="preserve">Sandby borg IX. Undersökningar 2016, Sandby sn, Mörbylånga kommun, Öland. </w:t>
      </w:r>
      <w:r w:rsidRPr="00631CA1">
        <w:rPr>
          <w:rFonts w:ascii="Times New Roman" w:hAnsi="Times New Roman"/>
          <w:sz w:val="24"/>
          <w:szCs w:val="24"/>
          <w:lang w:val="sv-SE"/>
        </w:rPr>
        <w:t>Report prepared for Kalmar läns museum</w:t>
      </w:r>
    </w:p>
    <w:p w14:paraId="5208FFCB" w14:textId="0E83A675" w:rsidR="00575ED1" w:rsidRPr="00267725" w:rsidRDefault="00575ED1" w:rsidP="007B1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Brooks, J.M. &amp;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Suchey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S.T. 1990. Skeletal Age Determination Based on the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Pubis: </w:t>
      </w:r>
      <w:r w:rsidR="009A4DCA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 Comparison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the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Acsádi-Nemiskéri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Suchey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-Brooks methods.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Human Evolution,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5: 227</w:t>
      </w:r>
      <w:r w:rsidR="009A4DC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38.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8" w:history="1">
        <w:r w:rsidR="007C7794" w:rsidRPr="006E7E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https://doi.org/10.1007/bf02437238</w:t>
        </w:r>
      </w:hyperlink>
      <w:r w:rsidR="007C77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E49E1D8" w14:textId="77777777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Brothwell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D.R. 1963.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Digging up </w:t>
      </w:r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Bones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– The Excavation, Treatment, and Study of Human Skeletal Remains.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London: British M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useum.</w:t>
      </w:r>
    </w:p>
    <w:p w14:paraId="3369DFCE" w14:textId="77777777" w:rsidR="000F5547" w:rsidRPr="009A4DCA" w:rsidRDefault="000F5547" w:rsidP="000F554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Buikstra, J.E. &amp; </w:t>
      </w:r>
      <w:proofErr w:type="spellStart"/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>Ubelaker</w:t>
      </w:r>
      <w:proofErr w:type="spellEnd"/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D.H. 1994. </w:t>
      </w:r>
      <w:r w:rsidRPr="009A4DC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Standards for Data Collection from Human Skeletal Remains: Proceedings of a Seminar at the Field Museum of Natural History</w:t>
      </w:r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>. Fayetteville (AR): Arkansas Archaeological Survey.</w:t>
      </w:r>
    </w:p>
    <w:p w14:paraId="7FBBAE7C" w14:textId="77777777" w:rsidR="000F5547" w:rsidRPr="00267725" w:rsidRDefault="000F5547" w:rsidP="000F554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19966696"/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Gunnarsson, F., Victor, H. &amp; Alfsdotter, C. 2016. </w:t>
      </w:r>
      <w:r w:rsidRPr="00307BB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Sandby borg VII. Undersökningar 2015, Sandby sn, Mörbylånga kommun, Öland</w:t>
      </w:r>
      <w:r w:rsidRPr="00307BB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Kalmar: Kalmar </w:t>
      </w:r>
      <w:proofErr w:type="spellStart"/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>läns</w:t>
      </w:r>
      <w:proofErr w:type="spellEnd"/>
      <w:r w:rsidRPr="009A4D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museum.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bookmarkEnd w:id="0"/>
    <w:p w14:paraId="5E21C448" w14:textId="04D1F000" w:rsidR="00575ED1" w:rsidRPr="00267725" w:rsidRDefault="00575ED1" w:rsidP="007B1B9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Holck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P. 1987.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Cremated </w:t>
      </w:r>
      <w:r w:rsidR="009A4DCA"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Bones. A Medical-Anthropological Study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of an Archaeological Material on Cremation Burials</w:t>
      </w:r>
      <w:r w:rsidRPr="00267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6C6606"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Antropologiske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skrifter</w:t>
      </w:r>
      <w:proofErr w:type="spellEnd"/>
      <w:r w:rsidR="006C660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1)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Oslo: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Anatomisk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institutt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Universitetet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Oslo.</w:t>
      </w:r>
    </w:p>
    <w:p w14:paraId="5073D419" w14:textId="44A34045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Lovejoy, C.O.,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Meindl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R.S.,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Pryzbeck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T.R. &amp;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Mensforth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R.P. 1985. Chronological Metamorphosis of the Auricular Surface of the Ilium: A New Method for the Determination of Adult Skeletal Age at Death.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American Journal of Physical Anthropology,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68: 15</w:t>
      </w:r>
      <w:r w:rsidR="00CE46F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28.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9" w:history="1">
        <w:r w:rsidR="007C7794" w:rsidRPr="006E7E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https://doi.org/10.1002/ajpa.1330680103</w:t>
        </w:r>
      </w:hyperlink>
      <w:r w:rsidR="007C77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69CAA0A" w14:textId="209462E8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Meindl</w:t>
      </w:r>
      <w:proofErr w:type="spellEnd"/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R.S. &amp; Lovejoy, C.O. 1985. Ectocranial </w:t>
      </w:r>
      <w:r w:rsidR="00CE46F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Suture Closure: A Revised Method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the </w:t>
      </w:r>
      <w:r w:rsidR="00CE46F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Determination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="00CE46F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Skeletal Age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</w:t>
      </w:r>
      <w:r w:rsidR="00CE46F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Death Based 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</w:t>
      </w:r>
      <w:r w:rsidR="00CE46F2"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Lateral-Anterior Sutures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American Journal of Physical Anthropology,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68: 57</w:t>
      </w:r>
      <w:r w:rsidR="00CE46F2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66.</w:t>
      </w:r>
      <w:r w:rsidR="00307B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7C7794" w:rsidRPr="006E7E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https://doi.org/10.1002/ajpa.1330680106</w:t>
        </w:r>
      </w:hyperlink>
      <w:r w:rsidR="007C77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333E4C6" w14:textId="1ED033D0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Milner, G.R. 1992. </w:t>
      </w:r>
      <w:r w:rsidRPr="0026772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Determination of Skeletal Age and Sex: A Manual Prepared for the Dickson Mounds Reburial Team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. Lewiston</w:t>
      </w:r>
      <w:r w:rsidR="00CE46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(IL)</w:t>
      </w:r>
      <w:r w:rsidRPr="00267725">
        <w:rPr>
          <w:rFonts w:ascii="Times New Roman" w:eastAsia="Times New Roman" w:hAnsi="Times New Roman" w:cs="Times New Roman"/>
          <w:sz w:val="24"/>
          <w:szCs w:val="24"/>
          <w:lang w:val="en-GB"/>
        </w:rPr>
        <w:t>: Dickson Mounds Museum.</w:t>
      </w:r>
    </w:p>
    <w:p w14:paraId="38DC610A" w14:textId="095FD519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Phenice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T.W. 1969. A </w:t>
      </w:r>
      <w:r w:rsidR="00CE46F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Newly Developed Visual Method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</w:t>
      </w:r>
      <w:r w:rsidR="00CE46F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Sexing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="00CE46F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</w:t>
      </w:r>
      <w:proofErr w:type="spellEnd"/>
      <w:r w:rsidR="00CE46F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Pubis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American Journal of Physical Anthropology,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30: 297</w:t>
      </w:r>
      <w:r w:rsidR="00CE46F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–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302.</w:t>
      </w:r>
      <w:r w:rsid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11" w:history="1">
        <w:r w:rsidR="007C7794" w:rsidRPr="006E7E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https://doi.org/10.1002/ajpa.1330300214</w:t>
        </w:r>
      </w:hyperlink>
      <w:r w:rsidR="007C77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79837FB1" w14:textId="2EEFB4B2" w:rsidR="00575ED1" w:rsidRPr="00267725" w:rsidRDefault="00575ED1" w:rsidP="007B1B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Scheuer, L., Black, S. &amp; </w:t>
      </w:r>
      <w:proofErr w:type="spellStart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Schaeter</w:t>
      </w:r>
      <w:proofErr w:type="spellEnd"/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M. 2009.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Juvenile </w:t>
      </w:r>
      <w:r w:rsidR="00CE46F2"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Osteology: A Laboratory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and </w:t>
      </w:r>
      <w:r w:rsidR="00CE46F2"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Field Manual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London: Academic Press.</w:t>
      </w:r>
    </w:p>
    <w:p w14:paraId="44C698F2" w14:textId="11547D6A" w:rsidR="00575ED1" w:rsidRPr="00307BB0" w:rsidRDefault="00575ED1" w:rsidP="007B1B92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Todd, T.W. 1920. Age </w:t>
      </w:r>
      <w:r w:rsidR="00CE46F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Changes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 the </w:t>
      </w:r>
      <w:r w:rsidR="00CE46F2"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Pubic Bone. The Male White Pubis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American Journal of Physical Anthropology, </w:t>
      </w:r>
      <w:r w:rsidRPr="0026772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3: 285–334</w:t>
      </w:r>
      <w:r w:rsidRPr="00267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.</w:t>
      </w:r>
      <w:bookmarkStart w:id="1" w:name="_GoBack"/>
      <w:r w:rsidR="00307BB0" w:rsidRPr="00307B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12" w:history="1">
        <w:r w:rsidR="007C7794" w:rsidRPr="006E7E8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https://doi.org/10.1002/ajpa.1330030301</w:t>
        </w:r>
      </w:hyperlink>
      <w:r w:rsidR="007C779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End w:id="1"/>
    </w:p>
    <w:sectPr w:rsidR="00575ED1" w:rsidRPr="00307BB0">
      <w:footerReference w:type="default" r:id="rId13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4DE4" w14:textId="77777777" w:rsidR="00A97FF9" w:rsidRDefault="00A97FF9">
      <w:r>
        <w:separator/>
      </w:r>
    </w:p>
  </w:endnote>
  <w:endnote w:type="continuationSeparator" w:id="0">
    <w:p w14:paraId="3FD095D3" w14:textId="77777777" w:rsidR="00A97FF9" w:rsidRDefault="00A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B5D8" w14:textId="77777777" w:rsidR="00936F79" w:rsidRDefault="00A97F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F5C4" w14:textId="77777777" w:rsidR="00A97FF9" w:rsidRDefault="00A97FF9">
      <w:r>
        <w:separator/>
      </w:r>
    </w:p>
  </w:footnote>
  <w:footnote w:type="continuationSeparator" w:id="0">
    <w:p w14:paraId="704D2303" w14:textId="77777777" w:rsidR="00A97FF9" w:rsidRDefault="00A9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1"/>
    <w:rsid w:val="00002BFF"/>
    <w:rsid w:val="000F5547"/>
    <w:rsid w:val="0010039E"/>
    <w:rsid w:val="00267725"/>
    <w:rsid w:val="00307BB0"/>
    <w:rsid w:val="00380861"/>
    <w:rsid w:val="003D0A3C"/>
    <w:rsid w:val="0040434A"/>
    <w:rsid w:val="00421D6E"/>
    <w:rsid w:val="004C74B5"/>
    <w:rsid w:val="00575ED1"/>
    <w:rsid w:val="005F46B0"/>
    <w:rsid w:val="00654F5A"/>
    <w:rsid w:val="006B4F63"/>
    <w:rsid w:val="006C6606"/>
    <w:rsid w:val="007A0907"/>
    <w:rsid w:val="007A456E"/>
    <w:rsid w:val="007B1B92"/>
    <w:rsid w:val="007C7794"/>
    <w:rsid w:val="00812109"/>
    <w:rsid w:val="00853C20"/>
    <w:rsid w:val="008E1736"/>
    <w:rsid w:val="009152EF"/>
    <w:rsid w:val="009A4DCA"/>
    <w:rsid w:val="00A0378D"/>
    <w:rsid w:val="00A97FF9"/>
    <w:rsid w:val="00B57F26"/>
    <w:rsid w:val="00BC67F3"/>
    <w:rsid w:val="00C30F0A"/>
    <w:rsid w:val="00C75104"/>
    <w:rsid w:val="00CE3AA2"/>
    <w:rsid w:val="00CE46F2"/>
    <w:rsid w:val="00D14A1D"/>
    <w:rsid w:val="00D800E5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79D7"/>
  <w15:docId w15:val="{06D573D7-EADA-D143-B785-1898451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5ED1"/>
    <w:pPr>
      <w:spacing w:after="0" w:line="240" w:lineRule="auto"/>
    </w:pPr>
    <w:rPr>
      <w:rFonts w:ascii="Calibri" w:eastAsia="Calibri" w:hAnsi="Calibri" w:cs="Calibri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92"/>
    <w:rPr>
      <w:rFonts w:ascii="Calibri" w:eastAsia="Calibri" w:hAnsi="Calibri" w:cs="Calibri"/>
      <w:lang w:val="en-US" w:eastAsia="sv-SE"/>
    </w:rPr>
  </w:style>
  <w:style w:type="paragraph" w:styleId="Footer">
    <w:name w:val="footer"/>
    <w:basedOn w:val="Normal"/>
    <w:link w:val="FooterChar"/>
    <w:uiPriority w:val="99"/>
    <w:unhideWhenUsed/>
    <w:rsid w:val="007B1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92"/>
    <w:rPr>
      <w:rFonts w:ascii="Calibri" w:eastAsia="Calibri" w:hAnsi="Calibri" w:cs="Calibri"/>
      <w:lang w:val="en-US" w:eastAsia="sv-SE"/>
    </w:rPr>
  </w:style>
  <w:style w:type="character" w:styleId="Hyperlink">
    <w:name w:val="Hyperlink"/>
    <w:basedOn w:val="DefaultParagraphFont"/>
    <w:uiPriority w:val="99"/>
    <w:unhideWhenUsed/>
    <w:rsid w:val="003808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61"/>
    <w:rPr>
      <w:rFonts w:ascii="Calibri" w:eastAsia="Calibri" w:hAnsi="Calibri" w:cs="Calibri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1"/>
    <w:rPr>
      <w:rFonts w:ascii="Segoe UI" w:eastAsia="Calibri" w:hAnsi="Segoe UI" w:cs="Segoe UI"/>
      <w:sz w:val="18"/>
      <w:szCs w:val="18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AA2"/>
    <w:rPr>
      <w:rFonts w:ascii="Calibri" w:eastAsia="Calibri" w:hAnsi="Calibri" w:cs="Calibri"/>
      <w:b/>
      <w:bCs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bf0243723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asrep.2016.06.021" TargetMode="External"/><Relationship Id="rId12" Type="http://schemas.openxmlformats.org/officeDocument/2006/relationships/hyperlink" Target="https://doi.org/10.1002/ajpa.1330030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ajpa.13303002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02/ajpa.133068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ajpa.1330680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940F-5BAA-4F8E-8E33-4F92004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Bohusl?ns Museum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Alfsdotter</dc:creator>
  <cp:lastModifiedBy>Catherine Frieman</cp:lastModifiedBy>
  <cp:revision>2</cp:revision>
  <dcterms:created xsi:type="dcterms:W3CDTF">2018-08-27T10:46:00Z</dcterms:created>
  <dcterms:modified xsi:type="dcterms:W3CDTF">2018-08-27T10:46:00Z</dcterms:modified>
</cp:coreProperties>
</file>