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A14" w14:textId="4FFF4838" w:rsidR="00C559B5" w:rsidRPr="001800C8" w:rsidRDefault="00DF2B56">
      <w:r w:rsidRPr="001800C8">
        <w:t xml:space="preserve">Supplementary </w:t>
      </w:r>
      <w:r w:rsidR="006D43AE" w:rsidRPr="001800C8">
        <w:t xml:space="preserve">Table </w:t>
      </w:r>
      <w:r w:rsidRPr="001800C8">
        <w:t>2</w:t>
      </w:r>
      <w:r w:rsidR="006D43AE" w:rsidRPr="001800C8">
        <w:t>. Perceived benefits and outcomes of completing a CIMT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43AE" w:rsidRPr="001800C8" w14:paraId="1666961E" w14:textId="77777777" w:rsidTr="001800C8">
        <w:tc>
          <w:tcPr>
            <w:tcW w:w="4649" w:type="dxa"/>
            <w:tcBorders>
              <w:bottom w:val="single" w:sz="4" w:space="0" w:color="auto"/>
            </w:tcBorders>
          </w:tcPr>
          <w:p w14:paraId="2B383AFE" w14:textId="77777777" w:rsidR="006D43AE" w:rsidRPr="001800C8" w:rsidRDefault="006D43AE">
            <w:r w:rsidRPr="001800C8">
              <w:t>Theme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273BE111" w14:textId="77777777" w:rsidR="006D43AE" w:rsidRPr="001800C8" w:rsidRDefault="006D43AE">
            <w:r w:rsidRPr="001800C8">
              <w:t>Description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3F3604E5" w14:textId="77777777" w:rsidR="006D43AE" w:rsidRPr="001800C8" w:rsidRDefault="006D43AE">
            <w:r w:rsidRPr="001800C8">
              <w:t>Exemplar quotes</w:t>
            </w:r>
          </w:p>
        </w:tc>
      </w:tr>
      <w:tr w:rsidR="006D43AE" w:rsidRPr="001800C8" w14:paraId="0C2A5E0E" w14:textId="77777777" w:rsidTr="001800C8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9B6F7" w14:textId="77777777" w:rsidR="006D43AE" w:rsidRPr="001800C8" w:rsidRDefault="006D43AE">
            <w:r w:rsidRPr="001800C8">
              <w:rPr>
                <w:rStyle w:val="normaltextrun"/>
                <w:rFonts w:ascii="Calibri" w:hAnsi="Calibri" w:cs="Calibri"/>
                <w:bCs/>
                <w:iCs/>
                <w:color w:val="000000"/>
                <w:bdr w:val="none" w:sz="0" w:space="0" w:color="auto" w:frame="1"/>
              </w:rPr>
              <w:t>Overcoming learned non-use of the affected arm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D192B" w14:textId="77777777" w:rsidR="006D43AE" w:rsidRPr="001800C8" w:rsidRDefault="006D43AE" w:rsidP="006D43AE">
            <w:r w:rsidRPr="001800C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Participants now use their affected arm more often in daily activities and more automatically than prior to CIMT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4EC7" w14:textId="77777777" w:rsidR="006D43AE" w:rsidRPr="001800C8" w:rsidRDefault="006D43A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1800C8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“Now, I’ve got no problem using my left hand to carry a cup of coffee or whatever it happens to be … I use my left hand so easily … it becomes second nature, just using it.” </w:t>
            </w:r>
            <w:r w:rsidRPr="001800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(Participant 038)</w:t>
            </w:r>
            <w:r w:rsidRPr="001800C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  </w:t>
            </w:r>
          </w:p>
          <w:p w14:paraId="4B9AC953" w14:textId="3553172B" w:rsidR="006D43AE" w:rsidRPr="001800C8" w:rsidRDefault="006D43AE" w:rsidP="76C8D69A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</w:p>
        </w:tc>
      </w:tr>
      <w:tr w:rsidR="006D43AE" w:rsidRPr="001800C8" w14:paraId="5163FE2C" w14:textId="77777777" w:rsidTr="001800C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066FDF3" w14:textId="77777777" w:rsidR="006D43AE" w:rsidRPr="001800C8" w:rsidRDefault="00E2530E">
            <w:r w:rsidRPr="001800C8">
              <w:t>Improved functional independence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A293C54" w14:textId="77777777" w:rsidR="006D43AE" w:rsidRPr="001800C8" w:rsidRDefault="00E2530E" w:rsidP="76C8D69A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1800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Being able to do more activities independently, with reduced help from others.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AFC2F51" w14:textId="77777777" w:rsidR="00E2530E" w:rsidRPr="001800C8" w:rsidRDefault="00E2530E" w:rsidP="00E2530E">
            <w:pPr>
              <w:pStyle w:val="paragraph"/>
              <w:spacing w:before="0" w:beforeAutospacing="0" w:after="0" w:afterAutospacing="0"/>
              <w:ind w:right="55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800C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Interviewer: </w:t>
            </w:r>
            <w:r w:rsidRPr="001800C8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“So what are you doing now that you couldn’t do in the beginning with your arm?”</w:t>
            </w:r>
            <w:r w:rsidRPr="001800C8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7B0173B" w14:textId="77777777" w:rsidR="00E2530E" w:rsidRPr="001800C8" w:rsidRDefault="00E2530E" w:rsidP="00E2530E">
            <w:pPr>
              <w:pStyle w:val="paragraph"/>
              <w:spacing w:before="0" w:beforeAutospacing="0" w:after="0" w:afterAutospacing="0"/>
              <w:ind w:right="55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9782659" w14:textId="77777777" w:rsidR="006D43AE" w:rsidRPr="001800C8" w:rsidRDefault="00E2530E" w:rsidP="00E2530E">
            <w:pPr>
              <w:pStyle w:val="paragraph"/>
              <w:spacing w:before="0" w:beforeAutospacing="0" w:after="0" w:afterAutospacing="0"/>
              <w:ind w:right="555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800C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Participant 034:</w:t>
            </w:r>
            <w:r w:rsidRPr="001800C8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“Eating, drinking, doing housework … make my own breakfast … I put the clothes on the line, I take them off … and she [wife] was surprised. There was one time she went out visiting and she had all these clothes. I packed them in … off the clothesline. I said, ‘XXX [wife] look at this’. She goes, ‘my god’ and she was in tears.”</w:t>
            </w:r>
            <w:r w:rsidRPr="001800C8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3AE" w:rsidRPr="001800C8" w14:paraId="49BA849F" w14:textId="77777777" w:rsidTr="001800C8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AFA9" w14:textId="77777777" w:rsidR="006D43AE" w:rsidRPr="001800C8" w:rsidRDefault="00E2530E">
            <w:r w:rsidRPr="001800C8">
              <w:t>Improved arm function and its impact on performance of valued roles and activities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1996D" w14:textId="77777777" w:rsidR="006D43AE" w:rsidRPr="001800C8" w:rsidRDefault="00E2530E" w:rsidP="00E2530E">
            <w:r w:rsidRPr="001800C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Seeing a range of improvements in upper limb function (including strength, active range of movement and reduction in pain) and </w:t>
            </w:r>
            <w:proofErr w:type="spellStart"/>
            <w:r w:rsidRPr="001800C8">
              <w:rPr>
                <w:rFonts w:ascii="Calibri" w:hAnsi="Calibri" w:cs="Calibri"/>
                <w:color w:val="000000"/>
                <w:shd w:val="clear" w:color="auto" w:fill="FFFFFF"/>
              </w:rPr>
              <w:t>it’s</w:t>
            </w:r>
            <w:proofErr w:type="spellEnd"/>
            <w:r w:rsidRPr="001800C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impact on the person’s ability to engage in valued work and leisure roles and activities.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92500" w14:textId="39328DF9" w:rsidR="006D43AE" w:rsidRPr="001800C8" w:rsidRDefault="76C8D69A" w:rsidP="76C8D69A">
            <w:r w:rsidRPr="001800C8">
              <w:rPr>
                <w:i/>
                <w:iCs/>
              </w:rPr>
              <w:t>“I couldn’t go driving, I couldn't go camping, I couldn’t go fishing, now I’m starting to do those things... I go camping now, digging holes, banging pegs in for tents...”</w:t>
            </w:r>
            <w:r w:rsidRPr="001800C8">
              <w:t xml:space="preserve"> (Participant 004)</w:t>
            </w:r>
          </w:p>
          <w:p w14:paraId="0AD4AD8C" w14:textId="781FE946" w:rsidR="006D43AE" w:rsidRPr="001800C8" w:rsidRDefault="006D43AE" w:rsidP="76C8D69A">
            <w:pPr>
              <w:rPr>
                <w:i/>
                <w:iCs/>
              </w:rPr>
            </w:pPr>
          </w:p>
          <w:p w14:paraId="19F79276" w14:textId="58D4504E" w:rsidR="006D43AE" w:rsidRPr="001800C8" w:rsidRDefault="76C8D69A" w:rsidP="76C8D69A">
            <w:r w:rsidRPr="001800C8">
              <w:rPr>
                <w:i/>
                <w:iCs/>
              </w:rPr>
              <w:t xml:space="preserve">“So fortunately towards the end of the group, it was coming up to 6 weeks without my licence so X [occupational therapist] could write me a letter to say I’d be fine to get my licence back. This week I got it back” </w:t>
            </w:r>
            <w:r w:rsidRPr="001800C8">
              <w:t>(Participant 049)</w:t>
            </w:r>
          </w:p>
        </w:tc>
      </w:tr>
    </w:tbl>
    <w:p w14:paraId="2C3400AD" w14:textId="77777777" w:rsidR="006D43AE" w:rsidRDefault="006D43AE" w:rsidP="001800C8"/>
    <w:sectPr w:rsidR="006D43AE" w:rsidSect="006D43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AE"/>
    <w:rsid w:val="001800C8"/>
    <w:rsid w:val="005675D0"/>
    <w:rsid w:val="006D43AE"/>
    <w:rsid w:val="00B63BFF"/>
    <w:rsid w:val="00DF2B56"/>
    <w:rsid w:val="00E2530E"/>
    <w:rsid w:val="01FA4E6B"/>
    <w:rsid w:val="1887A13F"/>
    <w:rsid w:val="1A2371A0"/>
    <w:rsid w:val="1D5B1262"/>
    <w:rsid w:val="2CA812DB"/>
    <w:rsid w:val="39755B0C"/>
    <w:rsid w:val="3FE49C90"/>
    <w:rsid w:val="433565AF"/>
    <w:rsid w:val="472F75C4"/>
    <w:rsid w:val="76C8D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E376"/>
  <w15:chartTrackingRefBased/>
  <w15:docId w15:val="{CB4E968B-315D-4EE2-87DD-0C8263F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D43AE"/>
  </w:style>
  <w:style w:type="character" w:customStyle="1" w:styleId="eop">
    <w:name w:val="eop"/>
    <w:basedOn w:val="DefaultParagraphFont"/>
    <w:rsid w:val="006D43AE"/>
  </w:style>
  <w:style w:type="paragraph" w:customStyle="1" w:styleId="paragraph">
    <w:name w:val="paragraph"/>
    <w:basedOn w:val="Normal"/>
    <w:rsid w:val="00E2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0CC6FF3EF0B4AA806F84695DB51AA" ma:contentTypeVersion="14" ma:contentTypeDescription="Create a new document." ma:contentTypeScope="" ma:versionID="4f48e83e76e25d8df2f8e798e4503320">
  <xsd:schema xmlns:xsd="http://www.w3.org/2001/XMLSchema" xmlns:xs="http://www.w3.org/2001/XMLSchema" xmlns:p="http://schemas.microsoft.com/office/2006/metadata/properties" xmlns:ns3="e6885731-5717-4cdf-b19f-703a95f247d0" xmlns:ns4="b6aa60d3-874d-40f5-8c13-ea093b21ffac" targetNamespace="http://schemas.microsoft.com/office/2006/metadata/properties" ma:root="true" ma:fieldsID="32f882ed61cdedd4658c929de840872e" ns3:_="" ns4:_="">
    <xsd:import namespace="e6885731-5717-4cdf-b19f-703a95f247d0"/>
    <xsd:import namespace="b6aa60d3-874d-40f5-8c13-ea093b21f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85731-5717-4cdf-b19f-703a95f2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60d3-874d-40f5-8c13-ea093b21f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CA16F-52A0-434F-889B-CCA1CAC0A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95075-83AF-464C-AE1F-073E35B76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7B510-CD32-4573-80C6-28A7D5EF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85731-5717-4cdf-b19f-703a95f247d0"/>
    <ds:schemaRef ds:uri="b6aa60d3-874d-40f5-8c13-ea093b21f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SVHA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Christie - SVHNS</dc:creator>
  <cp:keywords/>
  <dc:description/>
  <cp:lastModifiedBy>Lauren Christie</cp:lastModifiedBy>
  <cp:revision>3</cp:revision>
  <dcterms:created xsi:type="dcterms:W3CDTF">2022-04-18T13:42:00Z</dcterms:created>
  <dcterms:modified xsi:type="dcterms:W3CDTF">2022-04-18T13:43:00Z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0x0101009EE0CC6FF3EF0B4AA806F84695DB51AA</vt:lpwstr>
  </property>
</Properties>
</file>